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480" w:right="899" w:hanging="4934"/>
        <w:spacing w:after="0" w:line="400" w:lineRule="auto"/>
        <w:rPr>
          <w:sz w:val="20"/>
          <w:szCs w:val="20"/>
          <w:color w:val="auto"/>
        </w:rPr>
      </w:pPr>
      <w:r>
        <w:rPr>
          <w:rFonts w:ascii="Arial" w:cs="Arial" w:eastAsia="Arial" w:hAnsi="Arial"/>
          <w:sz w:val="16"/>
          <w:szCs w:val="16"/>
          <w:b w:val="1"/>
          <w:bCs w:val="1"/>
          <w:color w:val="auto"/>
        </w:rPr>
        <w:t>As filed with the U.S. Securities and Exchange Commission on April 19, 2021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-34290</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8255</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540"/>
        <w:spacing w:after="0"/>
        <w:rPr>
          <w:sz w:val="20"/>
          <w:szCs w:val="20"/>
          <w:color w:val="auto"/>
        </w:rPr>
      </w:pPr>
      <w:r>
        <w:rPr>
          <w:rFonts w:ascii="Arial" w:cs="Arial" w:eastAsia="Arial" w:hAnsi="Arial"/>
          <w:sz w:val="11"/>
          <w:szCs w:val="11"/>
          <w:b w:val="1"/>
          <w:bCs w:val="1"/>
          <w:color w:val="auto"/>
        </w:rPr>
        <w:t>____________________________________</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7" w:lineRule="exact"/>
        <w:rPr>
          <w:sz w:val="24"/>
          <w:szCs w:val="24"/>
          <w:color w:val="auto"/>
        </w:rPr>
      </w:pPr>
    </w:p>
    <w:p>
      <w:pPr>
        <w:ind w:left="3540"/>
        <w:spacing w:after="0"/>
        <w:rPr>
          <w:sz w:val="20"/>
          <w:szCs w:val="20"/>
          <w:color w:val="auto"/>
        </w:rPr>
      </w:pPr>
      <w:r>
        <w:rPr>
          <w:rFonts w:ascii="Arial" w:cs="Arial" w:eastAsia="Arial" w:hAnsi="Arial"/>
          <w:sz w:val="11"/>
          <w:szCs w:val="11"/>
          <w:b w:val="1"/>
          <w:bCs w:val="1"/>
          <w:color w:val="auto"/>
        </w:rPr>
        <w:t>____________________________________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BCTG Acquisition Corp.</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6" w:lineRule="exact"/>
        <w:rPr>
          <w:sz w:val="24"/>
          <w:szCs w:val="24"/>
          <w:color w:val="auto"/>
        </w:rPr>
      </w:pPr>
    </w:p>
    <w:p>
      <w:pPr>
        <w:ind w:left="3540"/>
        <w:spacing w:after="0"/>
        <w:rPr>
          <w:sz w:val="20"/>
          <w:szCs w:val="20"/>
          <w:color w:val="auto"/>
        </w:rPr>
      </w:pPr>
      <w:r>
        <w:rPr>
          <w:rFonts w:ascii="Arial" w:cs="Arial" w:eastAsia="Arial" w:hAnsi="Arial"/>
          <w:sz w:val="11"/>
          <w:szCs w:val="11"/>
          <w:b w:val="1"/>
          <w:bCs w:val="1"/>
          <w:color w:val="auto"/>
        </w:rPr>
        <w:t>____________________________________</w:t>
      </w:r>
    </w:p>
    <w:p>
      <w:pPr>
        <w:spacing w:after="0" w:line="181" w:lineRule="exact"/>
        <w:rPr>
          <w:sz w:val="24"/>
          <w:szCs w:val="24"/>
          <w:color w:val="auto"/>
        </w:rPr>
      </w:pPr>
    </w:p>
    <w:tbl>
      <w:tblPr>
        <w:tblLayout w:type="fixed"/>
        <w:tblInd w:w="460" w:type="dxa"/>
        <w:tblCellMar>
          <w:top w:w="0" w:type="dxa"/>
          <w:left w:w="0" w:type="dxa"/>
          <w:bottom w:w="0" w:type="dxa"/>
          <w:right w:w="0" w:type="dxa"/>
        </w:tblCellMar>
      </w:tblPr>
      <w:tr>
        <w:trPr>
          <w:trHeight w:val="234"/>
        </w:trPr>
        <w:tc>
          <w:tcPr>
            <w:tcW w:w="2680" w:type="dxa"/>
            <w:vAlign w:val="bottom"/>
            <w:gridSpan w:val="2"/>
          </w:tcPr>
          <w:p>
            <w:pPr>
              <w:ind w:left="900"/>
              <w:spacing w:after="0"/>
              <w:rPr>
                <w:sz w:val="20"/>
                <w:szCs w:val="20"/>
                <w:color w:val="auto"/>
              </w:rPr>
            </w:pPr>
            <w:r>
              <w:rPr>
                <w:rFonts w:ascii="Arial" w:cs="Arial" w:eastAsia="Arial" w:hAnsi="Arial"/>
                <w:sz w:val="18"/>
                <w:szCs w:val="18"/>
                <w:b w:val="1"/>
                <w:bCs w:val="1"/>
                <w:color w:val="auto"/>
              </w:rPr>
              <w:t>Delaware</w:t>
            </w:r>
          </w:p>
        </w:tc>
        <w:tc>
          <w:tcPr>
            <w:tcW w:w="2620" w:type="dxa"/>
            <w:vAlign w:val="bottom"/>
          </w:tcPr>
          <w:p>
            <w:pPr>
              <w:jc w:val="right"/>
              <w:ind w:right="1039"/>
              <w:spacing w:after="0"/>
              <w:rPr>
                <w:sz w:val="20"/>
                <w:szCs w:val="20"/>
                <w:color w:val="auto"/>
              </w:rPr>
            </w:pPr>
            <w:r>
              <w:rPr>
                <w:rFonts w:ascii="Arial" w:cs="Arial" w:eastAsia="Arial" w:hAnsi="Arial"/>
                <w:sz w:val="18"/>
                <w:szCs w:val="18"/>
                <w:b w:val="1"/>
                <w:bCs w:val="1"/>
                <w:color w:val="auto"/>
              </w:rPr>
              <w:t>6770</w:t>
            </w:r>
          </w:p>
        </w:tc>
        <w:tc>
          <w:tcPr>
            <w:tcW w:w="80" w:type="dxa"/>
            <w:vAlign w:val="bottom"/>
          </w:tcPr>
          <w:p>
            <w:pPr>
              <w:spacing w:after="0"/>
              <w:rPr>
                <w:sz w:val="20"/>
                <w:szCs w:val="20"/>
                <w:color w:val="auto"/>
              </w:rPr>
            </w:pPr>
          </w:p>
        </w:tc>
        <w:tc>
          <w:tcPr>
            <w:tcW w:w="2720" w:type="dxa"/>
            <w:vAlign w:val="bottom"/>
          </w:tcPr>
          <w:p>
            <w:pPr>
              <w:jc w:val="right"/>
              <w:ind w:right="850"/>
              <w:spacing w:after="0"/>
              <w:rPr>
                <w:sz w:val="20"/>
                <w:szCs w:val="20"/>
                <w:color w:val="auto"/>
              </w:rPr>
            </w:pPr>
            <w:r>
              <w:rPr>
                <w:rFonts w:ascii="Arial" w:cs="Arial" w:eastAsia="Arial" w:hAnsi="Arial"/>
                <w:sz w:val="18"/>
                <w:szCs w:val="18"/>
                <w:b w:val="1"/>
                <w:bCs w:val="1"/>
                <w:color w:val="auto"/>
              </w:rPr>
              <w:t>85-1195036</w:t>
            </w:r>
          </w:p>
        </w:tc>
        <w:tc>
          <w:tcPr>
            <w:tcW w:w="0" w:type="dxa"/>
            <w:vAlign w:val="bottom"/>
          </w:tcPr>
          <w:p>
            <w:pPr>
              <w:spacing w:after="0"/>
              <w:rPr>
                <w:sz w:val="1"/>
                <w:szCs w:val="1"/>
                <w:color w:val="auto"/>
              </w:rPr>
            </w:pPr>
          </w:p>
        </w:tc>
      </w:tr>
      <w:tr>
        <w:trPr>
          <w:trHeight w:val="41"/>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600" w:type="dxa"/>
            <w:vAlign w:val="bottom"/>
          </w:tcPr>
          <w:p>
            <w:pPr>
              <w:ind w:left="200"/>
              <w:spacing w:after="0" w:line="195" w:lineRule="exact"/>
              <w:rPr>
                <w:sz w:val="20"/>
                <w:szCs w:val="20"/>
                <w:color w:val="auto"/>
              </w:rPr>
            </w:pPr>
            <w:r>
              <w:rPr>
                <w:rFonts w:ascii="Arial" w:cs="Arial" w:eastAsia="Arial" w:hAnsi="Arial"/>
                <w:sz w:val="18"/>
                <w:szCs w:val="18"/>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ind w:left="260"/>
              <w:spacing w:after="0" w:line="195" w:lineRule="exact"/>
              <w:rPr>
                <w:sz w:val="20"/>
                <w:szCs w:val="20"/>
                <w:color w:val="auto"/>
              </w:rPr>
            </w:pPr>
            <w:r>
              <w:rPr>
                <w:rFonts w:ascii="Arial" w:cs="Arial" w:eastAsia="Arial" w:hAnsi="Arial"/>
                <w:sz w:val="18"/>
                <w:szCs w:val="18"/>
                <w:color w:val="auto"/>
              </w:rPr>
              <w:t>(Primary Standard Industrial</w:t>
            </w:r>
          </w:p>
        </w:tc>
        <w:tc>
          <w:tcPr>
            <w:tcW w:w="80" w:type="dxa"/>
            <w:vAlign w:val="bottom"/>
            <w:vMerge w:val="continue"/>
          </w:tcPr>
          <w:p>
            <w:pPr>
              <w:spacing w:after="0"/>
              <w:rPr>
                <w:sz w:val="16"/>
                <w:szCs w:val="16"/>
                <w:color w:val="auto"/>
              </w:rPr>
            </w:pPr>
          </w:p>
        </w:tc>
        <w:tc>
          <w:tcPr>
            <w:tcW w:w="2720" w:type="dxa"/>
            <w:vAlign w:val="bottom"/>
          </w:tcPr>
          <w:p>
            <w:pPr>
              <w:ind w:left="720"/>
              <w:spacing w:after="0" w:line="195" w:lineRule="exact"/>
              <w:rPr>
                <w:sz w:val="20"/>
                <w:szCs w:val="20"/>
                <w:color w:val="auto"/>
              </w:rPr>
            </w:pPr>
            <w:r>
              <w:rPr>
                <w:rFonts w:ascii="Arial" w:cs="Arial" w:eastAsia="Arial" w:hAnsi="Arial"/>
                <w:sz w:val="18"/>
                <w:szCs w:val="18"/>
                <w:color w:val="auto"/>
              </w:rPr>
              <w:t>(I.R.S. Employer</w:t>
            </w:r>
          </w:p>
        </w:tc>
        <w:tc>
          <w:tcPr>
            <w:tcW w:w="0" w:type="dxa"/>
            <w:vAlign w:val="bottom"/>
          </w:tcPr>
          <w:p>
            <w:pPr>
              <w:spacing w:after="0"/>
              <w:rPr>
                <w:sz w:val="1"/>
                <w:szCs w:val="1"/>
                <w:color w:val="auto"/>
              </w:rPr>
            </w:pPr>
          </w:p>
        </w:tc>
      </w:tr>
      <w:tr>
        <w:trPr>
          <w:trHeight w:val="230"/>
        </w:trPr>
        <w:tc>
          <w:tcPr>
            <w:tcW w:w="2680" w:type="dxa"/>
            <w:vAlign w:val="bottom"/>
            <w:gridSpan w:val="2"/>
          </w:tcPr>
          <w:p>
            <w:pPr>
              <w:ind w:left="180"/>
              <w:spacing w:after="0"/>
              <w:rPr>
                <w:sz w:val="20"/>
                <w:szCs w:val="20"/>
                <w:color w:val="auto"/>
              </w:rPr>
            </w:pPr>
            <w:r>
              <w:rPr>
                <w:rFonts w:ascii="Arial" w:cs="Arial" w:eastAsia="Arial" w:hAnsi="Arial"/>
                <w:sz w:val="18"/>
                <w:szCs w:val="18"/>
                <w:color w:val="auto"/>
              </w:rPr>
              <w:t>Incorporation or Organization)</w:t>
            </w:r>
          </w:p>
        </w:tc>
        <w:tc>
          <w:tcPr>
            <w:tcW w:w="2700" w:type="dxa"/>
            <w:vAlign w:val="bottom"/>
            <w:gridSpan w:val="2"/>
          </w:tcPr>
          <w:p>
            <w:pPr>
              <w:ind w:left="260"/>
              <w:spacing w:after="0"/>
              <w:rPr>
                <w:sz w:val="20"/>
                <w:szCs w:val="20"/>
                <w:color w:val="auto"/>
              </w:rPr>
            </w:pPr>
            <w:r>
              <w:rPr>
                <w:rFonts w:ascii="Arial" w:cs="Arial" w:eastAsia="Arial" w:hAnsi="Arial"/>
                <w:sz w:val="18"/>
                <w:szCs w:val="18"/>
                <w:color w:val="auto"/>
              </w:rPr>
              <w:t>Classification Code Number)</w:t>
            </w:r>
          </w:p>
        </w:tc>
        <w:tc>
          <w:tcPr>
            <w:tcW w:w="27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343"/>
        </w:trPr>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tcPr>
          <w:p>
            <w:pPr>
              <w:jc w:val="right"/>
              <w:ind w:right="199"/>
              <w:spacing w:after="0"/>
              <w:rPr>
                <w:sz w:val="20"/>
                <w:szCs w:val="20"/>
                <w:color w:val="auto"/>
              </w:rPr>
            </w:pPr>
            <w:r>
              <w:rPr>
                <w:rFonts w:ascii="Arial" w:cs="Arial" w:eastAsia="Arial" w:hAnsi="Arial"/>
                <w:sz w:val="11"/>
                <w:szCs w:val="11"/>
                <w:color w:val="auto"/>
              </w:rPr>
              <w:t>____________________________________</w:t>
            </w: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12860 El Camino Real, Suite 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400-3120</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76" w:lineRule="exact"/>
        <w:rPr>
          <w:sz w:val="24"/>
          <w:szCs w:val="24"/>
          <w:color w:val="auto"/>
        </w:rPr>
      </w:pPr>
    </w:p>
    <w:p>
      <w:pPr>
        <w:ind w:left="3540"/>
        <w:spacing w:after="0"/>
        <w:rPr>
          <w:sz w:val="20"/>
          <w:szCs w:val="20"/>
          <w:color w:val="auto"/>
        </w:rPr>
      </w:pPr>
      <w:r>
        <w:rPr>
          <w:rFonts w:ascii="Arial" w:cs="Arial" w:eastAsia="Arial" w:hAnsi="Arial"/>
          <w:sz w:val="11"/>
          <w:szCs w:val="11"/>
          <w:color w:val="auto"/>
        </w:rPr>
        <w:t>____________________________________</w:t>
      </w:r>
    </w:p>
    <w:p>
      <w:pPr>
        <w:spacing w:after="0" w:line="54"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Aaron I. Davis</w:t>
      </w:r>
    </w:p>
    <w:p>
      <w:pPr>
        <w:spacing w:after="0" w:line="27"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12860 El Camino Real, Suite 300</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San Diego, CA 92130</w:t>
      </w:r>
    </w:p>
    <w:p>
      <w:pPr>
        <w:spacing w:after="0" w:line="9"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(858) 400-3120</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7"/>
          <w:szCs w:val="17"/>
          <w:color w:val="auto"/>
        </w:rPr>
        <w:t>(Name, address, including zip code, and telephone number, including area code, of agent for service)</w:t>
      </w:r>
    </w:p>
    <w:p>
      <w:pPr>
        <w:spacing w:after="0" w:line="69" w:lineRule="exact"/>
        <w:rPr>
          <w:sz w:val="24"/>
          <w:szCs w:val="24"/>
          <w:color w:val="auto"/>
        </w:rPr>
      </w:pPr>
    </w:p>
    <w:tbl>
      <w:tblPr>
        <w:tblLayout w:type="fixed"/>
        <w:tblInd w:w="1360" w:type="dxa"/>
        <w:tblCellMar>
          <w:top w:w="0" w:type="dxa"/>
          <w:left w:w="0" w:type="dxa"/>
          <w:bottom w:w="0" w:type="dxa"/>
          <w:right w:w="0" w:type="dxa"/>
        </w:tblCellMar>
      </w:tblPr>
      <w:tr>
        <w:trPr>
          <w:trHeight w:val="126"/>
        </w:trPr>
        <w:tc>
          <w:tcPr>
            <w:tcW w:w="2140" w:type="dxa"/>
            <w:vAlign w:val="bottom"/>
          </w:tcPr>
          <w:p>
            <w:pPr>
              <w:spacing w:after="0"/>
              <w:rPr>
                <w:sz w:val="10"/>
                <w:szCs w:val="10"/>
                <w:color w:val="auto"/>
              </w:rPr>
            </w:pPr>
          </w:p>
        </w:tc>
        <w:tc>
          <w:tcPr>
            <w:tcW w:w="3880" w:type="dxa"/>
            <w:vAlign w:val="bottom"/>
          </w:tcPr>
          <w:p>
            <w:pPr>
              <w:jc w:val="center"/>
              <w:ind w:right="1777"/>
              <w:spacing w:after="0"/>
              <w:rPr>
                <w:sz w:val="20"/>
                <w:szCs w:val="20"/>
                <w:color w:val="auto"/>
              </w:rPr>
            </w:pPr>
            <w:r>
              <w:rPr>
                <w:rFonts w:ascii="Arial" w:cs="Arial" w:eastAsia="Arial" w:hAnsi="Arial"/>
                <w:sz w:val="11"/>
                <w:szCs w:val="11"/>
                <w:color w:val="auto"/>
                <w:w w:val="88"/>
              </w:rPr>
              <w:t>____________________________________</w:t>
            </w:r>
          </w:p>
        </w:tc>
      </w:tr>
      <w:tr>
        <w:trPr>
          <w:trHeight w:val="230"/>
        </w:trPr>
        <w:tc>
          <w:tcPr>
            <w:tcW w:w="2140" w:type="dxa"/>
            <w:vAlign w:val="bottom"/>
          </w:tcPr>
          <w:p>
            <w:pPr>
              <w:spacing w:after="0"/>
              <w:rPr>
                <w:sz w:val="20"/>
                <w:szCs w:val="20"/>
                <w:color w:val="auto"/>
              </w:rPr>
            </w:pPr>
          </w:p>
        </w:tc>
        <w:tc>
          <w:tcPr>
            <w:tcW w:w="3880" w:type="dxa"/>
            <w:vAlign w:val="bottom"/>
          </w:tcPr>
          <w:p>
            <w:pPr>
              <w:jc w:val="center"/>
              <w:ind w:right="1777"/>
              <w:spacing w:after="0"/>
              <w:rPr>
                <w:sz w:val="20"/>
                <w:szCs w:val="20"/>
                <w:color w:val="auto"/>
              </w:rPr>
            </w:pPr>
            <w:r>
              <w:rPr>
                <w:rFonts w:ascii="Arial" w:cs="Arial" w:eastAsia="Arial" w:hAnsi="Arial"/>
                <w:sz w:val="18"/>
                <w:szCs w:val="18"/>
                <w:i w:val="1"/>
                <w:iCs w:val="1"/>
                <w:color w:val="auto"/>
                <w:w w:val="91"/>
              </w:rPr>
              <w:t>Copies to:</w:t>
            </w:r>
          </w:p>
        </w:tc>
      </w:tr>
      <w:tr>
        <w:trPr>
          <w:trHeight w:val="387"/>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1"/>
              </w:rPr>
              <w:t>Mitchell Nussbaum</w:t>
            </w:r>
          </w:p>
        </w:tc>
        <w:tc>
          <w:tcPr>
            <w:tcW w:w="3880" w:type="dxa"/>
            <w:vAlign w:val="bottom"/>
          </w:tcPr>
          <w:p>
            <w:pPr>
              <w:jc w:val="center"/>
              <w:ind w:left="2097"/>
              <w:spacing w:after="0"/>
              <w:rPr>
                <w:sz w:val="20"/>
                <w:szCs w:val="20"/>
                <w:color w:val="auto"/>
              </w:rPr>
            </w:pPr>
            <w:r>
              <w:rPr>
                <w:rFonts w:ascii="Arial" w:cs="Arial" w:eastAsia="Arial" w:hAnsi="Arial"/>
                <w:sz w:val="18"/>
                <w:szCs w:val="18"/>
                <w:b w:val="1"/>
                <w:bCs w:val="1"/>
                <w:color w:val="auto"/>
                <w:w w:val="91"/>
              </w:rPr>
              <w:t>Mitchell S. Bloom</w:t>
            </w:r>
          </w:p>
        </w:tc>
      </w:tr>
      <w:tr>
        <w:trPr>
          <w:trHeight w:val="216"/>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1"/>
              </w:rPr>
              <w:t>Giovanni Caruso</w:t>
            </w:r>
          </w:p>
        </w:tc>
        <w:tc>
          <w:tcPr>
            <w:tcW w:w="3880" w:type="dxa"/>
            <w:vAlign w:val="bottom"/>
          </w:tcPr>
          <w:p>
            <w:pPr>
              <w:jc w:val="center"/>
              <w:ind w:left="2097"/>
              <w:spacing w:after="0"/>
              <w:rPr>
                <w:sz w:val="20"/>
                <w:szCs w:val="20"/>
                <w:color w:val="auto"/>
              </w:rPr>
            </w:pPr>
            <w:r>
              <w:rPr>
                <w:rFonts w:ascii="Arial" w:cs="Arial" w:eastAsia="Arial" w:hAnsi="Arial"/>
                <w:sz w:val="18"/>
                <w:szCs w:val="18"/>
                <w:b w:val="1"/>
                <w:bCs w:val="1"/>
                <w:color w:val="auto"/>
                <w:w w:val="93"/>
              </w:rPr>
              <w:t>William D. Collins</w:t>
            </w:r>
          </w:p>
        </w:tc>
      </w:tr>
      <w:tr>
        <w:trPr>
          <w:trHeight w:val="216"/>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4"/>
              </w:rPr>
              <w:t>Loeb &amp; Loeb LLP</w:t>
            </w:r>
          </w:p>
        </w:tc>
        <w:tc>
          <w:tcPr>
            <w:tcW w:w="3880" w:type="dxa"/>
            <w:vAlign w:val="bottom"/>
          </w:tcPr>
          <w:p>
            <w:pPr>
              <w:jc w:val="center"/>
              <w:ind w:left="2097"/>
              <w:spacing w:after="0"/>
              <w:rPr>
                <w:sz w:val="20"/>
                <w:szCs w:val="20"/>
                <w:color w:val="auto"/>
              </w:rPr>
            </w:pPr>
            <w:r>
              <w:rPr>
                <w:rFonts w:ascii="Arial" w:cs="Arial" w:eastAsia="Arial" w:hAnsi="Arial"/>
                <w:sz w:val="18"/>
                <w:szCs w:val="18"/>
                <w:b w:val="1"/>
                <w:bCs w:val="1"/>
                <w:color w:val="auto"/>
                <w:w w:val="93"/>
              </w:rPr>
              <w:t>Laurie A. Burlingame</w:t>
            </w:r>
          </w:p>
        </w:tc>
      </w:tr>
      <w:tr>
        <w:trPr>
          <w:trHeight w:val="216"/>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1"/>
              </w:rPr>
              <w:t>345 Park Avenue</w:t>
            </w:r>
          </w:p>
        </w:tc>
        <w:tc>
          <w:tcPr>
            <w:tcW w:w="3880" w:type="dxa"/>
            <w:vAlign w:val="bottom"/>
          </w:tcPr>
          <w:p>
            <w:pPr>
              <w:jc w:val="center"/>
              <w:ind w:left="2097"/>
              <w:spacing w:after="0"/>
              <w:rPr>
                <w:sz w:val="20"/>
                <w:szCs w:val="20"/>
                <w:color w:val="auto"/>
              </w:rPr>
            </w:pPr>
            <w:r>
              <w:rPr>
                <w:rFonts w:ascii="Arial" w:cs="Arial" w:eastAsia="Arial" w:hAnsi="Arial"/>
                <w:sz w:val="18"/>
                <w:szCs w:val="18"/>
                <w:b w:val="1"/>
                <w:bCs w:val="1"/>
                <w:color w:val="auto"/>
                <w:w w:val="92"/>
              </w:rPr>
              <w:t>Goodwin Procter LLP</w:t>
            </w:r>
          </w:p>
        </w:tc>
      </w:tr>
      <w:tr>
        <w:trPr>
          <w:trHeight w:val="216"/>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1"/>
              </w:rPr>
              <w:t>New York, New York 10154</w:t>
            </w:r>
          </w:p>
        </w:tc>
        <w:tc>
          <w:tcPr>
            <w:tcW w:w="3880" w:type="dxa"/>
            <w:vAlign w:val="bottom"/>
          </w:tcPr>
          <w:p>
            <w:pPr>
              <w:jc w:val="center"/>
              <w:ind w:left="2097"/>
              <w:spacing w:after="0"/>
              <w:rPr>
                <w:sz w:val="20"/>
                <w:szCs w:val="20"/>
                <w:color w:val="auto"/>
              </w:rPr>
            </w:pPr>
            <w:r>
              <w:rPr>
                <w:rFonts w:ascii="Arial" w:cs="Arial" w:eastAsia="Arial" w:hAnsi="Arial"/>
                <w:sz w:val="18"/>
                <w:szCs w:val="18"/>
                <w:b w:val="1"/>
                <w:bCs w:val="1"/>
                <w:color w:val="auto"/>
                <w:w w:val="91"/>
              </w:rPr>
              <w:t>100 Northern Avenue</w:t>
            </w:r>
          </w:p>
        </w:tc>
      </w:tr>
      <w:tr>
        <w:trPr>
          <w:trHeight w:val="216"/>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1"/>
              </w:rPr>
              <w:t>Tel: (212) 407-4000</w:t>
            </w:r>
          </w:p>
        </w:tc>
        <w:tc>
          <w:tcPr>
            <w:tcW w:w="3880" w:type="dxa"/>
            <w:vAlign w:val="bottom"/>
          </w:tcPr>
          <w:p>
            <w:pPr>
              <w:jc w:val="center"/>
              <w:ind w:left="2097"/>
              <w:spacing w:after="0"/>
              <w:rPr>
                <w:sz w:val="20"/>
                <w:szCs w:val="20"/>
                <w:color w:val="auto"/>
              </w:rPr>
            </w:pPr>
            <w:r>
              <w:rPr>
                <w:rFonts w:ascii="Arial" w:cs="Arial" w:eastAsia="Arial" w:hAnsi="Arial"/>
                <w:sz w:val="18"/>
                <w:szCs w:val="18"/>
                <w:b w:val="1"/>
                <w:bCs w:val="1"/>
                <w:color w:val="auto"/>
                <w:w w:val="91"/>
              </w:rPr>
              <w:t>Boston, MA 02110</w:t>
            </w:r>
          </w:p>
        </w:tc>
      </w:t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2"/>
              </w:rPr>
              <w:t>Fax: (212) 407-4990</w:t>
            </w:r>
          </w:p>
        </w:tc>
        <w:tc>
          <w:tcPr>
            <w:tcW w:w="3880" w:type="dxa"/>
            <w:vAlign w:val="bottom"/>
          </w:tcPr>
          <w:p>
            <w:pPr>
              <w:jc w:val="center"/>
              <w:ind w:left="2097"/>
              <w:spacing w:after="0"/>
              <w:rPr>
                <w:sz w:val="20"/>
                <w:szCs w:val="20"/>
                <w:color w:val="auto"/>
              </w:rPr>
            </w:pPr>
            <w:r>
              <w:rPr>
                <w:rFonts w:ascii="Arial" w:cs="Arial" w:eastAsia="Arial" w:hAnsi="Arial"/>
                <w:sz w:val="18"/>
                <w:szCs w:val="18"/>
                <w:b w:val="1"/>
                <w:bCs w:val="1"/>
                <w:color w:val="auto"/>
                <w:w w:val="91"/>
              </w:rPr>
              <w:t>Tel: (617) 570-1000</w:t>
            </w:r>
          </w:p>
        </w:tc>
      </w:tr>
      <w:tr>
        <w:trPr>
          <w:trHeight w:val="343"/>
        </w:trPr>
        <w:tc>
          <w:tcPr>
            <w:tcW w:w="2140" w:type="dxa"/>
            <w:vAlign w:val="bottom"/>
          </w:tcPr>
          <w:p>
            <w:pPr>
              <w:spacing w:after="0"/>
              <w:rPr>
                <w:sz w:val="24"/>
                <w:szCs w:val="24"/>
                <w:color w:val="auto"/>
              </w:rPr>
            </w:pPr>
          </w:p>
        </w:tc>
        <w:tc>
          <w:tcPr>
            <w:tcW w:w="3880" w:type="dxa"/>
            <w:vAlign w:val="bottom"/>
          </w:tcPr>
          <w:p>
            <w:pPr>
              <w:jc w:val="center"/>
              <w:ind w:right="1777"/>
              <w:spacing w:after="0"/>
              <w:rPr>
                <w:sz w:val="20"/>
                <w:szCs w:val="20"/>
                <w:color w:val="auto"/>
              </w:rPr>
            </w:pPr>
            <w:r>
              <w:rPr>
                <w:rFonts w:ascii="Arial" w:cs="Arial" w:eastAsia="Arial" w:hAnsi="Arial"/>
                <w:sz w:val="11"/>
                <w:szCs w:val="11"/>
                <w:color w:val="auto"/>
                <w:w w:val="88"/>
              </w:rPr>
              <w:t>____________________________________</w:t>
            </w:r>
          </w:p>
        </w:tc>
      </w:tr>
    </w:tbl>
    <w:p>
      <w:pPr>
        <w:spacing w:after="0" w:line="35" w:lineRule="exact"/>
        <w:rPr>
          <w:sz w:val="24"/>
          <w:szCs w:val="24"/>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Approximate date of commencement of proposed sale to the public: As soon as practicable after this Registration Statement becomes effective and after all conditions under the Merger Agreement to consummate the proposed merger are satisfied or waived.</w:t>
      </w:r>
    </w:p>
    <w:p>
      <w:pPr>
        <w:spacing w:after="0" w:line="22" w:lineRule="exact"/>
        <w:rPr>
          <w:sz w:val="24"/>
          <w:szCs w:val="24"/>
          <w:color w:val="auto"/>
        </w:rPr>
      </w:pPr>
    </w:p>
    <w:p>
      <w:pPr>
        <w:ind w:left="460" w:right="859" w:firstLine="432"/>
        <w:spacing w:after="0" w:line="298" w:lineRule="auto"/>
        <w:rPr>
          <w:sz w:val="20"/>
          <w:szCs w:val="20"/>
          <w:color w:val="auto"/>
        </w:rPr>
      </w:pPr>
      <w:r>
        <w:rPr>
          <w:rFonts w:ascii="Arial" w:cs="Arial" w:eastAsia="Arial" w:hAnsi="Arial"/>
          <w:sz w:val="17"/>
          <w:szCs w:val="17"/>
          <w:color w:val="auto"/>
        </w:rPr>
        <w:t xml:space="preserve">If the securities being registered on this Form are being offered in connection with the formation of a holding company and there is compliance with General Instruction G, check the following box: </w:t>
      </w:r>
      <w:r>
        <w:rPr>
          <w:rFonts w:ascii="Arial" w:cs="Arial" w:eastAsia="Arial" w:hAnsi="Arial"/>
          <w:sz w:val="15"/>
          <w:szCs w:val="15"/>
          <w:color w:val="auto"/>
        </w:rPr>
        <w:t>£</w:t>
      </w:r>
    </w:p>
    <w:p>
      <w:pPr>
        <w:spacing w:after="0" w:line="1" w:lineRule="exact"/>
        <w:rPr>
          <w:sz w:val="24"/>
          <w:szCs w:val="24"/>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Arial" w:cs="Arial" w:eastAsia="Arial" w:hAnsi="Arial"/>
          <w:sz w:val="16"/>
          <w:szCs w:val="16"/>
          <w:color w:val="auto"/>
        </w:rPr>
        <w:t>£</w:t>
      </w:r>
    </w:p>
    <w:p>
      <w:pPr>
        <w:spacing w:after="0" w:line="22" w:lineRule="exact"/>
        <w:rPr>
          <w:sz w:val="24"/>
          <w:szCs w:val="24"/>
          <w:color w:val="auto"/>
        </w:rPr>
      </w:pPr>
    </w:p>
    <w:p>
      <w:pPr>
        <w:jc w:val="both"/>
        <w:ind w:left="460" w:right="639" w:firstLine="432"/>
        <w:spacing w:after="0" w:line="263" w:lineRule="auto"/>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6"/>
          <w:szCs w:val="16"/>
          <w:color w:val="auto"/>
        </w:rPr>
        <w:t>£</w:t>
      </w:r>
    </w:p>
    <w:p>
      <w:pPr>
        <w:spacing w:after="0" w:line="22" w:lineRule="exact"/>
        <w:rPr>
          <w:sz w:val="24"/>
          <w:szCs w:val="24"/>
          <w:color w:val="auto"/>
        </w:rPr>
      </w:pPr>
    </w:p>
    <w:p>
      <w:pPr>
        <w:ind w:left="460" w:right="879" w:firstLine="432"/>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and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102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r>
              <w:rPr>
                <w:rFonts w:ascii="Arial" w:cs="Arial" w:eastAsia="Arial" w:hAnsi="Arial"/>
                <w:sz w:val="18"/>
                <w:szCs w:val="18"/>
                <w:color w:val="auto"/>
                <w:w w:val="92"/>
              </w:rPr>
              <w:t>Large accelerated filer</w:t>
            </w:r>
          </w:p>
        </w:tc>
        <w:tc>
          <w:tcPr>
            <w:tcW w:w="1060" w:type="dxa"/>
            <w:vAlign w:val="bottom"/>
          </w:tcPr>
          <w:p>
            <w:pPr>
              <w:ind w:left="40"/>
              <w:spacing w:after="0"/>
              <w:rPr>
                <w:sz w:val="20"/>
                <w:szCs w:val="20"/>
                <w:color w:val="auto"/>
              </w:rPr>
            </w:pPr>
            <w:r>
              <w:rPr>
                <w:rFonts w:ascii="Arial" w:cs="Arial" w:eastAsia="Arial" w:hAnsi="Arial"/>
                <w:sz w:val="16"/>
                <w:szCs w:val="16"/>
                <w:color w:val="auto"/>
              </w:rPr>
              <w:t>£</w:t>
            </w:r>
          </w:p>
        </w:tc>
        <w:tc>
          <w:tcPr>
            <w:tcW w:w="2540" w:type="dxa"/>
            <w:vAlign w:val="bottom"/>
          </w:tcPr>
          <w:p>
            <w:pPr>
              <w:ind w:left="920"/>
              <w:spacing w:after="0"/>
              <w:rPr>
                <w:sz w:val="20"/>
                <w:szCs w:val="20"/>
                <w:color w:val="auto"/>
              </w:rPr>
            </w:pPr>
            <w:r>
              <w:rPr>
                <w:rFonts w:ascii="Arial" w:cs="Arial" w:eastAsia="Arial" w:hAnsi="Arial"/>
                <w:sz w:val="18"/>
                <w:szCs w:val="18"/>
                <w:color w:val="auto"/>
              </w:rPr>
              <w:t>Accelerated filer</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3"/>
        </w:trPr>
        <w:tc>
          <w:tcPr>
            <w:tcW w:w="1660" w:type="dxa"/>
            <w:vAlign w:val="bottom"/>
          </w:tcPr>
          <w:p>
            <w:pPr>
              <w:spacing w:after="0"/>
              <w:rPr>
                <w:sz w:val="20"/>
                <w:szCs w:val="20"/>
                <w:color w:val="auto"/>
              </w:rPr>
            </w:pPr>
            <w:r>
              <w:rPr>
                <w:rFonts w:ascii="Arial" w:cs="Arial" w:eastAsia="Arial" w:hAnsi="Arial"/>
                <w:sz w:val="18"/>
                <w:szCs w:val="18"/>
                <w:color w:val="auto"/>
                <w:w w:val="98"/>
              </w:rPr>
              <w:t>Non-accelerated filer</w:t>
            </w:r>
          </w:p>
        </w:tc>
        <w:tc>
          <w:tcPr>
            <w:tcW w:w="1060" w:type="dxa"/>
            <w:vAlign w:val="bottom"/>
          </w:tcPr>
          <w:p>
            <w:pPr>
              <w:ind w:left="40"/>
              <w:spacing w:after="0"/>
              <w:rPr>
                <w:sz w:val="20"/>
                <w:szCs w:val="20"/>
                <w:color w:val="auto"/>
              </w:rPr>
            </w:pPr>
            <w:r>
              <w:rPr>
                <w:rFonts w:ascii="Arial" w:cs="Arial" w:eastAsia="Arial" w:hAnsi="Arial"/>
                <w:sz w:val="16"/>
                <w:szCs w:val="16"/>
                <w:color w:val="auto"/>
              </w:rPr>
              <w:t>S</w:t>
            </w:r>
          </w:p>
        </w:tc>
        <w:tc>
          <w:tcPr>
            <w:tcW w:w="3080" w:type="dxa"/>
            <w:vAlign w:val="bottom"/>
            <w:gridSpan w:val="2"/>
          </w:tcPr>
          <w:p>
            <w:pPr>
              <w:ind w:left="920"/>
              <w:spacing w:after="0"/>
              <w:rPr>
                <w:sz w:val="20"/>
                <w:szCs w:val="20"/>
                <w:color w:val="auto"/>
              </w:rPr>
            </w:pPr>
            <w:r>
              <w:rPr>
                <w:rFonts w:ascii="Arial" w:cs="Arial" w:eastAsia="Arial" w:hAnsi="Arial"/>
                <w:sz w:val="18"/>
                <w:szCs w:val="18"/>
                <w:color w:val="auto"/>
                <w:w w:val="92"/>
              </w:rPr>
              <w:t xml:space="preserve">Smaller reporting company </w:t>
            </w:r>
            <w:r>
              <w:rPr>
                <w:rFonts w:ascii="Arial" w:cs="Arial" w:eastAsia="Arial" w:hAnsi="Arial"/>
                <w:sz w:val="16"/>
                <w:szCs w:val="16"/>
                <w:color w:val="auto"/>
                <w:w w:val="92"/>
              </w:rPr>
              <w:t>S</w:t>
            </w:r>
          </w:p>
        </w:tc>
      </w:tr>
      <w:tr>
        <w:trPr>
          <w:trHeight w:val="284"/>
        </w:trPr>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80" w:type="dxa"/>
            <w:vAlign w:val="bottom"/>
            <w:gridSpan w:val="2"/>
          </w:tcPr>
          <w:p>
            <w:pPr>
              <w:ind w:left="920"/>
              <w:spacing w:after="0"/>
              <w:rPr>
                <w:sz w:val="20"/>
                <w:szCs w:val="20"/>
                <w:color w:val="auto"/>
              </w:rPr>
            </w:pPr>
            <w:r>
              <w:rPr>
                <w:rFonts w:ascii="Arial" w:cs="Arial" w:eastAsia="Arial" w:hAnsi="Arial"/>
                <w:sz w:val="18"/>
                <w:szCs w:val="18"/>
                <w:color w:val="auto"/>
                <w:w w:val="93"/>
              </w:rPr>
              <w:t xml:space="preserve">Emerging growth company </w:t>
            </w:r>
            <w:r>
              <w:rPr>
                <w:rFonts w:ascii="Arial" w:cs="Arial" w:eastAsia="Arial" w:hAnsi="Arial"/>
                <w:sz w:val="16"/>
                <w:szCs w:val="16"/>
                <w:color w:val="auto"/>
                <w:w w:val="93"/>
              </w:rPr>
              <w:t>S</w:t>
            </w:r>
          </w:p>
        </w:tc>
      </w:tr>
    </w:tbl>
    <w:p>
      <w:pPr>
        <w:spacing w:after="0" w:line="242" w:lineRule="exact"/>
        <w:rPr>
          <w:sz w:val="24"/>
          <w:szCs w:val="24"/>
          <w:color w:val="auto"/>
        </w:rPr>
      </w:pPr>
    </w:p>
    <w:p>
      <w:pPr>
        <w:ind w:left="460" w:right="919" w:firstLine="432"/>
        <w:spacing w:after="0" w:line="260"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p>
    <w:p>
      <w:pPr>
        <w:spacing w:after="0" w:line="2" w:lineRule="exact"/>
        <w:rPr>
          <w:sz w:val="24"/>
          <w:szCs w:val="24"/>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If applicable, place an X in the box to designate the appropriate rule provision relied upon in conducting this transaction:</w:t>
      </w:r>
    </w:p>
    <w:p>
      <w:pPr>
        <w:sectPr>
          <w:pgSz w:w="11900" w:h="16838" w:orient="portrait"/>
          <w:cols w:equalWidth="0" w:num="1">
            <w:col w:w="9019"/>
          </w:cols>
          <w:pgMar w:left="1440" w:top="337" w:right="1440" w:bottom="77" w:gutter="0" w:footer="0" w:header="0"/>
        </w:sectPr>
      </w:pPr>
    </w:p>
    <w:p>
      <w:pPr>
        <w:spacing w:after="0" w:line="143"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Exchange Act Rule 13e-4(i) (Cross-Border Issuer Tender Offer)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75" w:lineRule="exact"/>
        <w:rPr>
          <w:sz w:val="24"/>
          <w:szCs w:val="24"/>
          <w:color w:val="auto"/>
        </w:rPr>
      </w:pPr>
    </w:p>
    <w:p>
      <w:pPr>
        <w:sectPr>
          <w:pgSz w:w="11900" w:h="16838" w:orient="portrait"/>
          <w:cols w:equalWidth="0" w:num="2">
            <w:col w:w="5620" w:space="580"/>
            <w:col w:w="2819"/>
          </w:cols>
          <w:pgMar w:left="1440" w:top="337" w:right="1440" w:bottom="77" w:gutter="0" w:footer="0" w:header="0"/>
          <w:type w:val="continuous"/>
        </w:sectPr>
      </w:pPr>
    </w:p>
    <w:p>
      <w:pPr>
        <w:ind w:left="1020"/>
        <w:spacing w:after="0"/>
        <w:rPr>
          <w:sz w:val="20"/>
          <w:szCs w:val="20"/>
          <w:color w:val="auto"/>
        </w:rPr>
      </w:pPr>
      <w:r>
        <w:rPr>
          <w:rFonts w:ascii="Arial" w:cs="Arial" w:eastAsia="Arial" w:hAnsi="Arial"/>
          <w:sz w:val="16"/>
          <w:szCs w:val="16"/>
          <w:color w:val="auto"/>
        </w:rPr>
        <w:t>Exchange Act 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320675</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w:t>
      </w:r>
    </w:p>
    <w:p>
      <w:pPr>
        <w:sectPr>
          <w:pgSz w:w="11900" w:h="16838" w:orient="portrait"/>
          <w:cols w:equalWidth="0" w:num="2">
            <w:col w:w="6060" w:space="140"/>
            <w:col w:w="2819"/>
          </w:cols>
          <w:pgMar w:left="1440" w:top="337" w:right="1440" w:bottom="77" w:gutter="0" w:footer="0" w:header="0"/>
          <w:type w:val="continuous"/>
        </w:sectPr>
      </w:pPr>
    </w:p>
    <w:bookmarkStart w:id="1" w:name="page2"/>
    <w:bookmarkEnd w:id="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Proposed</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Maximum</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Maximum</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Amount</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Offering</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Aggregate</w:t>
            </w:r>
          </w:p>
        </w:tc>
        <w:tc>
          <w:tcPr>
            <w:tcW w:w="100" w:type="dxa"/>
            <w:vAlign w:val="bottom"/>
          </w:tcPr>
          <w:p>
            <w:pPr>
              <w:spacing w:after="0"/>
              <w:rPr>
                <w:sz w:val="17"/>
                <w:szCs w:val="17"/>
                <w:color w:val="auto"/>
              </w:rPr>
            </w:pPr>
          </w:p>
        </w:tc>
        <w:tc>
          <w:tcPr>
            <w:tcW w:w="960" w:type="dxa"/>
            <w:vAlign w:val="bottom"/>
          </w:tcPr>
          <w:p>
            <w:pPr>
              <w:jc w:val="center"/>
              <w:ind w:right="15"/>
              <w:spacing w:after="0"/>
              <w:rPr>
                <w:sz w:val="20"/>
                <w:szCs w:val="20"/>
                <w:color w:val="auto"/>
              </w:rPr>
            </w:pPr>
            <w:r>
              <w:rPr>
                <w:rFonts w:ascii="Arial" w:cs="Arial" w:eastAsia="Arial" w:hAnsi="Arial"/>
                <w:sz w:val="16"/>
                <w:szCs w:val="16"/>
                <w:b w:val="1"/>
                <w:bCs w:val="1"/>
                <w:color w:val="auto"/>
                <w:w w:val="92"/>
              </w:rPr>
              <w:t>Amount of</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to be</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Price Per</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Offering</w:t>
            </w:r>
          </w:p>
        </w:tc>
        <w:tc>
          <w:tcPr>
            <w:tcW w:w="100" w:type="dxa"/>
            <w:vAlign w:val="bottom"/>
          </w:tcPr>
          <w:p>
            <w:pPr>
              <w:spacing w:after="0"/>
              <w:rPr>
                <w:sz w:val="17"/>
                <w:szCs w:val="17"/>
                <w:color w:val="auto"/>
              </w:rPr>
            </w:pPr>
          </w:p>
        </w:tc>
        <w:tc>
          <w:tcPr>
            <w:tcW w:w="960" w:type="dxa"/>
            <w:vAlign w:val="bottom"/>
          </w:tcPr>
          <w:p>
            <w:pPr>
              <w:jc w:val="center"/>
              <w:ind w:right="15"/>
              <w:spacing w:after="0"/>
              <w:rPr>
                <w:sz w:val="20"/>
                <w:szCs w:val="20"/>
                <w:color w:val="auto"/>
              </w:rPr>
            </w:pPr>
            <w:r>
              <w:rPr>
                <w:rFonts w:ascii="Arial" w:cs="Arial" w:eastAsia="Arial" w:hAnsi="Arial"/>
                <w:sz w:val="16"/>
                <w:szCs w:val="16"/>
                <w:b w:val="1"/>
                <w:bCs w:val="1"/>
                <w:color w:val="auto"/>
                <w:w w:val="92"/>
              </w:rPr>
              <w:t>Registration</w:t>
            </w:r>
          </w:p>
        </w:tc>
        <w:tc>
          <w:tcPr>
            <w:tcW w:w="0" w:type="dxa"/>
            <w:vAlign w:val="bottom"/>
          </w:tcPr>
          <w:p>
            <w:pPr>
              <w:spacing w:after="0"/>
              <w:rPr>
                <w:sz w:val="1"/>
                <w:szCs w:val="1"/>
                <w:color w:val="auto"/>
              </w:rPr>
            </w:pPr>
          </w:p>
        </w:tc>
      </w:tr>
      <w:tr>
        <w:trPr>
          <w:trHeight w:val="253"/>
        </w:trPr>
        <w:tc>
          <w:tcPr>
            <w:tcW w:w="3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7"/>
              </w:rPr>
              <w:t>Title of Each Class of Securities to be Registered</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Registered</w:t>
            </w:r>
            <w:r>
              <w:rPr>
                <w:rFonts w:ascii="Arial" w:cs="Arial" w:eastAsia="Arial" w:hAnsi="Arial"/>
                <w:sz w:val="18"/>
                <w:szCs w:val="18"/>
                <w:b w:val="1"/>
                <w:bCs w:val="1"/>
                <w:color w:val="auto"/>
                <w:w w:val="86"/>
                <w:vertAlign w:val="superscript"/>
              </w:rPr>
              <w:t>(1)</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Security</w:t>
            </w:r>
            <w:r>
              <w:rPr>
                <w:rFonts w:ascii="Arial" w:cs="Arial" w:eastAsia="Arial" w:hAnsi="Arial"/>
                <w:sz w:val="18"/>
                <w:szCs w:val="18"/>
                <w:b w:val="1"/>
                <w:bCs w:val="1"/>
                <w:color w:val="auto"/>
                <w:w w:val="87"/>
                <w:vertAlign w:val="superscript"/>
              </w:rPr>
              <w:t>(2)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85"/>
              </w:rPr>
              <w:t>Price</w:t>
            </w:r>
            <w:r>
              <w:rPr>
                <w:rFonts w:ascii="Arial" w:cs="Arial" w:eastAsia="Arial" w:hAnsi="Arial"/>
                <w:sz w:val="18"/>
                <w:szCs w:val="18"/>
                <w:b w:val="1"/>
                <w:bCs w:val="1"/>
                <w:color w:val="auto"/>
                <w:w w:val="85"/>
                <w:vertAlign w:val="superscript"/>
              </w:rPr>
              <w:t>(2)</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5"/>
              <w:spacing w:after="0"/>
              <w:rPr>
                <w:sz w:val="20"/>
                <w:szCs w:val="20"/>
                <w:color w:val="auto"/>
              </w:rPr>
            </w:pPr>
            <w:r>
              <w:rPr>
                <w:rFonts w:ascii="Arial" w:cs="Arial" w:eastAsia="Arial" w:hAnsi="Arial"/>
                <w:sz w:val="16"/>
                <w:szCs w:val="16"/>
                <w:b w:val="1"/>
                <w:bCs w:val="1"/>
                <w:color w:val="auto"/>
                <w:w w:val="80"/>
              </w:rPr>
              <w:t>Fee</w:t>
            </w:r>
            <w:r>
              <w:rPr>
                <w:rFonts w:ascii="Arial" w:cs="Arial" w:eastAsia="Arial" w:hAnsi="Arial"/>
                <w:sz w:val="18"/>
                <w:szCs w:val="18"/>
                <w:b w:val="1"/>
                <w:bCs w:val="1"/>
                <w:color w:val="auto"/>
                <w:w w:val="80"/>
                <w:vertAlign w:val="superscript"/>
              </w:rPr>
              <w:t>(3)</w:t>
            </w:r>
          </w:p>
        </w:tc>
        <w:tc>
          <w:tcPr>
            <w:tcW w:w="0" w:type="dxa"/>
            <w:vAlign w:val="bottom"/>
          </w:tcPr>
          <w:p>
            <w:pPr>
              <w:spacing w:after="0"/>
              <w:rPr>
                <w:sz w:val="1"/>
                <w:szCs w:val="1"/>
                <w:color w:val="auto"/>
              </w:rPr>
            </w:pPr>
          </w:p>
        </w:tc>
      </w:tr>
      <w:tr>
        <w:trPr>
          <w:trHeight w:val="268"/>
        </w:trPr>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w:t>
            </w:r>
            <w:r>
              <w:rPr>
                <w:rFonts w:ascii="Arial" w:cs="Arial" w:eastAsia="Arial" w:hAnsi="Arial"/>
                <w:sz w:val="20"/>
                <w:szCs w:val="20"/>
                <w:b w:val="1"/>
                <w:bCs w:val="1"/>
                <w:color w:val="auto"/>
                <w:vertAlign w:val="superscript"/>
              </w:rPr>
              <w:t>(1)</w:t>
            </w:r>
          </w:p>
        </w:tc>
        <w:tc>
          <w:tcPr>
            <w:tcW w:w="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55,000,000</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53,726.23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740" w:type="dxa"/>
            <w:vAlign w:val="bottom"/>
            <w:gridSpan w:val="2"/>
            <w:vMerge w:val="continue"/>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55,000,000</w:t>
            </w:r>
          </w:p>
        </w:tc>
        <w:tc>
          <w:tcPr>
            <w:tcW w:w="10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53,726.23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9" w:lineRule="exact"/>
        <w:rPr>
          <w:sz w:val="20"/>
          <w:szCs w:val="20"/>
          <w:color w:val="auto"/>
        </w:rPr>
      </w:pPr>
    </w:p>
    <w:p>
      <w:pPr>
        <w:ind w:left="880" w:right="579" w:hanging="426"/>
        <w:spacing w:after="0" w:line="283" w:lineRule="auto"/>
        <w:tabs>
          <w:tab w:leader="none" w:pos="880" w:val="left"/>
        </w:tabs>
        <w:numPr>
          <w:ilvl w:val="0"/>
          <w:numId w:val="1"/>
        </w:numPr>
        <w:rPr>
          <w:rFonts w:ascii="Arial" w:cs="Arial" w:eastAsia="Arial" w:hAnsi="Arial"/>
          <w:sz w:val="15"/>
          <w:szCs w:val="15"/>
          <w:color w:val="auto"/>
        </w:rPr>
      </w:pPr>
      <w:r>
        <w:rPr>
          <w:rFonts w:ascii="Arial" w:cs="Arial" w:eastAsia="Arial" w:hAnsi="Arial"/>
          <w:sz w:val="15"/>
          <w:szCs w:val="15"/>
          <w:color w:val="auto"/>
        </w:rPr>
        <w:t>Based on the maximum number of shares of common stock, $0.0001 par value per share (“</w:t>
      </w:r>
      <w:r>
        <w:rPr>
          <w:rFonts w:ascii="Arial" w:cs="Arial" w:eastAsia="Arial" w:hAnsi="Arial"/>
          <w:sz w:val="15"/>
          <w:szCs w:val="15"/>
          <w:b w:val="1"/>
          <w:bCs w:val="1"/>
          <w:color w:val="auto"/>
        </w:rPr>
        <w:t>Common Stock</w:t>
      </w:r>
      <w:r>
        <w:rPr>
          <w:rFonts w:ascii="Arial" w:cs="Arial" w:eastAsia="Arial" w:hAnsi="Arial"/>
          <w:sz w:val="15"/>
          <w:szCs w:val="15"/>
          <w:color w:val="auto"/>
        </w:rPr>
        <w:t>”), of the registrant issuable upon a business combination (the “</w:t>
      </w:r>
      <w:r>
        <w:rPr>
          <w:rFonts w:ascii="Arial" w:cs="Arial" w:eastAsia="Arial" w:hAnsi="Arial"/>
          <w:sz w:val="15"/>
          <w:szCs w:val="15"/>
          <w:b w:val="1"/>
          <w:bCs w:val="1"/>
          <w:color w:val="auto"/>
        </w:rPr>
        <w:t>Business Combination</w:t>
      </w:r>
      <w:r>
        <w:rPr>
          <w:rFonts w:ascii="Arial" w:cs="Arial" w:eastAsia="Arial" w:hAnsi="Arial"/>
          <w:sz w:val="15"/>
          <w:szCs w:val="15"/>
          <w:color w:val="auto"/>
        </w:rPr>
        <w:t>”) involving BCTG Acquisition Corp. (“</w:t>
      </w:r>
      <w:r>
        <w:rPr>
          <w:rFonts w:ascii="Arial" w:cs="Arial" w:eastAsia="Arial" w:hAnsi="Arial"/>
          <w:sz w:val="15"/>
          <w:szCs w:val="15"/>
          <w:b w:val="1"/>
          <w:bCs w:val="1"/>
          <w:color w:val="auto"/>
        </w:rPr>
        <w:t>BCTG</w:t>
      </w:r>
      <w:r>
        <w:rPr>
          <w:rFonts w:ascii="Arial" w:cs="Arial" w:eastAsia="Arial" w:hAnsi="Arial"/>
          <w:sz w:val="15"/>
          <w:szCs w:val="15"/>
          <w:color w:val="auto"/>
        </w:rPr>
        <w:t>”) and Tango Therapeutics, Inc. (“</w:t>
      </w:r>
      <w:r>
        <w:rPr>
          <w:rFonts w:ascii="Arial" w:cs="Arial" w:eastAsia="Arial" w:hAnsi="Arial"/>
          <w:sz w:val="15"/>
          <w:szCs w:val="15"/>
          <w:b w:val="1"/>
          <w:bCs w:val="1"/>
          <w:color w:val="auto"/>
        </w:rPr>
        <w:t>Tango</w:t>
      </w:r>
      <w:r>
        <w:rPr>
          <w:rFonts w:ascii="Arial" w:cs="Arial" w:eastAsia="Arial" w:hAnsi="Arial"/>
          <w:sz w:val="15"/>
          <w:szCs w:val="15"/>
          <w:color w:val="auto"/>
        </w:rPr>
        <w:t>”). This number is based on the 55,000,000 shares of Common Stock issuable as consideration in connection with the Business Combination to holders of common stock of Tango and the holders of rights to acquire common stock of Tango under any Tango equity incentive plan. Pursuant to Rule 416(a) of Securities Act of 1933, as amended (the “</w:t>
      </w:r>
      <w:r>
        <w:rPr>
          <w:rFonts w:ascii="Arial" w:cs="Arial" w:eastAsia="Arial" w:hAnsi="Arial"/>
          <w:sz w:val="15"/>
          <w:szCs w:val="15"/>
          <w:b w:val="1"/>
          <w:bCs w:val="1"/>
          <w:color w:val="auto"/>
        </w:rPr>
        <w:t>Securities Act</w:t>
      </w:r>
      <w:r>
        <w:rPr>
          <w:rFonts w:ascii="Arial" w:cs="Arial" w:eastAsia="Arial" w:hAnsi="Arial"/>
          <w:sz w:val="15"/>
          <w:szCs w:val="15"/>
          <w:color w:val="auto"/>
        </w:rPr>
        <w:t>”), there are also being registered an indeterminable number of additional securities as may be issued to prevent dilution resulting from stock splits, stock dividends or similar transactions.</w:t>
      </w:r>
    </w:p>
    <w:p>
      <w:pPr>
        <w:ind w:left="880" w:right="699" w:hanging="426"/>
        <w:spacing w:after="0" w:line="264"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purposes of calculating the registration fee in accordance with Rule 457(f)(2) of the Securities Act. Tango, a Delaware corporation, is a private company, no market exists for its securities, and Tango has an accumulated deficit. Therefore, the proposed maximum aggregate offering price is one-third of the aggregate par value of the Tango securities expected to be exchanged in the Business Combination, including Tango securities issuable upon the exercise of options.</w:t>
      </w:r>
    </w:p>
    <w:p>
      <w:pPr>
        <w:ind w:left="880" w:right="1019" w:hanging="426"/>
        <w:spacing w:after="0" w:line="288"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pursuant to Rule 457 of the Securities Act by calculating the product of (i) the proposed maximum aggregate offering price and (ii) 0.0001091.</w:t>
      </w:r>
    </w:p>
    <w:p>
      <w:pPr>
        <w:spacing w:after="0" w:line="90"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b w:val="1"/>
          <w:bCs w:val="1"/>
          <w:i w:val="1"/>
          <w:i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26035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68580</wp:posOffset>
            </wp:positionV>
            <wp:extent cx="514350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342900</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 w:name="page3"/>
    <w:bookmarkEnd w:id="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60" w:right="539"/>
        <w:spacing w:after="0" w:line="258" w:lineRule="auto"/>
        <w:rPr>
          <w:sz w:val="20"/>
          <w:szCs w:val="20"/>
          <w:color w:val="auto"/>
        </w:rPr>
      </w:pPr>
      <w:r>
        <w:rPr>
          <w:rFonts w:ascii="Arial" w:cs="Arial" w:eastAsia="Arial" w:hAnsi="Arial"/>
          <w:sz w:val="18"/>
          <w:szCs w:val="18"/>
          <w:b w:val="1"/>
          <w:bCs w:val="1"/>
          <w:color w:val="D2232A"/>
        </w:rPr>
        <w:t>The information in this preliminary proxy statement/prospectus is not complete and may be changed. These securities may not be issued until the registration statement filed with the Securities and Exchange Commission is effective. This preliminary proxy statement/prospectus is not an offer to sell these securities and it is not soliciting an offer to buy these securities in any jurisdiction where the offer or sale is not permitted.</w:t>
      </w:r>
    </w:p>
    <w:p>
      <w:pPr>
        <w:spacing w:after="0" w:line="183"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D2232A"/>
        </w:rPr>
        <w:t>PRELIMINARY PROXY STATEMENT/PROSPECTUS</w:t>
      </w:r>
    </w:p>
    <w:p>
      <w:pPr>
        <w:spacing w:after="0" w:line="2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D2232A"/>
        </w:rPr>
        <w:t>SUBJECT TO COMPLETION, DATED APRIL 19, 2021</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FOR SPECIAL MEETING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9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PROSPECTUS FOR SHARES OF COMMON STOCK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12860 El Camino Real, Suite 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 92130</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 the Stockholders of BCTG Acquisition Corp.:</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You are cordially invited to attend the Special Meeting of Stockholders (the “</w:t>
      </w:r>
      <w:r>
        <w:rPr>
          <w:rFonts w:ascii="Arial" w:cs="Arial" w:eastAsia="Arial" w:hAnsi="Arial"/>
          <w:sz w:val="17"/>
          <w:szCs w:val="17"/>
          <w:b w:val="1"/>
          <w:bCs w:val="1"/>
          <w:color w:val="auto"/>
        </w:rPr>
        <w:t>Special Meeting</w:t>
      </w:r>
      <w:r>
        <w:rPr>
          <w:rFonts w:ascii="Arial" w:cs="Arial" w:eastAsia="Arial" w:hAnsi="Arial"/>
          <w:sz w:val="17"/>
          <w:szCs w:val="17"/>
          <w:color w:val="auto"/>
        </w:rPr>
        <w:t>”) of</w:t>
      </w:r>
    </w:p>
    <w:p>
      <w:pPr>
        <w:spacing w:after="0" w:line="39" w:lineRule="exact"/>
        <w:rPr>
          <w:sz w:val="20"/>
          <w:szCs w:val="20"/>
          <w:color w:val="auto"/>
        </w:rPr>
      </w:pPr>
    </w:p>
    <w:p>
      <w:pPr>
        <w:ind w:left="460" w:right="479"/>
        <w:spacing w:after="0" w:line="252" w:lineRule="auto"/>
        <w:rPr>
          <w:sz w:val="20"/>
          <w:szCs w:val="20"/>
          <w:color w:val="auto"/>
        </w:rPr>
      </w:pPr>
      <w:r>
        <w:rPr>
          <w:rFonts w:ascii="Arial" w:cs="Arial" w:eastAsia="Arial" w:hAnsi="Arial"/>
          <w:sz w:val="18"/>
          <w:szCs w:val="18"/>
          <w:color w:val="auto"/>
        </w:rPr>
        <w:t>BCTG Acquisition Corp., which is referred to as “</w:t>
      </w:r>
      <w:r>
        <w:rPr>
          <w:rFonts w:ascii="Arial" w:cs="Arial" w:eastAsia="Arial" w:hAnsi="Arial"/>
          <w:sz w:val="18"/>
          <w:szCs w:val="18"/>
          <w:b w:val="1"/>
          <w:bCs w:val="1"/>
          <w:color w:val="auto"/>
        </w:rPr>
        <w:t>BCTG</w:t>
      </w:r>
      <w:r>
        <w:rPr>
          <w:rFonts w:ascii="Arial" w:cs="Arial" w:eastAsia="Arial" w:hAnsi="Arial"/>
          <w:sz w:val="18"/>
          <w:szCs w:val="18"/>
          <w:color w:val="auto"/>
        </w:rPr>
        <w:t>.” The Special Meeting will be held on , 2021, at [ ] Eastern time, via a virtual meeting. In light of the novel coronavirus (referred to as “</w:t>
      </w:r>
      <w:r>
        <w:rPr>
          <w:rFonts w:ascii="Arial" w:cs="Arial" w:eastAsia="Arial" w:hAnsi="Arial"/>
          <w:sz w:val="18"/>
          <w:szCs w:val="18"/>
          <w:b w:val="1"/>
          <w:bCs w:val="1"/>
          <w:color w:val="auto"/>
        </w:rPr>
        <w:t>COVID-19</w:t>
      </w:r>
      <w:r>
        <w:rPr>
          <w:rFonts w:ascii="Arial" w:cs="Arial" w:eastAsia="Arial" w:hAnsi="Arial"/>
          <w:sz w:val="18"/>
          <w:szCs w:val="18"/>
          <w:color w:val="auto"/>
        </w:rPr>
        <w:t>”) pandemic and to support the well-being of BCTG’s stockholders and partners, the Special Meeting will be completely virtual. You will need the 12-digit meeting control number that is printed on your proxy card to enter the Special Meeting. BCTG recommends that you log in at least 15 minutes before the Special Meeting to ensure you are logged in when the Special Meeting starts. Please note that you will not be able to attend the Special Meeting in person.</w:t>
      </w:r>
    </w:p>
    <w:p>
      <w:pPr>
        <w:spacing w:after="0" w:line="111"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At the Special Meeting, BCTG stockholders will be asked to consider and vote upon the following proposals (the “</w:t>
      </w:r>
      <w:r>
        <w:rPr>
          <w:rFonts w:ascii="Arial" w:cs="Arial" w:eastAsia="Arial" w:hAnsi="Arial"/>
          <w:sz w:val="18"/>
          <w:szCs w:val="18"/>
          <w:b w:val="1"/>
          <w:bCs w:val="1"/>
          <w:color w:val="auto"/>
        </w:rPr>
        <w:t>Proposals</w:t>
      </w:r>
      <w:r>
        <w:rPr>
          <w:rFonts w:ascii="Arial" w:cs="Arial" w:eastAsia="Arial" w:hAnsi="Arial"/>
          <w:sz w:val="18"/>
          <w:szCs w:val="18"/>
          <w:color w:val="auto"/>
        </w:rPr>
        <w:t>”):</w:t>
      </w:r>
    </w:p>
    <w:p>
      <w:pPr>
        <w:spacing w:after="0" w:line="116" w:lineRule="exact"/>
        <w:rPr>
          <w:sz w:val="20"/>
          <w:szCs w:val="20"/>
          <w:color w:val="auto"/>
        </w:rPr>
      </w:pPr>
    </w:p>
    <w:p>
      <w:pPr>
        <w:ind w:left="460" w:right="519" w:firstLine="432"/>
        <w:spacing w:after="0" w:line="289" w:lineRule="auto"/>
        <w:rPr>
          <w:sz w:val="20"/>
          <w:szCs w:val="20"/>
          <w:color w:val="auto"/>
        </w:rPr>
      </w:pPr>
      <w:r>
        <w:rPr>
          <w:rFonts w:ascii="Arial" w:cs="Arial" w:eastAsia="Arial" w:hAnsi="Arial"/>
          <w:sz w:val="16"/>
          <w:szCs w:val="16"/>
          <w:color w:val="auto"/>
        </w:rPr>
        <w:t xml:space="preserve">Proposal 1 — </w:t>
      </w:r>
      <w:r>
        <w:rPr>
          <w:rFonts w:ascii="Arial" w:cs="Arial" w:eastAsia="Arial" w:hAnsi="Arial"/>
          <w:sz w:val="16"/>
          <w:szCs w:val="16"/>
          <w:u w:val="single" w:color="auto"/>
          <w:color w:val="auto"/>
        </w:rPr>
        <w:t>The Business Combination Proposal</w:t>
      </w:r>
      <w:r>
        <w:rPr>
          <w:rFonts w:ascii="Arial" w:cs="Arial" w:eastAsia="Arial" w:hAnsi="Arial"/>
          <w:sz w:val="16"/>
          <w:szCs w:val="16"/>
          <w:color w:val="auto"/>
        </w:rPr>
        <w:t xml:space="preserve"> — to adopt (a) the Agreement and Plan of Merger, dated as of April 13, 2021 (the “</w:t>
      </w:r>
      <w:r>
        <w:rPr>
          <w:rFonts w:ascii="Arial" w:cs="Arial" w:eastAsia="Arial" w:hAnsi="Arial"/>
          <w:sz w:val="16"/>
          <w:szCs w:val="16"/>
          <w:b w:val="1"/>
          <w:bCs w:val="1"/>
          <w:color w:val="auto"/>
        </w:rPr>
        <w:t>Merger Agreement</w:t>
      </w:r>
      <w:r>
        <w:rPr>
          <w:rFonts w:ascii="Arial" w:cs="Arial" w:eastAsia="Arial" w:hAnsi="Arial"/>
          <w:sz w:val="16"/>
          <w:szCs w:val="16"/>
          <w:color w:val="auto"/>
        </w:rPr>
        <w:t>”), by and among BCTG, BCTG Merger Sub Inc., a Delaware corporation and wholly owned subsidiary of BCTG (“</w:t>
      </w:r>
      <w:r>
        <w:rPr>
          <w:rFonts w:ascii="Arial" w:cs="Arial" w:eastAsia="Arial" w:hAnsi="Arial"/>
          <w:sz w:val="16"/>
          <w:szCs w:val="16"/>
          <w:b w:val="1"/>
          <w:bCs w:val="1"/>
          <w:color w:val="auto"/>
        </w:rPr>
        <w:t>Merger Sub</w:t>
      </w:r>
      <w:r>
        <w:rPr>
          <w:rFonts w:ascii="Arial" w:cs="Arial" w:eastAsia="Arial" w:hAnsi="Arial"/>
          <w:sz w:val="16"/>
          <w:szCs w:val="16"/>
          <w:color w:val="auto"/>
        </w:rPr>
        <w:t>”), and Tango Therapeutics, Inc., a Delaware corporation (“</w:t>
      </w:r>
      <w:r>
        <w:rPr>
          <w:rFonts w:ascii="Arial" w:cs="Arial" w:eastAsia="Arial" w:hAnsi="Arial"/>
          <w:sz w:val="16"/>
          <w:szCs w:val="16"/>
          <w:b w:val="1"/>
          <w:bCs w:val="1"/>
          <w:color w:val="auto"/>
        </w:rPr>
        <w:t>Tango</w:t>
      </w:r>
      <w:r>
        <w:rPr>
          <w:rFonts w:ascii="Arial" w:cs="Arial" w:eastAsia="Arial" w:hAnsi="Arial"/>
          <w:sz w:val="16"/>
          <w:szCs w:val="16"/>
          <w:color w:val="auto"/>
        </w:rPr>
        <w:t>”), pursuant to which Merger Sub will merge with and into Tango, with Tango surviving the merger as a wholly owned subsidiary of BCTG (BCTG, after Tango becomes a wholly-owned subsidiary of BCTG, the “</w:t>
      </w:r>
      <w:r>
        <w:rPr>
          <w:rFonts w:ascii="Arial" w:cs="Arial" w:eastAsia="Arial" w:hAnsi="Arial"/>
          <w:sz w:val="16"/>
          <w:szCs w:val="16"/>
          <w:b w:val="1"/>
          <w:bCs w:val="1"/>
          <w:color w:val="auto"/>
        </w:rPr>
        <w:t>Combined Entity</w:t>
      </w:r>
      <w:r>
        <w:rPr>
          <w:rFonts w:ascii="Arial" w:cs="Arial" w:eastAsia="Arial" w:hAnsi="Arial"/>
          <w:sz w:val="16"/>
          <w:szCs w:val="16"/>
          <w:color w:val="auto"/>
        </w:rPr>
        <w:t>”), and in connection therewith, BCTG will be renamed “Tango Therapeutics Inc.” (“</w:t>
      </w:r>
      <w:r>
        <w:rPr>
          <w:rFonts w:ascii="Arial" w:cs="Arial" w:eastAsia="Arial" w:hAnsi="Arial"/>
          <w:sz w:val="16"/>
          <w:szCs w:val="16"/>
          <w:b w:val="1"/>
          <w:bCs w:val="1"/>
          <w:color w:val="auto"/>
        </w:rPr>
        <w:t>New Tango</w:t>
      </w:r>
      <w:r>
        <w:rPr>
          <w:rFonts w:ascii="Arial" w:cs="Arial" w:eastAsia="Arial" w:hAnsi="Arial"/>
          <w:sz w:val="16"/>
          <w:szCs w:val="16"/>
          <w:color w:val="auto"/>
        </w:rPr>
        <w:t>”), and (b) such merger and the other transactions contemplated by the Merger Agreement (the “</w:t>
      </w:r>
      <w:r>
        <w:rPr>
          <w:rFonts w:ascii="Arial" w:cs="Arial" w:eastAsia="Arial" w:hAnsi="Arial"/>
          <w:sz w:val="16"/>
          <w:szCs w:val="16"/>
          <w:b w:val="1"/>
          <w:bCs w:val="1"/>
          <w:color w:val="auto"/>
        </w:rPr>
        <w:t>Business Combination</w:t>
      </w:r>
      <w:r>
        <w:rPr>
          <w:rFonts w:ascii="Arial" w:cs="Arial" w:eastAsia="Arial" w:hAnsi="Arial"/>
          <w:sz w:val="16"/>
          <w:szCs w:val="16"/>
          <w:color w:val="auto"/>
        </w:rPr>
        <w:t>” and such proposal, the “</w:t>
      </w:r>
      <w:r>
        <w:rPr>
          <w:rFonts w:ascii="Arial" w:cs="Arial" w:eastAsia="Arial" w:hAnsi="Arial"/>
          <w:sz w:val="16"/>
          <w:szCs w:val="16"/>
          <w:b w:val="1"/>
          <w:bCs w:val="1"/>
          <w:color w:val="auto"/>
        </w:rPr>
        <w:t>Business Combination Proposal</w:t>
      </w:r>
      <w:r>
        <w:rPr>
          <w:rFonts w:ascii="Arial" w:cs="Arial" w:eastAsia="Arial" w:hAnsi="Arial"/>
          <w:sz w:val="16"/>
          <w:szCs w:val="16"/>
          <w:color w:val="auto"/>
        </w:rPr>
        <w:t xml:space="preserve">”). A copy of the Merger Agreement is attached to this proxy statement/prospectus as </w:t>
      </w:r>
      <w:r>
        <w:rPr>
          <w:rFonts w:ascii="Arial" w:cs="Arial" w:eastAsia="Arial" w:hAnsi="Arial"/>
          <w:sz w:val="16"/>
          <w:szCs w:val="16"/>
          <w:i w:val="1"/>
          <w:iCs w:val="1"/>
          <w:u w:val="single" w:color="auto"/>
          <w:color w:val="auto"/>
        </w:rPr>
        <w:t>Annex A</w:t>
      </w:r>
      <w:r>
        <w:rPr>
          <w:rFonts w:ascii="Arial" w:cs="Arial" w:eastAsia="Arial" w:hAnsi="Arial"/>
          <w:sz w:val="16"/>
          <w:szCs w:val="16"/>
          <w:color w:val="auto"/>
        </w:rPr>
        <w:t>;</w:t>
      </w:r>
    </w:p>
    <w:p>
      <w:pPr>
        <w:spacing w:after="0" w:line="112"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 xml:space="preserve">Proposal 2 — </w:t>
      </w:r>
      <w:r>
        <w:rPr>
          <w:rFonts w:ascii="Arial" w:cs="Arial" w:eastAsia="Arial" w:hAnsi="Arial"/>
          <w:sz w:val="17"/>
          <w:szCs w:val="17"/>
          <w:u w:val="single" w:color="auto"/>
          <w:color w:val="auto"/>
        </w:rPr>
        <w:t>The Nasdaq Proposal</w:t>
      </w:r>
      <w:r>
        <w:rPr>
          <w:rFonts w:ascii="Arial" w:cs="Arial" w:eastAsia="Arial" w:hAnsi="Arial"/>
          <w:sz w:val="17"/>
          <w:szCs w:val="17"/>
          <w:color w:val="auto"/>
        </w:rPr>
        <w:t xml:space="preserve"> — to approve, (i) for purposes of complying with the listing rules of the Nasdaq Capital Market (“</w:t>
      </w:r>
      <w:r>
        <w:rPr>
          <w:rFonts w:ascii="Arial" w:cs="Arial" w:eastAsia="Arial" w:hAnsi="Arial"/>
          <w:sz w:val="17"/>
          <w:szCs w:val="17"/>
          <w:b w:val="1"/>
          <w:bCs w:val="1"/>
          <w:color w:val="auto"/>
        </w:rPr>
        <w:t>Nasdaq Rules</w:t>
      </w:r>
      <w:r>
        <w:rPr>
          <w:rFonts w:ascii="Arial" w:cs="Arial" w:eastAsia="Arial" w:hAnsi="Arial"/>
          <w:sz w:val="17"/>
          <w:szCs w:val="17"/>
          <w:color w:val="auto"/>
        </w:rPr>
        <w:t>”), Nasdaq Rules 5635(a) and (b), the issuance of more than 20% of the issued and outstanding BCTG common stock, $0.0001 par value, (the “</w:t>
      </w:r>
      <w:r>
        <w:rPr>
          <w:rFonts w:ascii="Arial" w:cs="Arial" w:eastAsia="Arial" w:hAnsi="Arial"/>
          <w:sz w:val="17"/>
          <w:szCs w:val="17"/>
          <w:b w:val="1"/>
          <w:bCs w:val="1"/>
          <w:color w:val="auto"/>
        </w:rPr>
        <w:t>Common Stock</w:t>
      </w:r>
      <w:r>
        <w:rPr>
          <w:rFonts w:ascii="Arial" w:cs="Arial" w:eastAsia="Arial" w:hAnsi="Arial"/>
          <w:sz w:val="17"/>
          <w:szCs w:val="17"/>
          <w:color w:val="auto"/>
        </w:rPr>
        <w:t>”) and the resulting change in control in connection with the Business Combination, and (ii) for the purposes of complying with Nasdaq Rules 5635(d) the issuance of more than 20% of the issued and outstanding Common Stock in the PIPE Financing (as defined in the accompanying proxy statement/prospectus), upon the completion of the Business Combination (the “</w:t>
      </w:r>
      <w:r>
        <w:rPr>
          <w:rFonts w:ascii="Arial" w:cs="Arial" w:eastAsia="Arial" w:hAnsi="Arial"/>
          <w:sz w:val="17"/>
          <w:szCs w:val="17"/>
          <w:b w:val="1"/>
          <w:bCs w:val="1"/>
          <w:color w:val="auto"/>
        </w:rPr>
        <w:t>Nasdaq Proposal</w:t>
      </w:r>
      <w:r>
        <w:rPr>
          <w:rFonts w:ascii="Arial" w:cs="Arial" w:eastAsia="Arial" w:hAnsi="Arial"/>
          <w:sz w:val="17"/>
          <w:szCs w:val="17"/>
          <w:color w:val="auto"/>
        </w:rPr>
        <w:t>”);</w:t>
      </w:r>
    </w:p>
    <w:p>
      <w:pPr>
        <w:spacing w:after="0" w:line="123"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 xml:space="preserve">Proposal 3 — </w:t>
      </w:r>
      <w:r>
        <w:rPr>
          <w:rFonts w:ascii="Arial" w:cs="Arial" w:eastAsia="Arial" w:hAnsi="Arial"/>
          <w:sz w:val="18"/>
          <w:szCs w:val="18"/>
          <w:u w:val="single" w:color="auto"/>
          <w:color w:val="auto"/>
        </w:rPr>
        <w:t>The Charter Amendment Proposal</w:t>
      </w:r>
      <w:r>
        <w:rPr>
          <w:rFonts w:ascii="Arial" w:cs="Arial" w:eastAsia="Arial" w:hAnsi="Arial"/>
          <w:sz w:val="18"/>
          <w:szCs w:val="18"/>
          <w:color w:val="auto"/>
        </w:rPr>
        <w:t xml:space="preserve"> — to approve an amendment and restatement of BCTG’s certificate of incorporation (the “</w:t>
      </w:r>
      <w:r>
        <w:rPr>
          <w:rFonts w:ascii="Arial" w:cs="Arial" w:eastAsia="Arial" w:hAnsi="Arial"/>
          <w:sz w:val="18"/>
          <w:szCs w:val="18"/>
          <w:b w:val="1"/>
          <w:bCs w:val="1"/>
          <w:color w:val="auto"/>
        </w:rPr>
        <w:t>Current Charter</w:t>
      </w:r>
      <w:r>
        <w:rPr>
          <w:rFonts w:ascii="Arial" w:cs="Arial" w:eastAsia="Arial" w:hAnsi="Arial"/>
          <w:sz w:val="18"/>
          <w:szCs w:val="18"/>
          <w:color w:val="auto"/>
        </w:rPr>
        <w:t>”) for the following amendments (collectively, the “</w:t>
      </w:r>
      <w:r>
        <w:rPr>
          <w:rFonts w:ascii="Arial" w:cs="Arial" w:eastAsia="Arial" w:hAnsi="Arial"/>
          <w:sz w:val="18"/>
          <w:szCs w:val="18"/>
          <w:b w:val="1"/>
          <w:bCs w:val="1"/>
          <w:color w:val="auto"/>
        </w:rPr>
        <w:t>Charter Amendment Proposal</w:t>
      </w:r>
      <w:r>
        <w:rPr>
          <w:rFonts w:ascii="Arial" w:cs="Arial" w:eastAsia="Arial" w:hAnsi="Arial"/>
          <w:sz w:val="18"/>
          <w:szCs w:val="18"/>
          <w:color w:val="auto"/>
        </w:rPr>
        <w:t>”):</w:t>
      </w:r>
    </w:p>
    <w:p>
      <w:pPr>
        <w:spacing w:after="0" w:line="116" w:lineRule="exact"/>
        <w:rPr>
          <w:sz w:val="20"/>
          <w:szCs w:val="20"/>
          <w:color w:val="auto"/>
        </w:rPr>
      </w:pPr>
    </w:p>
    <w:p>
      <w:pPr>
        <w:ind w:left="1320" w:right="899" w:hanging="434"/>
        <w:spacing w:after="0" w:line="277" w:lineRule="auto"/>
        <w:tabs>
          <w:tab w:leader="none" w:pos="1283"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amend the name of the public entity to “Tango Therapeutics, Inc.” from “BCTG Acquisition Corp.”;</w:t>
      </w:r>
    </w:p>
    <w:p>
      <w:pPr>
        <w:spacing w:after="0" w:line="116" w:lineRule="exact"/>
        <w:rPr>
          <w:rFonts w:ascii="Arial" w:cs="Arial" w:eastAsia="Arial" w:hAnsi="Arial"/>
          <w:sz w:val="18"/>
          <w:szCs w:val="18"/>
          <w:color w:val="auto"/>
        </w:rPr>
      </w:pPr>
    </w:p>
    <w:p>
      <w:pPr>
        <w:ind w:left="1320" w:right="899" w:hanging="434"/>
        <w:spacing w:after="0" w:line="277" w:lineRule="auto"/>
        <w:tabs>
          <w:tab w:leader="none" w:pos="1293"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increase the authorized shares of New Tango to [•] shares of common stock and [•] shares of “blank check” preferred stock;</w:t>
      </w:r>
    </w:p>
    <w:p>
      <w:pPr>
        <w:spacing w:after="0" w:line="116" w:lineRule="exact"/>
        <w:rPr>
          <w:rFonts w:ascii="Arial" w:cs="Arial" w:eastAsia="Arial" w:hAnsi="Arial"/>
          <w:sz w:val="18"/>
          <w:szCs w:val="18"/>
          <w:color w:val="auto"/>
        </w:rPr>
      </w:pPr>
    </w:p>
    <w:p>
      <w:pPr>
        <w:ind w:left="1320" w:right="619" w:hanging="434"/>
        <w:spacing w:after="0" w:line="258" w:lineRule="auto"/>
        <w:tabs>
          <w:tab w:leader="none" w:pos="1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to provide that the removal of any director be only for cause and by the affirmative vote of at least 66 </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 of New Tango’s then-outstanding shares of capital stock entitled to vote generally in the election of directors;</w:t>
      </w:r>
    </w:p>
    <w:p>
      <w:pPr>
        <w:spacing w:after="0" w:line="131" w:lineRule="exact"/>
        <w:rPr>
          <w:rFonts w:ascii="Arial" w:cs="Arial" w:eastAsia="Arial" w:hAnsi="Arial"/>
          <w:sz w:val="18"/>
          <w:szCs w:val="18"/>
          <w:color w:val="auto"/>
        </w:rPr>
      </w:pPr>
    </w:p>
    <w:p>
      <w:pPr>
        <w:ind w:left="1320" w:right="519" w:hanging="416"/>
        <w:spacing w:after="0" w:line="301" w:lineRule="auto"/>
        <w:tabs>
          <w:tab w:leader="none" w:pos="1310" w:val="left"/>
        </w:tabs>
        <w:numPr>
          <w:ilvl w:val="1"/>
          <w:numId w:val="2"/>
        </w:numPr>
        <w:rPr>
          <w:rFonts w:ascii="Arial" w:cs="Arial" w:eastAsia="Arial" w:hAnsi="Arial"/>
          <w:sz w:val="16"/>
          <w:szCs w:val="16"/>
          <w:color w:val="auto"/>
        </w:rPr>
      </w:pPr>
      <w:r>
        <w:rPr>
          <w:rFonts w:ascii="Arial" w:cs="Arial" w:eastAsia="Arial" w:hAnsi="Arial"/>
          <w:sz w:val="16"/>
          <w:szCs w:val="16"/>
          <w:color w:val="auto"/>
        </w:rPr>
        <w:t>to make New Tango’s corporate existence perpetual as opposed to BCTG’s corporate existence, which is required to be dissolved and liquidated 24 months following the closing of its initial public offering if it does not complete a business combination in that time, and to remove from the amendment and restatement of the Current Charter, as set out in the draft amended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220345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064" w:gutter="0" w:footer="0" w:header="0"/>
        </w:sectPr>
      </w:pPr>
    </w:p>
    <w:bookmarkStart w:id="3" w:name="page4"/>
    <w:bookmarkEnd w:id="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71" w:lineRule="exact"/>
        <w:rPr>
          <w:sz w:val="20"/>
          <w:szCs w:val="20"/>
          <w:color w:val="auto"/>
        </w:rPr>
      </w:pPr>
    </w:p>
    <w:p>
      <w:pPr>
        <w:jc w:val="both"/>
        <w:ind w:left="1320" w:right="719"/>
        <w:spacing w:after="0" w:line="263" w:lineRule="auto"/>
        <w:rPr>
          <w:sz w:val="20"/>
          <w:szCs w:val="20"/>
          <w:color w:val="auto"/>
        </w:rPr>
      </w:pPr>
      <w:r>
        <w:rPr>
          <w:rFonts w:ascii="Arial" w:cs="Arial" w:eastAsia="Arial" w:hAnsi="Arial"/>
          <w:sz w:val="18"/>
          <w:szCs w:val="18"/>
          <w:color w:val="auto"/>
        </w:rPr>
        <w:t xml:space="preserve">restated version of the Current Charter appended to this proxy statement/prospectus as Annex B, (the “ </w:t>
      </w:r>
      <w:r>
        <w:rPr>
          <w:rFonts w:ascii="Arial" w:cs="Arial" w:eastAsia="Arial" w:hAnsi="Arial"/>
          <w:sz w:val="18"/>
          <w:szCs w:val="18"/>
          <w:b w:val="1"/>
          <w:bCs w:val="1"/>
          <w:color w:val="auto"/>
        </w:rPr>
        <w:t>Proposed Charter ”)</w:t>
      </w:r>
      <w:r>
        <w:rPr>
          <w:rFonts w:ascii="Arial" w:cs="Arial" w:eastAsia="Arial" w:hAnsi="Arial"/>
          <w:sz w:val="18"/>
          <w:szCs w:val="18"/>
          <w:color w:val="auto"/>
        </w:rPr>
        <w:t xml:space="preserve"> the various provisions applicable only to special purpose acquisition corporations;</w:t>
      </w:r>
    </w:p>
    <w:p>
      <w:pPr>
        <w:spacing w:after="0" w:line="130" w:lineRule="exact"/>
        <w:rPr>
          <w:sz w:val="20"/>
          <w:szCs w:val="20"/>
          <w:color w:val="auto"/>
        </w:rPr>
      </w:pPr>
    </w:p>
    <w:p>
      <w:pPr>
        <w:ind w:left="1320" w:right="619" w:hanging="416"/>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provide that New Tango will not be subject to Section 203 of the Delaware General Corporation Law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320" w:right="859" w:hanging="434"/>
        <w:spacing w:after="0" w:line="277" w:lineRule="auto"/>
        <w:tabs>
          <w:tab w:leader="none" w:pos="130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remove the provisions setting the Court of Chancery of the State of Delaware as the sole and exclusive forum for certain stockholder actions; and</w:t>
      </w:r>
    </w:p>
    <w:p>
      <w:pPr>
        <w:spacing w:after="0" w:line="102" w:lineRule="exact"/>
        <w:rPr>
          <w:rFonts w:ascii="Arial" w:cs="Arial" w:eastAsia="Arial" w:hAnsi="Arial"/>
          <w:sz w:val="18"/>
          <w:szCs w:val="18"/>
          <w:color w:val="auto"/>
        </w:rPr>
      </w:pPr>
    </w:p>
    <w:p>
      <w:pPr>
        <w:ind w:left="1320" w:right="859" w:hanging="434"/>
        <w:spacing w:after="0" w:line="299" w:lineRule="auto"/>
        <w:tabs>
          <w:tab w:leader="none" w:pos="1293"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to increase the required vote thresholds for approving amendments to the Proposed Charter and bylaws to 66 </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w:t>
      </w:r>
    </w:p>
    <w:p>
      <w:pPr>
        <w:spacing w:after="0" w:line="50"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 xml:space="preserve">Proposal 4 — </w:t>
      </w:r>
      <w:r>
        <w:rPr>
          <w:rFonts w:ascii="Arial" w:cs="Arial" w:eastAsia="Arial" w:hAnsi="Arial"/>
          <w:sz w:val="18"/>
          <w:szCs w:val="18"/>
          <w:u w:val="single" w:color="auto"/>
          <w:color w:val="auto"/>
        </w:rPr>
        <w:t>The Advisory Charter Proposals</w:t>
      </w:r>
      <w:r>
        <w:rPr>
          <w:rFonts w:ascii="Arial" w:cs="Arial" w:eastAsia="Arial" w:hAnsi="Arial"/>
          <w:sz w:val="18"/>
          <w:szCs w:val="18"/>
          <w:color w:val="auto"/>
        </w:rPr>
        <w:t xml:space="preserve"> — to approve and adopt, on a non-binding advisory basis, certain differences, in the governance provisions set forth in the Proposed Charter, as compared to our Current Charter, which are being presented in accordance with the requirements of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as seven separate sub-proposals (which we refer to, collectively, as the “</w:t>
      </w:r>
      <w:r>
        <w:rPr>
          <w:rFonts w:ascii="Arial" w:cs="Arial" w:eastAsia="Arial" w:hAnsi="Arial"/>
          <w:sz w:val="18"/>
          <w:szCs w:val="18"/>
          <w:b w:val="1"/>
          <w:bCs w:val="1"/>
          <w:color w:val="auto"/>
        </w:rPr>
        <w:t>Advisory</w:t>
      </w:r>
      <w:r>
        <w:rPr>
          <w:rFonts w:ascii="Arial" w:cs="Arial" w:eastAsia="Arial" w:hAnsi="Arial"/>
          <w:sz w:val="18"/>
          <w:szCs w:val="18"/>
          <w:color w:val="auto"/>
        </w:rPr>
        <w:t xml:space="preserve"> </w:t>
      </w:r>
      <w:r>
        <w:rPr>
          <w:rFonts w:ascii="Arial" w:cs="Arial" w:eastAsia="Arial" w:hAnsi="Arial"/>
          <w:sz w:val="18"/>
          <w:szCs w:val="18"/>
          <w:b w:val="1"/>
          <w:bCs w:val="1"/>
          <w:color w:val="auto"/>
        </w:rPr>
        <w:t>Charter Proposals</w:t>
      </w:r>
      <w:r>
        <w:rPr>
          <w:rFonts w:ascii="Arial" w:cs="Arial" w:eastAsia="Arial" w:hAnsi="Arial"/>
          <w:sz w:val="18"/>
          <w:szCs w:val="18"/>
          <w:color w:val="auto"/>
        </w:rPr>
        <w:t>”):</w:t>
      </w:r>
    </w:p>
    <w:p>
      <w:pPr>
        <w:spacing w:after="0" w:line="107" w:lineRule="exact"/>
        <w:rPr>
          <w:sz w:val="20"/>
          <w:szCs w:val="20"/>
          <w:color w:val="auto"/>
        </w:rPr>
      </w:pPr>
    </w:p>
    <w:p>
      <w:pPr>
        <w:ind w:left="1320" w:right="839" w:hanging="434"/>
        <w:spacing w:after="0" w:line="277" w:lineRule="auto"/>
        <w:tabs>
          <w:tab w:leader="none" w:pos="1268"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Advisory Charter Proposal A — to amend the name of the public entity to “Tango Therapeutics, Inc.” from “BCTG Acquisition Corp.”;</w:t>
      </w:r>
    </w:p>
    <w:p>
      <w:pPr>
        <w:spacing w:after="0" w:line="102" w:lineRule="exact"/>
        <w:rPr>
          <w:rFonts w:ascii="Arial" w:cs="Arial" w:eastAsia="Arial" w:hAnsi="Arial"/>
          <w:sz w:val="18"/>
          <w:szCs w:val="18"/>
          <w:color w:val="auto"/>
        </w:rPr>
      </w:pPr>
    </w:p>
    <w:p>
      <w:pPr>
        <w:ind w:left="1320" w:right="639" w:hanging="434"/>
        <w:spacing w:after="0" w:line="286" w:lineRule="auto"/>
        <w:tabs>
          <w:tab w:leader="none" w:pos="1268" w:val="left"/>
        </w:tabs>
        <w:numPr>
          <w:ilvl w:val="0"/>
          <w:numId w:val="5"/>
        </w:numPr>
        <w:rPr>
          <w:rFonts w:ascii="Arial" w:cs="Arial" w:eastAsia="Arial" w:hAnsi="Arial"/>
          <w:sz w:val="17"/>
          <w:szCs w:val="17"/>
          <w:color w:val="auto"/>
        </w:rPr>
      </w:pPr>
      <w:r>
        <w:rPr>
          <w:rFonts w:ascii="Arial" w:cs="Arial" w:eastAsia="Arial" w:hAnsi="Arial"/>
          <w:sz w:val="17"/>
          <w:szCs w:val="17"/>
          <w:color w:val="auto"/>
        </w:rPr>
        <w:t>Advisory Charter Proposal B — to authorize the issuance of up to [•] shares of common stock, and up to [•] shares of “blank check” preferred stock, the rights, preferences and privileges of which may be designated from time to time by New Tango’s board of directors;</w:t>
      </w:r>
    </w:p>
    <w:p>
      <w:pPr>
        <w:spacing w:after="0" w:line="97" w:lineRule="exact"/>
        <w:rPr>
          <w:rFonts w:ascii="Arial" w:cs="Arial" w:eastAsia="Arial" w:hAnsi="Arial"/>
          <w:sz w:val="17"/>
          <w:szCs w:val="17"/>
          <w:color w:val="auto"/>
        </w:rPr>
      </w:pPr>
    </w:p>
    <w:p>
      <w:pPr>
        <w:ind w:left="1320" w:right="519" w:hanging="434"/>
        <w:spacing w:after="0" w:line="258" w:lineRule="auto"/>
        <w:tabs>
          <w:tab w:leader="none" w:pos="1268"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Advisory Charter Proposal C — to provide that the removal of any director be only for cause and by the affirmative vote of at least 66 </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 of New Tango’s then-outstanding shares of capital stock entitled to vote generally in the election of directors;</w:t>
      </w:r>
    </w:p>
    <w:p>
      <w:pPr>
        <w:spacing w:after="0" w:line="104" w:lineRule="exact"/>
        <w:rPr>
          <w:rFonts w:ascii="Arial" w:cs="Arial" w:eastAsia="Arial" w:hAnsi="Arial"/>
          <w:sz w:val="18"/>
          <w:szCs w:val="18"/>
          <w:color w:val="auto"/>
        </w:rPr>
      </w:pPr>
    </w:p>
    <w:p>
      <w:pPr>
        <w:jc w:val="both"/>
        <w:ind w:left="1320" w:right="579" w:hanging="434"/>
        <w:spacing w:after="0" w:line="257" w:lineRule="auto"/>
        <w:tabs>
          <w:tab w:leader="none" w:pos="1313"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Advisory Charter Proposal D — to make New Tango’s corporate existence perpetual as opposed to BCTG’s corporate existence, which is required to be dissolved and liquidated 24 months following the closing of its initial public offering if it does not complete a business combination in that time, and to remove from the Proposed Charter the various provisions applicable only to special purpose acquisition corporations;</w:t>
      </w:r>
    </w:p>
    <w:p>
      <w:pPr>
        <w:spacing w:after="0" w:line="120" w:lineRule="exact"/>
        <w:rPr>
          <w:rFonts w:ascii="Arial" w:cs="Arial" w:eastAsia="Arial" w:hAnsi="Arial"/>
          <w:sz w:val="18"/>
          <w:szCs w:val="18"/>
          <w:color w:val="auto"/>
        </w:rPr>
      </w:pPr>
    </w:p>
    <w:p>
      <w:pPr>
        <w:ind w:left="1320" w:right="519" w:hanging="434"/>
        <w:spacing w:after="0" w:line="277" w:lineRule="auto"/>
        <w:tabs>
          <w:tab w:leader="none" w:pos="1313"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Advisory Charter Proposal E — to provide that New Tango will not be subject to Section 203 of the DGCL;</w:t>
      </w:r>
    </w:p>
    <w:p>
      <w:pPr>
        <w:spacing w:after="0" w:line="102" w:lineRule="exact"/>
        <w:rPr>
          <w:rFonts w:ascii="Arial" w:cs="Arial" w:eastAsia="Arial" w:hAnsi="Arial"/>
          <w:sz w:val="18"/>
          <w:szCs w:val="18"/>
          <w:color w:val="auto"/>
        </w:rPr>
      </w:pPr>
    </w:p>
    <w:p>
      <w:pPr>
        <w:ind w:left="1320" w:right="579" w:hanging="434"/>
        <w:spacing w:after="0" w:line="308" w:lineRule="auto"/>
        <w:tabs>
          <w:tab w:leader="none" w:pos="1268" w:val="left"/>
        </w:tabs>
        <w:numPr>
          <w:ilvl w:val="0"/>
          <w:numId w:val="5"/>
        </w:numPr>
        <w:rPr>
          <w:rFonts w:ascii="Arial" w:cs="Arial" w:eastAsia="Arial" w:hAnsi="Arial"/>
          <w:sz w:val="17"/>
          <w:szCs w:val="17"/>
          <w:color w:val="auto"/>
        </w:rPr>
      </w:pPr>
      <w:r>
        <w:rPr>
          <w:rFonts w:ascii="Arial" w:cs="Arial" w:eastAsia="Arial" w:hAnsi="Arial"/>
          <w:sz w:val="17"/>
          <w:szCs w:val="17"/>
          <w:color w:val="auto"/>
        </w:rPr>
        <w:t>Advisory Charter Proposal F — to remove the provisions setting the Court of Chancery of the State of Delaware as the sole and exclusive forum for certain stockholder actions; and</w:t>
      </w:r>
    </w:p>
    <w:p>
      <w:pPr>
        <w:spacing w:after="0" w:line="65" w:lineRule="exact"/>
        <w:rPr>
          <w:rFonts w:ascii="Arial" w:cs="Arial" w:eastAsia="Arial" w:hAnsi="Arial"/>
          <w:sz w:val="17"/>
          <w:szCs w:val="17"/>
          <w:color w:val="auto"/>
        </w:rPr>
      </w:pPr>
    </w:p>
    <w:p>
      <w:pPr>
        <w:ind w:left="1320" w:right="579" w:hanging="434"/>
        <w:spacing w:after="0" w:line="299" w:lineRule="auto"/>
        <w:tabs>
          <w:tab w:leader="none" w:pos="1268"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Advisory Charter Proposal G — to increase the required vote thresholds for approving amendments to the Proposed Charter and bylaws to 66 </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w:t>
      </w:r>
    </w:p>
    <w:p>
      <w:pPr>
        <w:spacing w:after="0" w:line="50" w:lineRule="exact"/>
        <w:rPr>
          <w:sz w:val="20"/>
          <w:szCs w:val="20"/>
          <w:color w:val="auto"/>
        </w:rPr>
      </w:pPr>
    </w:p>
    <w:p>
      <w:pPr>
        <w:ind w:left="460" w:right="579" w:firstLine="432"/>
        <w:spacing w:after="0" w:line="301" w:lineRule="auto"/>
        <w:rPr>
          <w:sz w:val="20"/>
          <w:szCs w:val="20"/>
          <w:color w:val="auto"/>
        </w:rPr>
      </w:pPr>
      <w:r>
        <w:rPr>
          <w:rFonts w:ascii="Arial" w:cs="Arial" w:eastAsia="Arial" w:hAnsi="Arial"/>
          <w:sz w:val="16"/>
          <w:szCs w:val="16"/>
          <w:color w:val="auto"/>
        </w:rPr>
        <w:t xml:space="preserve">Proposal 5 — </w:t>
      </w:r>
      <w:r>
        <w:rPr>
          <w:rFonts w:ascii="Arial" w:cs="Arial" w:eastAsia="Arial" w:hAnsi="Arial"/>
          <w:sz w:val="16"/>
          <w:szCs w:val="16"/>
          <w:u w:val="single" w:color="auto"/>
          <w:color w:val="auto"/>
        </w:rPr>
        <w:t>The Directors Proposal</w:t>
      </w:r>
      <w:r>
        <w:rPr>
          <w:rFonts w:ascii="Arial" w:cs="Arial" w:eastAsia="Arial" w:hAnsi="Arial"/>
          <w:sz w:val="16"/>
          <w:szCs w:val="16"/>
          <w:color w:val="auto"/>
        </w:rPr>
        <w:t xml:space="preserve"> — to consider and vote upon a proposal to elect, effective as of the consummation of the Business Combination, Alexis Borisy, Aaron Davis, Reid Huber, Malte Peters, Lesley Calhoun, Mace Rothenberg and Barbara Weber, to serve on New Tango’s board of directors until their respective successors are duly elected and qualified (we refer to this proposal as the “</w:t>
      </w:r>
      <w:r>
        <w:rPr>
          <w:rFonts w:ascii="Arial" w:cs="Arial" w:eastAsia="Arial" w:hAnsi="Arial"/>
          <w:sz w:val="16"/>
          <w:szCs w:val="16"/>
          <w:b w:val="1"/>
          <w:bCs w:val="1"/>
          <w:color w:val="auto"/>
        </w:rPr>
        <w:t>Directors Proposal</w:t>
      </w:r>
      <w:r>
        <w:rPr>
          <w:rFonts w:ascii="Arial" w:cs="Arial" w:eastAsia="Arial" w:hAnsi="Arial"/>
          <w:sz w:val="16"/>
          <w:szCs w:val="16"/>
          <w:color w:val="auto"/>
        </w:rPr>
        <w:t>”);</w:t>
      </w:r>
    </w:p>
    <w:p>
      <w:pPr>
        <w:spacing w:after="0" w:line="90" w:lineRule="exact"/>
        <w:rPr>
          <w:sz w:val="20"/>
          <w:szCs w:val="20"/>
          <w:color w:val="auto"/>
        </w:rPr>
      </w:pPr>
    </w:p>
    <w:p>
      <w:pPr>
        <w:ind w:left="460" w:right="899" w:firstLine="432"/>
        <w:spacing w:after="0" w:line="286" w:lineRule="auto"/>
        <w:rPr>
          <w:sz w:val="20"/>
          <w:szCs w:val="20"/>
          <w:color w:val="auto"/>
        </w:rPr>
      </w:pPr>
      <w:r>
        <w:rPr>
          <w:rFonts w:ascii="Arial" w:cs="Arial" w:eastAsia="Arial" w:hAnsi="Arial"/>
          <w:sz w:val="17"/>
          <w:szCs w:val="17"/>
          <w:color w:val="auto"/>
        </w:rPr>
        <w:t xml:space="preserve">Proposal 6 — </w:t>
      </w:r>
      <w:r>
        <w:rPr>
          <w:rFonts w:ascii="Arial" w:cs="Arial" w:eastAsia="Arial" w:hAnsi="Arial"/>
          <w:sz w:val="17"/>
          <w:szCs w:val="17"/>
          <w:u w:val="single" w:color="auto"/>
          <w:color w:val="auto"/>
        </w:rPr>
        <w:t>The Equity Incentive Plan Proposal</w:t>
      </w:r>
      <w:r>
        <w:rPr>
          <w:rFonts w:ascii="Arial" w:cs="Arial" w:eastAsia="Arial" w:hAnsi="Arial"/>
          <w:sz w:val="17"/>
          <w:szCs w:val="17"/>
          <w:color w:val="auto"/>
        </w:rPr>
        <w:t xml:space="preserve"> — to approve the 2021 Equity Incentive Plan (the “</w:t>
      </w:r>
      <w:r>
        <w:rPr>
          <w:rFonts w:ascii="Arial" w:cs="Arial" w:eastAsia="Arial" w:hAnsi="Arial"/>
          <w:sz w:val="17"/>
          <w:szCs w:val="17"/>
          <w:b w:val="1"/>
          <w:bCs w:val="1"/>
          <w:color w:val="auto"/>
        </w:rPr>
        <w:t>Equity Incentive Plan</w:t>
      </w:r>
      <w:r>
        <w:rPr>
          <w:rFonts w:ascii="Arial" w:cs="Arial" w:eastAsia="Arial" w:hAnsi="Arial"/>
          <w:sz w:val="17"/>
          <w:szCs w:val="17"/>
          <w:color w:val="auto"/>
        </w:rPr>
        <w:t xml:space="preserve">”), a copy of which is annexed to this proxy statement/prospectus as </w:t>
      </w:r>
      <w:r>
        <w:rPr>
          <w:rFonts w:ascii="Arial" w:cs="Arial" w:eastAsia="Arial" w:hAnsi="Arial"/>
          <w:sz w:val="17"/>
          <w:szCs w:val="17"/>
          <w:i w:val="1"/>
          <w:iCs w:val="1"/>
          <w:u w:val="single" w:color="auto"/>
          <w:color w:val="auto"/>
        </w:rPr>
        <w:t>Annex C</w:t>
      </w:r>
      <w:r>
        <w:rPr>
          <w:rFonts w:ascii="Arial" w:cs="Arial" w:eastAsia="Arial" w:hAnsi="Arial"/>
          <w:sz w:val="17"/>
          <w:szCs w:val="17"/>
          <w:color w:val="auto"/>
        </w:rPr>
        <w:t>, in connection with the Business Combination (the “</w:t>
      </w:r>
      <w:r>
        <w:rPr>
          <w:rFonts w:ascii="Arial" w:cs="Arial" w:eastAsia="Arial" w:hAnsi="Arial"/>
          <w:sz w:val="17"/>
          <w:szCs w:val="17"/>
          <w:b w:val="1"/>
          <w:bCs w:val="1"/>
          <w:color w:val="auto"/>
        </w:rPr>
        <w:t>Equity Incentive Plan Proposal</w:t>
      </w:r>
      <w:r>
        <w:rPr>
          <w:rFonts w:ascii="Arial" w:cs="Arial" w:eastAsia="Arial" w:hAnsi="Arial"/>
          <w:sz w:val="17"/>
          <w:szCs w:val="17"/>
          <w:color w:val="auto"/>
        </w:rPr>
        <w:t>”);</w:t>
      </w:r>
    </w:p>
    <w:p>
      <w:pPr>
        <w:spacing w:after="0" w:line="80" w:lineRule="exact"/>
        <w:rPr>
          <w:sz w:val="20"/>
          <w:szCs w:val="20"/>
          <w:color w:val="auto"/>
        </w:rPr>
      </w:pPr>
    </w:p>
    <w:p>
      <w:pPr>
        <w:ind w:left="460" w:right="499" w:firstLine="432"/>
        <w:spacing w:after="0" w:line="261" w:lineRule="auto"/>
        <w:rPr>
          <w:sz w:val="20"/>
          <w:szCs w:val="20"/>
          <w:color w:val="auto"/>
        </w:rPr>
      </w:pPr>
      <w:r>
        <w:rPr>
          <w:rFonts w:ascii="Arial" w:cs="Arial" w:eastAsia="Arial" w:hAnsi="Arial"/>
          <w:sz w:val="18"/>
          <w:szCs w:val="18"/>
          <w:color w:val="auto"/>
        </w:rPr>
        <w:t xml:space="preserve">Proposal 7 — </w:t>
      </w:r>
      <w:r>
        <w:rPr>
          <w:rFonts w:ascii="Arial" w:cs="Arial" w:eastAsia="Arial" w:hAnsi="Arial"/>
          <w:sz w:val="18"/>
          <w:szCs w:val="18"/>
          <w:u w:val="single" w:color="auto"/>
          <w:color w:val="auto"/>
        </w:rPr>
        <w:t>The ESPP Proposal</w:t>
      </w:r>
      <w:r>
        <w:rPr>
          <w:rFonts w:ascii="Arial" w:cs="Arial" w:eastAsia="Arial" w:hAnsi="Arial"/>
          <w:sz w:val="18"/>
          <w:szCs w:val="18"/>
          <w:color w:val="auto"/>
        </w:rPr>
        <w:t xml:space="preserve"> — to approve the 2021 Employee Stock Purchase Plan (the “</w:t>
      </w:r>
      <w:r>
        <w:rPr>
          <w:rFonts w:ascii="Arial" w:cs="Arial" w:eastAsia="Arial" w:hAnsi="Arial"/>
          <w:sz w:val="18"/>
          <w:szCs w:val="18"/>
          <w:b w:val="1"/>
          <w:bCs w:val="1"/>
          <w:color w:val="auto"/>
        </w:rPr>
        <w:t>ESPP</w:t>
      </w:r>
      <w:r>
        <w:rPr>
          <w:rFonts w:ascii="Arial" w:cs="Arial" w:eastAsia="Arial" w:hAnsi="Arial"/>
          <w:sz w:val="18"/>
          <w:szCs w:val="18"/>
          <w:color w:val="auto"/>
        </w:rPr>
        <w:t xml:space="preserve">”), a copy of which is annexed to this proxy statement/prospectus as </w:t>
      </w:r>
      <w:r>
        <w:rPr>
          <w:rFonts w:ascii="Arial" w:cs="Arial" w:eastAsia="Arial" w:hAnsi="Arial"/>
          <w:sz w:val="18"/>
          <w:szCs w:val="18"/>
          <w:i w:val="1"/>
          <w:iCs w:val="1"/>
          <w:u w:val="single" w:color="auto"/>
          <w:color w:val="auto"/>
        </w:rPr>
        <w:t>Annex D</w:t>
      </w:r>
      <w:r>
        <w:rPr>
          <w:rFonts w:ascii="Arial" w:cs="Arial" w:eastAsia="Arial" w:hAnsi="Arial"/>
          <w:sz w:val="18"/>
          <w:szCs w:val="18"/>
          <w:color w:val="auto"/>
        </w:rPr>
        <w:t>, in connection with the Business Combination (the “</w:t>
      </w:r>
      <w:r>
        <w:rPr>
          <w:rFonts w:ascii="Arial" w:cs="Arial" w:eastAsia="Arial" w:hAnsi="Arial"/>
          <w:sz w:val="18"/>
          <w:szCs w:val="18"/>
          <w:b w:val="1"/>
          <w:bCs w:val="1"/>
          <w:color w:val="auto"/>
        </w:rPr>
        <w:t>ESPP Proposal</w:t>
      </w:r>
      <w:r>
        <w:rPr>
          <w:rFonts w:ascii="Arial" w:cs="Arial" w:eastAsia="Arial" w:hAnsi="Arial"/>
          <w:sz w:val="18"/>
          <w:szCs w:val="18"/>
          <w:color w:val="auto"/>
        </w:rPr>
        <w:t>,” and together with the Equity Incentive Plan Proposal, the “</w:t>
      </w:r>
      <w:r>
        <w:rPr>
          <w:rFonts w:ascii="Arial" w:cs="Arial" w:eastAsia="Arial" w:hAnsi="Arial"/>
          <w:sz w:val="18"/>
          <w:szCs w:val="18"/>
          <w:b w:val="1"/>
          <w:bCs w:val="1"/>
          <w:color w:val="auto"/>
        </w:rPr>
        <w:t>Incentive Plan</w:t>
      </w:r>
      <w:r>
        <w:rPr>
          <w:rFonts w:ascii="Arial" w:cs="Arial" w:eastAsia="Arial" w:hAnsi="Arial"/>
          <w:sz w:val="18"/>
          <w:szCs w:val="18"/>
          <w:color w:val="auto"/>
        </w:rPr>
        <w:t xml:space="preserve"> </w:t>
      </w:r>
      <w:r>
        <w:rPr>
          <w:rFonts w:ascii="Arial" w:cs="Arial" w:eastAsia="Arial" w:hAnsi="Arial"/>
          <w:sz w:val="18"/>
          <w:szCs w:val="18"/>
          <w:b w:val="1"/>
          <w:bCs w:val="1"/>
          <w:color w:val="auto"/>
        </w:rPr>
        <w:t>Proposals</w:t>
      </w:r>
      <w:r>
        <w:rPr>
          <w:rFonts w:ascii="Arial" w:cs="Arial" w:eastAsia="Arial" w:hAnsi="Arial"/>
          <w:sz w:val="18"/>
          <w:szCs w:val="18"/>
          <w:color w:val="auto"/>
        </w:rPr>
        <w:t>”); and</w:t>
      </w:r>
    </w:p>
    <w:p>
      <w:pPr>
        <w:spacing w:after="0" w:line="116"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 xml:space="preserve">Proposal 8 — </w:t>
      </w:r>
      <w:r>
        <w:rPr>
          <w:rFonts w:ascii="Arial" w:cs="Arial" w:eastAsia="Arial" w:hAnsi="Arial"/>
          <w:sz w:val="18"/>
          <w:szCs w:val="18"/>
          <w:u w:val="single" w:color="auto"/>
          <w:color w:val="auto"/>
        </w:rPr>
        <w:t>The Adjournment Proposal</w:t>
      </w:r>
      <w:r>
        <w:rPr>
          <w:rFonts w:ascii="Arial" w:cs="Arial" w:eastAsia="Arial" w:hAnsi="Arial"/>
          <w:sz w:val="18"/>
          <w:szCs w:val="18"/>
          <w:color w:val="auto"/>
        </w:rPr>
        <w:t xml:space="preserve"> — to approve a proposal to adjourn the Special Meeting to a later date or dates, if necessary, to permit further solicitation and vote of proxies if, based upon the tabulated vote at the time of the Special Meeting, there are not sufficient votes to approve the Business Combination Proposal, the Nasdaq Proposal, the Directors Proposal, the Charter Amendment Proposal or the Incentive Plan Proposals (the “</w:t>
      </w:r>
      <w:r>
        <w:rPr>
          <w:rFonts w:ascii="Arial" w:cs="Arial" w:eastAsia="Arial" w:hAnsi="Arial"/>
          <w:sz w:val="18"/>
          <w:szCs w:val="18"/>
          <w:b w:val="1"/>
          <w:bCs w:val="1"/>
          <w:color w:val="auto"/>
        </w:rPr>
        <w:t>Adjournment Proposal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240030</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 w:name="page5"/>
    <w:bookmarkEnd w:id="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959" w:firstLine="432"/>
        <w:spacing w:after="0" w:line="277" w:lineRule="auto"/>
        <w:rPr>
          <w:sz w:val="20"/>
          <w:szCs w:val="20"/>
          <w:color w:val="auto"/>
        </w:rPr>
      </w:pPr>
      <w:r>
        <w:rPr>
          <w:rFonts w:ascii="Arial" w:cs="Arial" w:eastAsia="Arial" w:hAnsi="Arial"/>
          <w:sz w:val="18"/>
          <w:szCs w:val="18"/>
          <w:color w:val="auto"/>
        </w:rPr>
        <w:t>As we previously announced, on April 13, 2021, BCTG entered into the Merger Agreement, by and among BCTG, Merger Sub and Tango.</w:t>
      </w:r>
    </w:p>
    <w:p>
      <w:pPr>
        <w:spacing w:after="0" w:line="103"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The Merger Agreement provides for the merger of Merger Sub with and into Tango, with Tango continuing as the surviving entity. Subject to the terms and conditions set forth in the Merger Agreement, at the effective time of the Business Combination (the “</w:t>
      </w:r>
      <w:r>
        <w:rPr>
          <w:rFonts w:ascii="Arial" w:cs="Arial" w:eastAsia="Arial" w:hAnsi="Arial"/>
          <w:sz w:val="18"/>
          <w:szCs w:val="18"/>
          <w:b w:val="1"/>
          <w:bCs w:val="1"/>
          <w:color w:val="auto"/>
        </w:rPr>
        <w:t>Effective Time</w:t>
      </w:r>
      <w:r>
        <w:rPr>
          <w:rFonts w:ascii="Arial" w:cs="Arial" w:eastAsia="Arial" w:hAnsi="Arial"/>
          <w:sz w:val="18"/>
          <w:szCs w:val="18"/>
          <w:color w:val="auto"/>
        </w:rPr>
        <w:t>”):</w:t>
      </w:r>
    </w:p>
    <w:p>
      <w:pPr>
        <w:spacing w:after="0" w:line="112" w:lineRule="exact"/>
        <w:rPr>
          <w:sz w:val="20"/>
          <w:szCs w:val="20"/>
          <w:color w:val="auto"/>
        </w:rPr>
      </w:pPr>
    </w:p>
    <w:p>
      <w:pPr>
        <w:ind w:left="1320" w:right="619" w:hanging="434"/>
        <w:spacing w:after="0" w:line="294" w:lineRule="auto"/>
        <w:tabs>
          <w:tab w:leader="none" w:pos="1283"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shares of Tango’s common stock, par value $0.001 per share (the “</w:t>
      </w:r>
      <w:r>
        <w:rPr>
          <w:rFonts w:ascii="Arial" w:cs="Arial" w:eastAsia="Arial" w:hAnsi="Arial"/>
          <w:sz w:val="16"/>
          <w:szCs w:val="16"/>
          <w:b w:val="1"/>
          <w:bCs w:val="1"/>
          <w:color w:val="auto"/>
        </w:rPr>
        <w:t>Tango Stock</w:t>
      </w:r>
      <w:r>
        <w:rPr>
          <w:rFonts w:ascii="Arial" w:cs="Arial" w:eastAsia="Arial" w:hAnsi="Arial"/>
          <w:sz w:val="16"/>
          <w:szCs w:val="16"/>
          <w:color w:val="auto"/>
        </w:rPr>
        <w:t>”) issued and outstanding immediately prior to the Effective Time (after conversion of the outstanding preferred stock of Tango as contemplated by the Merger Agreement), whether vested or unvested, will be converted into the right to receive the Merger Consideration Shares (as defined below), with each stockholder of Tango Stock being entitled to receive its pro rata share of the Merger Consideration Shares set forth in the equityholder allocation schedule (as defined in the Merger Agreement); and</w:t>
      </w:r>
    </w:p>
    <w:p>
      <w:pPr>
        <w:spacing w:after="0" w:line="82" w:lineRule="exact"/>
        <w:rPr>
          <w:rFonts w:ascii="Arial" w:cs="Arial" w:eastAsia="Arial" w:hAnsi="Arial"/>
          <w:sz w:val="16"/>
          <w:szCs w:val="16"/>
          <w:color w:val="auto"/>
        </w:rPr>
      </w:pPr>
    </w:p>
    <w:p>
      <w:pPr>
        <w:ind w:left="1280" w:hanging="394"/>
        <w:spacing w:after="0"/>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 options to purchase shares of Tango Stock under Tango’s existing equity incentive plans (the</w:t>
      </w:r>
    </w:p>
    <w:p>
      <w:pPr>
        <w:spacing w:after="0" w:line="35" w:lineRule="exact"/>
        <w:rPr>
          <w:sz w:val="20"/>
          <w:szCs w:val="20"/>
          <w:color w:val="auto"/>
        </w:rPr>
      </w:pPr>
    </w:p>
    <w:p>
      <w:pPr>
        <w:ind w:left="1320" w:right="47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Tango Options</w:t>
      </w:r>
      <w:r>
        <w:rPr>
          <w:rFonts w:ascii="Arial" w:cs="Arial" w:eastAsia="Arial" w:hAnsi="Arial"/>
          <w:sz w:val="18"/>
          <w:szCs w:val="18"/>
          <w:color w:val="auto"/>
        </w:rPr>
        <w:t>”) issued and outstanding immediately prior to the Effective Time, whether vested or unvested, will be assumed and become an option to purchase such number of shares of BCTG Common Stock equal to the option holder’s respective pro rata share of the Merger Consideration set forth in the equityholder allocation schedule (as defined in the Merger Agreement), which shall be reserved for future issuance upon the exercise of such assumed options, upon substantially the same terms and conditions as in effect with respect to such option immediately prior to the Effective Time.</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Following completion of the Business Combination and assuming no holders of Common Stock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Public Shares</w:t>
      </w:r>
      <w:r>
        <w:rPr>
          <w:rFonts w:ascii="Arial" w:cs="Arial" w:eastAsia="Arial" w:hAnsi="Arial"/>
          <w:sz w:val="16"/>
          <w:szCs w:val="16"/>
          <w:color w:val="auto"/>
        </w:rPr>
        <w:t>”) sold in the BCTG IPO (as defined below) elect to redeem their shares, BCTG Holdings, LLC,</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Sponsor</w:t>
      </w:r>
      <w:r>
        <w:rPr>
          <w:rFonts w:ascii="Arial" w:cs="Arial" w:eastAsia="Arial" w:hAnsi="Arial"/>
          <w:sz w:val="16"/>
          <w:szCs w:val="16"/>
          <w:color w:val="auto"/>
        </w:rPr>
        <w:t>”), the public stockholders, the PIPE Financing (as defined below) investors and other holders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Tango capital stock (the “</w:t>
      </w:r>
      <w:r>
        <w:rPr>
          <w:rFonts w:ascii="Arial" w:cs="Arial" w:eastAsia="Arial" w:hAnsi="Arial"/>
          <w:sz w:val="16"/>
          <w:szCs w:val="16"/>
          <w:b w:val="1"/>
          <w:bCs w:val="1"/>
          <w:color w:val="auto"/>
        </w:rPr>
        <w:t>Tango Equityholders</w:t>
      </w:r>
      <w:r>
        <w:rPr>
          <w:rFonts w:ascii="Arial" w:cs="Arial" w:eastAsia="Arial" w:hAnsi="Arial"/>
          <w:sz w:val="16"/>
          <w:szCs w:val="16"/>
          <w:color w:val="auto"/>
        </w:rPr>
        <w:t>”) will own approximately 4.8%, 17.7%, 19.6% and 57.0%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outstanding common stock of the Combined Entity, respectively. These percentages are calculated based 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number of assumptions (described in the accompanying proxy statement/prospectus) and are subject to</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adjustment in accordance with the terms of the Merger Agreement.</w:t>
      </w:r>
    </w:p>
    <w:p>
      <w:pPr>
        <w:spacing w:after="0" w:line="143"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The approval of the Charter Amendment Proposal requires the affirmative vote of a majority of the issued and outstanding shares of BCTG Common Stock as of the record date (the “</w:t>
      </w:r>
      <w:r>
        <w:rPr>
          <w:rFonts w:ascii="Arial" w:cs="Arial" w:eastAsia="Arial" w:hAnsi="Arial"/>
          <w:sz w:val="16"/>
          <w:szCs w:val="16"/>
          <w:b w:val="1"/>
          <w:bCs w:val="1"/>
          <w:color w:val="auto"/>
        </w:rPr>
        <w:t>Record Date</w:t>
      </w:r>
      <w:r>
        <w:rPr>
          <w:rFonts w:ascii="Arial" w:cs="Arial" w:eastAsia="Arial" w:hAnsi="Arial"/>
          <w:sz w:val="16"/>
          <w:szCs w:val="16"/>
          <w:color w:val="auto"/>
        </w:rPr>
        <w:t>”) for the Special Meeting. The approval of the Business Combination Proposal, the Nasdaq Proposal, the Incentive Plan Proposals and the Adjournment Proposal each require the affirmative vote of the holders of a majority of the shares of BCTG Common Stock present or represented at the Special Meeting, by ballot, proxy or electronic ballot and entitled to vote thereon at the Special Meeting. The approval of the Advisory Charter Proposals is a non-binding advisory vote, and requires the affirmative vote of the holders of a majority of the shares of BCTG Common Stock present or represented at the Special Meeting, by ballot, proxy or electronic ballot and entitled to vote thereon at the Special Meeting. Approval of the Directors Proposal will require the vote by a plurality of the shares of the Common Stock present by virtual attendance or represented by proxy and entitled to vote at the Special Meeting. If the Business Combination Proposal is not approved, the Charter Amendment Proposal, the Advisory Charter Proposals, the Nasdaq Proposal, the Directors Proposal and the Incentive Plan Proposals will not be presented to the BCTG stockholders for a vote. The approval of the Business Combination Proposal, the Charter Amendment Proposal, the Nasdaq Proposal, Business Combination Proposal, the Charter Amendment Proposal, the Nasdaq Proposal, the Incentive Plan Proposals and the Directors Proposal are preconditions to the consummation of the Business Combination (the “</w:t>
      </w:r>
      <w:r>
        <w:rPr>
          <w:rFonts w:ascii="Arial" w:cs="Arial" w:eastAsia="Arial" w:hAnsi="Arial"/>
          <w:sz w:val="16"/>
          <w:szCs w:val="16"/>
          <w:b w:val="1"/>
          <w:bCs w:val="1"/>
          <w:color w:val="auto"/>
        </w:rPr>
        <w:t>Condition Precedent Proposals</w:t>
      </w:r>
      <w:r>
        <w:rPr>
          <w:rFonts w:ascii="Arial" w:cs="Arial" w:eastAsia="Arial" w:hAnsi="Arial"/>
          <w:sz w:val="16"/>
          <w:szCs w:val="16"/>
          <w:color w:val="auto"/>
        </w:rPr>
        <w:t>”). The approval of the Advisory Charter Proposals is not a precondition to the consummation of the Business Combination.</w:t>
      </w:r>
    </w:p>
    <w:p>
      <w:pPr>
        <w:spacing w:after="0" w:line="9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BCTG Common Stock is currently listed on the Nasdaq Capital Market under the symbol “BCTG”.</w:t>
      </w:r>
    </w:p>
    <w:p>
      <w:pPr>
        <w:spacing w:after="0" w:line="169" w:lineRule="exact"/>
        <w:rPr>
          <w:sz w:val="20"/>
          <w:szCs w:val="20"/>
          <w:color w:val="auto"/>
        </w:rPr>
      </w:pPr>
    </w:p>
    <w:p>
      <w:pPr>
        <w:ind w:left="460" w:right="619" w:firstLine="432"/>
        <w:spacing w:after="0" w:line="270" w:lineRule="auto"/>
        <w:rPr>
          <w:sz w:val="20"/>
          <w:szCs w:val="20"/>
          <w:color w:val="auto"/>
        </w:rPr>
      </w:pPr>
      <w:r>
        <w:rPr>
          <w:rFonts w:ascii="Arial" w:cs="Arial" w:eastAsia="Arial" w:hAnsi="Arial"/>
          <w:sz w:val="17"/>
          <w:szCs w:val="17"/>
          <w:color w:val="auto"/>
        </w:rPr>
        <w:t>Pursuant to the Current Charter, BCTG is providing its public stockholders with the opportunity to redeem, upon the closing of the Business Combination (the “</w:t>
      </w:r>
      <w:r>
        <w:rPr>
          <w:rFonts w:ascii="Arial" w:cs="Arial" w:eastAsia="Arial" w:hAnsi="Arial"/>
          <w:sz w:val="17"/>
          <w:szCs w:val="17"/>
          <w:b w:val="1"/>
          <w:bCs w:val="1"/>
          <w:color w:val="auto"/>
        </w:rPr>
        <w:t>Closing</w:t>
      </w:r>
      <w:r>
        <w:rPr>
          <w:rFonts w:ascii="Arial" w:cs="Arial" w:eastAsia="Arial" w:hAnsi="Arial"/>
          <w:sz w:val="17"/>
          <w:szCs w:val="17"/>
          <w:color w:val="auto"/>
        </w:rPr>
        <w:t>”), shares of Common Stock then held by them for cash equal to their pro rata share of the aggregate amount on deposit (as of two business days prior to the Closing) in the trust account (the “</w:t>
      </w:r>
      <w:r>
        <w:rPr>
          <w:rFonts w:ascii="Arial" w:cs="Arial" w:eastAsia="Arial" w:hAnsi="Arial"/>
          <w:sz w:val="17"/>
          <w:szCs w:val="17"/>
          <w:b w:val="1"/>
          <w:bCs w:val="1"/>
          <w:color w:val="auto"/>
        </w:rPr>
        <w:t>Trust Account</w:t>
      </w:r>
      <w:r>
        <w:rPr>
          <w:rFonts w:ascii="Arial" w:cs="Arial" w:eastAsia="Arial" w:hAnsi="Arial"/>
          <w:sz w:val="17"/>
          <w:szCs w:val="17"/>
          <w:color w:val="auto"/>
        </w:rPr>
        <w:t>”) that holds the proceeds (including interest not previously released to BCTG to pay its taxes) of BCTG’s initial public offering (the “</w:t>
      </w:r>
      <w:r>
        <w:rPr>
          <w:rFonts w:ascii="Arial" w:cs="Arial" w:eastAsia="Arial" w:hAnsi="Arial"/>
          <w:sz w:val="17"/>
          <w:szCs w:val="17"/>
          <w:b w:val="1"/>
          <w:bCs w:val="1"/>
          <w:color w:val="auto"/>
        </w:rPr>
        <w:t>BCTG IPO</w:t>
      </w:r>
      <w:r>
        <w:rPr>
          <w:rFonts w:ascii="Arial" w:cs="Arial" w:eastAsia="Arial" w:hAnsi="Arial"/>
          <w:sz w:val="17"/>
          <w:szCs w:val="17"/>
          <w:color w:val="auto"/>
        </w:rPr>
        <w:t xml:space="preserve">”). For illustrative purposes, based on funds in the Trust Account of approximately $[•] million on [•], 2021, the estimated per share redemption price would have been approximately $[•]. </w:t>
      </w:r>
      <w:r>
        <w:rPr>
          <w:rFonts w:ascii="Arial" w:cs="Arial" w:eastAsia="Arial" w:hAnsi="Arial"/>
          <w:sz w:val="17"/>
          <w:szCs w:val="17"/>
          <w:b w:val="1"/>
          <w:bCs w:val="1"/>
          <w:color w:val="auto"/>
        </w:rPr>
        <w:t>Public stockholders may elect to</w:t>
      </w:r>
      <w:r>
        <w:rPr>
          <w:rFonts w:ascii="Arial" w:cs="Arial" w:eastAsia="Arial" w:hAnsi="Arial"/>
          <w:sz w:val="17"/>
          <w:szCs w:val="17"/>
          <w:color w:val="auto"/>
        </w:rPr>
        <w:t xml:space="preserve"> </w:t>
      </w:r>
      <w:r>
        <w:rPr>
          <w:rFonts w:ascii="Arial" w:cs="Arial" w:eastAsia="Arial" w:hAnsi="Arial"/>
          <w:sz w:val="17"/>
          <w:szCs w:val="17"/>
          <w:b w:val="1"/>
          <w:bCs w:val="1"/>
          <w:color w:val="auto"/>
        </w:rPr>
        <w:t>redeem their shares even if they vote for the Business Combination Proposal</w:t>
      </w:r>
      <w:r>
        <w:rPr>
          <w:rFonts w:ascii="Arial" w:cs="Arial" w:eastAsia="Arial" w:hAnsi="Arial"/>
          <w:sz w:val="17"/>
          <w:szCs w:val="17"/>
          <w:color w:val="auto"/>
        </w:rPr>
        <w:t>. A public stockholder,</w:t>
      </w:r>
      <w:r>
        <w:rPr>
          <w:rFonts w:ascii="Arial" w:cs="Arial" w:eastAsia="Arial" w:hAnsi="Arial"/>
          <w:sz w:val="17"/>
          <w:szCs w:val="17"/>
          <w:b w:val="1"/>
          <w:bCs w:val="1"/>
          <w:color w:val="auto"/>
        </w:rPr>
        <w:t xml:space="preserve"> </w:t>
      </w:r>
      <w:r>
        <w:rPr>
          <w:rFonts w:ascii="Arial" w:cs="Arial" w:eastAsia="Arial" w:hAnsi="Arial"/>
          <w:sz w:val="17"/>
          <w:szCs w:val="17"/>
          <w:color w:val="auto"/>
        </w:rPr>
        <w:t>together with any of his, her or its affiliates or any other person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235585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89" w:lineRule="auto"/>
        <w:rPr>
          <w:sz w:val="20"/>
          <w:szCs w:val="20"/>
          <w:color w:val="auto"/>
        </w:rPr>
      </w:pPr>
      <w:r>
        <w:rPr>
          <w:rFonts w:ascii="Arial" w:cs="Arial" w:eastAsia="Arial" w:hAnsi="Arial"/>
          <w:sz w:val="16"/>
          <w:szCs w:val="16"/>
          <w:color w:val="auto"/>
        </w:rPr>
        <w:t>whom it is acting in concert or as a “group” (as defined under Section 13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will be restricted from redeeming in the aggregate his, her or its shares or, if part of such a group, the group’s shares, 15% or more of the shares of Common Stock sold in BCTG IPO. The Sponsor, as well as the officers, directors and advisors of BCTG have agreed to waive their redemption rights with respect to any shares of BCTG’s capital stock they may hold in connection with the consummation of the Business Combination, and such shares will be excluded from the pro rata calculation used to determine the per-share redemption price. As of [•], 2021, the Sponsor owns 21.0% of BCTG’s issued and outstanding shares of Common Stock. The Sponsor, directors, officers and advisors have agreed to vote any shares of Common Stock owned by them in favor of the Business Combination Proposal.</w:t>
      </w:r>
    </w:p>
    <w:p>
      <w:pPr>
        <w:spacing w:after="0" w:line="99"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BCTG is providing this proxy statement/prospectus and accompanying proxy card to BCTG stockholders in connection with the solicitation of proxies to be voted at the Special Meeting and at any adjournments or postponements of the Special Meeting.</w:t>
      </w:r>
    </w:p>
    <w:p>
      <w:pPr>
        <w:spacing w:after="0" w:line="112" w:lineRule="exact"/>
        <w:rPr>
          <w:sz w:val="20"/>
          <w:szCs w:val="20"/>
          <w:color w:val="auto"/>
        </w:rPr>
      </w:pPr>
    </w:p>
    <w:p>
      <w:pPr>
        <w:jc w:val="both"/>
        <w:ind w:left="460" w:right="1159" w:firstLine="432"/>
        <w:spacing w:after="0" w:line="314" w:lineRule="auto"/>
        <w:rPr>
          <w:sz w:val="20"/>
          <w:szCs w:val="20"/>
          <w:color w:val="auto"/>
        </w:rPr>
      </w:pPr>
      <w:r>
        <w:rPr>
          <w:rFonts w:ascii="Arial" w:cs="Arial" w:eastAsia="Arial" w:hAnsi="Arial"/>
          <w:sz w:val="16"/>
          <w:szCs w:val="16"/>
          <w:b w:val="1"/>
          <w:bCs w:val="1"/>
          <w:color w:val="auto"/>
        </w:rPr>
        <w:t>Whether or not you plan to attend the Special Meeting, BCTG urges you to read this proxy statement/prospectus (and any documents incorporated into this proxy statement/prospectus by reference) carefully. Please pay particular attention to the section titled “</w:t>
      </w:r>
      <w:r>
        <w:rPr>
          <w:rFonts w:ascii="Arial" w:cs="Arial" w:eastAsia="Arial" w:hAnsi="Arial"/>
          <w:sz w:val="16"/>
          <w:szCs w:val="16"/>
          <w:b w:val="1"/>
          <w:bCs w:val="1"/>
          <w:i w:val="1"/>
          <w:iCs w:val="1"/>
          <w:color w:val="auto"/>
        </w:rPr>
        <w:t>Risk Factors.</w:t>
      </w:r>
      <w:r>
        <w:rPr>
          <w:rFonts w:ascii="Arial" w:cs="Arial" w:eastAsia="Arial" w:hAnsi="Arial"/>
          <w:sz w:val="16"/>
          <w:szCs w:val="16"/>
          <w:b w:val="1"/>
          <w:bCs w:val="1"/>
          <w:color w:val="auto"/>
        </w:rPr>
        <w:t>”</w:t>
      </w:r>
    </w:p>
    <w:p>
      <w:pPr>
        <w:spacing w:after="0" w:line="65" w:lineRule="exact"/>
        <w:rPr>
          <w:sz w:val="20"/>
          <w:szCs w:val="20"/>
          <w:color w:val="auto"/>
        </w:rPr>
      </w:pPr>
    </w:p>
    <w:p>
      <w:pPr>
        <w:ind w:left="460" w:right="579" w:firstLine="432"/>
        <w:spacing w:after="0" w:line="288" w:lineRule="auto"/>
        <w:rPr>
          <w:sz w:val="20"/>
          <w:szCs w:val="20"/>
          <w:color w:val="auto"/>
        </w:rPr>
      </w:pPr>
      <w:r>
        <w:rPr>
          <w:rFonts w:ascii="Arial" w:cs="Arial" w:eastAsia="Arial" w:hAnsi="Arial"/>
          <w:sz w:val="16"/>
          <w:szCs w:val="16"/>
          <w:color w:val="auto"/>
        </w:rPr>
        <w:t>After careful consideration, the members of the board of directors of BCTG have unanimously approved and adopted the Merger Agreement and the transactions contemplated therein and unanimously recommends that BCTG stockholders vote “FOR” adoption and approval of the Business Combination Proposal, “FOR” the Nasdaq Proposal, “FOR” the Directors Proposal, “FOR” the Charter Amendment Proposal, “FOR” the Advisory Charter Proposals and “FOR” the Incentive Plan Proposals presented to BCTG stockholders in this proxy statement/prospectus, and “FOR” the Adjournment Proposal, if presented. When you consider the board of directors’ recommendation of these proposals, you should keep in mind that the directors, officers and advisors of BCTG have interests in the Business Combination that may conflict with your interests as a stockholder. See the section titled “</w:t>
      </w:r>
      <w:r>
        <w:rPr>
          <w:rFonts w:ascii="Arial" w:cs="Arial" w:eastAsia="Arial" w:hAnsi="Arial"/>
          <w:sz w:val="16"/>
          <w:szCs w:val="16"/>
          <w:i w:val="1"/>
          <w:iCs w:val="1"/>
          <w:color w:val="auto"/>
        </w:rPr>
        <w:t>Business Combination Proposal — Interests of BCTG’s Directors and</w:t>
      </w:r>
      <w:r>
        <w:rPr>
          <w:rFonts w:ascii="Arial" w:cs="Arial" w:eastAsia="Arial" w:hAnsi="Arial"/>
          <w:sz w:val="16"/>
          <w:szCs w:val="16"/>
          <w:color w:val="auto"/>
        </w:rPr>
        <w:t xml:space="preserve"> </w:t>
      </w:r>
      <w:r>
        <w:rPr>
          <w:rFonts w:ascii="Arial" w:cs="Arial" w:eastAsia="Arial" w:hAnsi="Arial"/>
          <w:sz w:val="16"/>
          <w:szCs w:val="16"/>
          <w:i w:val="1"/>
          <w:iCs w:val="1"/>
          <w:color w:val="auto"/>
        </w:rPr>
        <w:t>Officers and Others in the Business Combination</w:t>
      </w:r>
      <w:r>
        <w:rPr>
          <w:rFonts w:ascii="Arial" w:cs="Arial" w:eastAsia="Arial" w:hAnsi="Arial"/>
          <w:sz w:val="16"/>
          <w:szCs w:val="16"/>
          <w:color w:val="auto"/>
        </w:rPr>
        <w:t>.”</w:t>
      </w:r>
    </w:p>
    <w:p>
      <w:pPr>
        <w:spacing w:after="0" w:line="101" w:lineRule="exact"/>
        <w:rPr>
          <w:sz w:val="20"/>
          <w:szCs w:val="20"/>
          <w:color w:val="auto"/>
        </w:rPr>
      </w:pPr>
    </w:p>
    <w:p>
      <w:pPr>
        <w:ind w:left="460" w:right="579" w:firstLine="432"/>
        <w:spacing w:after="0" w:line="311" w:lineRule="auto"/>
        <w:rPr>
          <w:sz w:val="20"/>
          <w:szCs w:val="20"/>
          <w:color w:val="auto"/>
        </w:rPr>
      </w:pPr>
      <w:r>
        <w:rPr>
          <w:rFonts w:ascii="Arial" w:cs="Arial" w:eastAsia="Arial" w:hAnsi="Arial"/>
          <w:sz w:val="16"/>
          <w:szCs w:val="16"/>
          <w:color w:val="auto"/>
        </w:rPr>
        <w:t>Each redemption of shares of BCTG Common Stock by BCTG public stockholders will decrease the amount in the Trust Account, which held total assets of approximately $[•] million as of [•], 2021. Net tangible assets must be maintained at a minimum of $5,000,001 upon consummation of the Business Combination.</w:t>
      </w:r>
    </w:p>
    <w:p>
      <w:pPr>
        <w:spacing w:after="0" w:line="81"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Your vote is very important. If you are a registered stockholder, please vote your shares as soon as possible to ensure that your vote is counted, regardless of whether you expect to attend the Special Meeting online, by completing, signing, dating and returning the enclosed proxy card in the postage-paid envelope provided. If you hold your shares in “street name” through a bank, broker or other nominee, you will need to follow the instructions provided to you by your bank, broker or other nominee to ensure that your shares are represented and voted at the Special Meeting. The transactions contemplated by the Merger Agreement will be consummated only if the Business Combination Proposal, the Nasdaq Proposal, the Directors Proposal, the Incentive Plan Proposals and the Charter Amendment Proposal are approved at the Special Meeting. The Nasdaq Proposal, the Directors Proposal, the Charter Amendment Proposal and the Incentive Plan Proposals are subject to and conditioned on the approval of the Business Combination Proposal and satisfaction of other closing conditions. The Adjournment Proposal is not subject to and conditioned on the approval of any other proposal set forth in this proxy statement/prospectus.</w:t>
      </w:r>
    </w:p>
    <w:p>
      <w:pPr>
        <w:spacing w:after="0" w:line="87"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If you sign, date and return your proxy card without indicating how you wish to vote, your proxy will be voted “FOR” the Business Combination Proposal, “FOR” the Nasdaq Proposal, “FOR” the Directors Proposal, “FOR” the Charter Amendment Proposal, “FOR” the Advisory Charter Proposals, “FOR” the Equity Incentive Plan Proposal and “FOR” the ESPP Proposal to be presented at the Special Meeting and “FOR” the Adjournment Proposal, if presented. If you fail to return your proxy card or fail to submit your proxy by telephone or over the Internet, or fail to instruct your bank, broker or other nominee how to vote, and do not attend the Special Meeting online, the effect will be that your shares will not be counted for purposes of determining whether a quorum is present at the Special Meeting. If you are a stockholder of record and you attend the Special Meeting and wish to vote during the Special Meeting, you may withdraw your proxy and vote during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252095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 w:name="page7"/>
    <w:bookmarkEnd w:id="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TO EXERCISE YOUR REDEMPTION RIGHTS, YOU MUST DEMAND THAT BCTG REDEEM YOUR SHARES FOR A PRO RATA PORTION OF THE FUNDS HELD IN THE TRUST ACCOUNT AND TENDER YOUR SHARES TO BCTG’S TRANSFER AGENT AT LEAST TWO BUSINESS DAYS PRIOR TO THE VOTE AT THE SPECIAL MEETING. YOU MAY TENDER YOUR SHARES BY EITHER DELIVERING YOUR SHARE CERTIFICATE TO THE TRANSFER AGENT OR BY DELIVERING YOUR SHARES ELECTRONICALLY USING DEPOSITORY TRUST COMPANY’S DEPOSIT WITHDRAWAL AT CUSTODIAN (“</w:t>
      </w:r>
      <w:r>
        <w:rPr>
          <w:rFonts w:ascii="Arial" w:cs="Arial" w:eastAsia="Arial" w:hAnsi="Arial"/>
          <w:sz w:val="18"/>
          <w:szCs w:val="18"/>
          <w:b w:val="1"/>
          <w:bCs w:val="1"/>
          <w:color w:val="auto"/>
        </w:rPr>
        <w:t>DWAC</w:t>
      </w:r>
      <w:r>
        <w:rPr>
          <w:rFonts w:ascii="Arial" w:cs="Arial" w:eastAsia="Arial" w:hAnsi="Arial"/>
          <w:sz w:val="18"/>
          <w:szCs w:val="18"/>
          <w:color w:val="auto"/>
        </w:rPr>
        <w:t>”) SYSTEM. IF THE BUSINESS COMBINATION IS NOT COMPLETED, THEN THESE SHARES WILL NOT BE REDEEMED FOR CASH. IF YOU HOLD THE SHARES IN STREET NAME, YOU WILL NEED TO INSTRUCT THE ACCOUNT EXECUTIVE AT YOUR BANK OR BROKER TO WITHDRAW THE SHARES FROM YOUR ACCOUNT IN ORDER TO EXERCISE YOUR REDEMPTION RIGHTS.</w:t>
      </w:r>
    </w:p>
    <w:p>
      <w:pPr>
        <w:spacing w:after="0" w:line="124"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On behalf of BCTG’s board of directors, I would like to thank you for your support and look forward to the successful completion of the Business Combination.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Sincerely,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Aaron I. Davis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BCTG Acquisition Corp.</w:t>
      </w:r>
    </w:p>
    <w:p>
      <w:pPr>
        <w:spacing w:after="0" w:line="143"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 securities to be issued under the accompanying proxy statement/prospectus or determined that the accompanying proxy statement/prospectus is accurate or complete. Any representation to the contrary is a criminal offense.</w:t>
      </w:r>
    </w:p>
    <w:p>
      <w:pPr>
        <w:spacing w:after="0" w:line="11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660" w:type="dxa"/>
            <w:vAlign w:val="bottom"/>
            <w:gridSpan w:val="2"/>
          </w:tcPr>
          <w:p>
            <w:pPr>
              <w:jc w:val="right"/>
              <w:ind w:right="150"/>
              <w:spacing w:after="0"/>
              <w:rPr>
                <w:sz w:val="20"/>
                <w:szCs w:val="20"/>
                <w:color w:val="auto"/>
              </w:rPr>
            </w:pPr>
            <w:r>
              <w:rPr>
                <w:rFonts w:ascii="Arial" w:cs="Arial" w:eastAsia="Arial" w:hAnsi="Arial"/>
                <w:sz w:val="18"/>
                <w:szCs w:val="18"/>
                <w:color w:val="auto"/>
                <w:w w:val="98"/>
              </w:rPr>
              <w:t>The accompanying proxy statement/prospectus is dated</w:t>
            </w:r>
          </w:p>
        </w:tc>
        <w:tc>
          <w:tcPr>
            <w:tcW w:w="3440" w:type="dxa"/>
            <w:vAlign w:val="bottom"/>
          </w:tcPr>
          <w:p>
            <w:pPr>
              <w:ind w:left="260"/>
              <w:spacing w:after="0"/>
              <w:rPr>
                <w:sz w:val="20"/>
                <w:szCs w:val="20"/>
                <w:color w:val="auto"/>
              </w:rPr>
            </w:pPr>
            <w:r>
              <w:rPr>
                <w:rFonts w:ascii="Arial" w:cs="Arial" w:eastAsia="Arial" w:hAnsi="Arial"/>
                <w:sz w:val="18"/>
                <w:szCs w:val="18"/>
                <w:color w:val="auto"/>
              </w:rPr>
              <w:t>, 2021 and is first being mailed to the</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w w:val="99"/>
              </w:rPr>
              <w:t>stockholders of BCTG on or about</w:t>
            </w:r>
          </w:p>
        </w:tc>
        <w:tc>
          <w:tcPr>
            <w:tcW w:w="1940" w:type="dxa"/>
            <w:vAlign w:val="bottom"/>
          </w:tcPr>
          <w:p>
            <w:pPr>
              <w:jc w:val="right"/>
              <w:ind w:right="1130"/>
              <w:spacing w:after="0"/>
              <w:rPr>
                <w:sz w:val="20"/>
                <w:szCs w:val="20"/>
                <w:color w:val="auto"/>
              </w:rPr>
            </w:pPr>
            <w:r>
              <w:rPr>
                <w:rFonts w:ascii="Arial" w:cs="Arial" w:eastAsia="Arial" w:hAnsi="Arial"/>
                <w:sz w:val="18"/>
                <w:szCs w:val="18"/>
                <w:color w:val="auto"/>
              </w:rPr>
              <w:t>, 2021.</w:t>
            </w:r>
          </w:p>
        </w:tc>
        <w:tc>
          <w:tcPr>
            <w:tcW w:w="3440" w:type="dxa"/>
            <w:vAlign w:val="bottom"/>
          </w:tcPr>
          <w:p>
            <w:pPr>
              <w:spacing w:after="0"/>
              <w:rPr>
                <w:sz w:val="20"/>
                <w:szCs w:val="20"/>
                <w:color w:val="auto"/>
              </w:rPr>
            </w:pPr>
          </w:p>
        </w:tc>
      </w:tr>
      <w:tr>
        <w:trPr>
          <w:trHeight w:val="391"/>
        </w:trPr>
        <w:tc>
          <w:tcPr>
            <w:tcW w:w="27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7" w:name="page8"/>
    <w:bookmarkEnd w:id="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12860 El Camino Real, Suite 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 92130</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BCTG ACQUISITION CORP.</w:t>
      </w:r>
    </w:p>
    <w:p>
      <w:pPr>
        <w:spacing w:after="0" w:line="207" w:lineRule="exact"/>
        <w:rPr>
          <w:sz w:val="20"/>
          <w:szCs w:val="20"/>
          <w:color w:val="auto"/>
        </w:rPr>
      </w:pPr>
    </w:p>
    <w:tbl>
      <w:tblPr>
        <w:tblLayout w:type="fixed"/>
        <w:tblInd w:w="348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To Be Held On</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Stockholders of BCTG Acquisition Corp.:</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NOTICE IS HEREBY GIVEN that a special meeting of stockholders (the “</w:t>
      </w:r>
      <w:r>
        <w:rPr>
          <w:rFonts w:ascii="Arial" w:cs="Arial" w:eastAsia="Arial" w:hAnsi="Arial"/>
          <w:sz w:val="17"/>
          <w:szCs w:val="17"/>
          <w:b w:val="1"/>
          <w:bCs w:val="1"/>
          <w:color w:val="auto"/>
        </w:rPr>
        <w:t>Special Meeting</w:t>
      </w:r>
      <w:r>
        <w:rPr>
          <w:rFonts w:ascii="Arial" w:cs="Arial" w:eastAsia="Arial" w:hAnsi="Arial"/>
          <w:sz w:val="17"/>
          <w:szCs w:val="17"/>
          <w:color w:val="auto"/>
        </w:rPr>
        <w:t>”) of BCTG</w:t>
      </w:r>
    </w:p>
    <w:p>
      <w:pPr>
        <w:spacing w:after="0" w:line="39" w:lineRule="exact"/>
        <w:rPr>
          <w:sz w:val="20"/>
          <w:szCs w:val="20"/>
          <w:color w:val="auto"/>
        </w:rPr>
      </w:pPr>
    </w:p>
    <w:p>
      <w:pPr>
        <w:ind w:left="460" w:right="559"/>
        <w:spacing w:after="0" w:line="260" w:lineRule="auto"/>
        <w:rPr>
          <w:sz w:val="20"/>
          <w:szCs w:val="20"/>
          <w:color w:val="auto"/>
        </w:rPr>
      </w:pPr>
      <w:r>
        <w:rPr>
          <w:rFonts w:ascii="Arial" w:cs="Arial" w:eastAsia="Arial" w:hAnsi="Arial"/>
          <w:sz w:val="18"/>
          <w:szCs w:val="18"/>
          <w:color w:val="auto"/>
        </w:rPr>
        <w:t>Acquisition Corp., a Delaware corporation (“</w:t>
      </w:r>
      <w:r>
        <w:rPr>
          <w:rFonts w:ascii="Arial" w:cs="Arial" w:eastAsia="Arial" w:hAnsi="Arial"/>
          <w:sz w:val="18"/>
          <w:szCs w:val="18"/>
          <w:b w:val="1"/>
          <w:bCs w:val="1"/>
          <w:color w:val="auto"/>
        </w:rPr>
        <w:t>BCTG</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our</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will be held on , 2021, at [ ], Eastern time, via live webcast at the following address:</w:t>
      </w:r>
    </w:p>
    <w:p>
      <w:pPr>
        <w:spacing w:after="0" w:line="118"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You will need the 12-digit meeting control number that is printed on your proxy card to enter the Special Meeting. BCTG recommends that you log in at least 15 minutes before the Special Meeting to ensure you are logged in when the Special Meeting starts. You are cordially invited to attend the Special Meeting for the following purposes:</w:t>
      </w:r>
    </w:p>
    <w:p>
      <w:pPr>
        <w:spacing w:after="0" w:line="106" w:lineRule="exact"/>
        <w:rPr>
          <w:sz w:val="20"/>
          <w:szCs w:val="20"/>
          <w:color w:val="auto"/>
        </w:rPr>
      </w:pPr>
    </w:p>
    <w:p>
      <w:pPr>
        <w:ind w:left="1320" w:right="499" w:hanging="434"/>
        <w:spacing w:after="0" w:line="290" w:lineRule="auto"/>
        <w:tabs>
          <w:tab w:leader="none" w:pos="1293"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Proposal 1 — The Business Combination Proposal </w:t>
      </w:r>
      <w:r>
        <w:rPr>
          <w:rFonts w:ascii="Arial" w:cs="Arial" w:eastAsia="Arial" w:hAnsi="Arial"/>
          <w:sz w:val="16"/>
          <w:szCs w:val="16"/>
          <w:color w:val="auto"/>
        </w:rPr>
        <w:t>— to adopt and approve (a) the Agreement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Plan of Merger, dated as of April 13, 2021 (the “</w:t>
      </w:r>
      <w:r>
        <w:rPr>
          <w:rFonts w:ascii="Arial" w:cs="Arial" w:eastAsia="Arial" w:hAnsi="Arial"/>
          <w:sz w:val="16"/>
          <w:szCs w:val="16"/>
          <w:b w:val="1"/>
          <w:bCs w:val="1"/>
          <w:color w:val="auto"/>
        </w:rPr>
        <w:t>Merger Agreement</w:t>
      </w:r>
      <w:r>
        <w:rPr>
          <w:rFonts w:ascii="Arial" w:cs="Arial" w:eastAsia="Arial" w:hAnsi="Arial"/>
          <w:sz w:val="16"/>
          <w:szCs w:val="16"/>
          <w:color w:val="auto"/>
        </w:rPr>
        <w:t>”), by and among BCTG, BCTG Merger Sub Inc., a Delaware corporation and wholly owned subsidiary of BCTG (“</w:t>
      </w:r>
      <w:r>
        <w:rPr>
          <w:rFonts w:ascii="Arial" w:cs="Arial" w:eastAsia="Arial" w:hAnsi="Arial"/>
          <w:sz w:val="16"/>
          <w:szCs w:val="16"/>
          <w:b w:val="1"/>
          <w:bCs w:val="1"/>
          <w:color w:val="auto"/>
        </w:rPr>
        <w:t>Merger</w:t>
      </w:r>
      <w:r>
        <w:rPr>
          <w:rFonts w:ascii="Arial" w:cs="Arial" w:eastAsia="Arial" w:hAnsi="Arial"/>
          <w:sz w:val="16"/>
          <w:szCs w:val="16"/>
          <w:color w:val="auto"/>
        </w:rPr>
        <w:t xml:space="preserve"> </w:t>
      </w:r>
      <w:r>
        <w:rPr>
          <w:rFonts w:ascii="Arial" w:cs="Arial" w:eastAsia="Arial" w:hAnsi="Arial"/>
          <w:sz w:val="16"/>
          <w:szCs w:val="16"/>
          <w:b w:val="1"/>
          <w:bCs w:val="1"/>
          <w:color w:val="auto"/>
        </w:rPr>
        <w:t>Sub</w:t>
      </w:r>
      <w:r>
        <w:rPr>
          <w:rFonts w:ascii="Arial" w:cs="Arial" w:eastAsia="Arial" w:hAnsi="Arial"/>
          <w:sz w:val="16"/>
          <w:szCs w:val="16"/>
          <w:color w:val="auto"/>
        </w:rPr>
        <w:t>”), and Tango Therapeutics, Inc., a Delaware corporation (“</w:t>
      </w:r>
      <w:r>
        <w:rPr>
          <w:rFonts w:ascii="Arial" w:cs="Arial" w:eastAsia="Arial" w:hAnsi="Arial"/>
          <w:sz w:val="16"/>
          <w:szCs w:val="16"/>
          <w:b w:val="1"/>
          <w:bCs w:val="1"/>
          <w:color w:val="auto"/>
        </w:rPr>
        <w:t>Tango</w:t>
      </w:r>
      <w:r>
        <w:rPr>
          <w:rFonts w:ascii="Arial" w:cs="Arial" w:eastAsia="Arial" w:hAnsi="Arial"/>
          <w:sz w:val="16"/>
          <w:szCs w:val="16"/>
          <w:color w:val="auto"/>
        </w:rPr>
        <w:t>”), pursuant to which Merger</w:t>
      </w:r>
      <w:r>
        <w:rPr>
          <w:rFonts w:ascii="Arial" w:cs="Arial" w:eastAsia="Arial" w:hAnsi="Arial"/>
          <w:sz w:val="16"/>
          <w:szCs w:val="16"/>
          <w:b w:val="1"/>
          <w:bCs w:val="1"/>
          <w:color w:val="auto"/>
        </w:rPr>
        <w:t xml:space="preserve"> </w:t>
      </w:r>
      <w:r>
        <w:rPr>
          <w:rFonts w:ascii="Arial" w:cs="Arial" w:eastAsia="Arial" w:hAnsi="Arial"/>
          <w:sz w:val="16"/>
          <w:szCs w:val="16"/>
          <w:color w:val="auto"/>
        </w:rPr>
        <w:t>Sub will merge with and into Tango, with Tango surviving the merger as a wholly owned subsidiary of BCTG and (b) such merger and the other transactions contemplated by the Merger Agreement (the “</w:t>
      </w:r>
      <w:r>
        <w:rPr>
          <w:rFonts w:ascii="Arial" w:cs="Arial" w:eastAsia="Arial" w:hAnsi="Arial"/>
          <w:sz w:val="16"/>
          <w:szCs w:val="16"/>
          <w:b w:val="1"/>
          <w:bCs w:val="1"/>
          <w:color w:val="auto"/>
        </w:rPr>
        <w:t>Business Combination</w:t>
      </w:r>
      <w:r>
        <w:rPr>
          <w:rFonts w:ascii="Arial" w:cs="Arial" w:eastAsia="Arial" w:hAnsi="Arial"/>
          <w:sz w:val="16"/>
          <w:szCs w:val="16"/>
          <w:color w:val="auto"/>
        </w:rPr>
        <w:t>”). Subject to the terms and conditions set forth in the Merger Agreement, at the effective time of the Business Combination (the “</w:t>
      </w:r>
      <w:r>
        <w:rPr>
          <w:rFonts w:ascii="Arial" w:cs="Arial" w:eastAsia="Arial" w:hAnsi="Arial"/>
          <w:sz w:val="16"/>
          <w:szCs w:val="16"/>
          <w:b w:val="1"/>
          <w:bCs w:val="1"/>
          <w:color w:val="auto"/>
        </w:rPr>
        <w:t>Effective Time</w:t>
      </w:r>
      <w:r>
        <w:rPr>
          <w:rFonts w:ascii="Arial" w:cs="Arial" w:eastAsia="Arial" w:hAnsi="Arial"/>
          <w:sz w:val="16"/>
          <w:szCs w:val="16"/>
          <w:color w:val="auto"/>
        </w:rPr>
        <w:t>”):</w:t>
      </w:r>
    </w:p>
    <w:p>
      <w:pPr>
        <w:spacing w:after="0" w:line="93" w:lineRule="exact"/>
        <w:rPr>
          <w:rFonts w:ascii="Arial" w:cs="Arial" w:eastAsia="Arial" w:hAnsi="Arial"/>
          <w:sz w:val="16"/>
          <w:szCs w:val="16"/>
          <w:color w:val="auto"/>
        </w:rPr>
      </w:pPr>
    </w:p>
    <w:p>
      <w:pPr>
        <w:ind w:left="1760" w:right="619" w:hanging="442"/>
        <w:spacing w:after="0" w:line="294" w:lineRule="auto"/>
        <w:tabs>
          <w:tab w:leader="none" w:pos="1723"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shares of Tango Common Stock (the “</w:t>
      </w:r>
      <w:r>
        <w:rPr>
          <w:rFonts w:ascii="Arial" w:cs="Arial" w:eastAsia="Arial" w:hAnsi="Arial"/>
          <w:sz w:val="16"/>
          <w:szCs w:val="16"/>
          <w:b w:val="1"/>
          <w:bCs w:val="1"/>
          <w:color w:val="auto"/>
        </w:rPr>
        <w:t>Tango Stock</w:t>
      </w:r>
      <w:r>
        <w:rPr>
          <w:rFonts w:ascii="Arial" w:cs="Arial" w:eastAsia="Arial" w:hAnsi="Arial"/>
          <w:sz w:val="16"/>
          <w:szCs w:val="16"/>
          <w:color w:val="auto"/>
        </w:rPr>
        <w:t>”) issued and outstanding immediately prior to the Effective Time (after conversion of the outstanding preferred stock of Tango as contemplated by the Merger Agreement), whether vested or unvested, will be converted into the right to receive the Merger Consideration Shares, with each stockholder of Tango Stock being entitled to receiving its pro rata share of the Merger Consideration Shares set forth in the equityholder allocation schedule (as defined in the Merger Agreement); and</w:t>
      </w:r>
    </w:p>
    <w:p>
      <w:pPr>
        <w:spacing w:after="0" w:line="96" w:lineRule="exact"/>
        <w:rPr>
          <w:rFonts w:ascii="Arial" w:cs="Arial" w:eastAsia="Arial" w:hAnsi="Arial"/>
          <w:sz w:val="16"/>
          <w:szCs w:val="16"/>
          <w:color w:val="auto"/>
        </w:rPr>
      </w:pPr>
    </w:p>
    <w:p>
      <w:pPr>
        <w:ind w:left="1760" w:right="499" w:hanging="442"/>
        <w:spacing w:after="0" w:line="270" w:lineRule="auto"/>
        <w:tabs>
          <w:tab w:leader="none" w:pos="1733"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options to purchase shares of Tango Stock under Tango’s existing equity incentive plans (the “</w:t>
      </w:r>
      <w:r>
        <w:rPr>
          <w:rFonts w:ascii="Arial" w:cs="Arial" w:eastAsia="Arial" w:hAnsi="Arial"/>
          <w:sz w:val="17"/>
          <w:szCs w:val="17"/>
          <w:b w:val="1"/>
          <w:bCs w:val="1"/>
          <w:color w:val="auto"/>
        </w:rPr>
        <w:t>Tango Options</w:t>
      </w:r>
      <w:r>
        <w:rPr>
          <w:rFonts w:ascii="Arial" w:cs="Arial" w:eastAsia="Arial" w:hAnsi="Arial"/>
          <w:sz w:val="17"/>
          <w:szCs w:val="17"/>
          <w:color w:val="auto"/>
        </w:rPr>
        <w:t>”) issued and outstanding immediately prior to the Effective Time, whether vested or unvested, will be assumed and become an option to purchase such number of shares of common stock of BCTG, $0.0001 par value (the “</w:t>
      </w:r>
      <w:r>
        <w:rPr>
          <w:rFonts w:ascii="Arial" w:cs="Arial" w:eastAsia="Arial" w:hAnsi="Arial"/>
          <w:sz w:val="17"/>
          <w:szCs w:val="17"/>
          <w:b w:val="1"/>
          <w:bCs w:val="1"/>
          <w:color w:val="auto"/>
        </w:rPr>
        <w:t>BCTG Common Stock</w:t>
      </w:r>
      <w:r>
        <w:rPr>
          <w:rFonts w:ascii="Arial" w:cs="Arial" w:eastAsia="Arial" w:hAnsi="Arial"/>
          <w:sz w:val="17"/>
          <w:szCs w:val="17"/>
          <w:color w:val="auto"/>
        </w:rPr>
        <w:t>”) equal to the option holder’s respective pro rata share of the Merger Consideration set forth in the equityholder allocation schedule (as defined in the Merger Agreement), which shall be reserved for future issuance upon the exercise of such assumed options, upon substantially the same terms and conditions as in effect with respect to such option immediately prior to the Effective Time.</w:t>
      </w:r>
    </w:p>
    <w:p>
      <w:pPr>
        <w:spacing w:after="0" w:line="96" w:lineRule="exact"/>
        <w:rPr>
          <w:sz w:val="20"/>
          <w:szCs w:val="20"/>
          <w:color w:val="auto"/>
        </w:rPr>
      </w:pPr>
    </w:p>
    <w:p>
      <w:pPr>
        <w:ind w:left="460" w:right="599" w:firstLine="432"/>
        <w:spacing w:after="0" w:line="282" w:lineRule="auto"/>
        <w:rPr>
          <w:sz w:val="20"/>
          <w:szCs w:val="20"/>
          <w:color w:val="auto"/>
        </w:rPr>
      </w:pPr>
      <w:r>
        <w:rPr>
          <w:rFonts w:ascii="Arial" w:cs="Arial" w:eastAsia="Arial" w:hAnsi="Arial"/>
          <w:sz w:val="18"/>
          <w:szCs w:val="18"/>
          <w:color w:val="auto"/>
        </w:rPr>
        <w:t>We refer to this proposal as the “</w:t>
      </w:r>
      <w:r>
        <w:rPr>
          <w:rFonts w:ascii="Arial" w:cs="Arial" w:eastAsia="Arial" w:hAnsi="Arial"/>
          <w:sz w:val="18"/>
          <w:szCs w:val="18"/>
          <w:b w:val="1"/>
          <w:bCs w:val="1"/>
          <w:color w:val="auto"/>
        </w:rPr>
        <w:t>Business Combination Proposal</w:t>
      </w:r>
      <w:r>
        <w:rPr>
          <w:rFonts w:ascii="Arial" w:cs="Arial" w:eastAsia="Arial" w:hAnsi="Arial"/>
          <w:sz w:val="18"/>
          <w:szCs w:val="18"/>
          <w:color w:val="auto"/>
        </w:rPr>
        <w:t xml:space="preserve">.” A copy of the Merger Agreement is attached to this proxy statement/prospectus as </w:t>
      </w:r>
      <w:r>
        <w:rPr>
          <w:rFonts w:ascii="Arial" w:cs="Arial" w:eastAsia="Arial" w:hAnsi="Arial"/>
          <w:sz w:val="18"/>
          <w:szCs w:val="18"/>
          <w:i w:val="1"/>
          <w:iCs w:val="1"/>
          <w:u w:val="single" w:color="auto"/>
          <w:color w:val="auto"/>
        </w:rPr>
        <w:t>Annex A</w:t>
      </w:r>
      <w:r>
        <w:rPr>
          <w:rFonts w:ascii="Arial" w:cs="Arial" w:eastAsia="Arial" w:hAnsi="Arial"/>
          <w:sz w:val="18"/>
          <w:szCs w:val="18"/>
          <w:color w:val="auto"/>
        </w:rPr>
        <w:t>.</w:t>
      </w:r>
    </w:p>
    <w:p>
      <w:pPr>
        <w:spacing w:after="0" w:line="98" w:lineRule="exact"/>
        <w:rPr>
          <w:sz w:val="20"/>
          <w:szCs w:val="20"/>
          <w:color w:val="auto"/>
        </w:rPr>
      </w:pPr>
    </w:p>
    <w:p>
      <w:pPr>
        <w:ind w:left="1320" w:right="559" w:hanging="434"/>
        <w:spacing w:after="0" w:line="296" w:lineRule="auto"/>
        <w:tabs>
          <w:tab w:leader="none" w:pos="1293"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Proposal 2 — The Nasdaq Proposal — </w:t>
      </w:r>
      <w:r>
        <w:rPr>
          <w:rFonts w:ascii="Arial" w:cs="Arial" w:eastAsia="Arial" w:hAnsi="Arial"/>
          <w:sz w:val="16"/>
          <w:szCs w:val="16"/>
          <w:color w:val="auto"/>
        </w:rPr>
        <w:t>To approve, for purposes of complying with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listing rules of the Nasdaq Capital Market (the “</w:t>
      </w:r>
      <w:r>
        <w:rPr>
          <w:rFonts w:ascii="Arial" w:cs="Arial" w:eastAsia="Arial" w:hAnsi="Arial"/>
          <w:sz w:val="16"/>
          <w:szCs w:val="16"/>
          <w:b w:val="1"/>
          <w:bCs w:val="1"/>
          <w:color w:val="auto"/>
        </w:rPr>
        <w:t>Nasdaq Rules</w:t>
      </w:r>
      <w:r>
        <w:rPr>
          <w:rFonts w:ascii="Arial" w:cs="Arial" w:eastAsia="Arial" w:hAnsi="Arial"/>
          <w:sz w:val="16"/>
          <w:szCs w:val="16"/>
          <w:color w:val="auto"/>
        </w:rPr>
        <w:t>”), (a) the issuance of 55,000,000 shares of Common Stock to the Tango Equityholders and (b) the issuance and sale of 18,610,000 shares of Common Stock in the private offering of securities to certain investors in connection with the consummation of the Business Combination (the “</w:t>
      </w:r>
      <w:r>
        <w:rPr>
          <w:rFonts w:ascii="Arial" w:cs="Arial" w:eastAsia="Arial" w:hAnsi="Arial"/>
          <w:sz w:val="16"/>
          <w:szCs w:val="16"/>
          <w:b w:val="1"/>
          <w:bCs w:val="1"/>
          <w:color w:val="auto"/>
        </w:rPr>
        <w:t>Nasdaq Proposal</w:t>
      </w:r>
      <w:r>
        <w:rPr>
          <w:rFonts w:ascii="Arial" w:cs="Arial" w:eastAsia="Arial" w:hAnsi="Arial"/>
          <w:sz w:val="16"/>
          <w:szCs w:val="16"/>
          <w:color w:val="auto"/>
        </w:rPr>
        <w:t>”).</w:t>
      </w:r>
    </w:p>
    <w:p>
      <w:pPr>
        <w:spacing w:after="0" w:line="93" w:lineRule="exact"/>
        <w:rPr>
          <w:rFonts w:ascii="Arial" w:cs="Arial" w:eastAsia="Arial" w:hAnsi="Arial"/>
          <w:sz w:val="16"/>
          <w:szCs w:val="16"/>
          <w:color w:val="auto"/>
        </w:rPr>
      </w:pPr>
    </w:p>
    <w:p>
      <w:pPr>
        <w:ind w:left="1320" w:right="659" w:hanging="434"/>
        <w:spacing w:after="0" w:line="257" w:lineRule="auto"/>
        <w:tabs>
          <w:tab w:leader="none" w:pos="1293"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Proposal 3 — The Charter Amendment Proposal — </w:t>
      </w:r>
      <w:r>
        <w:rPr>
          <w:rFonts w:ascii="Arial" w:cs="Arial" w:eastAsia="Arial" w:hAnsi="Arial"/>
          <w:sz w:val="18"/>
          <w:szCs w:val="18"/>
          <w:color w:val="auto"/>
        </w:rPr>
        <w:t>To approve and adopt, subject to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conditional on (but with immediate effect therefrom) approval of the Business Combination Proposal, the Nasdaq Proposal, the Directors Proposal and the Incentive Plan Proposals and the consummation of the Business Combination, an amendment and restatement of BCTG’s amended and restated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240030</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 w:name="page9"/>
    <w:bookmarkEnd w:id="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1320" w:right="699"/>
        <w:spacing w:after="0" w:line="314" w:lineRule="auto"/>
        <w:rPr>
          <w:sz w:val="20"/>
          <w:szCs w:val="20"/>
          <w:color w:val="auto"/>
        </w:rPr>
      </w:pPr>
      <w:r>
        <w:rPr>
          <w:rFonts w:ascii="Arial" w:cs="Arial" w:eastAsia="Arial" w:hAnsi="Arial"/>
          <w:sz w:val="16"/>
          <w:szCs w:val="16"/>
          <w:color w:val="auto"/>
        </w:rPr>
        <w:t>of incorporation (the “</w:t>
      </w:r>
      <w:r>
        <w:rPr>
          <w:rFonts w:ascii="Arial" w:cs="Arial" w:eastAsia="Arial" w:hAnsi="Arial"/>
          <w:sz w:val="16"/>
          <w:szCs w:val="16"/>
          <w:b w:val="1"/>
          <w:bCs w:val="1"/>
          <w:color w:val="auto"/>
        </w:rPr>
        <w:t>Current Charter</w:t>
      </w:r>
      <w:r>
        <w:rPr>
          <w:rFonts w:ascii="Arial" w:cs="Arial" w:eastAsia="Arial" w:hAnsi="Arial"/>
          <w:sz w:val="16"/>
          <w:szCs w:val="16"/>
          <w:color w:val="auto"/>
        </w:rPr>
        <w:t xml:space="preserve">”), as set out in the draft amended and restated version of the Current Charter appended to this proxy statement/prospectus as </w:t>
      </w:r>
      <w:r>
        <w:rPr>
          <w:rFonts w:ascii="Arial" w:cs="Arial" w:eastAsia="Arial" w:hAnsi="Arial"/>
          <w:sz w:val="16"/>
          <w:szCs w:val="16"/>
          <w:i w:val="1"/>
          <w:iCs w:val="1"/>
          <w:u w:val="single" w:color="auto"/>
          <w:color w:val="auto"/>
        </w:rPr>
        <w:t>Annex B</w:t>
      </w:r>
      <w:r>
        <w:rPr>
          <w:rFonts w:ascii="Arial" w:cs="Arial" w:eastAsia="Arial" w:hAnsi="Arial"/>
          <w:sz w:val="16"/>
          <w:szCs w:val="16"/>
          <w:color w:val="auto"/>
        </w:rPr>
        <w:t xml:space="preserve"> (the “</w:t>
      </w:r>
      <w:r>
        <w:rPr>
          <w:rFonts w:ascii="Arial" w:cs="Arial" w:eastAsia="Arial" w:hAnsi="Arial"/>
          <w:sz w:val="16"/>
          <w:szCs w:val="16"/>
          <w:b w:val="1"/>
          <w:bCs w:val="1"/>
          <w:color w:val="auto"/>
        </w:rPr>
        <w:t>Proposed</w:t>
      </w:r>
      <w:r>
        <w:rPr>
          <w:rFonts w:ascii="Arial" w:cs="Arial" w:eastAsia="Arial" w:hAnsi="Arial"/>
          <w:sz w:val="16"/>
          <w:szCs w:val="16"/>
          <w:color w:val="auto"/>
        </w:rPr>
        <w:t xml:space="preserve"> </w:t>
      </w:r>
      <w:r>
        <w:rPr>
          <w:rFonts w:ascii="Arial" w:cs="Arial" w:eastAsia="Arial" w:hAnsi="Arial"/>
          <w:sz w:val="16"/>
          <w:szCs w:val="16"/>
          <w:b w:val="1"/>
          <w:bCs w:val="1"/>
          <w:color w:val="auto"/>
        </w:rPr>
        <w:t>Charter</w:t>
      </w:r>
      <w:r>
        <w:rPr>
          <w:rFonts w:ascii="Arial" w:cs="Arial" w:eastAsia="Arial" w:hAnsi="Arial"/>
          <w:sz w:val="16"/>
          <w:szCs w:val="16"/>
          <w:color w:val="auto"/>
        </w:rPr>
        <w:t>”), for the following amendments (collectively, the “</w:t>
      </w:r>
      <w:r>
        <w:rPr>
          <w:rFonts w:ascii="Arial" w:cs="Arial" w:eastAsia="Arial" w:hAnsi="Arial"/>
          <w:sz w:val="16"/>
          <w:szCs w:val="16"/>
          <w:b w:val="1"/>
          <w:bCs w:val="1"/>
          <w:color w:val="auto"/>
        </w:rPr>
        <w:t>Charter Amendment Proposal</w:t>
      </w:r>
      <w:r>
        <w:rPr>
          <w:rFonts w:ascii="Arial" w:cs="Arial" w:eastAsia="Arial" w:hAnsi="Arial"/>
          <w:sz w:val="16"/>
          <w:szCs w:val="16"/>
          <w:color w:val="auto"/>
        </w:rPr>
        <w:t>”):</w:t>
      </w:r>
    </w:p>
    <w:p>
      <w:pPr>
        <w:spacing w:after="0" w:line="78" w:lineRule="exact"/>
        <w:rPr>
          <w:sz w:val="20"/>
          <w:szCs w:val="20"/>
          <w:color w:val="auto"/>
        </w:rPr>
      </w:pPr>
    </w:p>
    <w:p>
      <w:pPr>
        <w:ind w:left="1760" w:right="479" w:hanging="442"/>
        <w:spacing w:after="0" w:line="277" w:lineRule="auto"/>
        <w:tabs>
          <w:tab w:leader="none" w:pos="1723"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amend the name of the public entity to “Tango Therapeutics, Inc.” from “BCTG Acquisition Corp.”;</w:t>
      </w:r>
    </w:p>
    <w:p>
      <w:pPr>
        <w:spacing w:after="0" w:line="102" w:lineRule="exact"/>
        <w:rPr>
          <w:rFonts w:ascii="Arial" w:cs="Arial" w:eastAsia="Arial" w:hAnsi="Arial"/>
          <w:sz w:val="18"/>
          <w:szCs w:val="18"/>
          <w:color w:val="auto"/>
        </w:rPr>
      </w:pPr>
    </w:p>
    <w:p>
      <w:pPr>
        <w:ind w:left="1760" w:right="659" w:hanging="442"/>
        <w:spacing w:after="0" w:line="277" w:lineRule="auto"/>
        <w:tabs>
          <w:tab w:leader="none" w:pos="1733"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increase the authorized shares of New Tango to [•] shares of common stock and [•] shares of “blank check” preferred stock;</w:t>
      </w:r>
    </w:p>
    <w:p>
      <w:pPr>
        <w:spacing w:after="0" w:line="89" w:lineRule="exact"/>
        <w:rPr>
          <w:rFonts w:ascii="Arial" w:cs="Arial" w:eastAsia="Arial" w:hAnsi="Arial"/>
          <w:sz w:val="18"/>
          <w:szCs w:val="18"/>
          <w:color w:val="auto"/>
        </w:rPr>
      </w:pPr>
    </w:p>
    <w:p>
      <w:pPr>
        <w:ind w:left="1760" w:right="619" w:hanging="442"/>
        <w:spacing w:after="0" w:line="258" w:lineRule="auto"/>
        <w:tabs>
          <w:tab w:leader="none" w:pos="1723"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to provide that the removal of any director be only for cause and by the affirmative vote of at least 66 </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 of New Tango’s then-outstanding shares of capital stock entitled to vote generally in the election of directors;</w:t>
      </w:r>
    </w:p>
    <w:p>
      <w:pPr>
        <w:spacing w:after="0" w:line="117" w:lineRule="exact"/>
        <w:rPr>
          <w:rFonts w:ascii="Arial" w:cs="Arial" w:eastAsia="Arial" w:hAnsi="Arial"/>
          <w:sz w:val="18"/>
          <w:szCs w:val="18"/>
          <w:color w:val="auto"/>
        </w:rPr>
      </w:pPr>
    </w:p>
    <w:p>
      <w:pPr>
        <w:ind w:left="1760" w:right="499" w:hanging="442"/>
        <w:spacing w:after="0" w:line="257" w:lineRule="auto"/>
        <w:tabs>
          <w:tab w:leader="none" w:pos="1733"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make New Tango’s corporate existence perpetual as opposed to BCTG’s corporate existence, which is required to be dissolved and liquidated 24 months following the closing of its initial public offering if it does not complete a business combination in that time, and to remove from the Proposed Charter the various provisions applicable only to special purpose acquisition corporations;</w:t>
      </w:r>
    </w:p>
    <w:p>
      <w:pPr>
        <w:spacing w:after="0" w:line="120" w:lineRule="exact"/>
        <w:rPr>
          <w:rFonts w:ascii="Arial" w:cs="Arial" w:eastAsia="Arial" w:hAnsi="Arial"/>
          <w:sz w:val="18"/>
          <w:szCs w:val="18"/>
          <w:color w:val="auto"/>
        </w:rPr>
      </w:pPr>
    </w:p>
    <w:p>
      <w:pPr>
        <w:ind w:left="1760" w:right="1119" w:hanging="442"/>
        <w:spacing w:after="0" w:line="277" w:lineRule="auto"/>
        <w:tabs>
          <w:tab w:leader="none" w:pos="1723"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provide that New Tango will not be subject to Section 203 of the Delaware General Corporation Law (the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760" w:right="699" w:hanging="442"/>
        <w:spacing w:after="0" w:line="277" w:lineRule="auto"/>
        <w:tabs>
          <w:tab w:leader="none" w:pos="1793"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remove the provisions setting the Court of Chancery of the State of Delaware as the sole and exclusive forum for certain stockholder actions; and</w:t>
      </w:r>
    </w:p>
    <w:p>
      <w:pPr>
        <w:spacing w:after="0" w:line="102" w:lineRule="exact"/>
        <w:rPr>
          <w:rFonts w:ascii="Arial" w:cs="Arial" w:eastAsia="Arial" w:hAnsi="Arial"/>
          <w:sz w:val="18"/>
          <w:szCs w:val="18"/>
          <w:color w:val="auto"/>
        </w:rPr>
      </w:pPr>
    </w:p>
    <w:p>
      <w:pPr>
        <w:ind w:left="1760" w:right="739" w:hanging="442"/>
        <w:spacing w:after="0" w:line="299" w:lineRule="auto"/>
        <w:tabs>
          <w:tab w:leader="none" w:pos="1733"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to increase the required vote thresholds for approving amendments to the Proposed Charter and bylaws to 66 </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w:t>
      </w:r>
    </w:p>
    <w:p>
      <w:pPr>
        <w:spacing w:after="0" w:line="49" w:lineRule="exact"/>
        <w:rPr>
          <w:rFonts w:ascii="Arial" w:cs="Arial" w:eastAsia="Arial" w:hAnsi="Arial"/>
          <w:sz w:val="18"/>
          <w:szCs w:val="18"/>
          <w:color w:val="auto"/>
        </w:rPr>
      </w:pPr>
    </w:p>
    <w:p>
      <w:pPr>
        <w:ind w:left="1320" w:right="499" w:hanging="434"/>
        <w:spacing w:after="0" w:line="257" w:lineRule="auto"/>
        <w:tabs>
          <w:tab w:leader="none" w:pos="1293"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Proposal 4 — The Advisory Charter Proposals </w:t>
      </w:r>
      <w:r>
        <w:rPr>
          <w:rFonts w:ascii="Arial" w:cs="Arial" w:eastAsia="Arial" w:hAnsi="Arial"/>
          <w:sz w:val="18"/>
          <w:szCs w:val="18"/>
          <w:color w:val="auto"/>
        </w:rPr>
        <w:t>— To approve and adopt, on a non-binding advisory</w:t>
      </w:r>
      <w:r>
        <w:rPr>
          <w:rFonts w:ascii="Arial" w:cs="Arial" w:eastAsia="Arial" w:hAnsi="Arial"/>
          <w:sz w:val="18"/>
          <w:szCs w:val="18"/>
          <w:i w:val="1"/>
          <w:iCs w:val="1"/>
          <w:color w:val="auto"/>
        </w:rPr>
        <w:t xml:space="preserve"> </w:t>
      </w:r>
      <w:r>
        <w:rPr>
          <w:rFonts w:ascii="Arial" w:cs="Arial" w:eastAsia="Arial" w:hAnsi="Arial"/>
          <w:sz w:val="18"/>
          <w:szCs w:val="18"/>
          <w:color w:val="auto"/>
        </w:rPr>
        <w:t>basis, certain differences in the governance provisions set forth in the Proposed Charter, as compared to our Current Charter, which are being presented in accordance with the requirements of the SEC as seven separate sub-proposals (which we refer to, collectively, as the “</w:t>
      </w:r>
      <w:r>
        <w:rPr>
          <w:rFonts w:ascii="Arial" w:cs="Arial" w:eastAsia="Arial" w:hAnsi="Arial"/>
          <w:sz w:val="18"/>
          <w:szCs w:val="18"/>
          <w:b w:val="1"/>
          <w:bCs w:val="1"/>
          <w:color w:val="auto"/>
        </w:rPr>
        <w:t>Advisory Charter</w:t>
      </w:r>
      <w:r>
        <w:rPr>
          <w:rFonts w:ascii="Arial" w:cs="Arial" w:eastAsia="Arial" w:hAnsi="Arial"/>
          <w:sz w:val="18"/>
          <w:szCs w:val="18"/>
          <w:color w:val="auto"/>
        </w:rPr>
        <w:t xml:space="preserve"> </w:t>
      </w:r>
      <w:r>
        <w:rPr>
          <w:rFonts w:ascii="Arial" w:cs="Arial" w:eastAsia="Arial" w:hAnsi="Arial"/>
          <w:sz w:val="18"/>
          <w:szCs w:val="18"/>
          <w:b w:val="1"/>
          <w:bCs w:val="1"/>
          <w:color w:val="auto"/>
        </w:rPr>
        <w:t>Proposals</w:t>
      </w:r>
      <w:r>
        <w:rPr>
          <w:rFonts w:ascii="Arial" w:cs="Arial" w:eastAsia="Arial" w:hAnsi="Arial"/>
          <w:sz w:val="18"/>
          <w:szCs w:val="18"/>
          <w:color w:val="auto"/>
        </w:rPr>
        <w:t>”):</w:t>
      </w:r>
    </w:p>
    <w:p>
      <w:pPr>
        <w:spacing w:after="0" w:line="107" w:lineRule="exact"/>
        <w:rPr>
          <w:sz w:val="20"/>
          <w:szCs w:val="20"/>
          <w:color w:val="auto"/>
        </w:rPr>
      </w:pPr>
    </w:p>
    <w:p>
      <w:pPr>
        <w:ind w:left="1760" w:right="1419" w:hanging="442"/>
        <w:spacing w:after="0" w:line="277" w:lineRule="auto"/>
        <w:tabs>
          <w:tab w:leader="none" w:pos="17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Advisory Charter Proposal A — to amend the name of the public entity to “Tango Therapeutics, Inc.” from “BCTG Acquisition Corp.”;</w:t>
      </w:r>
    </w:p>
    <w:p>
      <w:pPr>
        <w:spacing w:after="0" w:line="102" w:lineRule="exact"/>
        <w:rPr>
          <w:rFonts w:ascii="Arial" w:cs="Arial" w:eastAsia="Arial" w:hAnsi="Arial"/>
          <w:sz w:val="18"/>
          <w:szCs w:val="18"/>
          <w:color w:val="auto"/>
        </w:rPr>
      </w:pPr>
    </w:p>
    <w:p>
      <w:pPr>
        <w:jc w:val="both"/>
        <w:ind w:left="1760" w:right="519" w:hanging="442"/>
        <w:spacing w:after="0" w:line="311" w:lineRule="auto"/>
        <w:tabs>
          <w:tab w:leader="none" w:pos="1708"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Advisory Charter Proposal B — to authorize the issuance of up to [•] shares of common stock, and up to [•] shares of “blank check” preferred stock, the rights, preferences and privileges of which may be designated from time to time by New Tango’s board of directors;</w:t>
      </w:r>
    </w:p>
    <w:p>
      <w:pPr>
        <w:spacing w:after="0" w:line="81" w:lineRule="exact"/>
        <w:rPr>
          <w:rFonts w:ascii="Arial" w:cs="Arial" w:eastAsia="Arial" w:hAnsi="Arial"/>
          <w:sz w:val="16"/>
          <w:szCs w:val="16"/>
          <w:color w:val="auto"/>
        </w:rPr>
      </w:pPr>
    </w:p>
    <w:p>
      <w:pPr>
        <w:ind w:left="1760" w:right="619" w:hanging="442"/>
        <w:spacing w:after="0" w:line="280" w:lineRule="auto"/>
        <w:tabs>
          <w:tab w:leader="none" w:pos="1708"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Advisory Charter Proposal C — to provide that the removal of any director be only for cause and by the affirmative vote of at least 66 </w:t>
      </w:r>
      <w:r>
        <w:rPr>
          <w:rFonts w:ascii="Arial" w:cs="Arial" w:eastAsia="Arial" w:hAnsi="Arial"/>
          <w:sz w:val="19"/>
          <w:szCs w:val="19"/>
          <w:color w:val="auto"/>
          <w:vertAlign w:val="superscript"/>
        </w:rPr>
        <w:t>2</w:t>
      </w:r>
      <w:r>
        <w:rPr>
          <w:rFonts w:ascii="Arial" w:cs="Arial" w:eastAsia="Arial" w:hAnsi="Arial"/>
          <w:sz w:val="17"/>
          <w:szCs w:val="17"/>
          <w:color w:val="auto"/>
        </w:rPr>
        <w:t>/</w:t>
      </w:r>
      <w:r>
        <w:rPr>
          <w:rFonts w:ascii="Arial" w:cs="Arial" w:eastAsia="Arial" w:hAnsi="Arial"/>
          <w:sz w:val="19"/>
          <w:szCs w:val="19"/>
          <w:color w:val="auto"/>
          <w:vertAlign w:val="subscript"/>
        </w:rPr>
        <w:t>3</w:t>
      </w:r>
      <w:r>
        <w:rPr>
          <w:rFonts w:ascii="Arial" w:cs="Arial" w:eastAsia="Arial" w:hAnsi="Arial"/>
          <w:sz w:val="17"/>
          <w:szCs w:val="17"/>
          <w:color w:val="auto"/>
        </w:rPr>
        <w:t>% of New Tango’s then-outstanding shares of capital stock entitled to vote generally in the election of directors;</w:t>
      </w:r>
    </w:p>
    <w:p>
      <w:pPr>
        <w:spacing w:after="0" w:line="85" w:lineRule="exact"/>
        <w:rPr>
          <w:rFonts w:ascii="Arial" w:cs="Arial" w:eastAsia="Arial" w:hAnsi="Arial"/>
          <w:sz w:val="17"/>
          <w:szCs w:val="17"/>
          <w:color w:val="auto"/>
        </w:rPr>
      </w:pPr>
    </w:p>
    <w:p>
      <w:pPr>
        <w:ind w:left="1760" w:right="639" w:hanging="442"/>
        <w:spacing w:after="0" w:line="296" w:lineRule="auto"/>
        <w:tabs>
          <w:tab w:leader="none" w:pos="1708"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Advisory Charter Proposal D — to make New Tango’s corporate existence perpetual as opposed to BCTG’s corporate existence, which is required to be dissolved and liquidated 24 months following the closing of its initial public offering if it does not complete a business combination in that time, and to remove from the Proposed Charter the various provisions applicable only to special purpose acquisition corporations;</w:t>
      </w:r>
    </w:p>
    <w:p>
      <w:pPr>
        <w:spacing w:after="0" w:line="93" w:lineRule="exact"/>
        <w:rPr>
          <w:rFonts w:ascii="Arial" w:cs="Arial" w:eastAsia="Arial" w:hAnsi="Arial"/>
          <w:sz w:val="16"/>
          <w:szCs w:val="16"/>
          <w:color w:val="auto"/>
        </w:rPr>
      </w:pPr>
    </w:p>
    <w:p>
      <w:pPr>
        <w:ind w:left="1760" w:right="579" w:hanging="442"/>
        <w:spacing w:after="0" w:line="277" w:lineRule="auto"/>
        <w:tabs>
          <w:tab w:leader="none" w:pos="17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Advisory Charter Proposal E — to provide that New Tango will not be subject to Section 203 of the DGCL;</w:t>
      </w:r>
    </w:p>
    <w:p>
      <w:pPr>
        <w:spacing w:after="0" w:line="102" w:lineRule="exact"/>
        <w:rPr>
          <w:rFonts w:ascii="Arial" w:cs="Arial" w:eastAsia="Arial" w:hAnsi="Arial"/>
          <w:sz w:val="18"/>
          <w:szCs w:val="18"/>
          <w:color w:val="auto"/>
        </w:rPr>
      </w:pPr>
    </w:p>
    <w:p>
      <w:pPr>
        <w:ind w:left="1760" w:right="559" w:hanging="442"/>
        <w:spacing w:after="0" w:line="342" w:lineRule="auto"/>
        <w:tabs>
          <w:tab w:leader="none" w:pos="1708"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Advisory Charter Proposal F — to remove the provisions setting the Court of Chancery of the State of Delaware as the sole and exclusive forum for certain stockholder actions; and</w:t>
      </w:r>
    </w:p>
    <w:p>
      <w:pPr>
        <w:spacing w:after="0" w:line="42" w:lineRule="exact"/>
        <w:rPr>
          <w:rFonts w:ascii="Arial" w:cs="Arial" w:eastAsia="Arial" w:hAnsi="Arial"/>
          <w:sz w:val="16"/>
          <w:szCs w:val="16"/>
          <w:color w:val="auto"/>
        </w:rPr>
      </w:pPr>
    </w:p>
    <w:p>
      <w:pPr>
        <w:ind w:left="1760" w:right="1099" w:hanging="442"/>
        <w:spacing w:after="0" w:line="299" w:lineRule="auto"/>
        <w:tabs>
          <w:tab w:leader="none" w:pos="17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Advisory Charter Proposal G — to increase the required vote thresholds for approving amendments to the Proposed Charter and bylaws to 66 </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194945</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 w:name="page10"/>
    <w:bookmarkEnd w:id="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99" w:hanging="434"/>
        <w:spacing w:after="0" w:line="259" w:lineRule="auto"/>
        <w:tabs>
          <w:tab w:leader="none" w:pos="1293"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Proposal 5 — The Directors Proposal — </w:t>
      </w:r>
      <w:r>
        <w:rPr>
          <w:rFonts w:ascii="Arial" w:cs="Arial" w:eastAsia="Arial" w:hAnsi="Arial"/>
          <w:sz w:val="18"/>
          <w:szCs w:val="18"/>
          <w:color w:val="auto"/>
        </w:rPr>
        <w:t>To vote to elect, effective as of the consummation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 Alexis Borisy, Aaron Davis, Reid Huber, Malte Peters, Lesley Calhoun, Mace Rothenberg and Barbara Weber, to serve on New Tango’s board of directors (we refer to this proposal as the “</w:t>
      </w:r>
      <w:r>
        <w:rPr>
          <w:rFonts w:ascii="Arial" w:cs="Arial" w:eastAsia="Arial" w:hAnsi="Arial"/>
          <w:sz w:val="18"/>
          <w:szCs w:val="18"/>
          <w:b w:val="1"/>
          <w:bCs w:val="1"/>
          <w:color w:val="auto"/>
        </w:rPr>
        <w:t>Directors Proposal</w:t>
      </w:r>
      <w:r>
        <w:rPr>
          <w:rFonts w:ascii="Arial" w:cs="Arial" w:eastAsia="Arial" w:hAnsi="Arial"/>
          <w:sz w:val="18"/>
          <w:szCs w:val="18"/>
          <w:color w:val="auto"/>
        </w:rPr>
        <w:t>”);</w:t>
      </w:r>
    </w:p>
    <w:p>
      <w:pPr>
        <w:spacing w:after="0" w:line="119" w:lineRule="exact"/>
        <w:rPr>
          <w:rFonts w:ascii="Arial" w:cs="Arial" w:eastAsia="Arial" w:hAnsi="Arial"/>
          <w:sz w:val="18"/>
          <w:szCs w:val="18"/>
          <w:color w:val="auto"/>
        </w:rPr>
      </w:pPr>
    </w:p>
    <w:p>
      <w:pPr>
        <w:ind w:left="1320" w:right="859" w:hanging="434"/>
        <w:spacing w:after="0" w:line="311" w:lineRule="auto"/>
        <w:tabs>
          <w:tab w:leader="none" w:pos="1293"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Proposal 6 — The Equity Incentive Plan Proposal — </w:t>
      </w:r>
      <w:r>
        <w:rPr>
          <w:rFonts w:ascii="Arial" w:cs="Arial" w:eastAsia="Arial" w:hAnsi="Arial"/>
          <w:sz w:val="16"/>
          <w:szCs w:val="16"/>
          <w:color w:val="auto"/>
        </w:rPr>
        <w:t>To approve and adopt the 2021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Plan (the “</w:t>
      </w:r>
      <w:r>
        <w:rPr>
          <w:rFonts w:ascii="Arial" w:cs="Arial" w:eastAsia="Arial" w:hAnsi="Arial"/>
          <w:sz w:val="16"/>
          <w:szCs w:val="16"/>
          <w:b w:val="1"/>
          <w:bCs w:val="1"/>
          <w:color w:val="auto"/>
        </w:rPr>
        <w:t>Equity Incentive Plan</w:t>
      </w:r>
      <w:r>
        <w:rPr>
          <w:rFonts w:ascii="Arial" w:cs="Arial" w:eastAsia="Arial" w:hAnsi="Arial"/>
          <w:sz w:val="16"/>
          <w:szCs w:val="16"/>
          <w:color w:val="auto"/>
        </w:rPr>
        <w:t xml:space="preserve">”) a copy of which is attached to the accompanying proxy statement/prospectus as </w:t>
      </w:r>
      <w:r>
        <w:rPr>
          <w:rFonts w:ascii="Arial" w:cs="Arial" w:eastAsia="Arial" w:hAnsi="Arial"/>
          <w:sz w:val="16"/>
          <w:szCs w:val="16"/>
          <w:i w:val="1"/>
          <w:iCs w:val="1"/>
          <w:u w:val="single" w:color="auto"/>
          <w:color w:val="auto"/>
        </w:rPr>
        <w:t>Annex C</w:t>
      </w:r>
      <w:r>
        <w:rPr>
          <w:rFonts w:ascii="Arial" w:cs="Arial" w:eastAsia="Arial" w:hAnsi="Arial"/>
          <w:sz w:val="16"/>
          <w:szCs w:val="16"/>
          <w:color w:val="auto"/>
        </w:rPr>
        <w:t xml:space="preserve"> (the “</w:t>
      </w:r>
      <w:r>
        <w:rPr>
          <w:rFonts w:ascii="Arial" w:cs="Arial" w:eastAsia="Arial" w:hAnsi="Arial"/>
          <w:sz w:val="16"/>
          <w:szCs w:val="16"/>
          <w:b w:val="1"/>
          <w:bCs w:val="1"/>
          <w:color w:val="auto"/>
        </w:rPr>
        <w:t>Equity Incentive Plan Proposal</w:t>
      </w:r>
      <w:r>
        <w:rPr>
          <w:rFonts w:ascii="Arial" w:cs="Arial" w:eastAsia="Arial" w:hAnsi="Arial"/>
          <w:sz w:val="16"/>
          <w:szCs w:val="16"/>
          <w:color w:val="auto"/>
        </w:rPr>
        <w:t>”); and</w:t>
      </w:r>
    </w:p>
    <w:p>
      <w:pPr>
        <w:spacing w:after="0" w:line="81" w:lineRule="exact"/>
        <w:rPr>
          <w:rFonts w:ascii="Arial" w:cs="Arial" w:eastAsia="Arial" w:hAnsi="Arial"/>
          <w:sz w:val="16"/>
          <w:szCs w:val="16"/>
          <w:color w:val="auto"/>
        </w:rPr>
      </w:pPr>
    </w:p>
    <w:p>
      <w:pPr>
        <w:ind w:left="1320" w:right="479" w:hanging="434"/>
        <w:spacing w:after="0" w:line="259" w:lineRule="auto"/>
        <w:tabs>
          <w:tab w:leader="none" w:pos="1293"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Proposal 7 — The ESPP Proposal — </w:t>
      </w:r>
      <w:r>
        <w:rPr>
          <w:rFonts w:ascii="Arial" w:cs="Arial" w:eastAsia="Arial" w:hAnsi="Arial"/>
          <w:sz w:val="18"/>
          <w:szCs w:val="18"/>
          <w:color w:val="auto"/>
        </w:rPr>
        <w:t>To approve and adopt the 2021 Employee Stock Purchase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ESPP</w:t>
      </w:r>
      <w:r>
        <w:rPr>
          <w:rFonts w:ascii="Arial" w:cs="Arial" w:eastAsia="Arial" w:hAnsi="Arial"/>
          <w:sz w:val="18"/>
          <w:szCs w:val="18"/>
          <w:color w:val="auto"/>
        </w:rPr>
        <w:t xml:space="preserve">”) a copy of which is attached to the accompanying proxy statement/prospectus as </w:t>
      </w:r>
      <w:r>
        <w:rPr>
          <w:rFonts w:ascii="Arial" w:cs="Arial" w:eastAsia="Arial" w:hAnsi="Arial"/>
          <w:sz w:val="18"/>
          <w:szCs w:val="18"/>
          <w:i w:val="1"/>
          <w:iCs w:val="1"/>
          <w:u w:val="single" w:color="auto"/>
          <w:color w:val="auto"/>
        </w:rPr>
        <w:t>Annex D</w:t>
      </w:r>
      <w:r>
        <w:rPr>
          <w:rFonts w:ascii="Arial" w:cs="Arial" w:eastAsia="Arial" w:hAnsi="Arial"/>
          <w:sz w:val="18"/>
          <w:szCs w:val="18"/>
          <w:i w:val="1"/>
          <w:i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ESPP Proposal</w:t>
      </w:r>
      <w:r>
        <w:rPr>
          <w:rFonts w:ascii="Arial" w:cs="Arial" w:eastAsia="Arial" w:hAnsi="Arial"/>
          <w:sz w:val="18"/>
          <w:szCs w:val="18"/>
          <w:color w:val="auto"/>
        </w:rPr>
        <w:t>”, and together with the Equity Incentive Plan Proposal, the</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Incentive Plan Proposals</w:t>
      </w:r>
      <w:r>
        <w:rPr>
          <w:rFonts w:ascii="Arial" w:cs="Arial" w:eastAsia="Arial" w:hAnsi="Arial"/>
          <w:sz w:val="18"/>
          <w:szCs w:val="18"/>
          <w:color w:val="auto"/>
        </w:rPr>
        <w:t>”); and</w:t>
      </w:r>
    </w:p>
    <w:p>
      <w:pPr>
        <w:spacing w:after="0" w:line="105" w:lineRule="exact"/>
        <w:rPr>
          <w:rFonts w:ascii="Arial" w:cs="Arial" w:eastAsia="Arial" w:hAnsi="Arial"/>
          <w:sz w:val="18"/>
          <w:szCs w:val="18"/>
          <w:color w:val="auto"/>
        </w:rPr>
      </w:pPr>
    </w:p>
    <w:p>
      <w:pPr>
        <w:ind w:left="1320" w:right="479" w:hanging="434"/>
        <w:spacing w:after="0" w:line="271" w:lineRule="auto"/>
        <w:tabs>
          <w:tab w:leader="none" w:pos="1293"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Proposal 8 — The Adjournment Proposal — </w:t>
      </w:r>
      <w:r>
        <w:rPr>
          <w:rFonts w:ascii="Arial" w:cs="Arial" w:eastAsia="Arial" w:hAnsi="Arial"/>
          <w:sz w:val="17"/>
          <w:szCs w:val="17"/>
          <w:color w:val="auto"/>
        </w:rPr>
        <w:t>To consider and vote upon a proposal to adjourn the</w:t>
      </w:r>
      <w:r>
        <w:rPr>
          <w:rFonts w:ascii="Arial" w:cs="Arial" w:eastAsia="Arial" w:hAnsi="Arial"/>
          <w:sz w:val="17"/>
          <w:szCs w:val="17"/>
          <w:i w:val="1"/>
          <w:iCs w:val="1"/>
          <w:color w:val="auto"/>
        </w:rPr>
        <w:t xml:space="preserve"> </w:t>
      </w:r>
      <w:r>
        <w:rPr>
          <w:rFonts w:ascii="Arial" w:cs="Arial" w:eastAsia="Arial" w:hAnsi="Arial"/>
          <w:sz w:val="17"/>
          <w:szCs w:val="17"/>
          <w:color w:val="auto"/>
        </w:rPr>
        <w:t>Special Meeting to a later date or dates, if necessary, to permit further solicitation and vote of proxies if, based upon the tabulated vote at the time of the Special Meeting, there are not sufficient votes to approve the Business Combination Proposal, the Nasdaq Proposal, the Charter Amendment Proposal or the Incentive Plan Proposals. We refer to this proposal as the “</w:t>
      </w:r>
      <w:r>
        <w:rPr>
          <w:rFonts w:ascii="Arial" w:cs="Arial" w:eastAsia="Arial" w:hAnsi="Arial"/>
          <w:sz w:val="17"/>
          <w:szCs w:val="17"/>
          <w:b w:val="1"/>
          <w:bCs w:val="1"/>
          <w:color w:val="auto"/>
        </w:rPr>
        <w:t>Adjournment Proposal</w:t>
      </w:r>
      <w:r>
        <w:rPr>
          <w:rFonts w:ascii="Arial" w:cs="Arial" w:eastAsia="Arial" w:hAnsi="Arial"/>
          <w:sz w:val="17"/>
          <w:szCs w:val="17"/>
          <w:color w:val="auto"/>
        </w:rPr>
        <w:t>” and, together with the Business Combination Proposal, the Nasdaq Proposal, the Directors Proposal, the Charter Amendment Proposal, the Advisory Charter Proposals and the Incentive Plan Proposals, as the “</w:t>
      </w:r>
      <w:r>
        <w:rPr>
          <w:rFonts w:ascii="Arial" w:cs="Arial" w:eastAsia="Arial" w:hAnsi="Arial"/>
          <w:sz w:val="17"/>
          <w:szCs w:val="17"/>
          <w:b w:val="1"/>
          <w:bCs w:val="1"/>
          <w:color w:val="auto"/>
        </w:rPr>
        <w:t>Proposals</w:t>
      </w:r>
      <w:r>
        <w:rPr>
          <w:rFonts w:ascii="Arial" w:cs="Arial" w:eastAsia="Arial" w:hAnsi="Arial"/>
          <w:sz w:val="17"/>
          <w:szCs w:val="17"/>
          <w:color w:val="auto"/>
        </w:rPr>
        <w:t>.”</w:t>
      </w:r>
    </w:p>
    <w:p>
      <w:pPr>
        <w:spacing w:after="0" w:line="10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Only holders of record of BCTG Common Stock at the close of business on [•], 2021 (the “</w:t>
      </w:r>
      <w:r>
        <w:rPr>
          <w:rFonts w:ascii="Arial" w:cs="Arial" w:eastAsia="Arial" w:hAnsi="Arial"/>
          <w:sz w:val="17"/>
          <w:szCs w:val="17"/>
          <w:b w:val="1"/>
          <w:bCs w:val="1"/>
          <w:color w:val="auto"/>
        </w:rPr>
        <w:t>Record</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Date</w:t>
      </w:r>
      <w:r>
        <w:rPr>
          <w:rFonts w:ascii="Arial" w:cs="Arial" w:eastAsia="Arial" w:hAnsi="Arial"/>
          <w:sz w:val="16"/>
          <w:szCs w:val="16"/>
          <w:color w:val="auto"/>
        </w:rPr>
        <w:t>”) are entitled to notice of the Special Meeting and to vote at the Special Meeting and any adjournments 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postponements of the Special Meeting. A complete list of BCTG stockholders of record entitled to vote at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Special Meeting will be available for ten days before the Special Meeting at the principal executive offices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BCTG for inspection by stockholders during ordinary business hours for any purpose germane to the Special</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Meeting.</w:t>
      </w:r>
    </w:p>
    <w:p>
      <w:pPr>
        <w:spacing w:after="0" w:line="143" w:lineRule="exact"/>
        <w:rPr>
          <w:sz w:val="20"/>
          <w:szCs w:val="20"/>
          <w:color w:val="auto"/>
        </w:rPr>
      </w:pPr>
    </w:p>
    <w:p>
      <w:pPr>
        <w:ind w:left="460" w:right="619" w:firstLine="432"/>
        <w:spacing w:after="0" w:line="272" w:lineRule="auto"/>
        <w:rPr>
          <w:sz w:val="20"/>
          <w:szCs w:val="20"/>
          <w:color w:val="auto"/>
        </w:rPr>
      </w:pPr>
      <w:r>
        <w:rPr>
          <w:rFonts w:ascii="Arial" w:cs="Arial" w:eastAsia="Arial" w:hAnsi="Arial"/>
          <w:sz w:val="17"/>
          <w:szCs w:val="17"/>
          <w:color w:val="auto"/>
        </w:rPr>
        <w:t>Pursuant to the Current Charter, BCTG is providing BCTG public stockholders with the opportunity to redeem, upon the closing of the Business Combination (the “</w:t>
      </w:r>
      <w:r>
        <w:rPr>
          <w:rFonts w:ascii="Arial" w:cs="Arial" w:eastAsia="Arial" w:hAnsi="Arial"/>
          <w:sz w:val="17"/>
          <w:szCs w:val="17"/>
          <w:b w:val="1"/>
          <w:bCs w:val="1"/>
          <w:color w:val="auto"/>
        </w:rPr>
        <w:t>Closing</w:t>
      </w:r>
      <w:r>
        <w:rPr>
          <w:rFonts w:ascii="Arial" w:cs="Arial" w:eastAsia="Arial" w:hAnsi="Arial"/>
          <w:sz w:val="17"/>
          <w:szCs w:val="17"/>
          <w:color w:val="auto"/>
        </w:rPr>
        <w:t>”), shares of BCTG Common Stock then held by them for cash equal to their pro rata share of the aggregate amount on deposit (as of two business days prior to the Closing) in the Trust Account that holds the proceeds (including interest not previously released to BCTG to pay its taxes) of BCTG’s initial public offering (the “</w:t>
      </w:r>
      <w:r>
        <w:rPr>
          <w:rFonts w:ascii="Arial" w:cs="Arial" w:eastAsia="Arial" w:hAnsi="Arial"/>
          <w:sz w:val="17"/>
          <w:szCs w:val="17"/>
          <w:b w:val="1"/>
          <w:bCs w:val="1"/>
          <w:color w:val="auto"/>
        </w:rPr>
        <w:t>BCTG IPO</w:t>
      </w:r>
      <w:r>
        <w:rPr>
          <w:rFonts w:ascii="Arial" w:cs="Arial" w:eastAsia="Arial" w:hAnsi="Arial"/>
          <w:sz w:val="17"/>
          <w:szCs w:val="17"/>
          <w:color w:val="auto"/>
        </w:rPr>
        <w:t>”). For illustrative purposes, based on funds in the Trust Account of approximately $[•] million on [•], 2021, the estimated per share redemption price would have been approximately $[•].</w:t>
      </w:r>
    </w:p>
    <w:p>
      <w:pPr>
        <w:spacing w:after="0" w:line="92"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b w:val="1"/>
          <w:bCs w:val="1"/>
          <w:color w:val="auto"/>
        </w:rPr>
        <w:t>Public stockholders may elect to redeem their shares even if they vote for the Business Combination Proposal</w:t>
      </w:r>
      <w:r>
        <w:rPr>
          <w:rFonts w:ascii="Arial" w:cs="Arial" w:eastAsia="Arial" w:hAnsi="Arial"/>
          <w:sz w:val="16"/>
          <w:szCs w:val="16"/>
          <w:color w:val="auto"/>
        </w:rPr>
        <w:t>. A public stockholder, together with any of his, her or its affiliates or any other person with whom it is</w:t>
      </w:r>
      <w:r>
        <w:rPr>
          <w:rFonts w:ascii="Arial" w:cs="Arial" w:eastAsia="Arial" w:hAnsi="Arial"/>
          <w:sz w:val="16"/>
          <w:szCs w:val="16"/>
          <w:b w:val="1"/>
          <w:bCs w:val="1"/>
          <w:color w:val="auto"/>
        </w:rPr>
        <w:t xml:space="preserve"> </w:t>
      </w:r>
      <w:r>
        <w:rPr>
          <w:rFonts w:ascii="Arial" w:cs="Arial" w:eastAsia="Arial" w:hAnsi="Arial"/>
          <w:sz w:val="16"/>
          <w:szCs w:val="16"/>
          <w:color w:val="auto"/>
        </w:rPr>
        <w:t>acting in concert or as a “group” (as defined under Section 13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will be restricted from redeeming in the aggregate his, her or its shares or, if part of such a group, the group’s shares, with respect to 15% or more of the shares of Common Stock sold in the BCTG IPO. BCTG Holdings, LLC, a Delaware limited liability company (the “</w:t>
      </w:r>
      <w:r>
        <w:rPr>
          <w:rFonts w:ascii="Arial" w:cs="Arial" w:eastAsia="Arial" w:hAnsi="Arial"/>
          <w:sz w:val="16"/>
          <w:szCs w:val="16"/>
          <w:b w:val="1"/>
          <w:bCs w:val="1"/>
          <w:color w:val="auto"/>
        </w:rPr>
        <w:t>Sponsor</w:t>
      </w:r>
      <w:r>
        <w:rPr>
          <w:rFonts w:ascii="Arial" w:cs="Arial" w:eastAsia="Arial" w:hAnsi="Arial"/>
          <w:sz w:val="16"/>
          <w:szCs w:val="16"/>
          <w:color w:val="auto"/>
        </w:rPr>
        <w:t>”), as well as its officers, directors and advisors have agreed to waive their redemption rights with respect to any shares of BCTG Common Stock they may hold in connection with the consummation of the Business Combination, and such shares will be excluded from the pro rata calculation used to determine the per-share redemption price. As of [•], 2021, the Sponsor owns 21.0% of the issued and outstanding shares of BCTG Common Stock. The Sponsor, directors, officers and advisors have agreed to vote any shares of BCTG Common Stock owned by them in favor of the Business Combination Proposal.</w:t>
      </w:r>
    </w:p>
    <w:p>
      <w:pPr>
        <w:spacing w:after="0" w:line="104"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The approval of the Charter Amendment requires the affirmative vote of a majority of the issued and outstanding shares of BCTG Common Stock as of the Record Date for the Special Meeting. The approval of the Business Combination Proposal, the Nasdaq Proposal, the Incentive Plan Proposals and the Adjournment Proposal each require the affirmative vote of the holders of a majority of the shares of BCTG Common Stock present or represented at the Special Meeting, by ballot, proxy or electronic ballot and entitled to vote thereon at the Special Meeting. The approval of the Advisory Charter Proposals is a non-binding advisory vote, and requires the affirmative vote of the holders of a majority of the shares of BCTG Common Stock present or represented at the Special Meeting, by ballot, proxy or electronic ballot and entitled to vote thereon at the Special Meeting. Approval of the Directors Proposal will require the vote by a plurality of the shares of BCTG Common Stock present by virtual attendance or represented by proxy and entitled to vote at the Special Meeting. If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236220</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 w:name="page11"/>
    <w:bookmarkEnd w:id="1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699"/>
        <w:spacing w:after="0" w:line="296" w:lineRule="auto"/>
        <w:rPr>
          <w:sz w:val="20"/>
          <w:szCs w:val="20"/>
          <w:color w:val="auto"/>
        </w:rPr>
      </w:pPr>
      <w:r>
        <w:rPr>
          <w:rFonts w:ascii="Arial" w:cs="Arial" w:eastAsia="Arial" w:hAnsi="Arial"/>
          <w:sz w:val="16"/>
          <w:szCs w:val="16"/>
          <w:color w:val="auto"/>
        </w:rPr>
        <w:t>Proposal is not approved, the Nasdaq Proposal, the Directors Proposal, the Charter Amendment Proposal, the Advisory Charter Proposals and the Incentive Plan Proposals will not be presented to the BCTG stockholders for a vote. The approval of the Business Combination Proposal, the Nasdaq Proposal, the Directors Proposal, the Charter Amendment Proposal and the Incentive Plan Proposals are preconditions to the consummation of the Business Combination. BCTG’s board of directors has already approved the Business Combination.</w:t>
      </w:r>
    </w:p>
    <w:p>
      <w:pPr>
        <w:spacing w:after="0" w:line="94" w:lineRule="exact"/>
        <w:rPr>
          <w:sz w:val="20"/>
          <w:szCs w:val="20"/>
          <w:color w:val="auto"/>
        </w:rPr>
      </w:pPr>
    </w:p>
    <w:p>
      <w:pPr>
        <w:ind w:left="460" w:right="599" w:firstLine="432"/>
        <w:spacing w:after="0" w:line="311" w:lineRule="auto"/>
        <w:rPr>
          <w:sz w:val="20"/>
          <w:szCs w:val="20"/>
          <w:color w:val="auto"/>
        </w:rPr>
      </w:pPr>
      <w:r>
        <w:rPr>
          <w:rFonts w:ascii="Arial" w:cs="Arial" w:eastAsia="Arial" w:hAnsi="Arial"/>
          <w:sz w:val="16"/>
          <w:szCs w:val="16"/>
          <w:color w:val="auto"/>
        </w:rPr>
        <w:t>As of [•], 2021, there was approximately $[•] million in the Trust Account. Each redemption of shares of BCTG Common Stock by its public stockholders will decrease the amount in the Trust Account. Net tangible assets must be maintained at a minimum of $5,000,001 upon consummation of the Business Combination.</w:t>
      </w:r>
    </w:p>
    <w:p>
      <w:pPr>
        <w:spacing w:after="0" w:line="81" w:lineRule="exact"/>
        <w:rPr>
          <w:sz w:val="20"/>
          <w:szCs w:val="20"/>
          <w:color w:val="auto"/>
        </w:rPr>
      </w:pPr>
    </w:p>
    <w:p>
      <w:pPr>
        <w:ind w:left="460" w:right="659" w:firstLine="432"/>
        <w:spacing w:after="0" w:line="301" w:lineRule="auto"/>
        <w:rPr>
          <w:sz w:val="20"/>
          <w:szCs w:val="20"/>
          <w:color w:val="auto"/>
        </w:rPr>
      </w:pPr>
      <w:r>
        <w:rPr>
          <w:rFonts w:ascii="Arial" w:cs="Arial" w:eastAsia="Arial" w:hAnsi="Arial"/>
          <w:sz w:val="16"/>
          <w:szCs w:val="16"/>
          <w:color w:val="auto"/>
        </w:rPr>
        <w:t>Your attention is directed to the proxy statement/prospectus accompanying this notice (including the annexes thereto) for a more complete description of the proposed Business Combination and related transactions and each of the Proposals. We encourage you to read this proxy statement/prospectus carefully. If you have any questions or need assistance voting your shares, please call us at (858) 400-3120.</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2021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Aaron I. Davis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254635</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 w:name="page12"/>
    <w:bookmarkEnd w:id="1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7"/>
        </w:trPr>
        <w:tc>
          <w:tcPr>
            <w:tcW w:w="18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10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183"/>
        </w:trPr>
        <w:tc>
          <w:tcPr>
            <w:tcW w:w="7480" w:type="dxa"/>
            <w:vAlign w:val="bottom"/>
            <w:gridSpan w:val="42"/>
            <w:shd w:val="clear" w:color="auto" w:fill="CCEEFF"/>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ABOUT THIS PROXY STATEMENT/PROSPECTUS</w:t>
              </w:r>
            </w:hyperlink>
          </w:p>
        </w:tc>
        <w:tc>
          <w:tcPr>
            <w:tcW w:w="62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79"/>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42"/>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FREQUENTLY USED TERMS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79"/>
              </w:rPr>
              <w:t>2</w:t>
            </w:r>
          </w:p>
        </w:tc>
      </w:tr>
      <w:tr>
        <w:trPr>
          <w:trHeight w:val="61"/>
        </w:trPr>
        <w:tc>
          <w:tcPr>
            <w:tcW w:w="18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42"/>
            <w:shd w:val="clear" w:color="auto" w:fill="CCEEFF"/>
          </w:tcPr>
          <w:p>
            <w:pPr>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QUESTIONS AND ANSWERS ABOUT THE PROPOSALS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42"/>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SUMMARY OF THE PROXY STATEMENT/PROSPECTUS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14</w:t>
            </w:r>
          </w:p>
        </w:tc>
      </w:tr>
      <w:tr>
        <w:trPr>
          <w:trHeight w:val="61"/>
        </w:trPr>
        <w:tc>
          <w:tcPr>
            <w:tcW w:w="18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42"/>
            <w:shd w:val="clear" w:color="auto" w:fill="CCEEFF"/>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SELECTED HISTORICAL CONSOLIDATED FINANCIAL INFORMATION OF TANGO</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42"/>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SELECTED HISTORICAL FINANCIAL INFORMATION OF BCTG</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27</w:t>
            </w:r>
          </w:p>
        </w:tc>
      </w:tr>
      <w:tr>
        <w:trPr>
          <w:trHeight w:val="61"/>
        </w:trPr>
        <w:tc>
          <w:tcPr>
            <w:tcW w:w="18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42"/>
            <w:shd w:val="clear" w:color="auto" w:fill="CCEEFF"/>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42"/>
          </w:tcPr>
          <w:p>
            <w:pPr>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CAUTIONARY NOTE REGARDING FORWARD-LOOKING STATEMENTS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93</w:t>
            </w:r>
          </w:p>
        </w:tc>
      </w:tr>
      <w:tr>
        <w:trPr>
          <w:trHeight w:val="61"/>
        </w:trPr>
        <w:tc>
          <w:tcPr>
            <w:tcW w:w="18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42"/>
            <w:shd w:val="clear" w:color="auto" w:fill="CCEEFF"/>
          </w:tcPr>
          <w:p>
            <w:pPr>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SPECIAL MEETING OF BCTG STOCKHOLDERS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96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42"/>
          </w:tcPr>
          <w:p>
            <w:pPr>
              <w:spacing w:after="0" w:line="202" w:lineRule="exact"/>
              <w:rPr>
                <w:rFonts w:ascii="Arial" w:cs="Arial" w:eastAsia="Arial" w:hAnsi="Arial"/>
                <w:sz w:val="18"/>
                <w:szCs w:val="18"/>
                <w:color w:val="0000EE"/>
              </w:rPr>
            </w:pPr>
            <w:hyperlink w:anchor="page113">
              <w:r>
                <w:rPr>
                  <w:rFonts w:ascii="Arial" w:cs="Arial" w:eastAsia="Arial" w:hAnsi="Arial"/>
                  <w:sz w:val="18"/>
                  <w:szCs w:val="18"/>
                  <w:color w:val="0000EE"/>
                </w:rPr>
                <w:t>UNAUDITED PRO FORMA CONDENSED COMBINED FINANCIAL INFORMATION</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101</w:t>
            </w:r>
          </w:p>
        </w:tc>
      </w:tr>
      <w:tr>
        <w:trPr>
          <w:trHeight w:val="61"/>
        </w:trPr>
        <w:tc>
          <w:tcPr>
            <w:tcW w:w="18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42"/>
            <w:shd w:val="clear" w:color="auto" w:fill="CCEEFF"/>
          </w:tcPr>
          <w:p>
            <w:pPr>
              <w:spacing w:after="0" w:line="202" w:lineRule="exact"/>
              <w:rPr>
                <w:rFonts w:ascii="Arial" w:cs="Arial" w:eastAsia="Arial" w:hAnsi="Arial"/>
                <w:sz w:val="18"/>
                <w:szCs w:val="18"/>
                <w:color w:val="0000EE"/>
              </w:rPr>
            </w:pPr>
            <w:hyperlink w:anchor="page123">
              <w:r>
                <w:rPr>
                  <w:rFonts w:ascii="Arial" w:cs="Arial" w:eastAsia="Arial" w:hAnsi="Arial"/>
                  <w:sz w:val="18"/>
                  <w:szCs w:val="18"/>
                  <w:color w:val="0000EE"/>
                </w:rPr>
                <w:t>PROPOSAL 1 — THE BUSINESS COMBINATION PROPOSAL</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110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42"/>
          </w:tcPr>
          <w:p>
            <w:pPr>
              <w:spacing w:after="0" w:line="202" w:lineRule="exact"/>
              <w:rPr>
                <w:rFonts w:ascii="Arial" w:cs="Arial" w:eastAsia="Arial" w:hAnsi="Arial"/>
                <w:sz w:val="18"/>
                <w:szCs w:val="18"/>
                <w:color w:val="0000EE"/>
              </w:rPr>
            </w:pPr>
            <w:hyperlink w:anchor="page158">
              <w:r>
                <w:rPr>
                  <w:rFonts w:ascii="Arial" w:cs="Arial" w:eastAsia="Arial" w:hAnsi="Arial"/>
                  <w:sz w:val="18"/>
                  <w:szCs w:val="18"/>
                  <w:color w:val="0000EE"/>
                </w:rPr>
                <w:t>PROPOSAL 2 — THE NASDAQ PROPOSAL</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145</w:t>
            </w:r>
          </w:p>
        </w:tc>
      </w:tr>
      <w:tr>
        <w:trPr>
          <w:trHeight w:val="61"/>
        </w:trPr>
        <w:tc>
          <w:tcPr>
            <w:tcW w:w="18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42"/>
            <w:shd w:val="clear" w:color="auto" w:fill="CCEEFF"/>
          </w:tcPr>
          <w:p>
            <w:pPr>
              <w:spacing w:after="0" w:line="202" w:lineRule="exact"/>
              <w:rPr>
                <w:rFonts w:ascii="Arial" w:cs="Arial" w:eastAsia="Arial" w:hAnsi="Arial"/>
                <w:sz w:val="18"/>
                <w:szCs w:val="18"/>
                <w:color w:val="0000EE"/>
              </w:rPr>
            </w:pPr>
            <w:hyperlink w:anchor="page159">
              <w:r>
                <w:rPr>
                  <w:rFonts w:ascii="Arial" w:cs="Arial" w:eastAsia="Arial" w:hAnsi="Arial"/>
                  <w:sz w:val="18"/>
                  <w:szCs w:val="18"/>
                  <w:color w:val="0000EE"/>
                </w:rPr>
                <w:t>PROPOSAL 3 — THE CHARTER AMENDMENT PROPOSAL</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146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42"/>
          </w:tcPr>
          <w:p>
            <w:pPr>
              <w:spacing w:after="0" w:line="202" w:lineRule="exact"/>
              <w:rPr>
                <w:rFonts w:ascii="Arial" w:cs="Arial" w:eastAsia="Arial" w:hAnsi="Arial"/>
                <w:sz w:val="18"/>
                <w:szCs w:val="18"/>
                <w:color w:val="0000EE"/>
              </w:rPr>
            </w:pPr>
            <w:hyperlink w:anchor="page162">
              <w:r>
                <w:rPr>
                  <w:rFonts w:ascii="Arial" w:cs="Arial" w:eastAsia="Arial" w:hAnsi="Arial"/>
                  <w:sz w:val="18"/>
                  <w:szCs w:val="18"/>
                  <w:color w:val="0000EE"/>
                </w:rPr>
                <w:t>PROPOSAL 4 — THE ADVISORY CHARTER PROPOSALS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149</w:t>
            </w:r>
          </w:p>
        </w:tc>
      </w:tr>
      <w:tr>
        <w:trPr>
          <w:trHeight w:val="61"/>
        </w:trPr>
        <w:tc>
          <w:tcPr>
            <w:tcW w:w="18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42"/>
            <w:shd w:val="clear" w:color="auto" w:fill="CCEEFF"/>
          </w:tcPr>
          <w:p>
            <w:pPr>
              <w:spacing w:after="0" w:line="202" w:lineRule="exact"/>
              <w:rPr>
                <w:rFonts w:ascii="Arial" w:cs="Arial" w:eastAsia="Arial" w:hAnsi="Arial"/>
                <w:sz w:val="18"/>
                <w:szCs w:val="18"/>
                <w:color w:val="0000EE"/>
              </w:rPr>
            </w:pPr>
            <w:hyperlink w:anchor="page165">
              <w:r>
                <w:rPr>
                  <w:rFonts w:ascii="Arial" w:cs="Arial" w:eastAsia="Arial" w:hAnsi="Arial"/>
                  <w:sz w:val="18"/>
                  <w:szCs w:val="18"/>
                  <w:color w:val="0000EE"/>
                </w:rPr>
                <w:t>PROPOSAL 5 — THE DIRECTORS PROPOSAL</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152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42"/>
          </w:tcPr>
          <w:p>
            <w:pPr>
              <w:spacing w:after="0" w:line="202" w:lineRule="exact"/>
              <w:rPr>
                <w:rFonts w:ascii="Arial" w:cs="Arial" w:eastAsia="Arial" w:hAnsi="Arial"/>
                <w:sz w:val="18"/>
                <w:szCs w:val="18"/>
                <w:color w:val="0000EE"/>
              </w:rPr>
            </w:pPr>
            <w:hyperlink w:anchor="page167">
              <w:r>
                <w:rPr>
                  <w:rFonts w:ascii="Arial" w:cs="Arial" w:eastAsia="Arial" w:hAnsi="Arial"/>
                  <w:sz w:val="18"/>
                  <w:szCs w:val="18"/>
                  <w:color w:val="0000EE"/>
                </w:rPr>
                <w:t>PROPOSAL 6 — THE EQUITY INCENTIVE PLAN PROPOSAL</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154</w:t>
            </w:r>
          </w:p>
        </w:tc>
      </w:tr>
      <w:tr>
        <w:trPr>
          <w:trHeight w:val="61"/>
        </w:trPr>
        <w:tc>
          <w:tcPr>
            <w:tcW w:w="18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42"/>
            <w:shd w:val="clear" w:color="auto" w:fill="CCEEFF"/>
          </w:tcPr>
          <w:p>
            <w:pPr>
              <w:spacing w:after="0" w:line="202" w:lineRule="exact"/>
              <w:rPr>
                <w:rFonts w:ascii="Arial" w:cs="Arial" w:eastAsia="Arial" w:hAnsi="Arial"/>
                <w:sz w:val="18"/>
                <w:szCs w:val="18"/>
                <w:color w:val="0000EE"/>
              </w:rPr>
            </w:pPr>
            <w:hyperlink w:anchor="page173">
              <w:r>
                <w:rPr>
                  <w:rFonts w:ascii="Arial" w:cs="Arial" w:eastAsia="Arial" w:hAnsi="Arial"/>
                  <w:sz w:val="18"/>
                  <w:szCs w:val="18"/>
                  <w:color w:val="0000EE"/>
                </w:rPr>
                <w:t>PROPOSAL 7 — THE ESPP PROPOSAL</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160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42"/>
          </w:tcPr>
          <w:p>
            <w:pPr>
              <w:spacing w:after="0" w:line="202" w:lineRule="exact"/>
              <w:rPr>
                <w:rFonts w:ascii="Arial" w:cs="Arial" w:eastAsia="Arial" w:hAnsi="Arial"/>
                <w:sz w:val="18"/>
                <w:szCs w:val="18"/>
                <w:color w:val="0000EE"/>
              </w:rPr>
            </w:pPr>
            <w:hyperlink w:anchor="page176">
              <w:r>
                <w:rPr>
                  <w:rFonts w:ascii="Arial" w:cs="Arial" w:eastAsia="Arial" w:hAnsi="Arial"/>
                  <w:sz w:val="18"/>
                  <w:szCs w:val="18"/>
                  <w:color w:val="0000EE"/>
                </w:rPr>
                <w:t>PROPOSAL 8 — THE ADJOURNMENT PROPOSAL</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163</w:t>
            </w:r>
          </w:p>
        </w:tc>
      </w:tr>
      <w:tr>
        <w:trPr>
          <w:trHeight w:val="61"/>
        </w:trPr>
        <w:tc>
          <w:tcPr>
            <w:tcW w:w="18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42"/>
            <w:shd w:val="clear" w:color="auto" w:fill="CCEEFF"/>
          </w:tcPr>
          <w:p>
            <w:pPr>
              <w:spacing w:after="0" w:line="202" w:lineRule="exact"/>
              <w:rPr>
                <w:rFonts w:ascii="Arial" w:cs="Arial" w:eastAsia="Arial" w:hAnsi="Arial"/>
                <w:sz w:val="18"/>
                <w:szCs w:val="18"/>
                <w:color w:val="0000EE"/>
              </w:rPr>
            </w:pPr>
            <w:hyperlink w:anchor="page177">
              <w:r>
                <w:rPr>
                  <w:rFonts w:ascii="Arial" w:cs="Arial" w:eastAsia="Arial" w:hAnsi="Arial"/>
                  <w:sz w:val="18"/>
                  <w:szCs w:val="18"/>
                  <w:color w:val="0000EE"/>
                </w:rPr>
                <w:t>INFORMATION ABOUT BCTG</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164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42"/>
          </w:tcPr>
          <w:p>
            <w:pPr>
              <w:spacing w:after="0" w:line="202" w:lineRule="exact"/>
              <w:rPr>
                <w:rFonts w:ascii="Arial" w:cs="Arial" w:eastAsia="Arial" w:hAnsi="Arial"/>
                <w:sz w:val="18"/>
                <w:szCs w:val="18"/>
                <w:color w:val="0000EE"/>
              </w:rPr>
            </w:pPr>
            <w:hyperlink w:anchor="page185">
              <w:r>
                <w:rPr>
                  <w:rFonts w:ascii="Arial" w:cs="Arial" w:eastAsia="Arial" w:hAnsi="Arial"/>
                  <w:sz w:val="18"/>
                  <w:szCs w:val="18"/>
                  <w:color w:val="0000EE"/>
                </w:rPr>
                <w:t>EXECUTIVE OFFICERS AND DIRECTORS OF BCTG</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172</w:t>
            </w:r>
          </w:p>
        </w:tc>
      </w:tr>
      <w:tr>
        <w:trPr>
          <w:trHeight w:val="61"/>
        </w:trPr>
        <w:tc>
          <w:tcPr>
            <w:tcW w:w="18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42"/>
            <w:shd w:val="clear" w:color="auto" w:fill="CCEEFF"/>
          </w:tcPr>
          <w:p>
            <w:pPr>
              <w:spacing w:after="0" w:line="202" w:lineRule="exact"/>
              <w:rPr>
                <w:rFonts w:ascii="Arial" w:cs="Arial" w:eastAsia="Arial" w:hAnsi="Arial"/>
                <w:sz w:val="18"/>
                <w:szCs w:val="18"/>
                <w:color w:val="0000EE"/>
              </w:rPr>
            </w:pPr>
            <w:hyperlink w:anchor="page194">
              <w:r>
                <w:rPr>
                  <w:rFonts w:ascii="Arial" w:cs="Arial" w:eastAsia="Arial" w:hAnsi="Arial"/>
                  <w:sz w:val="18"/>
                  <w:szCs w:val="18"/>
                  <w:color w:val="0000EE"/>
                </w:rPr>
                <w:t>PRINCIPAL STOCKHOLDERS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181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42"/>
          </w:tcPr>
          <w:p>
            <w:pPr>
              <w:spacing w:after="0" w:line="202" w:lineRule="exact"/>
              <w:rPr>
                <w:rFonts w:ascii="Arial" w:cs="Arial" w:eastAsia="Arial" w:hAnsi="Arial"/>
                <w:sz w:val="18"/>
                <w:szCs w:val="18"/>
                <w:color w:val="0000EE"/>
              </w:rPr>
            </w:pPr>
            <w:hyperlink w:anchor="page196">
              <w:r>
                <w:rPr>
                  <w:rFonts w:ascii="Arial" w:cs="Arial" w:eastAsia="Arial" w:hAnsi="Arial"/>
                  <w:sz w:val="18"/>
                  <w:szCs w:val="18"/>
                  <w:color w:val="0000EE"/>
                </w:rPr>
                <w:t>SELECTED FINANCIAL AND OTHER DATA OF BCTG</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183</w:t>
            </w:r>
          </w:p>
        </w:tc>
      </w:tr>
      <w:tr>
        <w:trPr>
          <w:trHeight w:val="61"/>
        </w:trPr>
        <w:tc>
          <w:tcPr>
            <w:tcW w:w="18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176"/>
        </w:trPr>
        <w:tc>
          <w:tcPr>
            <w:tcW w:w="7480" w:type="dxa"/>
            <w:vAlign w:val="bottom"/>
            <w:gridSpan w:val="42"/>
            <w:shd w:val="clear" w:color="auto" w:fill="CCEEFF"/>
          </w:tcPr>
          <w:p>
            <w:pPr>
              <w:spacing w:after="0" w:line="176" w:lineRule="exact"/>
              <w:rPr>
                <w:rFonts w:ascii="Arial" w:cs="Arial" w:eastAsia="Arial" w:hAnsi="Arial"/>
                <w:sz w:val="18"/>
                <w:szCs w:val="18"/>
                <w:color w:val="0000EE"/>
                <w:w w:val="99"/>
              </w:rPr>
            </w:pPr>
            <w:hyperlink w:anchor="page197">
              <w:r>
                <w:rPr>
                  <w:rFonts w:ascii="Arial" w:cs="Arial" w:eastAsia="Arial" w:hAnsi="Arial"/>
                  <w:sz w:val="18"/>
                  <w:szCs w:val="18"/>
                  <w:color w:val="0000EE"/>
                  <w:w w:val="99"/>
                </w:rPr>
                <w:t>MANAGEMENT’S DISCUSSION AND ANALYSIS OF RESULTS OF FINANCIAL CONDITION</w:t>
              </w:r>
            </w:hyperlink>
          </w:p>
        </w:tc>
        <w:tc>
          <w:tcPr>
            <w:tcW w:w="6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7140" w:type="dxa"/>
            <w:vAlign w:val="bottom"/>
            <w:tcBorders>
              <w:top w:val="single" w:sz="8" w:color="0000EE"/>
            </w:tcBorders>
            <w:gridSpan w:val="40"/>
            <w:shd w:val="clear" w:color="auto" w:fill="CCEEFF"/>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AND RESULTS OF OPERATIONS OF BCTG</w:t>
              </w:r>
            </w:hyperlink>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184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42"/>
          </w:tcPr>
          <w:p>
            <w:pPr>
              <w:spacing w:after="0" w:line="202" w:lineRule="exact"/>
              <w:rPr>
                <w:rFonts w:ascii="Arial" w:cs="Arial" w:eastAsia="Arial" w:hAnsi="Arial"/>
                <w:sz w:val="18"/>
                <w:szCs w:val="18"/>
                <w:color w:val="0000EE"/>
              </w:rPr>
            </w:pPr>
            <w:hyperlink w:anchor="page202">
              <w:r>
                <w:rPr>
                  <w:rFonts w:ascii="Arial" w:cs="Arial" w:eastAsia="Arial" w:hAnsi="Arial"/>
                  <w:sz w:val="18"/>
                  <w:szCs w:val="18"/>
                  <w:color w:val="0000EE"/>
                </w:rPr>
                <w:t>INFORMATION ABOUT TANGO</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189</w:t>
            </w:r>
          </w:p>
        </w:tc>
      </w:tr>
      <w:tr>
        <w:trPr>
          <w:trHeight w:val="61"/>
        </w:trPr>
        <w:tc>
          <w:tcPr>
            <w:tcW w:w="18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42"/>
            <w:shd w:val="clear" w:color="auto" w:fill="CCEEFF"/>
          </w:tcPr>
          <w:p>
            <w:pPr>
              <w:spacing w:after="0" w:line="202" w:lineRule="exact"/>
              <w:rPr>
                <w:rFonts w:ascii="Arial" w:cs="Arial" w:eastAsia="Arial" w:hAnsi="Arial"/>
                <w:sz w:val="18"/>
                <w:szCs w:val="18"/>
                <w:color w:val="0000EE"/>
              </w:rPr>
            </w:pPr>
            <w:hyperlink w:anchor="page244">
              <w:r>
                <w:rPr>
                  <w:rFonts w:ascii="Arial" w:cs="Arial" w:eastAsia="Arial" w:hAnsi="Arial"/>
                  <w:sz w:val="18"/>
                  <w:szCs w:val="18"/>
                  <w:color w:val="0000EE"/>
                </w:rPr>
                <w:t>EXECUTIVE AND DIRECTOR COMPENSATION OF TANGO</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231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42"/>
          </w:tcPr>
          <w:p>
            <w:pPr>
              <w:spacing w:after="0" w:line="202" w:lineRule="exact"/>
              <w:rPr>
                <w:rFonts w:ascii="Arial" w:cs="Arial" w:eastAsia="Arial" w:hAnsi="Arial"/>
                <w:sz w:val="18"/>
                <w:szCs w:val="18"/>
                <w:color w:val="0000EE"/>
              </w:rPr>
            </w:pPr>
            <w:hyperlink w:anchor="page252">
              <w:r>
                <w:rPr>
                  <w:rFonts w:ascii="Arial" w:cs="Arial" w:eastAsia="Arial" w:hAnsi="Arial"/>
                  <w:sz w:val="18"/>
                  <w:szCs w:val="18"/>
                  <w:color w:val="0000EE"/>
                </w:rPr>
                <w:t>MANAGEMENT AFTER THE BUSINESS COMBINATION</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239</w:t>
            </w:r>
          </w:p>
        </w:tc>
      </w:tr>
      <w:tr>
        <w:trPr>
          <w:trHeight w:val="61"/>
        </w:trPr>
        <w:tc>
          <w:tcPr>
            <w:tcW w:w="18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176"/>
        </w:trPr>
        <w:tc>
          <w:tcPr>
            <w:tcW w:w="6680" w:type="dxa"/>
            <w:vAlign w:val="bottom"/>
            <w:tcBorders>
              <w:bottom w:val="single" w:sz="8" w:color="0000EE"/>
            </w:tcBorders>
            <w:gridSpan w:val="39"/>
            <w:shd w:val="clear" w:color="auto" w:fill="CCEEFF"/>
          </w:tcPr>
          <w:p>
            <w:pPr>
              <w:spacing w:after="0" w:line="176" w:lineRule="exact"/>
              <w:rPr>
                <w:rFonts w:ascii="Arial" w:cs="Arial" w:eastAsia="Arial" w:hAnsi="Arial"/>
                <w:sz w:val="18"/>
                <w:szCs w:val="18"/>
                <w:color w:val="0000EE"/>
                <w:w w:val="98"/>
              </w:rPr>
            </w:pPr>
            <w:hyperlink w:anchor="page258">
              <w:r>
                <w:rPr>
                  <w:rFonts w:ascii="Arial" w:cs="Arial" w:eastAsia="Arial" w:hAnsi="Arial"/>
                  <w:sz w:val="18"/>
                  <w:szCs w:val="18"/>
                  <w:color w:val="0000EE"/>
                  <w:w w:val="98"/>
                </w:rPr>
                <w:t>MANAGEMENT’S DISCUSSION AND ANALYSIS OF FINANCIAL CONDITION AND</w:t>
              </w:r>
            </w:hyperlink>
          </w:p>
        </w:tc>
        <w:tc>
          <w:tcPr>
            <w:tcW w:w="800" w:type="dxa"/>
            <w:vAlign w:val="bottom"/>
            <w:tcBorders>
              <w:bottom w:val="single" w:sz="8" w:color="CCEEFF"/>
            </w:tcBorders>
            <w:gridSpan w:val="3"/>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300" w:type="dxa"/>
            <w:vAlign w:val="bottom"/>
            <w:gridSpan w:val="41"/>
            <w:shd w:val="clear" w:color="auto" w:fill="CCEEFF"/>
          </w:tcPr>
          <w:p>
            <w:pPr>
              <w:spacing w:after="0" w:line="196" w:lineRule="exact"/>
              <w:rPr>
                <w:rFonts w:ascii="Arial" w:cs="Arial" w:eastAsia="Arial" w:hAnsi="Arial"/>
                <w:sz w:val="18"/>
                <w:szCs w:val="18"/>
                <w:color w:val="0000EE"/>
              </w:rPr>
            </w:pPr>
            <w:hyperlink w:anchor="page258">
              <w:r>
                <w:rPr>
                  <w:rFonts w:ascii="Arial" w:cs="Arial" w:eastAsia="Arial" w:hAnsi="Arial"/>
                  <w:sz w:val="18"/>
                  <w:szCs w:val="18"/>
                  <w:color w:val="0000EE"/>
                </w:rPr>
                <w:t>RESULTS OF OPERATIONS OF TANGO</w:t>
              </w:r>
            </w:hyperlink>
          </w:p>
        </w:tc>
        <w:tc>
          <w:tcPr>
            <w:tcW w:w="6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245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42"/>
          </w:tcPr>
          <w:p>
            <w:pPr>
              <w:spacing w:after="0" w:line="202" w:lineRule="exact"/>
              <w:rPr>
                <w:rFonts w:ascii="Arial" w:cs="Arial" w:eastAsia="Arial" w:hAnsi="Arial"/>
                <w:sz w:val="18"/>
                <w:szCs w:val="18"/>
                <w:color w:val="0000EE"/>
              </w:rPr>
            </w:pPr>
            <w:hyperlink w:anchor="page273">
              <w:r>
                <w:rPr>
                  <w:rFonts w:ascii="Arial" w:cs="Arial" w:eastAsia="Arial" w:hAnsi="Arial"/>
                  <w:sz w:val="18"/>
                  <w:szCs w:val="18"/>
                  <w:color w:val="0000EE"/>
                </w:rPr>
                <w:t>DESCRIPTION OF SECURITIES OF BCTG</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260</w:t>
            </w:r>
          </w:p>
        </w:tc>
      </w:tr>
      <w:tr>
        <w:trPr>
          <w:trHeight w:val="61"/>
        </w:trPr>
        <w:tc>
          <w:tcPr>
            <w:tcW w:w="18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42"/>
            <w:shd w:val="clear" w:color="auto" w:fill="CCEEFF"/>
          </w:tcPr>
          <w:p>
            <w:pPr>
              <w:spacing w:after="0" w:line="202" w:lineRule="exact"/>
              <w:rPr>
                <w:rFonts w:ascii="Arial" w:cs="Arial" w:eastAsia="Arial" w:hAnsi="Arial"/>
                <w:sz w:val="18"/>
                <w:szCs w:val="18"/>
                <w:color w:val="0000EE"/>
              </w:rPr>
            </w:pPr>
            <w:hyperlink w:anchor="page276">
              <w:r>
                <w:rPr>
                  <w:rFonts w:ascii="Arial" w:cs="Arial" w:eastAsia="Arial" w:hAnsi="Arial"/>
                  <w:sz w:val="18"/>
                  <w:szCs w:val="18"/>
                  <w:color w:val="0000EE"/>
                </w:rPr>
                <w:t>COMPARISON OF CORPORATE GOVERNANCE AND STOCKHOLDER RIGHTS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263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42"/>
          </w:tcPr>
          <w:p>
            <w:pPr>
              <w:spacing w:after="0" w:line="202" w:lineRule="exact"/>
              <w:rPr>
                <w:rFonts w:ascii="Arial" w:cs="Arial" w:eastAsia="Arial" w:hAnsi="Arial"/>
                <w:sz w:val="18"/>
                <w:szCs w:val="18"/>
                <w:color w:val="0000EE"/>
              </w:rPr>
            </w:pPr>
            <w:hyperlink w:anchor="page283">
              <w:r>
                <w:rPr>
                  <w:rFonts w:ascii="Arial" w:cs="Arial" w:eastAsia="Arial" w:hAnsi="Arial"/>
                  <w:sz w:val="18"/>
                  <w:szCs w:val="18"/>
                  <w:color w:val="0000EE"/>
                </w:rPr>
                <w:t>DESCRIPTION OF SECURITIES AFTER THE BUSINESS COMBINATION</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270</w:t>
            </w:r>
          </w:p>
        </w:tc>
      </w:tr>
      <w:tr>
        <w:trPr>
          <w:trHeight w:val="61"/>
        </w:trPr>
        <w:tc>
          <w:tcPr>
            <w:tcW w:w="18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42"/>
            <w:shd w:val="clear" w:color="auto" w:fill="CCEEFF"/>
          </w:tcPr>
          <w:p>
            <w:pPr>
              <w:spacing w:after="0" w:line="202" w:lineRule="exact"/>
              <w:rPr>
                <w:rFonts w:ascii="Arial" w:cs="Arial" w:eastAsia="Arial" w:hAnsi="Arial"/>
                <w:sz w:val="18"/>
                <w:szCs w:val="18"/>
                <w:color w:val="0000EE"/>
              </w:rPr>
            </w:pPr>
            <w:hyperlink w:anchor="page286">
              <w:r>
                <w:rPr>
                  <w:rFonts w:ascii="Arial" w:cs="Arial" w:eastAsia="Arial" w:hAnsi="Arial"/>
                  <w:sz w:val="18"/>
                  <w:szCs w:val="18"/>
                  <w:color w:val="0000EE"/>
                </w:rPr>
                <w:t>SHARES ELIGIBLE FOR FUTURE SALE</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273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42"/>
          </w:tcPr>
          <w:p>
            <w:pPr>
              <w:spacing w:after="0" w:line="202" w:lineRule="exact"/>
              <w:rPr>
                <w:rFonts w:ascii="Arial" w:cs="Arial" w:eastAsia="Arial" w:hAnsi="Arial"/>
                <w:sz w:val="18"/>
                <w:szCs w:val="18"/>
                <w:color w:val="0000EE"/>
              </w:rPr>
            </w:pPr>
            <w:hyperlink w:anchor="page288">
              <w:r>
                <w:rPr>
                  <w:rFonts w:ascii="Arial" w:cs="Arial" w:eastAsia="Arial" w:hAnsi="Arial"/>
                  <w:sz w:val="18"/>
                  <w:szCs w:val="18"/>
                  <w:color w:val="0000EE"/>
                </w:rPr>
                <w:t>TICKER SYMBOL, MARKET PRICE AND DIVIDEND POLICY</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275</w:t>
            </w:r>
          </w:p>
        </w:tc>
      </w:tr>
      <w:tr>
        <w:trPr>
          <w:trHeight w:val="61"/>
        </w:trPr>
        <w:tc>
          <w:tcPr>
            <w:tcW w:w="18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42"/>
            <w:shd w:val="clear" w:color="auto" w:fill="CCEEFF"/>
          </w:tcPr>
          <w:p>
            <w:pPr>
              <w:spacing w:after="0" w:line="202" w:lineRule="exact"/>
              <w:rPr>
                <w:rFonts w:ascii="Arial" w:cs="Arial" w:eastAsia="Arial" w:hAnsi="Arial"/>
                <w:sz w:val="18"/>
                <w:szCs w:val="18"/>
                <w:color w:val="0000EE"/>
              </w:rPr>
            </w:pPr>
            <w:hyperlink w:anchor="page289">
              <w:r>
                <w:rPr>
                  <w:rFonts w:ascii="Arial" w:cs="Arial" w:eastAsia="Arial" w:hAnsi="Arial"/>
                  <w:sz w:val="18"/>
                  <w:szCs w:val="18"/>
                  <w:color w:val="0000EE"/>
                </w:rPr>
                <w:t>SECURITY OWNERSHIP OF CERTAIN BENEFICIAL OWNERS AND MANAGEMENT</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276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42"/>
          </w:tcPr>
          <w:p>
            <w:pPr>
              <w:spacing w:after="0" w:line="202" w:lineRule="exact"/>
              <w:rPr>
                <w:rFonts w:ascii="Arial" w:cs="Arial" w:eastAsia="Arial" w:hAnsi="Arial"/>
                <w:sz w:val="18"/>
                <w:szCs w:val="18"/>
                <w:color w:val="0000EE"/>
              </w:rPr>
            </w:pPr>
            <w:hyperlink w:anchor="page292">
              <w:r>
                <w:rPr>
                  <w:rFonts w:ascii="Arial" w:cs="Arial" w:eastAsia="Arial" w:hAnsi="Arial"/>
                  <w:sz w:val="18"/>
                  <w:szCs w:val="18"/>
                  <w:color w:val="0000EE"/>
                </w:rPr>
                <w:t>CERTAIN RELATIONSHIPS AND RELATED PERSON TRANSACTIONS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279</w:t>
            </w:r>
          </w:p>
        </w:tc>
      </w:tr>
      <w:tr>
        <w:trPr>
          <w:trHeight w:val="61"/>
        </w:trPr>
        <w:tc>
          <w:tcPr>
            <w:tcW w:w="18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42"/>
            <w:shd w:val="clear" w:color="auto" w:fill="CCEEFF"/>
          </w:tcPr>
          <w:p>
            <w:pPr>
              <w:spacing w:after="0" w:line="202" w:lineRule="exact"/>
              <w:rPr>
                <w:rFonts w:ascii="Arial" w:cs="Arial" w:eastAsia="Arial" w:hAnsi="Arial"/>
                <w:sz w:val="18"/>
                <w:szCs w:val="18"/>
                <w:color w:val="0000EE"/>
              </w:rPr>
            </w:pPr>
            <w:hyperlink w:anchor="page298">
              <w:r>
                <w:rPr>
                  <w:rFonts w:ascii="Arial" w:cs="Arial" w:eastAsia="Arial" w:hAnsi="Arial"/>
                  <w:sz w:val="18"/>
                  <w:szCs w:val="18"/>
                  <w:color w:val="0000EE"/>
                </w:rPr>
                <w:t>ADDITIONAL INFORMATION</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285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42"/>
          </w:tcPr>
          <w:p>
            <w:pPr>
              <w:spacing w:after="0" w:line="202" w:lineRule="exact"/>
              <w:rPr>
                <w:rFonts w:ascii="Arial" w:cs="Arial" w:eastAsia="Arial" w:hAnsi="Arial"/>
                <w:sz w:val="18"/>
                <w:szCs w:val="18"/>
                <w:color w:val="0000EE"/>
              </w:rPr>
            </w:pPr>
            <w:hyperlink w:anchor="page300">
              <w:r>
                <w:rPr>
                  <w:rFonts w:ascii="Arial" w:cs="Arial" w:eastAsia="Arial" w:hAnsi="Arial"/>
                  <w:sz w:val="18"/>
                  <w:szCs w:val="18"/>
                  <w:color w:val="0000EE"/>
                </w:rPr>
                <w:t>WHERE YOU CAN FIND MORE INFORMATION</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287</w:t>
            </w:r>
          </w:p>
        </w:tc>
      </w:tr>
      <w:tr>
        <w:trPr>
          <w:trHeight w:val="61"/>
        </w:trPr>
        <w:tc>
          <w:tcPr>
            <w:tcW w:w="18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42"/>
            <w:shd w:val="clear" w:color="auto" w:fill="CCEEFF"/>
          </w:tcPr>
          <w:p>
            <w:pPr>
              <w:spacing w:after="0" w:line="202" w:lineRule="exact"/>
              <w:rPr>
                <w:rFonts w:ascii="Arial" w:cs="Arial" w:eastAsia="Arial" w:hAnsi="Arial"/>
                <w:sz w:val="18"/>
                <w:szCs w:val="18"/>
                <w:color w:val="0000EE"/>
              </w:rPr>
            </w:pPr>
            <w:hyperlink w:anchor="page301">
              <w:r>
                <w:rPr>
                  <w:rFonts w:ascii="Arial" w:cs="Arial" w:eastAsia="Arial" w:hAnsi="Arial"/>
                  <w:sz w:val="18"/>
                  <w:szCs w:val="18"/>
                  <w:color w:val="0000EE"/>
                </w:rPr>
                <w:t>INDEX TO FINANCIAL STATEMENTS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F-1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84"/>
        </w:trPr>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7480" w:type="dxa"/>
            <w:vAlign w:val="bottom"/>
            <w:gridSpan w:val="42"/>
            <w:shd w:val="clear" w:color="auto" w:fill="CCEEFF"/>
          </w:tcPr>
          <w:p>
            <w:pPr>
              <w:spacing w:after="0" w:line="202" w:lineRule="exact"/>
              <w:rPr>
                <w:rFonts w:ascii="Arial" w:cs="Arial" w:eastAsia="Arial" w:hAnsi="Arial"/>
                <w:sz w:val="18"/>
                <w:szCs w:val="18"/>
                <w:color w:val="0000EE"/>
              </w:rPr>
            </w:pPr>
            <w:hyperlink w:anchor="page352">
              <w:r>
                <w:rPr>
                  <w:rFonts w:ascii="Arial" w:cs="Arial" w:eastAsia="Arial" w:hAnsi="Arial"/>
                  <w:sz w:val="18"/>
                  <w:szCs w:val="18"/>
                  <w:color w:val="0000EE"/>
                </w:rPr>
                <w:t>ANNEX A   Merger Agreement</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A-1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42"/>
          </w:tcPr>
          <w:p>
            <w:pPr>
              <w:spacing w:after="0" w:line="202" w:lineRule="exact"/>
              <w:rPr>
                <w:rFonts w:ascii="Arial" w:cs="Arial" w:eastAsia="Arial" w:hAnsi="Arial"/>
                <w:sz w:val="18"/>
                <w:szCs w:val="18"/>
                <w:color w:val="0000EE"/>
              </w:rPr>
            </w:pPr>
            <w:hyperlink w:anchor="page491">
              <w:r>
                <w:rPr>
                  <w:rFonts w:ascii="Arial" w:cs="Arial" w:eastAsia="Arial" w:hAnsi="Arial"/>
                  <w:sz w:val="18"/>
                  <w:szCs w:val="18"/>
                  <w:color w:val="0000EE"/>
                </w:rPr>
                <w:t>ANNEX B   Amended and Restated Certificate of Incorporation</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9"/>
              </w:rPr>
              <w:t>B-1</w:t>
            </w:r>
          </w:p>
        </w:tc>
      </w:tr>
      <w:tr>
        <w:trPr>
          <w:trHeight w:val="61"/>
        </w:trPr>
        <w:tc>
          <w:tcPr>
            <w:tcW w:w="18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2"/>
        </w:trPr>
        <w:tc>
          <w:tcPr>
            <w:tcW w:w="7480" w:type="dxa"/>
            <w:vAlign w:val="bottom"/>
            <w:gridSpan w:val="42"/>
            <w:shd w:val="clear" w:color="auto" w:fill="CCEEFF"/>
          </w:tcPr>
          <w:p>
            <w:pPr>
              <w:spacing w:after="0" w:line="202" w:lineRule="exact"/>
              <w:rPr>
                <w:rFonts w:ascii="Arial" w:cs="Arial" w:eastAsia="Arial" w:hAnsi="Arial"/>
                <w:sz w:val="18"/>
                <w:szCs w:val="18"/>
                <w:color w:val="0000EE"/>
              </w:rPr>
            </w:pPr>
            <w:hyperlink w:anchor="page492">
              <w:r>
                <w:rPr>
                  <w:rFonts w:ascii="Arial" w:cs="Arial" w:eastAsia="Arial" w:hAnsi="Arial"/>
                  <w:sz w:val="18"/>
                  <w:szCs w:val="18"/>
                  <w:color w:val="0000EE"/>
                </w:rPr>
                <w:t>ANNEX C   2021 Equity Incentive Plan</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C-1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42"/>
          </w:tcPr>
          <w:p>
            <w:pPr>
              <w:spacing w:after="0" w:line="202" w:lineRule="exact"/>
              <w:rPr>
                <w:rFonts w:ascii="Arial" w:cs="Arial" w:eastAsia="Arial" w:hAnsi="Arial"/>
                <w:sz w:val="18"/>
                <w:szCs w:val="18"/>
                <w:color w:val="0000EE"/>
              </w:rPr>
            </w:pPr>
            <w:hyperlink w:anchor="page504">
              <w:r>
                <w:rPr>
                  <w:rFonts w:ascii="Arial" w:cs="Arial" w:eastAsia="Arial" w:hAnsi="Arial"/>
                  <w:sz w:val="18"/>
                  <w:szCs w:val="18"/>
                  <w:color w:val="0000EE"/>
                </w:rPr>
                <w:t>ANNEX D   2021 Employee Stock Purchase Plan</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6"/>
              </w:rPr>
              <w:t>D-1</w:t>
            </w:r>
          </w:p>
        </w:tc>
      </w:tr>
      <w:tr>
        <w:trPr>
          <w:trHeight w:val="61"/>
        </w:trPr>
        <w:tc>
          <w:tcPr>
            <w:tcW w:w="18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42"/>
            <w:shd w:val="clear" w:color="auto" w:fill="CCEEFF"/>
          </w:tcPr>
          <w:p>
            <w:pPr>
              <w:spacing w:after="0" w:line="202" w:lineRule="exact"/>
              <w:rPr>
                <w:rFonts w:ascii="Arial" w:cs="Arial" w:eastAsia="Arial" w:hAnsi="Arial"/>
                <w:sz w:val="18"/>
                <w:szCs w:val="18"/>
                <w:color w:val="0000EE"/>
              </w:rPr>
            </w:pPr>
            <w:hyperlink w:anchor="page509">
              <w:r>
                <w:rPr>
                  <w:rFonts w:ascii="Arial" w:cs="Arial" w:eastAsia="Arial" w:hAnsi="Arial"/>
                  <w:sz w:val="18"/>
                  <w:szCs w:val="18"/>
                  <w:color w:val="0000EE"/>
                </w:rPr>
                <w:t>ANNEX E   Fairness Opinion of Canaccord Genuity</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2"/>
              </w:rPr>
              <w:t>E-1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 w:name="page13"/>
    <w:bookmarkEnd w:id="1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PROXY STATEMENT/PROSPECTUS</w:t>
      </w:r>
    </w:p>
    <w:p>
      <w:pPr>
        <w:spacing w:after="0" w:line="148"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This document, which forms part of a registration statement on Form S-4 filed with the SEC by BCTG (File No. 333- )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constitutes a prospectus of BCTG under Section 5 of the Securities Act, with respect to the shares of Common Stock to be issued if the Business Combination described below is consummated. This document also constitutes a notice of meeting and a proxy statement under Section 14(a) of the Exchange Act with respect to the Special Meeting of BCTG stockholders at which BCTG stockholders will be asked to consider and vote upon a proposal to approve the Business Combination by the approval and adoption of the Merger Agreement, among other matters.</w:t>
      </w:r>
    </w:p>
    <w:p>
      <w:pPr>
        <w:spacing w:after="0" w:line="110"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 xml:space="preserve">BCTG files reports, proxy statements/prospectuses and other information with the SEC as required by the Exchange Act. You can read BCTG’s SEC filings, including this proxy statement/prospectus,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16"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If you would like additional copies of this proxy statement/prospectus or if you have questions about the Business Combination or the proposals to be presented at the Special Meeting, you should contact our proxy solicitor at: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If you are a stockholder of BCTG and would like to request documents, please do so by [•], 2021 to receive them before the BCTG Special Meeting of stockholders. If you request any documents from us, we will mail them to you by first class mail, or another equally prompt means.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16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Certain information contained in this document relates to or is based on studies, publications, surveys and other data obtained from third-party sources and BCTG’s and Tango’s own internal estimates and research. While we believe these third-party sources to be reliable as of the date of this proxy statement/prospectus, we have not independently verified the market and industry data contained in this proxy statement/prospectus or the underlying assumptions relied on therein. Finally, while we believe our own internal research is reliable, such research has not been verified by any independent source.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w:t>
      </w:r>
    </w:p>
    <w:p>
      <w:pPr>
        <w:spacing w:after="0" w:line="148" w:lineRule="exact"/>
        <w:rPr>
          <w:sz w:val="20"/>
          <w:szCs w:val="20"/>
          <w:color w:val="auto"/>
        </w:rPr>
      </w:pPr>
    </w:p>
    <w:p>
      <w:pPr>
        <w:ind w:left="460" w:right="679" w:firstLine="432"/>
        <w:spacing w:after="0" w:line="254" w:lineRule="auto"/>
        <w:rPr>
          <w:sz w:val="20"/>
          <w:szCs w:val="20"/>
          <w:color w:val="auto"/>
        </w:rPr>
      </w:pPr>
      <w:r>
        <w:rPr>
          <w:rFonts w:ascii="Arial" w:cs="Arial" w:eastAsia="Arial" w:hAnsi="Arial"/>
          <w:sz w:val="18"/>
          <w:szCs w:val="18"/>
          <w:color w:val="auto"/>
        </w:rPr>
        <w:t>This document contains references to trademarks, trade names and service marks belonging to other entities. Solely for convenience, trademarks, trade names and service marks referred to in this proxy statement/prospectus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 w:name="page14"/>
    <w:bookmarkEnd w:id="1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FREQUENTLY USED TERMS</w:t>
      </w:r>
    </w:p>
    <w:p>
      <w:pPr>
        <w:spacing w:after="0" w:line="148" w:lineRule="exact"/>
        <w:rPr>
          <w:sz w:val="20"/>
          <w:szCs w:val="20"/>
          <w:color w:val="auto"/>
        </w:rPr>
      </w:pPr>
    </w:p>
    <w:p>
      <w:pPr>
        <w:ind w:left="460" w:right="1119" w:firstLine="432"/>
        <w:spacing w:after="0" w:line="277" w:lineRule="auto"/>
        <w:rPr>
          <w:sz w:val="20"/>
          <w:szCs w:val="20"/>
          <w:color w:val="auto"/>
        </w:rPr>
      </w:pPr>
      <w:r>
        <w:rPr>
          <w:rFonts w:ascii="Arial" w:cs="Arial" w:eastAsia="Arial" w:hAnsi="Arial"/>
          <w:sz w:val="18"/>
          <w:szCs w:val="18"/>
          <w:color w:val="auto"/>
        </w:rPr>
        <w:t>Unless otherwise stated or unless the context otherwise requires, the terms “we,” “us,” “our,” and “BCTG” refer to BCTG Acquisition Corp.</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this document:</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BCTG</w:t>
      </w:r>
      <w:r>
        <w:rPr>
          <w:rFonts w:ascii="Arial" w:cs="Arial" w:eastAsia="Arial" w:hAnsi="Arial"/>
          <w:sz w:val="18"/>
          <w:szCs w:val="18"/>
          <w:color w:val="auto"/>
        </w:rPr>
        <w:t>” means BCTG Acquisition Corp.</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BCTG Common Stock</w:t>
      </w:r>
      <w:r>
        <w:rPr>
          <w:rFonts w:ascii="Arial" w:cs="Arial" w:eastAsia="Arial" w:hAnsi="Arial"/>
          <w:sz w:val="17"/>
          <w:szCs w:val="17"/>
          <w:color w:val="auto"/>
        </w:rPr>
        <w:t>” or “</w:t>
      </w:r>
      <w:r>
        <w:rPr>
          <w:rFonts w:ascii="Arial" w:cs="Arial" w:eastAsia="Arial" w:hAnsi="Arial"/>
          <w:sz w:val="17"/>
          <w:szCs w:val="17"/>
          <w:b w:val="1"/>
          <w:bCs w:val="1"/>
          <w:color w:val="auto"/>
        </w:rPr>
        <w:t>Common Stock</w:t>
      </w:r>
      <w:r>
        <w:rPr>
          <w:rFonts w:ascii="Arial" w:cs="Arial" w:eastAsia="Arial" w:hAnsi="Arial"/>
          <w:sz w:val="17"/>
          <w:szCs w:val="17"/>
          <w:color w:val="auto"/>
        </w:rPr>
        <w:t>” means common stock of BCTG, $0.0001 par value.</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BCTG IPO</w:t>
      </w:r>
      <w:r>
        <w:rPr>
          <w:rFonts w:ascii="Arial" w:cs="Arial" w:eastAsia="Arial" w:hAnsi="Arial"/>
          <w:sz w:val="17"/>
          <w:szCs w:val="17"/>
          <w:color w:val="auto"/>
        </w:rPr>
        <w:t>” means BCTG’s initial public offering, which was consummated on September 8, 2020.</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BCTG.</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w:t>
      </w:r>
      <w:r>
        <w:rPr>
          <w:rFonts w:ascii="Arial" w:cs="Arial" w:eastAsia="Arial" w:hAnsi="Arial"/>
          <w:sz w:val="18"/>
          <w:szCs w:val="18"/>
          <w:color w:val="auto"/>
        </w:rPr>
        <w:t>” means the business combination pursuant to the Merger Agreement.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Canaccord Genuity</w:t>
      </w:r>
      <w:r>
        <w:rPr>
          <w:rFonts w:ascii="Arial" w:cs="Arial" w:eastAsia="Arial" w:hAnsi="Arial"/>
          <w:sz w:val="18"/>
          <w:szCs w:val="18"/>
          <w:color w:val="auto"/>
        </w:rPr>
        <w:t>” means Canaccord Genuity LLC, financial advisor to BCTG.</w:t>
      </w:r>
    </w:p>
    <w:p>
      <w:pPr>
        <w:spacing w:after="0" w:line="158" w:lineRule="exact"/>
        <w:rPr>
          <w:sz w:val="20"/>
          <w:szCs w:val="20"/>
          <w:color w:val="auto"/>
        </w:rPr>
      </w:pPr>
    </w:p>
    <w:p>
      <w:pPr>
        <w:ind w:left="460" w:right="1379" w:firstLine="432"/>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Charter</w:t>
      </w:r>
      <w:r>
        <w:rPr>
          <w:rFonts w:ascii="Arial" w:cs="Arial" w:eastAsia="Arial" w:hAnsi="Arial"/>
          <w:sz w:val="16"/>
          <w:szCs w:val="16"/>
          <w:color w:val="auto"/>
        </w:rPr>
        <w:t xml:space="preserve">” or </w:t>
      </w:r>
      <w:r>
        <w:rPr>
          <w:rFonts w:ascii="Arial" w:cs="Arial" w:eastAsia="Arial" w:hAnsi="Arial"/>
          <w:sz w:val="16"/>
          <w:szCs w:val="16"/>
          <w:b w:val="1"/>
          <w:bCs w:val="1"/>
          <w:color w:val="auto"/>
        </w:rPr>
        <w:t>“Current Charter”</w:t>
      </w:r>
      <w:r>
        <w:rPr>
          <w:rFonts w:ascii="Arial" w:cs="Arial" w:eastAsia="Arial" w:hAnsi="Arial"/>
          <w:sz w:val="16"/>
          <w:szCs w:val="16"/>
          <w:color w:val="auto"/>
        </w:rPr>
        <w:t xml:space="preserve"> means BCTG’s current amended and restated certificate of incorporation as filed with the Secretary of State of the State of Delaware on September 2, 2020.</w:t>
      </w:r>
    </w:p>
    <w:p>
      <w:pPr>
        <w:spacing w:after="0" w:line="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means the closing of the Business Combination.</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Combined Entity</w:t>
      </w:r>
      <w:r>
        <w:rPr>
          <w:rFonts w:ascii="Arial" w:cs="Arial" w:eastAsia="Arial" w:hAnsi="Arial"/>
          <w:sz w:val="18"/>
          <w:szCs w:val="18"/>
          <w:color w:val="auto"/>
        </w:rPr>
        <w:t>” means BCTG after Tango becomes a wholly-owned subsidiary of BCTG.</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Combined Entity’s Board</w:t>
      </w:r>
      <w:r>
        <w:rPr>
          <w:rFonts w:ascii="Arial" w:cs="Arial" w:eastAsia="Arial" w:hAnsi="Arial"/>
          <w:sz w:val="18"/>
          <w:szCs w:val="18"/>
          <w:color w:val="auto"/>
        </w:rPr>
        <w:t>” means the board of directors of the Combined Entity.</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means the Delaware General Corporation Law.</w:t>
      </w:r>
    </w:p>
    <w:p>
      <w:pPr>
        <w:spacing w:after="0" w:line="158" w:lineRule="exact"/>
        <w:rPr>
          <w:sz w:val="20"/>
          <w:szCs w:val="20"/>
          <w:color w:val="auto"/>
        </w:rPr>
      </w:pPr>
    </w:p>
    <w:p>
      <w:pPr>
        <w:ind w:left="460" w:right="79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Time</w:t>
      </w:r>
      <w:r>
        <w:rPr>
          <w:rFonts w:ascii="Arial" w:cs="Arial" w:eastAsia="Arial" w:hAnsi="Arial"/>
          <w:sz w:val="18"/>
          <w:szCs w:val="18"/>
          <w:color w:val="auto"/>
        </w:rPr>
        <w:t>” means the time at which the Business Combination became effective pursuant to its terms.</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ind w:left="460" w:right="1079" w:firstLine="432"/>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Founders Shares</w:t>
      </w:r>
      <w:r>
        <w:rPr>
          <w:rFonts w:ascii="Arial" w:cs="Arial" w:eastAsia="Arial" w:hAnsi="Arial"/>
          <w:sz w:val="16"/>
          <w:szCs w:val="16"/>
          <w:color w:val="auto"/>
        </w:rPr>
        <w:t>” means the outstanding shares of our Common Stock held by the Sponsor, our directors and affiliates of our management team since June 2020 and includes the Private Shares.</w:t>
      </w:r>
    </w:p>
    <w:p>
      <w:pPr>
        <w:spacing w:after="0" w:line="35" w:lineRule="exact"/>
        <w:rPr>
          <w:sz w:val="20"/>
          <w:szCs w:val="20"/>
          <w:color w:val="auto"/>
        </w:rPr>
      </w:pPr>
    </w:p>
    <w:p>
      <w:pPr>
        <w:ind w:left="460" w:right="91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means the Agreement and Plan of Merger, dated as of April 13, 2021, by and among BCTG, Merger Sub and Tango.</w:t>
      </w:r>
    </w:p>
    <w:p>
      <w:pPr>
        <w:spacing w:after="0" w:line="94" w:lineRule="exact"/>
        <w:rPr>
          <w:sz w:val="20"/>
          <w:szCs w:val="20"/>
          <w:color w:val="auto"/>
        </w:rPr>
      </w:pPr>
    </w:p>
    <w:p>
      <w:pPr>
        <w:ind w:left="460" w:right="1159" w:firstLine="432"/>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Merger Consideration</w:t>
      </w:r>
      <w:r>
        <w:rPr>
          <w:rFonts w:ascii="Arial" w:cs="Arial" w:eastAsia="Arial" w:hAnsi="Arial"/>
          <w:sz w:val="17"/>
          <w:szCs w:val="17"/>
          <w:color w:val="auto"/>
        </w:rPr>
        <w:t>” and “</w:t>
      </w:r>
      <w:r>
        <w:rPr>
          <w:rFonts w:ascii="Arial" w:cs="Arial" w:eastAsia="Arial" w:hAnsi="Arial"/>
          <w:sz w:val="17"/>
          <w:szCs w:val="17"/>
          <w:b w:val="1"/>
          <w:bCs w:val="1"/>
          <w:color w:val="auto"/>
        </w:rPr>
        <w:t>Merger Consideration Shares</w:t>
      </w:r>
      <w:r>
        <w:rPr>
          <w:rFonts w:ascii="Arial" w:cs="Arial" w:eastAsia="Arial" w:hAnsi="Arial"/>
          <w:sz w:val="17"/>
          <w:szCs w:val="17"/>
          <w:color w:val="auto"/>
        </w:rPr>
        <w:t>” means the 55,000,000 shares of Common Stock to be issued as part of the consideration for the Business Combination.</w:t>
      </w:r>
    </w:p>
    <w:p>
      <w:pPr>
        <w:spacing w:after="0" w:line="72" w:lineRule="exact"/>
        <w:rPr>
          <w:sz w:val="20"/>
          <w:szCs w:val="20"/>
          <w:color w:val="auto"/>
        </w:rPr>
      </w:pPr>
    </w:p>
    <w:p>
      <w:pPr>
        <w:ind w:left="460" w:right="67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Sub</w:t>
      </w:r>
      <w:r>
        <w:rPr>
          <w:rFonts w:ascii="Arial" w:cs="Arial" w:eastAsia="Arial" w:hAnsi="Arial"/>
          <w:sz w:val="18"/>
          <w:szCs w:val="18"/>
          <w:color w:val="auto"/>
        </w:rPr>
        <w:t>” means BCTG Merger Sub Inc., a Delaware corporation and wholly owned subsidiary of BCTG.</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Tango</w:t>
      </w:r>
      <w:r>
        <w:rPr>
          <w:rFonts w:ascii="Arial" w:cs="Arial" w:eastAsia="Arial" w:hAnsi="Arial"/>
          <w:sz w:val="18"/>
          <w:szCs w:val="18"/>
          <w:color w:val="auto"/>
        </w:rPr>
        <w:t>” means BCTG after the Effective Time.</w:t>
      </w:r>
    </w:p>
    <w:p>
      <w:pPr>
        <w:spacing w:after="0" w:line="158" w:lineRule="exact"/>
        <w:rPr>
          <w:sz w:val="20"/>
          <w:szCs w:val="20"/>
          <w:color w:val="auto"/>
        </w:rPr>
      </w:pPr>
    </w:p>
    <w:p>
      <w:pPr>
        <w:ind w:left="460" w:right="1079" w:firstLine="432"/>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PIPE Financing</w:t>
      </w:r>
      <w:r>
        <w:rPr>
          <w:rFonts w:ascii="Arial" w:cs="Arial" w:eastAsia="Arial" w:hAnsi="Arial"/>
          <w:sz w:val="17"/>
          <w:szCs w:val="17"/>
          <w:color w:val="auto"/>
        </w:rPr>
        <w:t>” or “</w:t>
      </w:r>
      <w:r>
        <w:rPr>
          <w:rFonts w:ascii="Arial" w:cs="Arial" w:eastAsia="Arial" w:hAnsi="Arial"/>
          <w:sz w:val="17"/>
          <w:szCs w:val="17"/>
          <w:b w:val="1"/>
          <w:bCs w:val="1"/>
          <w:color w:val="auto"/>
        </w:rPr>
        <w:t>PIPE Investment</w:t>
      </w:r>
      <w:r>
        <w:rPr>
          <w:rFonts w:ascii="Arial" w:cs="Arial" w:eastAsia="Arial" w:hAnsi="Arial"/>
          <w:sz w:val="17"/>
          <w:szCs w:val="17"/>
          <w:color w:val="auto"/>
        </w:rPr>
        <w:t>” refers to the sale of 18,610,000 shares of newly issued Common Stock of BCTG in a private placement concurrent with the Business Combination.</w:t>
      </w:r>
    </w:p>
    <w:p>
      <w:pPr>
        <w:spacing w:after="0" w:line="72" w:lineRule="exact"/>
        <w:rPr>
          <w:sz w:val="20"/>
          <w:szCs w:val="20"/>
          <w:color w:val="auto"/>
        </w:rPr>
      </w:pPr>
    </w:p>
    <w:p>
      <w:pPr>
        <w:ind w:left="460" w:right="61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Private Placement</w:t>
      </w:r>
      <w:r>
        <w:rPr>
          <w:rFonts w:ascii="Arial" w:cs="Arial" w:eastAsia="Arial" w:hAnsi="Arial"/>
          <w:sz w:val="18"/>
          <w:szCs w:val="18"/>
          <w:color w:val="auto"/>
        </w:rPr>
        <w:t>” means the private placement consummated simultaneously with the BCTG IPO in which BCTG issued to the Sponsor the Private Shares.</w:t>
      </w:r>
    </w:p>
    <w:p>
      <w:pPr>
        <w:spacing w:after="0" w:line="81" w:lineRule="exact"/>
        <w:rPr>
          <w:sz w:val="20"/>
          <w:szCs w:val="20"/>
          <w:color w:val="auto"/>
        </w:rPr>
      </w:pPr>
    </w:p>
    <w:p>
      <w:pPr>
        <w:ind w:left="460" w:right="75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Private Shares</w:t>
      </w:r>
      <w:r>
        <w:rPr>
          <w:rFonts w:ascii="Arial" w:cs="Arial" w:eastAsia="Arial" w:hAnsi="Arial"/>
          <w:sz w:val="18"/>
          <w:szCs w:val="18"/>
          <w:color w:val="auto"/>
        </w:rPr>
        <w:t>” means the shares of Common Stock of BCTG issued in the Private Placement to the Sponsor.</w:t>
      </w:r>
    </w:p>
    <w:p>
      <w:pPr>
        <w:spacing w:after="0" w:line="94" w:lineRule="exact"/>
        <w:rPr>
          <w:sz w:val="20"/>
          <w:szCs w:val="20"/>
          <w:color w:val="auto"/>
        </w:rPr>
      </w:pPr>
    </w:p>
    <w:p>
      <w:pPr>
        <w:ind w:left="460" w:right="539" w:firstLine="43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Proposals</w:t>
      </w:r>
      <w:r>
        <w:rPr>
          <w:rFonts w:ascii="Arial" w:cs="Arial" w:eastAsia="Arial" w:hAnsi="Arial"/>
          <w:sz w:val="18"/>
          <w:szCs w:val="18"/>
          <w:color w:val="auto"/>
        </w:rPr>
        <w:t>” means the Business Combination Proposal, the Nasdaq Proposal, the Directors Proposal, the Charter Amendment Proposal, the Advisory Charter Proposals, the Incentive Plan Proposals and the Adjournment Proposal.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 w:name="page15"/>
    <w:bookmarkEnd w:id="1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Shares</w:t>
      </w:r>
      <w:r>
        <w:rPr>
          <w:rFonts w:ascii="Arial" w:cs="Arial" w:eastAsia="Arial" w:hAnsi="Arial"/>
          <w:sz w:val="18"/>
          <w:szCs w:val="18"/>
          <w:color w:val="auto"/>
        </w:rPr>
        <w:t>” means Common Stock sold in the BCTG IPO.</w:t>
      </w:r>
    </w:p>
    <w:p>
      <w:pPr>
        <w:spacing w:after="0" w:line="158" w:lineRule="exact"/>
        <w:rPr>
          <w:sz w:val="20"/>
          <w:szCs w:val="20"/>
          <w:color w:val="auto"/>
        </w:rPr>
      </w:pPr>
    </w:p>
    <w:p>
      <w:pPr>
        <w:ind w:left="460" w:right="125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w:t>
      </w:r>
      <w:r>
        <w:rPr>
          <w:rFonts w:ascii="Arial" w:cs="Arial" w:eastAsia="Arial" w:hAnsi="Arial"/>
          <w:sz w:val="18"/>
          <w:szCs w:val="18"/>
          <w:color w:val="auto"/>
        </w:rPr>
        <w:t>” means the right of the holders of Public Shares to have their shares redeemed in accordance with the procedures set forth in this proxy statement/prospectus.</w:t>
      </w:r>
    </w:p>
    <w:p>
      <w:pPr>
        <w:spacing w:after="0" w:line="94" w:lineRule="exact"/>
        <w:rPr>
          <w:sz w:val="20"/>
          <w:szCs w:val="20"/>
          <w:color w:val="auto"/>
        </w:rPr>
      </w:pPr>
    </w:p>
    <w:p>
      <w:pPr>
        <w:ind w:left="460" w:right="49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Meeting</w:t>
      </w:r>
      <w:r>
        <w:rPr>
          <w:rFonts w:ascii="Arial" w:cs="Arial" w:eastAsia="Arial" w:hAnsi="Arial"/>
          <w:sz w:val="18"/>
          <w:szCs w:val="18"/>
          <w:color w:val="auto"/>
        </w:rPr>
        <w:t>” means the special meeting of the stockholders of BCTG, to be held on [•], 2021, at [ ], Eastern time, via live webcast.</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 means BCTG Holdings, LLC, a Delaware limited liability company.</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Tango</w:t>
      </w:r>
      <w:r>
        <w:rPr>
          <w:rFonts w:ascii="Arial" w:cs="Arial" w:eastAsia="Arial" w:hAnsi="Arial"/>
          <w:sz w:val="16"/>
          <w:szCs w:val="16"/>
          <w:color w:val="auto"/>
        </w:rPr>
        <w:t>” means Tango Therapeutics, Inc., a Delaware corporation, prior to the Business Combination.</w:t>
      </w:r>
    </w:p>
    <w:p>
      <w:pPr>
        <w:spacing w:after="0" w:line="181" w:lineRule="exact"/>
        <w:rPr>
          <w:sz w:val="20"/>
          <w:szCs w:val="20"/>
          <w:color w:val="auto"/>
        </w:rPr>
      </w:pPr>
    </w:p>
    <w:p>
      <w:pPr>
        <w:ind w:left="460" w:right="91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Tango Equityholders</w:t>
      </w:r>
      <w:r>
        <w:rPr>
          <w:rFonts w:ascii="Arial" w:cs="Arial" w:eastAsia="Arial" w:hAnsi="Arial"/>
          <w:sz w:val="18"/>
          <w:szCs w:val="18"/>
          <w:color w:val="auto"/>
        </w:rPr>
        <w:t>” refers to the holders of equity interests in Tango as of the time immediately before the Business Combination.</w:t>
      </w:r>
    </w:p>
    <w:p>
      <w:pPr>
        <w:spacing w:after="0" w:line="81" w:lineRule="exact"/>
        <w:rPr>
          <w:sz w:val="20"/>
          <w:szCs w:val="20"/>
          <w:color w:val="auto"/>
        </w:rPr>
      </w:pPr>
    </w:p>
    <w:p>
      <w:pPr>
        <w:ind w:left="460" w:right="759" w:firstLine="432"/>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 Account</w:t>
      </w:r>
      <w:r>
        <w:rPr>
          <w:rFonts w:ascii="Arial" w:cs="Arial" w:eastAsia="Arial" w:hAnsi="Arial"/>
          <w:sz w:val="16"/>
          <w:szCs w:val="16"/>
          <w:color w:val="auto"/>
        </w:rPr>
        <w:t>” means the Trust Account of BCTG, which holds the net proceeds of the BCTG IPO, together with interest earned thereon, less amounts released to pay franchise and income tax obligations.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 w:name="page16"/>
    <w:bookmarkEnd w:id="1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PROPOSALS</w:t>
      </w:r>
    </w:p>
    <w:p>
      <w:pPr>
        <w:spacing w:after="0" w:line="14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i w:val="1"/>
          <w:iCs w:val="1"/>
          <w:color w:val="auto"/>
        </w:rPr>
        <w:t>The following questions and answers briefly address some commonly asked questions about the Proposals to be presented at the Special Meeting of BCTG stockholders. The following questions and answers do not include all the information that is important to stockholders of BCTG. We urge the stockholders of BCTG to read carefully this entire proxy statement/prospectus, including the annexes and other documents referred to herein.</w:t>
      </w:r>
    </w:p>
    <w:p>
      <w:pPr>
        <w:spacing w:after="0" w:line="116" w:lineRule="exact"/>
        <w:rPr>
          <w:sz w:val="20"/>
          <w:szCs w:val="20"/>
          <w:color w:val="auto"/>
        </w:rPr>
      </w:pPr>
    </w:p>
    <w:p>
      <w:pPr>
        <w:ind w:left="860" w:hanging="406"/>
        <w:spacing w:after="0"/>
        <w:tabs>
          <w:tab w:leader="none" w:pos="8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statement/prospectus?</w:t>
      </w:r>
    </w:p>
    <w:p>
      <w:pPr>
        <w:spacing w:after="0" w:line="134" w:lineRule="exact"/>
        <w:rPr>
          <w:rFonts w:ascii="Arial" w:cs="Arial" w:eastAsia="Arial" w:hAnsi="Arial"/>
          <w:sz w:val="18"/>
          <w:szCs w:val="18"/>
          <w:b w:val="1"/>
          <w:bCs w:val="1"/>
          <w:color w:val="auto"/>
        </w:rPr>
      </w:pPr>
    </w:p>
    <w:p>
      <w:pPr>
        <w:ind w:left="880" w:right="519" w:hanging="426"/>
        <w:spacing w:after="0" w:line="269" w:lineRule="auto"/>
        <w:tabs>
          <w:tab w:leader="none" w:pos="848" w:val="left"/>
        </w:tabs>
        <w:numPr>
          <w:ilvl w:val="0"/>
          <w:numId w:val="14"/>
        </w:numPr>
        <w:rPr>
          <w:rFonts w:ascii="Arial" w:cs="Arial" w:eastAsia="Arial" w:hAnsi="Arial"/>
          <w:sz w:val="17"/>
          <w:szCs w:val="17"/>
          <w:color w:val="auto"/>
        </w:rPr>
      </w:pPr>
      <w:r>
        <w:rPr>
          <w:rFonts w:ascii="Arial" w:cs="Arial" w:eastAsia="Arial" w:hAnsi="Arial"/>
          <w:sz w:val="17"/>
          <w:szCs w:val="17"/>
          <w:color w:val="auto"/>
        </w:rPr>
        <w:t>BCTG stockholders are being asked to consider and vote upon a proposal to adopt the Merger Agreement, among other Proposals. BCTG has entered into the Merger Agreement as a result of which Merger Sub, a wholly owned subsidiary of BCTG, shall merge with and into Tango with Tango surviving such merger, and as a result of Tango will become a wholly-owned subsidiary of BCTG. We refer to this merger as the “</w:t>
      </w:r>
      <w:r>
        <w:rPr>
          <w:rFonts w:ascii="Arial" w:cs="Arial" w:eastAsia="Arial" w:hAnsi="Arial"/>
          <w:sz w:val="17"/>
          <w:szCs w:val="17"/>
          <w:b w:val="1"/>
          <w:bCs w:val="1"/>
          <w:color w:val="auto"/>
        </w:rPr>
        <w:t>Business Combination</w:t>
      </w:r>
      <w:r>
        <w:rPr>
          <w:rFonts w:ascii="Arial" w:cs="Arial" w:eastAsia="Arial" w:hAnsi="Arial"/>
          <w:sz w:val="17"/>
          <w:szCs w:val="17"/>
          <w:color w:val="auto"/>
        </w:rPr>
        <w:t>.” Subject to the terms of the Merger Agreement and customary adjustments to reflect appropriately the effect of any stock split, reverse stock split, stock dividend, recapitalization, reclassification, combination, exchange of shares or other like change with respect to shares of BCTG set forth therein, the aggregate consideration for the Business Combination and related transactions is expected to be approximately $550,000,000.00 of equity consideration. We refer to such aggregate amount as the “</w:t>
      </w:r>
      <w:r>
        <w:rPr>
          <w:rFonts w:ascii="Arial" w:cs="Arial" w:eastAsia="Arial" w:hAnsi="Arial"/>
          <w:sz w:val="17"/>
          <w:szCs w:val="17"/>
          <w:b w:val="1"/>
          <w:bCs w:val="1"/>
          <w:color w:val="auto"/>
        </w:rPr>
        <w:t>Base Purchase Price</w:t>
      </w:r>
      <w:r>
        <w:rPr>
          <w:rFonts w:ascii="Arial" w:cs="Arial" w:eastAsia="Arial" w:hAnsi="Arial"/>
          <w:sz w:val="17"/>
          <w:szCs w:val="17"/>
          <w:color w:val="auto"/>
        </w:rPr>
        <w:t xml:space="preserve">.” A copy of the Merger Agreement is attached to this proxy statement/prospectus as </w:t>
      </w:r>
      <w:r>
        <w:rPr>
          <w:rFonts w:ascii="Arial" w:cs="Arial" w:eastAsia="Arial" w:hAnsi="Arial"/>
          <w:sz w:val="17"/>
          <w:szCs w:val="17"/>
          <w:i w:val="1"/>
          <w:iCs w:val="1"/>
          <w:u w:val="single" w:color="auto"/>
          <w:color w:val="auto"/>
        </w:rPr>
        <w:t>Annex A</w:t>
      </w:r>
      <w:r>
        <w:rPr>
          <w:rFonts w:ascii="Arial" w:cs="Arial" w:eastAsia="Arial" w:hAnsi="Arial"/>
          <w:sz w:val="17"/>
          <w:szCs w:val="17"/>
          <w:color w:val="auto"/>
        </w:rPr>
        <w:t>.</w:t>
      </w:r>
    </w:p>
    <w:p>
      <w:pPr>
        <w:spacing w:after="0" w:line="101" w:lineRule="exact"/>
        <w:rPr>
          <w:sz w:val="20"/>
          <w:szCs w:val="20"/>
          <w:color w:val="auto"/>
        </w:rPr>
      </w:pPr>
    </w:p>
    <w:p>
      <w:pPr>
        <w:ind w:left="880" w:right="499" w:hanging="29"/>
        <w:spacing w:after="0" w:line="263" w:lineRule="auto"/>
        <w:rPr>
          <w:sz w:val="20"/>
          <w:szCs w:val="20"/>
          <w:color w:val="auto"/>
        </w:rPr>
      </w:pPr>
      <w:r>
        <w:rPr>
          <w:rFonts w:ascii="Arial" w:cs="Arial" w:eastAsia="Arial" w:hAnsi="Arial"/>
          <w:sz w:val="18"/>
          <w:szCs w:val="18"/>
          <w:color w:val="auto"/>
        </w:rPr>
        <w:t>This proxy statement/prospectus and its annexes contain important information about the proposed Business Combination and the other matters to be acted upon at the Special Meeting. You should read this proxy statement/prospectus and its annexes carefully and in their entirety.</w:t>
      </w:r>
    </w:p>
    <w:p>
      <w:pPr>
        <w:spacing w:after="0" w:line="89" w:lineRule="exact"/>
        <w:rPr>
          <w:sz w:val="20"/>
          <w:szCs w:val="20"/>
          <w:color w:val="auto"/>
        </w:rPr>
      </w:pPr>
    </w:p>
    <w:p>
      <w:pPr>
        <w:ind w:left="880" w:right="999" w:hanging="33"/>
        <w:spacing w:after="0" w:line="277" w:lineRule="auto"/>
        <w:rPr>
          <w:sz w:val="20"/>
          <w:szCs w:val="20"/>
          <w:color w:val="auto"/>
        </w:rPr>
      </w:pPr>
      <w:r>
        <w:rPr>
          <w:rFonts w:ascii="Arial" w:cs="Arial" w:eastAsia="Arial" w:hAnsi="Arial"/>
          <w:sz w:val="18"/>
          <w:szCs w:val="18"/>
          <w:color w:val="auto"/>
        </w:rPr>
        <w:t>Your vote is important. You are encouraged to submit your proxy as soon as possible after carefully reviewing this proxy statement/prospectus and its annexes.</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Below are the Proposals on which BCTG stockholders are being asked to vote.</w:t>
      </w:r>
    </w:p>
    <w:p>
      <w:pPr>
        <w:spacing w:after="0" w:line="144" w:lineRule="exact"/>
        <w:rPr>
          <w:sz w:val="20"/>
          <w:szCs w:val="20"/>
          <w:color w:val="auto"/>
        </w:rPr>
      </w:pPr>
    </w:p>
    <w:p>
      <w:pPr>
        <w:ind w:left="1320" w:right="539" w:hanging="434"/>
        <w:spacing w:after="0" w:line="273" w:lineRule="auto"/>
        <w:tabs>
          <w:tab w:leader="none" w:pos="1293"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The Business Combination Proposal — </w:t>
      </w:r>
      <w:r>
        <w:rPr>
          <w:rFonts w:ascii="Arial" w:cs="Arial" w:eastAsia="Arial" w:hAnsi="Arial"/>
          <w:sz w:val="17"/>
          <w:szCs w:val="17"/>
          <w:color w:val="auto"/>
        </w:rPr>
        <w:t>To consider and vote upon a proposal to adopt and approve</w:t>
      </w:r>
      <w:r>
        <w:rPr>
          <w:rFonts w:ascii="Arial" w:cs="Arial" w:eastAsia="Arial" w:hAnsi="Arial"/>
          <w:sz w:val="17"/>
          <w:szCs w:val="17"/>
          <w:i w:val="1"/>
          <w:iCs w:val="1"/>
          <w:color w:val="auto"/>
        </w:rPr>
        <w:t xml:space="preserve"> </w:t>
      </w:r>
      <w:r>
        <w:rPr>
          <w:rFonts w:ascii="Arial" w:cs="Arial" w:eastAsia="Arial" w:hAnsi="Arial"/>
          <w:sz w:val="17"/>
          <w:szCs w:val="17"/>
          <w:color w:val="auto"/>
        </w:rPr>
        <w:t>the Merger Agreement by and among BCTG, Merger Sub and Tango, and approve the transactions contemplated thereby, including the Business Combination, as a result of which Tango will become a wholly-owned subsidiary of BCTG all the outstanding shares of Tango common stock will be exchanged for shares of BCTG Common Stock, and all outstanding Tango options will exchanged for options to acquire BCTG Common Stock;</w:t>
      </w:r>
    </w:p>
    <w:p>
      <w:pPr>
        <w:spacing w:after="0" w:line="96" w:lineRule="exact"/>
        <w:rPr>
          <w:rFonts w:ascii="Arial" w:cs="Arial" w:eastAsia="Arial" w:hAnsi="Arial"/>
          <w:sz w:val="17"/>
          <w:szCs w:val="17"/>
          <w:color w:val="auto"/>
        </w:rPr>
      </w:pPr>
    </w:p>
    <w:p>
      <w:pPr>
        <w:ind w:left="1320" w:right="699" w:hanging="434"/>
        <w:spacing w:after="0" w:line="279" w:lineRule="auto"/>
        <w:tabs>
          <w:tab w:leader="none" w:pos="1293"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The Nasdaq Proposal — </w:t>
      </w:r>
      <w:r>
        <w:rPr>
          <w:rFonts w:ascii="Arial" w:cs="Arial" w:eastAsia="Arial" w:hAnsi="Arial"/>
          <w:sz w:val="17"/>
          <w:szCs w:val="17"/>
          <w:color w:val="auto"/>
        </w:rPr>
        <w:t>To approve, for purposes of complying with the Nasdaq Rules, (a) the</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of 55,000,000 shares of Common Stock to the Tango Equityholders and (b) the issuance and sale of 18,610,000 shares of Common Stock in the private offering of securities to certain investors in connection with the consummation of the Business Combination;</w:t>
      </w:r>
    </w:p>
    <w:p>
      <w:pPr>
        <w:spacing w:after="0" w:line="90" w:lineRule="exact"/>
        <w:rPr>
          <w:rFonts w:ascii="Arial" w:cs="Arial" w:eastAsia="Arial" w:hAnsi="Arial"/>
          <w:sz w:val="17"/>
          <w:szCs w:val="17"/>
          <w:color w:val="auto"/>
        </w:rPr>
      </w:pPr>
    </w:p>
    <w:p>
      <w:pPr>
        <w:ind w:left="1320" w:right="579" w:hanging="434"/>
        <w:spacing w:after="0" w:line="296" w:lineRule="auto"/>
        <w:tabs>
          <w:tab w:leader="none" w:pos="1293"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The Charter Amendment Proposal — </w:t>
      </w:r>
      <w:r>
        <w:rPr>
          <w:rFonts w:ascii="Arial" w:cs="Arial" w:eastAsia="Arial" w:hAnsi="Arial"/>
          <w:sz w:val="16"/>
          <w:szCs w:val="16"/>
          <w:color w:val="auto"/>
        </w:rPr>
        <w:t>To approve and adopt, subject to and conditional on (but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immediate effect therefrom) approval of the Business Combination Proposal, the Nasdaq Proposal, the Directors Proposal and the Incentive Plan Proposals and the consummation of the Business Combination, an amendment and restatement of the Current Charter, as set forth in the draft Proposed Charter appended to this proxy statement/prospectus as </w:t>
      </w:r>
      <w:r>
        <w:rPr>
          <w:rFonts w:ascii="Arial" w:cs="Arial" w:eastAsia="Arial" w:hAnsi="Arial"/>
          <w:sz w:val="16"/>
          <w:szCs w:val="16"/>
          <w:i w:val="1"/>
          <w:iCs w:val="1"/>
          <w:u w:val="single" w:color="auto"/>
          <w:color w:val="auto"/>
        </w:rPr>
        <w:t>Annex B</w:t>
      </w:r>
      <w:r>
        <w:rPr>
          <w:rFonts w:ascii="Arial" w:cs="Arial" w:eastAsia="Arial" w:hAnsi="Arial"/>
          <w:sz w:val="16"/>
          <w:szCs w:val="16"/>
          <w:color w:val="auto"/>
        </w:rPr>
        <w:t xml:space="preserve"> for the following:</w:t>
      </w:r>
    </w:p>
    <w:p>
      <w:pPr>
        <w:spacing w:after="0" w:line="66" w:lineRule="exact"/>
        <w:rPr>
          <w:rFonts w:ascii="Arial" w:cs="Arial" w:eastAsia="Arial" w:hAnsi="Arial"/>
          <w:sz w:val="16"/>
          <w:szCs w:val="16"/>
          <w:color w:val="auto"/>
        </w:rPr>
      </w:pPr>
    </w:p>
    <w:p>
      <w:pPr>
        <w:ind w:left="1760" w:right="479" w:hanging="442"/>
        <w:spacing w:after="0" w:line="277" w:lineRule="auto"/>
        <w:tabs>
          <w:tab w:leader="none" w:pos="1723"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amend the name of the public entity to “Tango Therapeutics, Inc.” from “BCTG Acquisition Corp.”;</w:t>
      </w:r>
    </w:p>
    <w:p>
      <w:pPr>
        <w:spacing w:after="0" w:line="75" w:lineRule="exact"/>
        <w:rPr>
          <w:rFonts w:ascii="Arial" w:cs="Arial" w:eastAsia="Arial" w:hAnsi="Arial"/>
          <w:sz w:val="18"/>
          <w:szCs w:val="18"/>
          <w:color w:val="auto"/>
        </w:rPr>
      </w:pPr>
    </w:p>
    <w:p>
      <w:pPr>
        <w:ind w:left="1760" w:right="659" w:hanging="442"/>
        <w:spacing w:after="0" w:line="277" w:lineRule="auto"/>
        <w:tabs>
          <w:tab w:leader="none" w:pos="1733"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increase the authorized shares of New Tango to [•] shares of common stock and [•] shares of “blank check” preferred stock;</w:t>
      </w:r>
    </w:p>
    <w:p>
      <w:pPr>
        <w:spacing w:after="0" w:line="89" w:lineRule="exact"/>
        <w:rPr>
          <w:rFonts w:ascii="Arial" w:cs="Arial" w:eastAsia="Arial" w:hAnsi="Arial"/>
          <w:sz w:val="18"/>
          <w:szCs w:val="18"/>
          <w:color w:val="auto"/>
        </w:rPr>
      </w:pPr>
    </w:p>
    <w:p>
      <w:pPr>
        <w:ind w:left="1760" w:right="579" w:hanging="442"/>
        <w:spacing w:after="0" w:line="258" w:lineRule="auto"/>
        <w:tabs>
          <w:tab w:leader="none" w:pos="1764" w:val="left"/>
        </w:tabs>
        <w:numPr>
          <w:ilvl w:val="2"/>
          <w:numId w:val="15"/>
        </w:numPr>
        <w:rPr>
          <w:rFonts w:ascii="Arial" w:cs="Arial" w:eastAsia="Arial" w:hAnsi="Arial"/>
          <w:sz w:val="16"/>
          <w:szCs w:val="16"/>
          <w:color w:val="auto"/>
        </w:rPr>
      </w:pPr>
      <w:r>
        <w:rPr>
          <w:rFonts w:ascii="Arial" w:cs="Arial" w:eastAsia="Arial" w:hAnsi="Arial"/>
          <w:sz w:val="18"/>
          <w:szCs w:val="18"/>
          <w:color w:val="auto"/>
        </w:rPr>
        <w:t xml:space="preserve">to provide that the removal of any director be only for cause and by the affirmative vote of at least 66 </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 of New Tango’s then-outstanding shares of capital stock entitled to vote generally in the election of directors;</w:t>
      </w:r>
    </w:p>
    <w:p>
      <w:pPr>
        <w:spacing w:after="0" w:line="90" w:lineRule="exact"/>
        <w:rPr>
          <w:rFonts w:ascii="Arial" w:cs="Arial" w:eastAsia="Arial" w:hAnsi="Arial"/>
          <w:sz w:val="16"/>
          <w:szCs w:val="16"/>
          <w:color w:val="auto"/>
        </w:rPr>
      </w:pPr>
    </w:p>
    <w:p>
      <w:pPr>
        <w:ind w:left="1760" w:right="499" w:hanging="496"/>
        <w:spacing w:after="0" w:line="257" w:lineRule="auto"/>
        <w:tabs>
          <w:tab w:leader="none" w:pos="1733"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make New Tango’s corporate existence perpetual as opposed to BCTG’s corporate existence, which is required to be dissolved and liquidated 24 months following the closing of its initial public offering if it does not complete a business combination in that time, and to remove from the Proposed Charter the various provisions applicable only to special purpose acquisition corporations;</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 w:name="page17"/>
    <w:bookmarkEnd w:id="1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e.to provide that New Tango will not be subject to Section 203 of the DGCL;</w:t>
      </w:r>
    </w:p>
    <w:p>
      <w:pPr>
        <w:spacing w:after="0" w:line="180" w:lineRule="exact"/>
        <w:rPr>
          <w:sz w:val="20"/>
          <w:szCs w:val="20"/>
          <w:color w:val="auto"/>
        </w:rPr>
      </w:pPr>
    </w:p>
    <w:p>
      <w:pPr>
        <w:ind w:left="1760" w:right="739" w:hanging="442"/>
        <w:spacing w:after="0" w:line="277" w:lineRule="auto"/>
        <w:tabs>
          <w:tab w:leader="none" w:pos="1746" w:val="left"/>
        </w:tabs>
        <w:numPr>
          <w:ilvl w:val="1"/>
          <w:numId w:val="16"/>
        </w:numPr>
        <w:rPr>
          <w:rFonts w:ascii="Arial" w:cs="Arial" w:eastAsia="Arial" w:hAnsi="Arial"/>
          <w:sz w:val="16"/>
          <w:szCs w:val="16"/>
          <w:color w:val="auto"/>
        </w:rPr>
      </w:pPr>
      <w:r>
        <w:rPr>
          <w:rFonts w:ascii="Arial" w:cs="Arial" w:eastAsia="Arial" w:hAnsi="Arial"/>
          <w:sz w:val="18"/>
          <w:szCs w:val="18"/>
          <w:color w:val="auto"/>
        </w:rPr>
        <w:t>to remove the provisions setting the Court of Chancery of the State of Delaware as the sole and exclusive forum for certain stockholder actions; and</w:t>
      </w:r>
    </w:p>
    <w:p>
      <w:pPr>
        <w:spacing w:after="0" w:line="102" w:lineRule="exact"/>
        <w:rPr>
          <w:rFonts w:ascii="Arial" w:cs="Arial" w:eastAsia="Arial" w:hAnsi="Arial"/>
          <w:sz w:val="16"/>
          <w:szCs w:val="16"/>
          <w:color w:val="auto"/>
        </w:rPr>
      </w:pPr>
    </w:p>
    <w:p>
      <w:pPr>
        <w:ind w:left="1760" w:right="739" w:hanging="442"/>
        <w:spacing w:after="0" w:line="277" w:lineRule="auto"/>
        <w:tabs>
          <w:tab w:leader="none" w:pos="1733"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increase the required vote thresholds for approving amendments to the Proposed Charter and bylaws to 66 2/3%.</w:t>
      </w:r>
    </w:p>
    <w:p>
      <w:pPr>
        <w:spacing w:after="0" w:line="89" w:lineRule="exact"/>
        <w:rPr>
          <w:rFonts w:ascii="Arial" w:cs="Arial" w:eastAsia="Arial" w:hAnsi="Arial"/>
          <w:sz w:val="18"/>
          <w:szCs w:val="18"/>
          <w:color w:val="auto"/>
        </w:rPr>
      </w:pPr>
    </w:p>
    <w:p>
      <w:pPr>
        <w:ind w:left="1320" w:right="599" w:hanging="434"/>
        <w:spacing w:after="0" w:line="259" w:lineRule="auto"/>
        <w:tabs>
          <w:tab w:leader="none" w:pos="1293"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The Advisory Charter Proposals </w:t>
      </w:r>
      <w:r>
        <w:rPr>
          <w:rFonts w:ascii="Arial" w:cs="Arial" w:eastAsia="Arial" w:hAnsi="Arial"/>
          <w:sz w:val="18"/>
          <w:szCs w:val="18"/>
          <w:color w:val="auto"/>
        </w:rPr>
        <w:t>— To approve and adopt, on a non-binding advisory basis,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differences in the governance provisions set forth in the Proposed Charter, as compared to our Current Charter, which are being presented in accordance with the requirements of the SEC as five separate sub-proposals:</w:t>
      </w:r>
    </w:p>
    <w:p>
      <w:pPr>
        <w:spacing w:after="0" w:line="119" w:lineRule="exact"/>
        <w:rPr>
          <w:sz w:val="20"/>
          <w:szCs w:val="20"/>
          <w:color w:val="auto"/>
        </w:rPr>
      </w:pPr>
    </w:p>
    <w:p>
      <w:pPr>
        <w:ind w:left="1760" w:right="1419" w:hanging="442"/>
        <w:spacing w:after="0" w:line="277" w:lineRule="auto"/>
        <w:tabs>
          <w:tab w:leader="none" w:pos="1708" w:val="left"/>
        </w:tabs>
        <w:numPr>
          <w:ilvl w:val="2"/>
          <w:numId w:val="18"/>
        </w:numPr>
        <w:rPr>
          <w:rFonts w:ascii="Arial" w:cs="Arial" w:eastAsia="Arial" w:hAnsi="Arial"/>
          <w:sz w:val="18"/>
          <w:szCs w:val="18"/>
          <w:color w:val="auto"/>
        </w:rPr>
      </w:pPr>
      <w:r>
        <w:rPr>
          <w:rFonts w:ascii="Arial" w:cs="Arial" w:eastAsia="Arial" w:hAnsi="Arial"/>
          <w:sz w:val="18"/>
          <w:szCs w:val="18"/>
          <w:color w:val="auto"/>
        </w:rPr>
        <w:t>Advisory Charter Proposal A — to amend the name of the public entity to “Tango Therapeutics, Inc.” from “BCTG Acquisition Corp.”;</w:t>
      </w:r>
    </w:p>
    <w:p>
      <w:pPr>
        <w:spacing w:after="0" w:line="102" w:lineRule="exact"/>
        <w:rPr>
          <w:rFonts w:ascii="Arial" w:cs="Arial" w:eastAsia="Arial" w:hAnsi="Arial"/>
          <w:sz w:val="18"/>
          <w:szCs w:val="18"/>
          <w:color w:val="auto"/>
        </w:rPr>
      </w:pPr>
    </w:p>
    <w:p>
      <w:pPr>
        <w:jc w:val="both"/>
        <w:ind w:left="1760" w:right="519" w:hanging="442"/>
        <w:spacing w:after="0" w:line="311" w:lineRule="auto"/>
        <w:tabs>
          <w:tab w:leader="none" w:pos="1708" w:val="left"/>
        </w:tabs>
        <w:numPr>
          <w:ilvl w:val="2"/>
          <w:numId w:val="18"/>
        </w:numPr>
        <w:rPr>
          <w:rFonts w:ascii="Arial" w:cs="Arial" w:eastAsia="Arial" w:hAnsi="Arial"/>
          <w:sz w:val="16"/>
          <w:szCs w:val="16"/>
          <w:color w:val="auto"/>
        </w:rPr>
      </w:pPr>
      <w:r>
        <w:rPr>
          <w:rFonts w:ascii="Arial" w:cs="Arial" w:eastAsia="Arial" w:hAnsi="Arial"/>
          <w:sz w:val="16"/>
          <w:szCs w:val="16"/>
          <w:color w:val="auto"/>
        </w:rPr>
        <w:t>Advisory Charter Proposal B — to authorize the issuance of up to [•] shares of common stock, and up to [•] shares of “blank check” preferred stock, the rights, preferences and privileges of which may be designated from time to time by New Tango’s board of directors;</w:t>
      </w:r>
    </w:p>
    <w:p>
      <w:pPr>
        <w:spacing w:after="0" w:line="67" w:lineRule="exact"/>
        <w:rPr>
          <w:rFonts w:ascii="Arial" w:cs="Arial" w:eastAsia="Arial" w:hAnsi="Arial"/>
          <w:sz w:val="16"/>
          <w:szCs w:val="16"/>
          <w:color w:val="auto"/>
        </w:rPr>
      </w:pPr>
    </w:p>
    <w:p>
      <w:pPr>
        <w:ind w:left="1760" w:right="619" w:hanging="442"/>
        <w:spacing w:after="0" w:line="280" w:lineRule="auto"/>
        <w:tabs>
          <w:tab w:leader="none" w:pos="1708" w:val="left"/>
        </w:tabs>
        <w:numPr>
          <w:ilvl w:val="2"/>
          <w:numId w:val="18"/>
        </w:numPr>
        <w:rPr>
          <w:rFonts w:ascii="Arial" w:cs="Arial" w:eastAsia="Arial" w:hAnsi="Arial"/>
          <w:sz w:val="17"/>
          <w:szCs w:val="17"/>
          <w:color w:val="auto"/>
        </w:rPr>
      </w:pPr>
      <w:r>
        <w:rPr>
          <w:rFonts w:ascii="Arial" w:cs="Arial" w:eastAsia="Arial" w:hAnsi="Arial"/>
          <w:sz w:val="17"/>
          <w:szCs w:val="17"/>
          <w:color w:val="auto"/>
        </w:rPr>
        <w:t xml:space="preserve">Advisory Charter Proposal C — to provide that the removal of any director be only for cause and by the affirmative vote of at least 66 </w:t>
      </w:r>
      <w:r>
        <w:rPr>
          <w:rFonts w:ascii="Arial" w:cs="Arial" w:eastAsia="Arial" w:hAnsi="Arial"/>
          <w:sz w:val="19"/>
          <w:szCs w:val="19"/>
          <w:color w:val="auto"/>
          <w:vertAlign w:val="superscript"/>
        </w:rPr>
        <w:t>2</w:t>
      </w:r>
      <w:r>
        <w:rPr>
          <w:rFonts w:ascii="Arial" w:cs="Arial" w:eastAsia="Arial" w:hAnsi="Arial"/>
          <w:sz w:val="17"/>
          <w:szCs w:val="17"/>
          <w:color w:val="auto"/>
        </w:rPr>
        <w:t>/</w:t>
      </w:r>
      <w:r>
        <w:rPr>
          <w:rFonts w:ascii="Arial" w:cs="Arial" w:eastAsia="Arial" w:hAnsi="Arial"/>
          <w:sz w:val="19"/>
          <w:szCs w:val="19"/>
          <w:color w:val="auto"/>
          <w:vertAlign w:val="subscript"/>
        </w:rPr>
        <w:t>3</w:t>
      </w:r>
      <w:r>
        <w:rPr>
          <w:rFonts w:ascii="Arial" w:cs="Arial" w:eastAsia="Arial" w:hAnsi="Arial"/>
          <w:sz w:val="17"/>
          <w:szCs w:val="17"/>
          <w:color w:val="auto"/>
        </w:rPr>
        <w:t>% of New Tango’s then-outstanding shares of capital stock entitled to vote generally in the election of directors;</w:t>
      </w:r>
    </w:p>
    <w:p>
      <w:pPr>
        <w:spacing w:after="0" w:line="98" w:lineRule="exact"/>
        <w:rPr>
          <w:rFonts w:ascii="Arial" w:cs="Arial" w:eastAsia="Arial" w:hAnsi="Arial"/>
          <w:sz w:val="17"/>
          <w:szCs w:val="17"/>
          <w:color w:val="auto"/>
        </w:rPr>
      </w:pPr>
    </w:p>
    <w:p>
      <w:pPr>
        <w:ind w:left="1760" w:right="639" w:hanging="442"/>
        <w:spacing w:after="0" w:line="296" w:lineRule="auto"/>
        <w:tabs>
          <w:tab w:leader="none" w:pos="1708" w:val="left"/>
        </w:tabs>
        <w:numPr>
          <w:ilvl w:val="2"/>
          <w:numId w:val="18"/>
        </w:numPr>
        <w:rPr>
          <w:rFonts w:ascii="Arial" w:cs="Arial" w:eastAsia="Arial" w:hAnsi="Arial"/>
          <w:sz w:val="16"/>
          <w:szCs w:val="16"/>
          <w:color w:val="auto"/>
        </w:rPr>
      </w:pPr>
      <w:r>
        <w:rPr>
          <w:rFonts w:ascii="Arial" w:cs="Arial" w:eastAsia="Arial" w:hAnsi="Arial"/>
          <w:sz w:val="16"/>
          <w:szCs w:val="16"/>
          <w:color w:val="auto"/>
        </w:rPr>
        <w:t>Advisory Charter Proposal D — to make New Tango’s corporate existence perpetual as opposed to BCTG’s corporate existence, which is required to be dissolved and liquidated 24 months following the closing of its initial public offering if it does not complete a business combination in that time, and to remove from the Proposed Charter the various provisions applicable only to special purpose acquisition corporations;</w:t>
      </w:r>
    </w:p>
    <w:p>
      <w:pPr>
        <w:spacing w:after="0" w:line="93" w:lineRule="exact"/>
        <w:rPr>
          <w:rFonts w:ascii="Arial" w:cs="Arial" w:eastAsia="Arial" w:hAnsi="Arial"/>
          <w:sz w:val="16"/>
          <w:szCs w:val="16"/>
          <w:color w:val="auto"/>
        </w:rPr>
      </w:pPr>
    </w:p>
    <w:p>
      <w:pPr>
        <w:ind w:left="1760" w:right="579" w:hanging="442"/>
        <w:spacing w:after="0" w:line="277" w:lineRule="auto"/>
        <w:tabs>
          <w:tab w:leader="none" w:pos="1708" w:val="left"/>
        </w:tabs>
        <w:numPr>
          <w:ilvl w:val="2"/>
          <w:numId w:val="18"/>
        </w:numPr>
        <w:rPr>
          <w:rFonts w:ascii="Arial" w:cs="Arial" w:eastAsia="Arial" w:hAnsi="Arial"/>
          <w:sz w:val="18"/>
          <w:szCs w:val="18"/>
          <w:color w:val="auto"/>
        </w:rPr>
      </w:pPr>
      <w:r>
        <w:rPr>
          <w:rFonts w:ascii="Arial" w:cs="Arial" w:eastAsia="Arial" w:hAnsi="Arial"/>
          <w:sz w:val="18"/>
          <w:szCs w:val="18"/>
          <w:color w:val="auto"/>
        </w:rPr>
        <w:t>Advisory Charter Proposal E — to provide that New Tango will not be subject to Section 203 of the DGCL;</w:t>
      </w:r>
    </w:p>
    <w:p>
      <w:pPr>
        <w:spacing w:after="0" w:line="89" w:lineRule="exact"/>
        <w:rPr>
          <w:rFonts w:ascii="Arial" w:cs="Arial" w:eastAsia="Arial" w:hAnsi="Arial"/>
          <w:sz w:val="18"/>
          <w:szCs w:val="18"/>
          <w:color w:val="auto"/>
        </w:rPr>
      </w:pPr>
    </w:p>
    <w:p>
      <w:pPr>
        <w:ind w:left="1760" w:right="559" w:hanging="442"/>
        <w:spacing w:after="0" w:line="342" w:lineRule="auto"/>
        <w:tabs>
          <w:tab w:leader="none" w:pos="1708" w:val="left"/>
        </w:tabs>
        <w:numPr>
          <w:ilvl w:val="2"/>
          <w:numId w:val="18"/>
        </w:numPr>
        <w:rPr>
          <w:rFonts w:ascii="Arial" w:cs="Arial" w:eastAsia="Arial" w:hAnsi="Arial"/>
          <w:sz w:val="16"/>
          <w:szCs w:val="16"/>
          <w:color w:val="auto"/>
        </w:rPr>
      </w:pPr>
      <w:r>
        <w:rPr>
          <w:rFonts w:ascii="Arial" w:cs="Arial" w:eastAsia="Arial" w:hAnsi="Arial"/>
          <w:sz w:val="16"/>
          <w:szCs w:val="16"/>
          <w:color w:val="auto"/>
        </w:rPr>
        <w:t>Advisory Charter Proposal F — to remove the provisions setting the Court of Chancery of the State of Delaware as the sole and exclusive forum for certain stockholder actions; and</w:t>
      </w:r>
    </w:p>
    <w:p>
      <w:pPr>
        <w:spacing w:after="0" w:line="56" w:lineRule="exact"/>
        <w:rPr>
          <w:rFonts w:ascii="Arial" w:cs="Arial" w:eastAsia="Arial" w:hAnsi="Arial"/>
          <w:sz w:val="16"/>
          <w:szCs w:val="16"/>
          <w:color w:val="auto"/>
        </w:rPr>
      </w:pPr>
    </w:p>
    <w:p>
      <w:pPr>
        <w:ind w:left="1760" w:right="1099" w:hanging="442"/>
        <w:spacing w:after="0" w:line="277" w:lineRule="auto"/>
        <w:tabs>
          <w:tab w:leader="none" w:pos="1708" w:val="left"/>
        </w:tabs>
        <w:numPr>
          <w:ilvl w:val="2"/>
          <w:numId w:val="18"/>
        </w:numPr>
        <w:rPr>
          <w:rFonts w:ascii="Arial" w:cs="Arial" w:eastAsia="Arial" w:hAnsi="Arial"/>
          <w:sz w:val="18"/>
          <w:szCs w:val="18"/>
          <w:color w:val="auto"/>
        </w:rPr>
      </w:pPr>
      <w:r>
        <w:rPr>
          <w:rFonts w:ascii="Arial" w:cs="Arial" w:eastAsia="Arial" w:hAnsi="Arial"/>
          <w:sz w:val="18"/>
          <w:szCs w:val="18"/>
          <w:color w:val="auto"/>
        </w:rPr>
        <w:t>Advisory Charter Proposal G — to increase the required vote thresholds for approving amendments to the Proposed Charter and bylaws to 66 2/3%.</w:t>
      </w:r>
    </w:p>
    <w:p>
      <w:pPr>
        <w:spacing w:after="0" w:line="102" w:lineRule="exact"/>
        <w:rPr>
          <w:rFonts w:ascii="Arial" w:cs="Arial" w:eastAsia="Arial" w:hAnsi="Arial"/>
          <w:sz w:val="18"/>
          <w:szCs w:val="18"/>
          <w:color w:val="auto"/>
        </w:rPr>
      </w:pPr>
    </w:p>
    <w:p>
      <w:pPr>
        <w:jc w:val="both"/>
        <w:ind w:left="1320" w:right="1059" w:hanging="434"/>
        <w:spacing w:after="0" w:line="286" w:lineRule="auto"/>
        <w:tabs>
          <w:tab w:leader="none" w:pos="1293" w:val="left"/>
        </w:tabs>
        <w:numPr>
          <w:ilvl w:val="1"/>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The Directors Proposal — </w:t>
      </w:r>
      <w:r>
        <w:rPr>
          <w:rFonts w:ascii="Arial" w:cs="Arial" w:eastAsia="Arial" w:hAnsi="Arial"/>
          <w:sz w:val="17"/>
          <w:szCs w:val="17"/>
          <w:color w:val="auto"/>
        </w:rPr>
        <w:t>To vote to elect, effective as of the consummation of the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Alexis Borisy, Aaron Davis, Reid Huber, Malte Peters, Lesley Calhoun, Mace Rothenberg and Barbara Weber, to serve on New Tango’s Board;</w:t>
      </w:r>
    </w:p>
    <w:p>
      <w:pPr>
        <w:spacing w:after="0" w:line="84" w:lineRule="exact"/>
        <w:rPr>
          <w:rFonts w:ascii="Arial" w:cs="Arial" w:eastAsia="Arial" w:hAnsi="Arial"/>
          <w:sz w:val="17"/>
          <w:szCs w:val="17"/>
          <w:color w:val="auto"/>
        </w:rPr>
      </w:pPr>
    </w:p>
    <w:p>
      <w:pPr>
        <w:ind w:left="1320" w:right="499" w:hanging="434"/>
        <w:spacing w:after="0" w:line="277" w:lineRule="auto"/>
        <w:tabs>
          <w:tab w:leader="none" w:pos="1293"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Equity Incentive Plan Proposal — </w:t>
      </w:r>
      <w:r>
        <w:rPr>
          <w:rFonts w:ascii="Arial" w:cs="Arial" w:eastAsia="Arial" w:hAnsi="Arial"/>
          <w:sz w:val="18"/>
          <w:szCs w:val="18"/>
          <w:color w:val="auto"/>
        </w:rPr>
        <w:t>To approve and adopt, the Equity Incentive Plan, a copy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 attached to the accompanying proxy statement as </w:t>
      </w:r>
      <w:r>
        <w:rPr>
          <w:rFonts w:ascii="Arial" w:cs="Arial" w:eastAsia="Arial" w:hAnsi="Arial"/>
          <w:sz w:val="18"/>
          <w:szCs w:val="18"/>
          <w:i w:val="1"/>
          <w:iCs w:val="1"/>
          <w:u w:val="single" w:color="auto"/>
          <w:color w:val="auto"/>
        </w:rPr>
        <w:t>Annex C</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1320" w:right="1559" w:hanging="434"/>
        <w:spacing w:after="0" w:line="277" w:lineRule="auto"/>
        <w:tabs>
          <w:tab w:leader="none" w:pos="1293"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ESPP Proposal — </w:t>
      </w:r>
      <w:r>
        <w:rPr>
          <w:rFonts w:ascii="Arial" w:cs="Arial" w:eastAsia="Arial" w:hAnsi="Arial"/>
          <w:sz w:val="18"/>
          <w:szCs w:val="18"/>
          <w:color w:val="auto"/>
        </w:rPr>
        <w:t>To approve and adopt, the ESPP, a copy of which is attached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accompanying proxy statement as </w:t>
      </w:r>
      <w:r>
        <w:rPr>
          <w:rFonts w:ascii="Arial" w:cs="Arial" w:eastAsia="Arial" w:hAnsi="Arial"/>
          <w:sz w:val="18"/>
          <w:szCs w:val="18"/>
          <w:i w:val="1"/>
          <w:iCs w:val="1"/>
          <w:u w:val="single" w:color="auto"/>
          <w:color w:val="auto"/>
        </w:rPr>
        <w:t>Annex D</w:t>
      </w:r>
      <w:r>
        <w:rPr>
          <w:rFonts w:ascii="Arial" w:cs="Arial" w:eastAsia="Arial" w:hAnsi="Arial"/>
          <w:sz w:val="18"/>
          <w:szCs w:val="18"/>
          <w:color w:val="auto"/>
        </w:rPr>
        <w:t>; and</w:t>
      </w:r>
    </w:p>
    <w:p>
      <w:pPr>
        <w:spacing w:after="0" w:line="102" w:lineRule="exact"/>
        <w:rPr>
          <w:rFonts w:ascii="Arial" w:cs="Arial" w:eastAsia="Arial" w:hAnsi="Arial"/>
          <w:sz w:val="18"/>
          <w:szCs w:val="18"/>
          <w:color w:val="auto"/>
        </w:rPr>
      </w:pPr>
    </w:p>
    <w:p>
      <w:pPr>
        <w:ind w:left="1320" w:right="539" w:hanging="434"/>
        <w:spacing w:after="0" w:line="301" w:lineRule="auto"/>
        <w:tabs>
          <w:tab w:leader="none" w:pos="1293"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The Adjournment Proposal — </w:t>
      </w:r>
      <w:r>
        <w:rPr>
          <w:rFonts w:ascii="Arial" w:cs="Arial" w:eastAsia="Arial" w:hAnsi="Arial"/>
          <w:sz w:val="16"/>
          <w:szCs w:val="16"/>
          <w:color w:val="auto"/>
        </w:rPr>
        <w:t>To consider and vote upon a proposal to adjourn the Special Meeting</w:t>
      </w:r>
      <w:r>
        <w:rPr>
          <w:rFonts w:ascii="Arial" w:cs="Arial" w:eastAsia="Arial" w:hAnsi="Arial"/>
          <w:sz w:val="16"/>
          <w:szCs w:val="16"/>
          <w:i w:val="1"/>
          <w:iCs w:val="1"/>
          <w:color w:val="auto"/>
        </w:rPr>
        <w:t xml:space="preserve"> </w:t>
      </w:r>
      <w:r>
        <w:rPr>
          <w:rFonts w:ascii="Arial" w:cs="Arial" w:eastAsia="Arial" w:hAnsi="Arial"/>
          <w:sz w:val="16"/>
          <w:szCs w:val="16"/>
          <w:color w:val="auto"/>
        </w:rPr>
        <w:t>to a later date or dates if, based upon the tabulated vote at the time of the Special Meeting, there are not sufficient votes to approve the Business Combination Proposal, the Nasdaq Proposal, the Directors Proposal, the Charter Amendment Proposal, or the Incentive Plan Proposals.</w:t>
      </w:r>
    </w:p>
    <w:p>
      <w:pPr>
        <w:spacing w:after="0" w:line="72" w:lineRule="exact"/>
        <w:rPr>
          <w:rFonts w:ascii="Arial" w:cs="Arial" w:eastAsia="Arial" w:hAnsi="Arial"/>
          <w:sz w:val="16"/>
          <w:szCs w:val="16"/>
          <w:color w:val="auto"/>
        </w:rPr>
      </w:pPr>
    </w:p>
    <w:p>
      <w:pPr>
        <w:ind w:left="860" w:hanging="406"/>
        <w:spacing w:after="0"/>
        <w:tabs>
          <w:tab w:leader="none" w:pos="8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Are the Proposals conditioned on one another?</w:t>
      </w:r>
    </w:p>
    <w:p>
      <w:pPr>
        <w:spacing w:after="0" w:line="162" w:lineRule="exact"/>
        <w:rPr>
          <w:sz w:val="20"/>
          <w:szCs w:val="20"/>
          <w:color w:val="auto"/>
        </w:rPr>
      </w:pPr>
    </w:p>
    <w:p>
      <w:pPr>
        <w:ind w:left="880" w:right="479" w:hanging="426"/>
        <w:spacing w:after="0" w:line="257" w:lineRule="auto"/>
        <w:tabs>
          <w:tab w:leader="none" w:pos="8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Unless the Business Combination Proposal is approved, the Nasdaq Proposal, the Charter Amendment Proposal, the Advisory Charter Proposals, the Directors Proposal and the Incentive Plan Proposals will not be presented to the stockholders of BCTG at the Special Meeting. The Adjournment Proposal does not require the approval of the Business Combination Proposal to be effective. It is important for you to note that in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 w:name="page18"/>
    <w:bookmarkEnd w:id="1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right="519"/>
        <w:spacing w:after="0" w:line="257" w:lineRule="auto"/>
        <w:rPr>
          <w:sz w:val="20"/>
          <w:szCs w:val="20"/>
          <w:color w:val="auto"/>
        </w:rPr>
      </w:pPr>
      <w:r>
        <w:rPr>
          <w:rFonts w:ascii="Arial" w:cs="Arial" w:eastAsia="Arial" w:hAnsi="Arial"/>
          <w:sz w:val="18"/>
          <w:szCs w:val="18"/>
          <w:color w:val="auto"/>
        </w:rPr>
        <w:t>event that the Business Combination Proposal does not receive the requisite vote for approval, then we will not consummate the Business Combination. If BCTG does not consummate the Business Combination and fails to complete an initial business combination by September 8, 2022, BCTG will be required to dissolve and liquidate its Trust Account by returning the then remaining funds in such account to its public stockholders.</w:t>
      </w:r>
    </w:p>
    <w:p>
      <w:pPr>
        <w:spacing w:after="0" w:line="116" w:lineRule="exact"/>
        <w:rPr>
          <w:sz w:val="20"/>
          <w:szCs w:val="20"/>
          <w:color w:val="auto"/>
        </w:rPr>
      </w:pPr>
    </w:p>
    <w:p>
      <w:pPr>
        <w:ind w:left="880" w:hanging="426"/>
        <w:spacing w:after="0"/>
        <w:tabs>
          <w:tab w:leader="none" w:pos="8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Business Combination?</w:t>
      </w:r>
    </w:p>
    <w:p>
      <w:pPr>
        <w:spacing w:after="0" w:line="162" w:lineRule="exact"/>
        <w:rPr>
          <w:sz w:val="20"/>
          <w:szCs w:val="20"/>
          <w:color w:val="auto"/>
        </w:rPr>
      </w:pPr>
    </w:p>
    <w:p>
      <w:pPr>
        <w:ind w:left="880" w:right="479" w:hanging="426"/>
        <w:spacing w:after="0" w:line="271" w:lineRule="auto"/>
        <w:tabs>
          <w:tab w:leader="none" w:pos="843"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At the Closing, Merger Sub will merge with and into Tango, with Tango surviving such merger as the surviving entity. Upon consummation of the Business Combination, Tango will become a wholly-owned subsidiary of BCTG. In connection with the Business Combination, the cash held in the Trust Account after giving effect to any redemption of shares by BCTG’s public stockholders and the proceeds from the PIPE Financing will be used to pay certain fees and expenses in connection with the Business Combination, and for working capital and general corporate purposes. Upon the closing of the Business Combination, BCTG will change its name to “Tango Therapeutics, Inc.” A copy of the Merger Agreement is attached to this proxy statement/prospectus as </w:t>
      </w:r>
      <w:r>
        <w:rPr>
          <w:rFonts w:ascii="Arial" w:cs="Arial" w:eastAsia="Arial" w:hAnsi="Arial"/>
          <w:sz w:val="17"/>
          <w:szCs w:val="17"/>
          <w:i w:val="1"/>
          <w:iCs w:val="1"/>
          <w:u w:val="single" w:color="auto"/>
          <w:color w:val="auto"/>
        </w:rPr>
        <w:t>Annex A</w:t>
      </w:r>
      <w:r>
        <w:rPr>
          <w:rFonts w:ascii="Arial" w:cs="Arial" w:eastAsia="Arial" w:hAnsi="Arial"/>
          <w:sz w:val="17"/>
          <w:szCs w:val="17"/>
          <w:color w:val="auto"/>
        </w:rPr>
        <w:t>.</w:t>
      </w:r>
    </w:p>
    <w:p>
      <w:pPr>
        <w:spacing w:after="0" w:line="93" w:lineRule="exact"/>
        <w:rPr>
          <w:sz w:val="20"/>
          <w:szCs w:val="20"/>
          <w:color w:val="auto"/>
        </w:rPr>
      </w:pPr>
    </w:p>
    <w:p>
      <w:pPr>
        <w:ind w:left="880" w:right="1179" w:hanging="426"/>
        <w:spacing w:after="0" w:line="282" w:lineRule="auto"/>
        <w:tabs>
          <w:tab w:leader="none" w:pos="87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current stockholders of BCTG and Tango Equityholders hold in the Combined Entity after the Closing?</w:t>
      </w:r>
    </w:p>
    <w:p>
      <w:pPr>
        <w:spacing w:after="0" w:line="98" w:lineRule="exact"/>
        <w:rPr>
          <w:sz w:val="20"/>
          <w:szCs w:val="20"/>
          <w:color w:val="auto"/>
        </w:rPr>
      </w:pPr>
    </w:p>
    <w:p>
      <w:pPr>
        <w:ind w:left="880" w:right="559" w:hanging="426"/>
        <w:spacing w:after="0" w:line="287" w:lineRule="auto"/>
        <w:tabs>
          <w:tab w:leader="none" w:pos="853" w:val="left"/>
        </w:tabs>
        <w:numPr>
          <w:ilvl w:val="0"/>
          <w:numId w:val="25"/>
        </w:numPr>
        <w:rPr>
          <w:rFonts w:ascii="Arial" w:cs="Arial" w:eastAsia="Arial" w:hAnsi="Arial"/>
          <w:sz w:val="16"/>
          <w:szCs w:val="16"/>
          <w:color w:val="auto"/>
        </w:rPr>
      </w:pPr>
      <w:r>
        <w:rPr>
          <w:rFonts w:ascii="Arial" w:cs="Arial" w:eastAsia="Arial" w:hAnsi="Arial"/>
          <w:sz w:val="16"/>
          <w:szCs w:val="16"/>
          <w:color w:val="auto"/>
        </w:rPr>
        <w:t>It is anticipated that, upon completion of the Business Combination, BCTG’s public stockholders (other than the PIPE Financing investors) will retain an ownership interest of approximately 17.7% in the Combined Entity, the PIPE Financing investors will own approximately 19.6% of the Combined Entity (such that public stockholders, including PIPE Financing investors, will own approximately 37.3% of the Combined Entity), the Sponsor will retain an ownership interest of approximately 4.8% in the Combined Entity and the Tango Equityholders will own approximately 57.9% of the outstanding Common Stock of the Combined Entity. The ownership percentage with respect to the Combined Entity following the Business Combination does not take into account (i) the redemption of any shares by BCTG’s public stockholders, or (ii) the issuance of any shares upon Closing under the Equity Incentive Plan, which is intended to be adopted following consummation of the Business Combination. If the actual facts are different than these assumptions (which they are likely to be), the percentage ownership retained by BCTG’s existing stockholders in the Combined Entity will be different.</w:t>
      </w:r>
    </w:p>
    <w:p>
      <w:pPr>
        <w:spacing w:after="0" w:line="100" w:lineRule="exact"/>
        <w:rPr>
          <w:sz w:val="20"/>
          <w:szCs w:val="20"/>
          <w:color w:val="auto"/>
        </w:rPr>
      </w:pPr>
    </w:p>
    <w:p>
      <w:pPr>
        <w:ind w:left="880" w:right="759" w:hanging="26"/>
        <w:spacing w:after="0" w:line="277" w:lineRule="auto"/>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Unaudited Pro Forma Condensed Combined Financial Information” for further</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w:t>
      </w:r>
    </w:p>
    <w:p>
      <w:pPr>
        <w:spacing w:after="0" w:line="85" w:lineRule="exact"/>
        <w:rPr>
          <w:sz w:val="20"/>
          <w:szCs w:val="20"/>
          <w:color w:val="auto"/>
        </w:rPr>
      </w:pPr>
    </w:p>
    <w:p>
      <w:pPr>
        <w:ind w:left="880" w:right="659" w:hanging="426"/>
        <w:spacing w:after="0" w:line="282" w:lineRule="auto"/>
        <w:tabs>
          <w:tab w:leader="none" w:pos="873"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Did the Board obtain a third-party valuation or fairness opinion in determining whether or not to proceed with the Business Combination?</w:t>
      </w:r>
    </w:p>
    <w:p>
      <w:pPr>
        <w:spacing w:after="0" w:line="98" w:lineRule="exact"/>
        <w:rPr>
          <w:sz w:val="20"/>
          <w:szCs w:val="20"/>
          <w:color w:val="auto"/>
        </w:rPr>
      </w:pPr>
    </w:p>
    <w:p>
      <w:pPr>
        <w:ind w:left="880" w:right="559" w:hanging="426"/>
        <w:spacing w:after="0" w:line="263" w:lineRule="auto"/>
        <w:tabs>
          <w:tab w:leader="none" w:pos="8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Yes, BCTG’s Board obtained a fairness opinion from Canaccord Genuity. For a description of the opinion issued by Canaccord Genuity to the Board, please see “</w:t>
      </w:r>
      <w:r>
        <w:rPr>
          <w:rFonts w:ascii="Arial" w:cs="Arial" w:eastAsia="Arial" w:hAnsi="Arial"/>
          <w:sz w:val="18"/>
          <w:szCs w:val="18"/>
          <w:i w:val="1"/>
          <w:iCs w:val="1"/>
          <w:color w:val="auto"/>
        </w:rPr>
        <w:t>Proposal No. 1: The 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 — Opinion of BCTG’s Financial Advisor.</w:t>
      </w:r>
      <w:r>
        <w:rPr>
          <w:rFonts w:ascii="Arial" w:cs="Arial" w:eastAsia="Arial" w:hAnsi="Arial"/>
          <w:sz w:val="18"/>
          <w:szCs w:val="18"/>
          <w:color w:val="auto"/>
        </w:rPr>
        <w:t>”</w:t>
      </w:r>
    </w:p>
    <w:p>
      <w:pPr>
        <w:spacing w:after="0" w:line="112" w:lineRule="exact"/>
        <w:rPr>
          <w:sz w:val="20"/>
          <w:szCs w:val="20"/>
          <w:color w:val="auto"/>
        </w:rPr>
      </w:pPr>
    </w:p>
    <w:p>
      <w:pPr>
        <w:ind w:left="880" w:hanging="426"/>
        <w:spacing w:after="0"/>
        <w:tabs>
          <w:tab w:leader="none" w:pos="8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What conditions must be satisfied to complete the Business Combination?</w:t>
      </w:r>
    </w:p>
    <w:p>
      <w:pPr>
        <w:spacing w:after="0" w:line="148" w:lineRule="exact"/>
        <w:rPr>
          <w:sz w:val="20"/>
          <w:szCs w:val="20"/>
          <w:color w:val="auto"/>
        </w:rPr>
      </w:pPr>
    </w:p>
    <w:p>
      <w:pPr>
        <w:ind w:left="880" w:right="539" w:hanging="426"/>
        <w:spacing w:after="0" w:line="289" w:lineRule="auto"/>
        <w:tabs>
          <w:tab w:leader="none" w:pos="85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There are a number of closing conditions in the Merger Agreement, including the approval by the stockholders of BCTG of the Business Combination Proposal, the Nasdaq Proposal, the Charter Amendment Proposal, the Incentive Plan Proposals and the Directors Proposal (the “</w:t>
      </w:r>
      <w:r>
        <w:rPr>
          <w:rFonts w:ascii="Arial" w:cs="Arial" w:eastAsia="Arial" w:hAnsi="Arial"/>
          <w:sz w:val="16"/>
          <w:szCs w:val="16"/>
          <w:b w:val="1"/>
          <w:bCs w:val="1"/>
          <w:color w:val="auto"/>
        </w:rPr>
        <w:t>Condition</w:t>
      </w:r>
      <w:r>
        <w:rPr>
          <w:rFonts w:ascii="Arial" w:cs="Arial" w:eastAsia="Arial" w:hAnsi="Arial"/>
          <w:sz w:val="16"/>
          <w:szCs w:val="16"/>
          <w:color w:val="auto"/>
        </w:rPr>
        <w:t xml:space="preserve"> </w:t>
      </w:r>
      <w:r>
        <w:rPr>
          <w:rFonts w:ascii="Arial" w:cs="Arial" w:eastAsia="Arial" w:hAnsi="Arial"/>
          <w:sz w:val="16"/>
          <w:szCs w:val="16"/>
          <w:b w:val="1"/>
          <w:bCs w:val="1"/>
          <w:color w:val="auto"/>
        </w:rPr>
        <w:t>Precedent Proposals</w:t>
      </w:r>
      <w:r>
        <w:rPr>
          <w:rFonts w:ascii="Arial" w:cs="Arial" w:eastAsia="Arial" w:hAnsi="Arial"/>
          <w:sz w:val="16"/>
          <w:szCs w:val="16"/>
          <w:color w:val="auto"/>
        </w:rPr>
        <w:t>”). The Nasdaq Proposal, the Charter Amendment Proposal, the Directors Proposal</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Incentive Plan Proposals are subject to and conditioned on the approval of the Business Combination Proposal. The Business Combination Proposal is subject to and conditioned on the approval of the Nasdaq Proposal, the Directors Proposal, the Charter Amendment Proposal and the Incentive Plan Proposals. For a summary of the conditions that must be satisfied or waived prior to the Closing, see the section titled “</w:t>
      </w:r>
      <w:r>
        <w:rPr>
          <w:rFonts w:ascii="Arial" w:cs="Arial" w:eastAsia="Arial" w:hAnsi="Arial"/>
          <w:sz w:val="16"/>
          <w:szCs w:val="16"/>
          <w:i w:val="1"/>
          <w:iCs w:val="1"/>
          <w:color w:val="auto"/>
        </w:rPr>
        <w:t>The Business Combination Proposal — The Merger Agreement</w:t>
      </w:r>
      <w:r>
        <w:rPr>
          <w:rFonts w:ascii="Arial" w:cs="Arial" w:eastAsia="Arial" w:hAnsi="Arial"/>
          <w:sz w:val="16"/>
          <w:szCs w:val="16"/>
          <w:color w:val="auto"/>
        </w:rPr>
        <w:t>.”</w:t>
      </w:r>
    </w:p>
    <w:p>
      <w:pPr>
        <w:spacing w:after="0" w:line="95" w:lineRule="exact"/>
        <w:rPr>
          <w:sz w:val="20"/>
          <w:szCs w:val="20"/>
          <w:color w:val="auto"/>
        </w:rPr>
      </w:pPr>
    </w:p>
    <w:p>
      <w:pPr>
        <w:ind w:left="880" w:hanging="426"/>
        <w:spacing w:after="0"/>
        <w:tabs>
          <w:tab w:leader="none" w:pos="88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Why is BCTG providing stockholders with the opportunity to vote on the Business Combination?</w:t>
      </w:r>
    </w:p>
    <w:p>
      <w:pPr>
        <w:spacing w:after="0" w:line="185" w:lineRule="exact"/>
        <w:rPr>
          <w:sz w:val="20"/>
          <w:szCs w:val="20"/>
          <w:color w:val="auto"/>
        </w:rPr>
      </w:pPr>
    </w:p>
    <w:p>
      <w:pPr>
        <w:ind w:left="880" w:right="519" w:hanging="426"/>
        <w:spacing w:after="0" w:line="259" w:lineRule="auto"/>
        <w:tabs>
          <w:tab w:leader="none" w:pos="8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the Current Charter, BCTG must provide all holders of its Public Shares with the opportunity to have their Public Shares redeemed upon the consummation of BCTG’s initial business combination either in conjunction with a tender offer or in conjunction with a stockholder vote. For business and other reasons,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 w:name="page19"/>
    <w:bookmarkEnd w:id="1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right="539"/>
        <w:spacing w:after="0" w:line="301" w:lineRule="auto"/>
        <w:rPr>
          <w:sz w:val="20"/>
          <w:szCs w:val="20"/>
          <w:color w:val="auto"/>
        </w:rPr>
      </w:pPr>
      <w:r>
        <w:rPr>
          <w:rFonts w:ascii="Arial" w:cs="Arial" w:eastAsia="Arial" w:hAnsi="Arial"/>
          <w:sz w:val="16"/>
          <w:szCs w:val="16"/>
          <w:color w:val="auto"/>
        </w:rPr>
        <w:t>BCTG has elected to provide its stockholders with the opportunity to have their Public Shares redeemed in connection with a stockholder vote rather than a tender offer. Therefore, BCTG is seeking to obtain the approval of its stockholders of the Business Combination Proposal in order to allow its public stockholders to effectuate redemptions of their Public Shares in connection with the Closing.</w:t>
      </w:r>
    </w:p>
    <w:p>
      <w:pPr>
        <w:spacing w:after="0" w:line="86" w:lineRule="exact"/>
        <w:rPr>
          <w:sz w:val="20"/>
          <w:szCs w:val="20"/>
          <w:color w:val="auto"/>
        </w:rPr>
      </w:pPr>
    </w:p>
    <w:p>
      <w:pPr>
        <w:ind w:left="880" w:right="599" w:hanging="426"/>
        <w:spacing w:after="0" w:line="282" w:lineRule="auto"/>
        <w:tabs>
          <w:tab w:leader="none" w:pos="863"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arrangements to help ensure that BCTG will have sufficient funds, together with the proceeds in its Trust Account, to fund the Base Purchase Price?</w:t>
      </w:r>
    </w:p>
    <w:p>
      <w:pPr>
        <w:spacing w:after="0" w:line="98" w:lineRule="exact"/>
        <w:rPr>
          <w:sz w:val="20"/>
          <w:szCs w:val="20"/>
          <w:color w:val="auto"/>
        </w:rPr>
      </w:pPr>
    </w:p>
    <w:p>
      <w:pPr>
        <w:ind w:left="880" w:right="479" w:hanging="426"/>
        <w:spacing w:after="0" w:line="259" w:lineRule="auto"/>
        <w:tabs>
          <w:tab w:leader="none" w:pos="8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Yes. BCTG entered into subscription agreements dated as of April 13, 2021, with the PIPE Financing investors, pursuant to which, among other things, BCTG agreed to issue and sell, in a private placement to close immediately prior to the Closing, an aggregate of 18,610,000 shares of BCTG Common Stock for $10.00 per share for aggregate consideration of $186,100,000.</w:t>
      </w:r>
    </w:p>
    <w:p>
      <w:pPr>
        <w:spacing w:after="0" w:line="106" w:lineRule="exact"/>
        <w:rPr>
          <w:sz w:val="20"/>
          <w:szCs w:val="20"/>
          <w:color w:val="auto"/>
        </w:rPr>
      </w:pPr>
    </w:p>
    <w:p>
      <w:pPr>
        <w:ind w:left="880" w:right="559" w:hanging="29"/>
        <w:spacing w:after="0" w:line="255" w:lineRule="auto"/>
        <w:rPr>
          <w:sz w:val="20"/>
          <w:szCs w:val="20"/>
          <w:color w:val="auto"/>
        </w:rPr>
      </w:pPr>
      <w:r>
        <w:rPr>
          <w:rFonts w:ascii="Arial" w:cs="Arial" w:eastAsia="Arial" w:hAnsi="Arial"/>
          <w:sz w:val="18"/>
          <w:szCs w:val="18"/>
          <w:color w:val="auto"/>
        </w:rPr>
        <w:t>To the extent not utilized to consummate the Business Combination, the proceeds from the Trust Account will be used for general corporate purposes, including, but not limited to, working capital for operations, capital expenditures and future acquisitions. BCTG will agree that it (or its successor) will file with the SEC a registration statement registering the resale of the shares purchased in the PIPE Financing and use its commercially reasonable efforts to have the registration statement declared effective as soon as practicable.</w:t>
      </w:r>
    </w:p>
    <w:p>
      <w:pPr>
        <w:spacing w:after="0" w:line="121" w:lineRule="exact"/>
        <w:rPr>
          <w:sz w:val="20"/>
          <w:szCs w:val="20"/>
          <w:color w:val="auto"/>
        </w:rPr>
      </w:pPr>
    </w:p>
    <w:p>
      <w:pPr>
        <w:ind w:left="880" w:hanging="426"/>
        <w:spacing w:after="0"/>
        <w:tabs>
          <w:tab w:leader="none" w:pos="8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 at the Special Meeting?</w:t>
      </w:r>
    </w:p>
    <w:p>
      <w:pPr>
        <w:spacing w:after="0" w:line="162" w:lineRule="exact"/>
        <w:rPr>
          <w:sz w:val="20"/>
          <w:szCs w:val="20"/>
          <w:color w:val="auto"/>
        </w:rPr>
      </w:pPr>
    </w:p>
    <w:p>
      <w:pPr>
        <w:ind w:left="880" w:right="659" w:hanging="426"/>
        <w:spacing w:after="0" w:line="259" w:lineRule="auto"/>
        <w:tabs>
          <w:tab w:leader="none" w:pos="8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BCTG stockholders are entitled to one vote at the Special Meeting for each share of BCTG Common Stock held of record as of [•], 2021, the record date for the Special Meeting (the “</w:t>
      </w:r>
      <w:r>
        <w:rPr>
          <w:rFonts w:ascii="Arial" w:cs="Arial" w:eastAsia="Arial" w:hAnsi="Arial"/>
          <w:sz w:val="18"/>
          <w:szCs w:val="18"/>
          <w:b w:val="1"/>
          <w:bCs w:val="1"/>
          <w:color w:val="auto"/>
        </w:rPr>
        <w:t>Record Date</w:t>
      </w:r>
      <w:r>
        <w:rPr>
          <w:rFonts w:ascii="Arial" w:cs="Arial" w:eastAsia="Arial" w:hAnsi="Arial"/>
          <w:sz w:val="18"/>
          <w:szCs w:val="18"/>
          <w:color w:val="auto"/>
        </w:rPr>
        <w:t>”). As of the close of business on the Record Date, there were 21,377,250 outstanding shares of BCTG Common Stock.</w:t>
      </w:r>
    </w:p>
    <w:p>
      <w:pPr>
        <w:spacing w:after="0" w:line="102" w:lineRule="exact"/>
        <w:rPr>
          <w:sz w:val="20"/>
          <w:szCs w:val="20"/>
          <w:color w:val="auto"/>
        </w:rPr>
      </w:pPr>
    </w:p>
    <w:p>
      <w:pPr>
        <w:ind w:left="880" w:hanging="426"/>
        <w:spacing w:after="0"/>
        <w:tabs>
          <w:tab w:leader="none" w:pos="8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the proposals presented at the Special Meeting?</w:t>
      </w:r>
    </w:p>
    <w:p>
      <w:pPr>
        <w:spacing w:after="0" w:line="162" w:lineRule="exact"/>
        <w:rPr>
          <w:sz w:val="20"/>
          <w:szCs w:val="20"/>
          <w:color w:val="auto"/>
        </w:rPr>
      </w:pPr>
    </w:p>
    <w:p>
      <w:pPr>
        <w:ind w:left="880" w:right="499" w:hanging="426"/>
        <w:spacing w:after="0" w:line="259" w:lineRule="auto"/>
        <w:tabs>
          <w:tab w:leader="none" w:pos="8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approval of the Charter Amendment Proposal requires the affirmative vote of a majority of the issued and outstanding BCTG Common Stock as of the Record Date. Accordingly, a BCTG stockholder’s failure to vote by proxy or to vote online at the Special Meeting or an abstention will have the same effect as a vote “AGAINST” the Charter Amendment Proposal.</w:t>
      </w:r>
    </w:p>
    <w:p>
      <w:pPr>
        <w:spacing w:after="0" w:line="119" w:lineRule="exact"/>
        <w:rPr>
          <w:sz w:val="20"/>
          <w:szCs w:val="20"/>
          <w:color w:val="auto"/>
        </w:rPr>
      </w:pPr>
    </w:p>
    <w:p>
      <w:pPr>
        <w:ind w:left="880" w:right="499"/>
        <w:spacing w:after="0" w:line="286" w:lineRule="auto"/>
        <w:rPr>
          <w:sz w:val="20"/>
          <w:szCs w:val="20"/>
          <w:color w:val="auto"/>
        </w:rPr>
      </w:pPr>
      <w:r>
        <w:rPr>
          <w:rFonts w:ascii="Arial" w:cs="Arial" w:eastAsia="Arial" w:hAnsi="Arial"/>
          <w:sz w:val="16"/>
          <w:szCs w:val="16"/>
          <w:color w:val="auto"/>
        </w:rPr>
        <w:t>The approval of the Business Combination Proposal, the Nasdaq Proposal, the Incentive Plan Proposals and the Adjournment Proposal each require the affirmative vote of the holders of a majority of the shares of BCTG Common Stock present or represented at the Special Meeting, by ballot, proxy or electronic ballot, and entitled to vote thereon at the Special Meeting. The approval of the Advisory Charter Proposals is a non-binding advisory vote, and requires the affirmative vote of the holders of a majority of the shares of BCTG Common Stock present or represented at the Special Meeting, by ballot, proxy or electronic ballot, and entitled to vote thereon at the Special Meeting. Approval of the Directors Proposal will require the vote by a plurality of the shares of the Common Stock present by virtual attendance or represented by proxy and entitled to vote at the Special Meeting. A BCTG stockholder’s failure to vote by proxy or to vote online at the Special Meeting will not be counted towards the number of shares of BCTG Common Stock required to validly establish a quorum, and if a valid quorum is otherwise established, it will have no effect on the outcome of the vote on the Nasdaq Proposal, the Directors Proposal, the Incentive Plan Proposals and Adjournment Proposal. The approval of the Advisory Charter Proposals is not a precondition to the consummation of the Business Combination.</w:t>
      </w:r>
    </w:p>
    <w:p>
      <w:pPr>
        <w:spacing w:after="0" w:line="90" w:lineRule="exact"/>
        <w:rPr>
          <w:sz w:val="20"/>
          <w:szCs w:val="20"/>
          <w:color w:val="auto"/>
        </w:rPr>
      </w:pPr>
    </w:p>
    <w:p>
      <w:pPr>
        <w:ind w:left="880" w:right="739" w:hanging="26"/>
        <w:spacing w:after="0" w:line="296" w:lineRule="auto"/>
        <w:rPr>
          <w:sz w:val="20"/>
          <w:szCs w:val="20"/>
          <w:color w:val="auto"/>
        </w:rPr>
      </w:pPr>
      <w:r>
        <w:rPr>
          <w:rFonts w:ascii="Arial" w:cs="Arial" w:eastAsia="Arial" w:hAnsi="Arial"/>
          <w:sz w:val="16"/>
          <w:szCs w:val="16"/>
          <w:color w:val="auto"/>
        </w:rPr>
        <w:t>If the Business Combination Proposal is not approved, the Nasdaq Proposal, the Charter Amendment Proposal, the Advisory Charter Proposals, the Directors Proposal and the Incentive Plan Proposals will not be presented to the BCTG stockholders for a vote. The approval of the Business Combination Proposal, the Nasdaq Proposal, the Charter Amendment Proposal, the Directors Proposal and the Incentive Plan Proposals are preconditions to the consummation of the Business Combination.</w:t>
      </w:r>
    </w:p>
    <w:p>
      <w:pPr>
        <w:spacing w:after="0" w:line="90" w:lineRule="exact"/>
        <w:rPr>
          <w:sz w:val="20"/>
          <w:szCs w:val="20"/>
          <w:color w:val="auto"/>
        </w:rPr>
      </w:pPr>
    </w:p>
    <w:p>
      <w:pPr>
        <w:ind w:left="880" w:right="619" w:hanging="426"/>
        <w:spacing w:after="0" w:line="282" w:lineRule="auto"/>
        <w:tabs>
          <w:tab w:leader="none" w:pos="873"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May BCTG, the Sponsor or BCTG’s directors, officers, advisors or their affiliates purchase shares in connection with the Business Combination?</w:t>
      </w:r>
    </w:p>
    <w:p>
      <w:pPr>
        <w:spacing w:after="0" w:line="98" w:lineRule="exact"/>
        <w:rPr>
          <w:sz w:val="20"/>
          <w:szCs w:val="20"/>
          <w:color w:val="auto"/>
        </w:rPr>
      </w:pPr>
    </w:p>
    <w:p>
      <w:pPr>
        <w:ind w:left="880" w:right="499" w:hanging="426"/>
        <w:spacing w:after="0" w:line="257" w:lineRule="auto"/>
        <w:tabs>
          <w:tab w:leader="none" w:pos="853"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connection with the stockholder vote to approve the proposed Business Combination, the Sponsor, directors, officers or advisors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BCTG’s</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 w:name="page20"/>
    <w:bookmarkEnd w:id="1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right="539"/>
        <w:spacing w:after="0" w:line="287" w:lineRule="auto"/>
        <w:rPr>
          <w:sz w:val="20"/>
          <w:szCs w:val="20"/>
          <w:color w:val="auto"/>
        </w:rPr>
      </w:pPr>
      <w:r>
        <w:rPr>
          <w:rFonts w:ascii="Arial" w:cs="Arial" w:eastAsia="Arial" w:hAnsi="Arial"/>
          <w:sz w:val="16"/>
          <w:szCs w:val="16"/>
          <w:color w:val="auto"/>
        </w:rPr>
        <w:t>Sponsor, directors, officers or advisors or their respective affiliates will make any such purchases when they are in possession of any material non-public information not disclosed to the seller or during a restricted period under Regulation M under the Exchange Act. Such a purchase would include a contractual acknowledgement that such stockholder, although still the record holder of BCTG shares, is no longer the beneficial owner thereof and therefore agrees not to exercise its redemption rights, and could include a contractual provision that directs such stockholder to vote such shares in a manner directed by the purchaser. In the event that the Sponsor, directors, officers or advisors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per-share pro rata portion of the Trust Account.</w:t>
      </w:r>
    </w:p>
    <w:p>
      <w:pPr>
        <w:spacing w:after="0" w:line="87" w:lineRule="exact"/>
        <w:rPr>
          <w:sz w:val="20"/>
          <w:szCs w:val="20"/>
          <w:color w:val="auto"/>
        </w:rPr>
      </w:pPr>
    </w:p>
    <w:p>
      <w:pPr>
        <w:ind w:left="880" w:hanging="426"/>
        <w:spacing w:after="0"/>
        <w:tabs>
          <w:tab w:leader="none" w:pos="8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 at the Special Meeting?</w:t>
      </w:r>
    </w:p>
    <w:p>
      <w:pPr>
        <w:spacing w:after="0" w:line="135" w:lineRule="exact"/>
        <w:rPr>
          <w:sz w:val="20"/>
          <w:szCs w:val="20"/>
          <w:color w:val="auto"/>
        </w:rPr>
      </w:pPr>
    </w:p>
    <w:p>
      <w:pPr>
        <w:ind w:left="880" w:right="539" w:hanging="426"/>
        <w:spacing w:after="0" w:line="273" w:lineRule="auto"/>
        <w:tabs>
          <w:tab w:leader="none" w:pos="853" w:val="left"/>
        </w:tabs>
        <w:numPr>
          <w:ilvl w:val="0"/>
          <w:numId w:val="41"/>
        </w:numPr>
        <w:rPr>
          <w:rFonts w:ascii="Arial" w:cs="Arial" w:eastAsia="Arial" w:hAnsi="Arial"/>
          <w:sz w:val="17"/>
          <w:szCs w:val="17"/>
          <w:color w:val="auto"/>
        </w:rPr>
      </w:pPr>
      <w:r>
        <w:rPr>
          <w:rFonts w:ascii="Arial" w:cs="Arial" w:eastAsia="Arial" w:hAnsi="Arial"/>
          <w:sz w:val="17"/>
          <w:szCs w:val="17"/>
          <w:color w:val="auto"/>
        </w:rPr>
        <w:t>Holders of a majority of the shares of capital stock of BCTG issued and outstanding and entitled to vote, represented in person, virtual attendance or by proxy, shall constitute a quorum at the Special Meeting. In the absence of a quorum, the stockholders present by virtual attendance or represented by proxy shall have power to adjourn the Special Meeting, without notice other than announcement at the meeting, until a quorum shall be present or represented. As of the Record Date, 10,688,626 shares of BCTG Common Stock would be required to achieve a quorum.</w:t>
      </w:r>
    </w:p>
    <w:p>
      <w:pPr>
        <w:spacing w:after="0" w:line="79" w:lineRule="exact"/>
        <w:rPr>
          <w:sz w:val="20"/>
          <w:szCs w:val="20"/>
          <w:color w:val="auto"/>
        </w:rPr>
      </w:pPr>
    </w:p>
    <w:p>
      <w:pPr>
        <w:ind w:left="880" w:hanging="426"/>
        <w:spacing w:after="0"/>
        <w:tabs>
          <w:tab w:leader="none" w:pos="8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Sponsor, directors and officers vote?</w:t>
      </w:r>
    </w:p>
    <w:p>
      <w:pPr>
        <w:spacing w:after="0" w:line="148" w:lineRule="exact"/>
        <w:rPr>
          <w:sz w:val="20"/>
          <w:szCs w:val="20"/>
          <w:color w:val="auto"/>
        </w:rPr>
      </w:pPr>
    </w:p>
    <w:p>
      <w:pPr>
        <w:ind w:left="880" w:right="479" w:hanging="426"/>
        <w:spacing w:after="0" w:line="254" w:lineRule="auto"/>
        <w:tabs>
          <w:tab w:leader="none" w:pos="8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Sponsor, as BCTG’s initial stockholder, and certain individuals, each of whom is a member of BCTG’s Board and/or management team (“</w:t>
      </w:r>
      <w:r>
        <w:rPr>
          <w:rFonts w:ascii="Arial" w:cs="Arial" w:eastAsia="Arial" w:hAnsi="Arial"/>
          <w:sz w:val="18"/>
          <w:szCs w:val="18"/>
          <w:b w:val="1"/>
          <w:bCs w:val="1"/>
          <w:color w:val="auto"/>
        </w:rPr>
        <w:t>Insiders</w:t>
      </w:r>
      <w:r>
        <w:rPr>
          <w:rFonts w:ascii="Arial" w:cs="Arial" w:eastAsia="Arial" w:hAnsi="Arial"/>
          <w:sz w:val="18"/>
          <w:szCs w:val="18"/>
          <w:color w:val="auto"/>
        </w:rPr>
        <w:t>”) have agreed to vote his, her or its Founders Shares and all shares of BCTG Common Stock owned by the Sponsor or each such Insider, respectively, in favor of the Business Combination. Accordingly, it is more likely that the necessary stockholder approval will be received than would be the case if the Sponsor and Insiders agreed to vote their Founders Shares and other shares of BCTG Common Stock in accordance with the majority of the votes cast by BCTG’s public stockholders.</w:t>
      </w:r>
    </w:p>
    <w:p>
      <w:pPr>
        <w:spacing w:after="0" w:line="96" w:lineRule="exact"/>
        <w:rPr>
          <w:sz w:val="20"/>
          <w:szCs w:val="20"/>
          <w:color w:val="auto"/>
        </w:rPr>
      </w:pPr>
    </w:p>
    <w:p>
      <w:pPr>
        <w:ind w:left="880" w:hanging="426"/>
        <w:spacing w:after="0"/>
        <w:tabs>
          <w:tab w:leader="none" w:pos="88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What interests do BCTG’s current officers and directors have in the Business Combination?</w:t>
      </w:r>
    </w:p>
    <w:p>
      <w:pPr>
        <w:spacing w:after="0" w:line="146" w:lineRule="exact"/>
        <w:rPr>
          <w:sz w:val="20"/>
          <w:szCs w:val="20"/>
          <w:color w:val="auto"/>
        </w:rPr>
      </w:pPr>
    </w:p>
    <w:p>
      <w:pPr>
        <w:ind w:left="880" w:right="899" w:hanging="426"/>
        <w:spacing w:after="0" w:line="263" w:lineRule="auto"/>
        <w:tabs>
          <w:tab w:leader="none" w:pos="8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Sponsor, members of BCTG’s Board and its executive officers and advisors have interests in the Business Combination that are different from or in addition to (and which may conflict with) your interest. These interests include:</w:t>
      </w:r>
    </w:p>
    <w:p>
      <w:pPr>
        <w:spacing w:after="0" w:line="102" w:lineRule="exact"/>
        <w:rPr>
          <w:rFonts w:ascii="Arial" w:cs="Arial" w:eastAsia="Arial" w:hAnsi="Arial"/>
          <w:sz w:val="18"/>
          <w:szCs w:val="18"/>
          <w:color w:val="auto"/>
        </w:rPr>
      </w:pPr>
    </w:p>
    <w:p>
      <w:pPr>
        <w:ind w:left="1320" w:right="499" w:hanging="434"/>
        <w:spacing w:after="0" w:line="259" w:lineRule="auto"/>
        <w:tabs>
          <w:tab w:leader="none" w:pos="1311" w:val="left"/>
        </w:tabs>
        <w:numPr>
          <w:ilvl w:val="1"/>
          <w:numId w:val="45"/>
        </w:numPr>
        <w:rPr>
          <w:rFonts w:ascii="Arial" w:cs="Arial" w:eastAsia="Arial" w:hAnsi="Arial"/>
          <w:sz w:val="18"/>
          <w:szCs w:val="18"/>
          <w:color w:val="auto"/>
        </w:rPr>
      </w:pPr>
      <w:r>
        <w:rPr>
          <w:rFonts w:ascii="Arial" w:cs="Arial" w:eastAsia="Arial" w:hAnsi="Arial"/>
          <w:sz w:val="18"/>
          <w:szCs w:val="18"/>
          <w:color w:val="auto"/>
        </w:rPr>
        <w:t>unless BCTG consummates an initial business combination, BCTG’s officers, directors and Sponsor will not receive reimbursement for any out-of-pocket expenses incurred by them to the extent that such expenses exceed the amount of available proceeds from the BCTG IPO and Private Placement not deposited in the Trust Account;</w:t>
      </w:r>
    </w:p>
    <w:p>
      <w:pPr>
        <w:spacing w:after="0" w:line="92" w:lineRule="exact"/>
        <w:rPr>
          <w:rFonts w:ascii="Arial" w:cs="Arial" w:eastAsia="Arial" w:hAnsi="Arial"/>
          <w:sz w:val="18"/>
          <w:szCs w:val="18"/>
          <w:color w:val="auto"/>
        </w:rPr>
      </w:pPr>
    </w:p>
    <w:p>
      <w:pPr>
        <w:ind w:left="1320" w:right="499" w:hanging="434"/>
        <w:spacing w:after="0" w:line="287" w:lineRule="auto"/>
        <w:tabs>
          <w:tab w:leader="none" w:pos="1311" w:val="left"/>
        </w:tabs>
        <w:numPr>
          <w:ilvl w:val="1"/>
          <w:numId w:val="45"/>
        </w:numPr>
        <w:rPr>
          <w:rFonts w:ascii="Arial" w:cs="Arial" w:eastAsia="Arial" w:hAnsi="Arial"/>
          <w:sz w:val="16"/>
          <w:szCs w:val="16"/>
          <w:color w:val="auto"/>
        </w:rPr>
      </w:pPr>
      <w:r>
        <w:rPr>
          <w:rFonts w:ascii="Arial" w:cs="Arial" w:eastAsia="Arial" w:hAnsi="Arial"/>
          <w:sz w:val="16"/>
          <w:szCs w:val="16"/>
          <w:color w:val="auto"/>
        </w:rPr>
        <w:t>our Sponsor and our directors and executive officers have agreed not to transfer, assign or sell any of their Founders Shares until the earliest of (A) one year after the completion of our initial business combination and (B) subsequent to our initial business combination, (x) if the closing price of our common stock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public stockholders having the right to exchange their shares of common stock for cash, securities or other property (except pursuant to limited exceptions). Any permitted transferees would be subject to the same restrictions and other agreements of our Sponsor and our directors and executive officers with respect to any Founders Shares;</w:t>
      </w:r>
    </w:p>
    <w:p>
      <w:pPr>
        <w:spacing w:after="0" w:line="77" w:lineRule="exact"/>
        <w:rPr>
          <w:rFonts w:ascii="Arial" w:cs="Arial" w:eastAsia="Arial" w:hAnsi="Arial"/>
          <w:sz w:val="16"/>
          <w:szCs w:val="16"/>
          <w:color w:val="auto"/>
        </w:rPr>
      </w:pPr>
    </w:p>
    <w:p>
      <w:pPr>
        <w:ind w:left="1320" w:right="719" w:hanging="434"/>
        <w:spacing w:after="0" w:line="308" w:lineRule="auto"/>
        <w:tabs>
          <w:tab w:leader="none" w:pos="1311"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fact that the Sponsor paid an aggregate of $25,000 for its Founders Shares and such securities will have a significantly higher value at the time of the Business Combination;</w:t>
      </w:r>
    </w:p>
    <w:p>
      <w:pPr>
        <w:spacing w:after="0" w:line="65" w:lineRule="exact"/>
        <w:rPr>
          <w:rFonts w:ascii="Arial" w:cs="Arial" w:eastAsia="Arial" w:hAnsi="Arial"/>
          <w:sz w:val="17"/>
          <w:szCs w:val="17"/>
          <w:color w:val="auto"/>
        </w:rPr>
      </w:pPr>
    </w:p>
    <w:p>
      <w:pPr>
        <w:ind w:left="1320" w:right="599" w:hanging="434"/>
        <w:spacing w:after="0" w:line="308" w:lineRule="auto"/>
        <w:tabs>
          <w:tab w:leader="none" w:pos="1311"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fact that the Sponsor has agreed not to redeem any of the Founders Shares in connection with a stockholder vote to approve a proposed initial business combination; and</w:t>
      </w:r>
    </w:p>
    <w:p>
      <w:pPr>
        <w:spacing w:after="0" w:line="51" w:lineRule="exact"/>
        <w:rPr>
          <w:rFonts w:ascii="Arial" w:cs="Arial" w:eastAsia="Arial" w:hAnsi="Arial"/>
          <w:sz w:val="17"/>
          <w:szCs w:val="17"/>
          <w:color w:val="auto"/>
        </w:rPr>
      </w:pPr>
    </w:p>
    <w:p>
      <w:pPr>
        <w:ind w:left="1320" w:right="599" w:hanging="434"/>
        <w:spacing w:after="0" w:line="263" w:lineRule="auto"/>
        <w:tabs>
          <w:tab w:leader="none" w:pos="1311" w:val="left"/>
        </w:tabs>
        <w:numPr>
          <w:ilvl w:val="1"/>
          <w:numId w:val="45"/>
        </w:numPr>
        <w:rPr>
          <w:rFonts w:ascii="Arial" w:cs="Arial" w:eastAsia="Arial" w:hAnsi="Arial"/>
          <w:sz w:val="18"/>
          <w:szCs w:val="18"/>
          <w:color w:val="auto"/>
        </w:rPr>
      </w:pPr>
      <w:r>
        <w:rPr>
          <w:rFonts w:ascii="Arial" w:cs="Arial" w:eastAsia="Arial" w:hAnsi="Arial"/>
          <w:sz w:val="18"/>
          <w:szCs w:val="18"/>
          <w:color w:val="auto"/>
        </w:rPr>
        <w:t>Boxer Capital, an affiliate of the Sponsor, has a seat on the Tango board of directors (occupied by Aaron Davis) and owns approximately 15% of Tango’s outstanding securities prior to the Business Combination.</w:t>
      </w:r>
    </w:p>
    <w:p>
      <w:pPr>
        <w:spacing w:after="0" w:line="89" w:lineRule="exact"/>
        <w:rPr>
          <w:sz w:val="20"/>
          <w:szCs w:val="20"/>
          <w:color w:val="auto"/>
        </w:rPr>
      </w:pPr>
    </w:p>
    <w:p>
      <w:pPr>
        <w:ind w:left="880" w:right="519" w:hanging="29"/>
        <w:spacing w:after="0" w:line="277" w:lineRule="auto"/>
        <w:rPr>
          <w:sz w:val="20"/>
          <w:szCs w:val="20"/>
          <w:color w:val="auto"/>
        </w:rPr>
      </w:pPr>
      <w:r>
        <w:rPr>
          <w:rFonts w:ascii="Arial" w:cs="Arial" w:eastAsia="Arial" w:hAnsi="Arial"/>
          <w:sz w:val="18"/>
          <w:szCs w:val="18"/>
          <w:color w:val="auto"/>
        </w:rPr>
        <w:t>These interests may influence BCTG’s directors in making their recommendation that you vote in favor of the approval of the Business Combination.</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 w:name="page21"/>
    <w:bookmarkEnd w:id="2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880" w:hanging="426"/>
        <w:spacing w:after="0"/>
        <w:tabs>
          <w:tab w:leader="none" w:pos="8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shares of Common Stock before the Special Meeting?</w:t>
      </w:r>
    </w:p>
    <w:p>
      <w:pPr>
        <w:spacing w:after="0" w:line="162" w:lineRule="exact"/>
        <w:rPr>
          <w:sz w:val="20"/>
          <w:szCs w:val="20"/>
          <w:color w:val="auto"/>
        </w:rPr>
      </w:pPr>
    </w:p>
    <w:p>
      <w:pPr>
        <w:ind w:left="880" w:right="719" w:hanging="426"/>
        <w:spacing w:after="0" w:line="291" w:lineRule="auto"/>
        <w:tabs>
          <w:tab w:leader="none" w:pos="85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Record Date is earlier than the date of the Special Meeting. If you transfer your shares of Common Stock after the Record Date, but before the Special Meeting, unless the transferee obtains from you a proxy to vote those shares, you will retain your right to vote at the Special Meeting. However, you will not be able to seek redemption of your shares because you will no longer be able to deliver them for cancellation upon consummation of the Business Combination. If you transfer your shares of Common Stock prior to the Record Date, you will have no right to vote those shares at the Special Meeting or redeem those shares for a pro rata portion of the proceeds held in our Trust Account.</w:t>
      </w:r>
    </w:p>
    <w:p>
      <w:pPr>
        <w:spacing w:after="0" w:line="95" w:lineRule="exact"/>
        <w:rPr>
          <w:sz w:val="20"/>
          <w:szCs w:val="20"/>
          <w:color w:val="auto"/>
        </w:rPr>
      </w:pPr>
    </w:p>
    <w:p>
      <w:pPr>
        <w:ind w:left="880" w:hanging="426"/>
        <w:spacing w:after="0"/>
        <w:tabs>
          <w:tab w:leader="none" w:pos="8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vote against the Business Combination Proposal?</w:t>
      </w:r>
    </w:p>
    <w:p>
      <w:pPr>
        <w:spacing w:after="0" w:line="148" w:lineRule="exact"/>
        <w:rPr>
          <w:sz w:val="20"/>
          <w:szCs w:val="20"/>
          <w:color w:val="auto"/>
        </w:rPr>
      </w:pPr>
    </w:p>
    <w:p>
      <w:pPr>
        <w:ind w:left="880" w:right="459" w:hanging="426"/>
        <w:spacing w:after="0" w:line="259" w:lineRule="auto"/>
        <w:tabs>
          <w:tab w:leader="none" w:pos="8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Pursuant to the Current Charter, if the Business Combination Proposal is not approved and BCTG does not otherwise consummate an alternative business combination by September 8, 2022, BCTG will be required to dissolve and liquidate its Trust Account by returning the then remaining funds in such account to the public stockholders.</w:t>
      </w:r>
    </w:p>
    <w:p>
      <w:pPr>
        <w:spacing w:after="0" w:line="115" w:lineRule="exact"/>
        <w:rPr>
          <w:sz w:val="20"/>
          <w:szCs w:val="20"/>
          <w:color w:val="auto"/>
        </w:rPr>
      </w:pPr>
    </w:p>
    <w:p>
      <w:pPr>
        <w:ind w:left="880" w:hanging="426"/>
        <w:spacing w:after="0"/>
        <w:tabs>
          <w:tab w:leader="none" w:pos="8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redemption rights?</w:t>
      </w:r>
    </w:p>
    <w:p>
      <w:pPr>
        <w:spacing w:after="0" w:line="162" w:lineRule="exact"/>
        <w:rPr>
          <w:sz w:val="20"/>
          <w:szCs w:val="20"/>
          <w:color w:val="auto"/>
        </w:rPr>
      </w:pPr>
    </w:p>
    <w:p>
      <w:pPr>
        <w:ind w:left="880" w:right="519" w:hanging="426"/>
        <w:spacing w:after="0" w:line="270" w:lineRule="auto"/>
        <w:tabs>
          <w:tab w:leader="none" w:pos="853" w:val="left"/>
        </w:tabs>
        <w:numPr>
          <w:ilvl w:val="0"/>
          <w:numId w:val="51"/>
        </w:numPr>
        <w:rPr>
          <w:rFonts w:ascii="Arial" w:cs="Arial" w:eastAsia="Arial" w:hAnsi="Arial"/>
          <w:sz w:val="17"/>
          <w:szCs w:val="17"/>
          <w:color w:val="auto"/>
        </w:rPr>
      </w:pPr>
      <w:r>
        <w:rPr>
          <w:rFonts w:ascii="Arial" w:cs="Arial" w:eastAsia="Arial" w:hAnsi="Arial"/>
          <w:sz w:val="17"/>
          <w:szCs w:val="17"/>
          <w:color w:val="auto"/>
        </w:rPr>
        <w:t>Pursuant to the Current Charter, holders of Public Shares may elect to have their shares redeemed for cash at the applicable redemption price per share calculated in accordance with the Current Charter. As of [•], 2021, based on funds in the Trust Account of approximately $[•] million, this would have amounted to approximately $[•] per share. If a holder exercises its redemption rights, then such holder will be exchanging its shares of BCTG Common Stock for cash. Such a holder will be entitled to receive cash for its Public Shares only if it properly demands redemption and delivers its shares (either physically or electronically) to BCTG’s transfer agent prior to the Special Meeting. See the section titled “</w:t>
      </w:r>
      <w:r>
        <w:rPr>
          <w:rFonts w:ascii="Arial" w:cs="Arial" w:eastAsia="Arial" w:hAnsi="Arial"/>
          <w:sz w:val="17"/>
          <w:szCs w:val="17"/>
          <w:i w:val="1"/>
          <w:iCs w:val="1"/>
          <w:color w:val="auto"/>
        </w:rPr>
        <w:t>Special</w:t>
      </w:r>
      <w:r>
        <w:rPr>
          <w:rFonts w:ascii="Arial" w:cs="Arial" w:eastAsia="Arial" w:hAnsi="Arial"/>
          <w:sz w:val="17"/>
          <w:szCs w:val="17"/>
          <w:color w:val="auto"/>
        </w:rPr>
        <w:t xml:space="preserve"> </w:t>
      </w:r>
      <w:r>
        <w:rPr>
          <w:rFonts w:ascii="Arial" w:cs="Arial" w:eastAsia="Arial" w:hAnsi="Arial"/>
          <w:sz w:val="17"/>
          <w:szCs w:val="17"/>
          <w:i w:val="1"/>
          <w:iCs w:val="1"/>
          <w:color w:val="auto"/>
        </w:rPr>
        <w:t>Meeting of BCTG Stockholders — Redemption Rights</w:t>
      </w:r>
      <w:r>
        <w:rPr>
          <w:rFonts w:ascii="Arial" w:cs="Arial" w:eastAsia="Arial" w:hAnsi="Arial"/>
          <w:sz w:val="17"/>
          <w:szCs w:val="17"/>
          <w:color w:val="auto"/>
        </w:rPr>
        <w:t>” for the procedures to be followed if you wish to</w:t>
      </w:r>
      <w:r>
        <w:rPr>
          <w:rFonts w:ascii="Arial" w:cs="Arial" w:eastAsia="Arial" w:hAnsi="Arial"/>
          <w:sz w:val="17"/>
          <w:szCs w:val="17"/>
          <w:i w:val="1"/>
          <w:iCs w:val="1"/>
          <w:color w:val="auto"/>
        </w:rPr>
        <w:t xml:space="preserve"> </w:t>
      </w:r>
      <w:r>
        <w:rPr>
          <w:rFonts w:ascii="Arial" w:cs="Arial" w:eastAsia="Arial" w:hAnsi="Arial"/>
          <w:sz w:val="17"/>
          <w:szCs w:val="17"/>
          <w:color w:val="auto"/>
        </w:rPr>
        <w:t>redeem your shares for cash.</w:t>
      </w:r>
    </w:p>
    <w:p>
      <w:pPr>
        <w:spacing w:after="0" w:line="96" w:lineRule="exact"/>
        <w:rPr>
          <w:sz w:val="20"/>
          <w:szCs w:val="20"/>
          <w:color w:val="auto"/>
        </w:rPr>
      </w:pPr>
    </w:p>
    <w:p>
      <w:pPr>
        <w:ind w:left="880" w:hanging="426"/>
        <w:spacing w:after="0"/>
        <w:tabs>
          <w:tab w:leader="none" w:pos="8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Will how I vote affect my ability to exercise redemption rights?</w:t>
      </w:r>
    </w:p>
    <w:p>
      <w:pPr>
        <w:spacing w:after="0" w:line="162" w:lineRule="exact"/>
        <w:rPr>
          <w:sz w:val="20"/>
          <w:szCs w:val="20"/>
          <w:color w:val="auto"/>
        </w:rPr>
      </w:pPr>
    </w:p>
    <w:p>
      <w:pPr>
        <w:ind w:left="880" w:right="499" w:hanging="426"/>
        <w:spacing w:after="0" w:line="273" w:lineRule="auto"/>
        <w:tabs>
          <w:tab w:leader="none" w:pos="853"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 You may exercise your redemption rights whether you vote your shares of BCTG Common Stock “FOR” or “AGAINST” the Business Combination Proposal or any other Proposal described by this proxy statement/prospectus. As a result, the Business Combination can be approved by stockholders who will redeem their shares and no longer remain stockholders, leaving stockholders who choose not to redeem their shares holding shares in a company with a potentially less liquid trading market, fewer stockholders, potentially less cash and the potential inability to meet the Nasdaq Rules.</w:t>
      </w:r>
    </w:p>
    <w:p>
      <w:pPr>
        <w:spacing w:after="0" w:line="106" w:lineRule="exact"/>
        <w:rPr>
          <w:sz w:val="20"/>
          <w:szCs w:val="20"/>
          <w:color w:val="auto"/>
        </w:rPr>
      </w:pPr>
    </w:p>
    <w:p>
      <w:pPr>
        <w:ind w:left="880" w:hanging="426"/>
        <w:spacing w:after="0"/>
        <w:tabs>
          <w:tab w:leader="none" w:pos="8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How do I exercise my redemption rights?</w:t>
      </w:r>
    </w:p>
    <w:p>
      <w:pPr>
        <w:spacing w:after="0" w:line="148" w:lineRule="exact"/>
        <w:rPr>
          <w:sz w:val="20"/>
          <w:szCs w:val="20"/>
          <w:color w:val="auto"/>
        </w:rPr>
      </w:pPr>
    </w:p>
    <w:p>
      <w:pPr>
        <w:ind w:left="880" w:right="499" w:hanging="426"/>
        <w:spacing w:after="0" w:line="257" w:lineRule="auto"/>
        <w:tabs>
          <w:tab w:leader="none" w:pos="853"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order to exercise your redemption rights, you must check the box on the enclosed proxy card to elect redemption, and (iii) prior to 5:00 PM, Eastern time, on [•], 2021 (two (2) business days before the Special Meeting), tender your shares physically or electronically and submit a request in writing that we redeem your Public Shares for cash to Continental Stock Transfer &amp; Trust Company, our transfer agent, at the following address:</w:t>
      </w:r>
    </w:p>
    <w:p>
      <w:pPr>
        <w:spacing w:after="0" w:line="120"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Continental Stock Transfer &amp; Trust Company</w:t>
      </w:r>
    </w:p>
    <w:p>
      <w:pPr>
        <w:spacing w:after="0" w:line="1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One State Street Plaza, 30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Floor</w:t>
      </w:r>
    </w:p>
    <w:p>
      <w:pPr>
        <w:ind w:left="3160"/>
        <w:spacing w:after="0"/>
        <w:rPr>
          <w:sz w:val="20"/>
          <w:szCs w:val="20"/>
          <w:color w:val="auto"/>
        </w:rPr>
      </w:pPr>
      <w:r>
        <w:rPr>
          <w:rFonts w:ascii="Arial" w:cs="Arial" w:eastAsia="Arial" w:hAnsi="Arial"/>
          <w:sz w:val="18"/>
          <w:szCs w:val="18"/>
          <w:color w:val="auto"/>
        </w:rPr>
        <w:t>New York, New York 10004 Attn: [•]</w:t>
      </w:r>
    </w:p>
    <w:p>
      <w:pPr>
        <w:spacing w:after="0" w:line="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E-mail: [•]</w:t>
      </w:r>
    </w:p>
    <w:p>
      <w:pPr>
        <w:spacing w:after="0" w:line="143" w:lineRule="exact"/>
        <w:rPr>
          <w:sz w:val="20"/>
          <w:szCs w:val="20"/>
          <w:color w:val="auto"/>
        </w:rPr>
      </w:pPr>
    </w:p>
    <w:p>
      <w:pPr>
        <w:ind w:left="880" w:right="499" w:hanging="26"/>
        <w:spacing w:after="0" w:line="290" w:lineRule="auto"/>
        <w:rPr>
          <w:sz w:val="20"/>
          <w:szCs w:val="20"/>
          <w:color w:val="auto"/>
        </w:rPr>
      </w:pPr>
      <w:r>
        <w:rPr>
          <w:rFonts w:ascii="Arial" w:cs="Arial" w:eastAsia="Arial" w:hAnsi="Arial"/>
          <w:sz w:val="16"/>
          <w:szCs w:val="16"/>
          <w:color w:val="auto"/>
        </w:rPr>
        <w:t>Please check the box on the enclosed proxy card marked “Stockholder Certification” if you are not acting in concert or as a “group” (as defined in Section 13d-3 of the Exchange Act) with any other stockholder with respect to shares of Common Stock. Notwithstanding the foregoing, a holder of the Public Shares, together with any affiliate of his or any other person with whom he is acting in concert or as a “group” (as defined in Section 13d-3 of the Exchange Act) will be restricted from seeking redemption rights with respect to an aggregate of 15% or more of the shares of BCTG Common Stock sold in the BCTG IPO, which we refer to as the “15% threshold.” Accordingly, all Public Shares in excess of the 15% threshold beneficially owned by a public stockholder or group will not be redeemed for cash.</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 w:name="page22"/>
    <w:bookmarkEnd w:id="2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880" w:right="579" w:hanging="26"/>
        <w:spacing w:after="0" w:line="254" w:lineRule="auto"/>
        <w:rPr>
          <w:sz w:val="20"/>
          <w:szCs w:val="20"/>
          <w:color w:val="auto"/>
        </w:rPr>
      </w:pPr>
      <w:r>
        <w:rPr>
          <w:rFonts w:ascii="Arial" w:cs="Arial" w:eastAsia="Arial" w:hAnsi="Arial"/>
          <w:sz w:val="18"/>
          <w:szCs w:val="18"/>
          <w:color w:val="auto"/>
        </w:rPr>
        <w:t>Stockholders seeking to exercise their redemption rights and opting to deliver physical certificates should allot sufficient time to obtain physical certificates from the transfer agent and time to effect delivery. It is BCTG’s understanding that stockholders should generally allot at least two weeks to obtain physical certificates from the transfer agent. However, BCTG does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100" w:lineRule="exact"/>
        <w:rPr>
          <w:sz w:val="20"/>
          <w:szCs w:val="20"/>
          <w:color w:val="auto"/>
        </w:rPr>
      </w:pPr>
    </w:p>
    <w:p>
      <w:pPr>
        <w:ind w:left="880" w:right="599" w:hanging="36"/>
        <w:spacing w:after="0" w:line="254" w:lineRule="auto"/>
        <w:rPr>
          <w:sz w:val="20"/>
          <w:szCs w:val="20"/>
          <w:color w:val="auto"/>
        </w:rPr>
      </w:pPr>
      <w:r>
        <w:rPr>
          <w:rFonts w:ascii="Arial" w:cs="Arial" w:eastAsia="Arial" w:hAnsi="Arial"/>
          <w:sz w:val="18"/>
          <w:szCs w:val="18"/>
          <w:color w:val="auto"/>
        </w:rPr>
        <w:t>Any demand for redemption, once made, may be withdrawn at any time until the deadline for exercising redemption requests and thereafter, with BCTG’s consent, until the vote is taken with respect to the Business Combination. If you delivered your shares for redemption to BCTG’s transfer agent and decide within the required timeframe not to exercise your redemption rights, you may request that BCTG’s transfer agent return the shares (physically or electronically). You may make such request by contacting BCTG’s transfer agent at the phone number or address listed under the question “</w:t>
      </w:r>
      <w:r>
        <w:rPr>
          <w:rFonts w:ascii="Arial" w:cs="Arial" w:eastAsia="Arial" w:hAnsi="Arial"/>
          <w:sz w:val="18"/>
          <w:szCs w:val="18"/>
          <w:i w:val="1"/>
          <w:iCs w:val="1"/>
          <w:color w:val="auto"/>
        </w:rPr>
        <w:t>Who can help answer</w:t>
      </w:r>
      <w:r>
        <w:rPr>
          <w:rFonts w:ascii="Arial" w:cs="Arial" w:eastAsia="Arial" w:hAnsi="Arial"/>
          <w:sz w:val="18"/>
          <w:szCs w:val="18"/>
          <w:color w:val="auto"/>
        </w:rPr>
        <w:t xml:space="preserve"> </w:t>
      </w:r>
      <w:r>
        <w:rPr>
          <w:rFonts w:ascii="Arial" w:cs="Arial" w:eastAsia="Arial" w:hAnsi="Arial"/>
          <w:sz w:val="18"/>
          <w:szCs w:val="18"/>
          <w:i w:val="1"/>
          <w:iCs w:val="1"/>
          <w:color w:val="auto"/>
        </w:rPr>
        <w:t>my questions</w:t>
      </w:r>
      <w:r>
        <w:rPr>
          <w:rFonts w:ascii="Arial" w:cs="Arial" w:eastAsia="Arial" w:hAnsi="Arial"/>
          <w:sz w:val="18"/>
          <w:szCs w:val="18"/>
          <w:color w:val="auto"/>
        </w:rPr>
        <w:t>?” below.</w:t>
      </w:r>
    </w:p>
    <w:p>
      <w:pPr>
        <w:spacing w:after="0" w:line="110" w:lineRule="exact"/>
        <w:rPr>
          <w:sz w:val="20"/>
          <w:szCs w:val="20"/>
          <w:color w:val="auto"/>
        </w:rPr>
      </w:pPr>
    </w:p>
    <w:p>
      <w:pPr>
        <w:ind w:left="880" w:hanging="426"/>
        <w:spacing w:after="0"/>
        <w:tabs>
          <w:tab w:leader="none" w:pos="8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U.S. federal income tax consequences of exercising my redemption rights?</w:t>
      </w:r>
    </w:p>
    <w:p>
      <w:pPr>
        <w:spacing w:after="0" w:line="135" w:lineRule="exact"/>
        <w:rPr>
          <w:sz w:val="20"/>
          <w:szCs w:val="20"/>
          <w:color w:val="auto"/>
        </w:rPr>
      </w:pPr>
    </w:p>
    <w:p>
      <w:pPr>
        <w:ind w:left="880" w:right="499" w:hanging="426"/>
        <w:spacing w:after="0" w:line="285" w:lineRule="auto"/>
        <w:tabs>
          <w:tab w:leader="none" w:pos="853" w:val="left"/>
        </w:tabs>
        <w:numPr>
          <w:ilvl w:val="0"/>
          <w:numId w:val="57"/>
        </w:numPr>
        <w:rPr>
          <w:rFonts w:ascii="Arial" w:cs="Arial" w:eastAsia="Arial" w:hAnsi="Arial"/>
          <w:sz w:val="16"/>
          <w:szCs w:val="16"/>
          <w:color w:val="auto"/>
        </w:rPr>
      </w:pPr>
      <w:r>
        <w:rPr>
          <w:rFonts w:ascii="Arial" w:cs="Arial" w:eastAsia="Arial" w:hAnsi="Arial"/>
          <w:sz w:val="16"/>
          <w:szCs w:val="16"/>
          <w:color w:val="auto"/>
        </w:rPr>
        <w:t>BCTG stockholders who exercise their redemption rights to receive cash in exchange for their shares of Common Stock generally will be required to treat the transaction as a sale of such shares and recognize gain or loss upon the redemption in an amount equal to the difference, if any, between the amount of cash received and the adjusted tax basis of the shares of Common Stock redeemed. Such gain or loss should be treated as capital gain or loss if such shares were held as a capital asset on the date of the redemption. The redemption, however, may be treated as a distribution to a redeeming stockholder for U.S. federal income tax purposes if the redemption does not effect a sufficient reduction (as determined under applicable federal income tax law) in the redeeming stockholder’s percentage ownership in us (whether such ownership is direct or through the application of certain attribution and constructive ownership rules). Any amounts treated as such a distribution will constitute a dividend to the extent not in excess of our current and accumulated earnings and profits as measured for U.S. federal income tax purposes. Any amounts treated as a distribution and that are in excess of our current and accumulated earnings and profits will reduce the redeeming stockholder’s adjusted tax basis in his or her redeemed shares of our Common Stock, and any remaining amount will be treated as gain realized on the sale or other disposition of our Common Stock. These tax consequences are described in more detail in the section titled “</w:t>
      </w:r>
      <w:r>
        <w:rPr>
          <w:rFonts w:ascii="Arial" w:cs="Arial" w:eastAsia="Arial" w:hAnsi="Arial"/>
          <w:sz w:val="16"/>
          <w:szCs w:val="16"/>
          <w:i w:val="1"/>
          <w:iCs w:val="1"/>
          <w:color w:val="auto"/>
        </w:rPr>
        <w:t>Material</w:t>
      </w:r>
      <w:r>
        <w:rPr>
          <w:rFonts w:ascii="Arial" w:cs="Arial" w:eastAsia="Arial" w:hAnsi="Arial"/>
          <w:sz w:val="16"/>
          <w:szCs w:val="16"/>
          <w:color w:val="auto"/>
        </w:rPr>
        <w:t xml:space="preserve"> </w:t>
      </w:r>
      <w:r>
        <w:rPr>
          <w:rFonts w:ascii="Arial" w:cs="Arial" w:eastAsia="Arial" w:hAnsi="Arial"/>
          <w:sz w:val="16"/>
          <w:szCs w:val="16"/>
          <w:i w:val="1"/>
          <w:iCs w:val="1"/>
          <w:color w:val="auto"/>
        </w:rPr>
        <w:t>U.S. Federal Income Tax Considerations of the Redemption</w:t>
      </w:r>
      <w:r>
        <w:rPr>
          <w:rFonts w:ascii="Arial" w:cs="Arial" w:eastAsia="Arial" w:hAnsi="Arial"/>
          <w:sz w:val="16"/>
          <w:szCs w:val="16"/>
          <w:color w:val="auto"/>
        </w:rPr>
        <w:t>.” We urge you to consult your tax advisor</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the tax consequences of exercising your redemption rights.</w:t>
      </w:r>
    </w:p>
    <w:p>
      <w:pPr>
        <w:spacing w:after="0" w:line="75" w:lineRule="exact"/>
        <w:rPr>
          <w:sz w:val="20"/>
          <w:szCs w:val="20"/>
          <w:color w:val="auto"/>
        </w:rPr>
      </w:pPr>
    </w:p>
    <w:p>
      <w:pPr>
        <w:ind w:left="880" w:hanging="426"/>
        <w:spacing w:after="0"/>
        <w:tabs>
          <w:tab w:leader="none" w:pos="8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dissenter rights if I object to the proposed Business Combination?</w:t>
      </w:r>
    </w:p>
    <w:p>
      <w:pPr>
        <w:spacing w:after="0" w:line="148" w:lineRule="exact"/>
        <w:rPr>
          <w:sz w:val="20"/>
          <w:szCs w:val="20"/>
          <w:color w:val="auto"/>
        </w:rPr>
      </w:pPr>
    </w:p>
    <w:p>
      <w:pPr>
        <w:ind w:left="880" w:right="819" w:hanging="426"/>
        <w:spacing w:after="0" w:line="277" w:lineRule="auto"/>
        <w:tabs>
          <w:tab w:leader="none" w:pos="8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There are no dissenter rights available to holders of BCTG Common Stock in connection with the Business Combination.</w:t>
      </w:r>
    </w:p>
    <w:p>
      <w:pPr>
        <w:spacing w:after="0" w:line="72" w:lineRule="exact"/>
        <w:rPr>
          <w:sz w:val="20"/>
          <w:szCs w:val="20"/>
          <w:color w:val="auto"/>
        </w:rPr>
      </w:pPr>
    </w:p>
    <w:p>
      <w:pPr>
        <w:ind w:left="880" w:right="1279" w:hanging="426"/>
        <w:spacing w:after="0" w:line="282" w:lineRule="auto"/>
        <w:tabs>
          <w:tab w:leader="none" w:pos="87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to the funds held in the Trust Account upon consummation of the Business Combination?</w:t>
      </w:r>
    </w:p>
    <w:p>
      <w:pPr>
        <w:spacing w:after="0" w:line="71" w:lineRule="exact"/>
        <w:rPr>
          <w:sz w:val="20"/>
          <w:szCs w:val="20"/>
          <w:color w:val="auto"/>
        </w:rPr>
      </w:pPr>
    </w:p>
    <w:p>
      <w:pPr>
        <w:ind w:left="860" w:hanging="406"/>
        <w:spacing w:after="0"/>
        <w:tabs>
          <w:tab w:leader="none" w:pos="8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the Business Combination is consummated, the funds held in the Trust Account will be released to pay:</w:t>
      </w:r>
    </w:p>
    <w:p>
      <w:pPr>
        <w:spacing w:after="0" w:line="167" w:lineRule="exact"/>
        <w:rPr>
          <w:rFonts w:ascii="Arial" w:cs="Arial" w:eastAsia="Arial" w:hAnsi="Arial"/>
          <w:sz w:val="16"/>
          <w:szCs w:val="16"/>
          <w:color w:val="auto"/>
        </w:rPr>
      </w:pPr>
    </w:p>
    <w:p>
      <w:pPr>
        <w:ind w:left="1300" w:hanging="414"/>
        <w:spacing w:after="0"/>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BCTG stockholders who properly exercise their redemption rights;</w:t>
      </w:r>
    </w:p>
    <w:p>
      <w:pPr>
        <w:spacing w:after="0" w:line="130" w:lineRule="exact"/>
        <w:rPr>
          <w:rFonts w:ascii="Arial" w:cs="Arial" w:eastAsia="Arial" w:hAnsi="Arial"/>
          <w:sz w:val="18"/>
          <w:szCs w:val="18"/>
          <w:color w:val="auto"/>
        </w:rPr>
      </w:pPr>
    </w:p>
    <w:p>
      <w:pPr>
        <w:ind w:left="1320" w:right="559" w:hanging="434"/>
        <w:spacing w:after="0" w:line="259" w:lineRule="auto"/>
        <w:tabs>
          <w:tab w:leader="none" w:pos="1311" w:val="left"/>
        </w:tabs>
        <w:numPr>
          <w:ilvl w:val="1"/>
          <w:numId w:val="61"/>
        </w:numPr>
        <w:rPr>
          <w:rFonts w:ascii="Arial" w:cs="Arial" w:eastAsia="Arial" w:hAnsi="Arial"/>
          <w:sz w:val="18"/>
          <w:szCs w:val="18"/>
          <w:color w:val="auto"/>
        </w:rPr>
      </w:pPr>
      <w:r>
        <w:rPr>
          <w:rFonts w:ascii="Arial" w:cs="Arial" w:eastAsia="Arial" w:hAnsi="Arial"/>
          <w:sz w:val="18"/>
          <w:szCs w:val="18"/>
          <w:color w:val="auto"/>
        </w:rPr>
        <w:t>certain other fees, costs and expenses (including regulatory fees, legal fees, accounting fees, printer fees, and other professional fees) that were incurred by BCTG or Tango in connection with the transactions contemplated by the Business Combination and pursuant to the terms of the Merger Agreement;</w:t>
      </w:r>
    </w:p>
    <w:p>
      <w:pPr>
        <w:spacing w:after="0" w:line="92" w:lineRule="exact"/>
        <w:rPr>
          <w:rFonts w:ascii="Arial" w:cs="Arial" w:eastAsia="Arial" w:hAnsi="Arial"/>
          <w:sz w:val="18"/>
          <w:szCs w:val="18"/>
          <w:color w:val="auto"/>
        </w:rPr>
      </w:pPr>
    </w:p>
    <w:p>
      <w:pPr>
        <w:ind w:left="1300" w:hanging="414"/>
        <w:spacing w:after="0"/>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unpaid franchise and income taxes of BCTG; and</w:t>
      </w:r>
    </w:p>
    <w:p>
      <w:pPr>
        <w:spacing w:after="0" w:line="157" w:lineRule="exact"/>
        <w:rPr>
          <w:rFonts w:ascii="Arial" w:cs="Arial" w:eastAsia="Arial" w:hAnsi="Arial"/>
          <w:sz w:val="18"/>
          <w:szCs w:val="18"/>
          <w:color w:val="auto"/>
        </w:rPr>
      </w:pPr>
    </w:p>
    <w:p>
      <w:pPr>
        <w:ind w:left="1320" w:right="619" w:hanging="434"/>
        <w:spacing w:after="0" w:line="277" w:lineRule="auto"/>
        <w:tabs>
          <w:tab w:leader="none" w:pos="1311" w:val="left"/>
        </w:tabs>
        <w:numPr>
          <w:ilvl w:val="1"/>
          <w:numId w:val="61"/>
        </w:numPr>
        <w:rPr>
          <w:rFonts w:ascii="Arial" w:cs="Arial" w:eastAsia="Arial" w:hAnsi="Arial"/>
          <w:sz w:val="18"/>
          <w:szCs w:val="18"/>
          <w:color w:val="auto"/>
        </w:rPr>
      </w:pPr>
      <w:r>
        <w:rPr>
          <w:rFonts w:ascii="Arial" w:cs="Arial" w:eastAsia="Arial" w:hAnsi="Arial"/>
          <w:sz w:val="18"/>
          <w:szCs w:val="18"/>
          <w:color w:val="auto"/>
        </w:rPr>
        <w:t>for general corporate purposes including, but not limited to, working capital for operations, capital expenditures and future potential acquisitions.</w:t>
      </w:r>
    </w:p>
    <w:p>
      <w:pPr>
        <w:spacing w:after="0" w:line="99" w:lineRule="exact"/>
        <w:rPr>
          <w:sz w:val="20"/>
          <w:szCs w:val="20"/>
          <w:color w:val="auto"/>
        </w:rPr>
      </w:pPr>
    </w:p>
    <w:p>
      <w:pPr>
        <w:ind w:left="880" w:hanging="426"/>
        <w:spacing w:after="0"/>
        <w:tabs>
          <w:tab w:leader="none" w:pos="8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Business Combination is not consummated?</w:t>
      </w:r>
    </w:p>
    <w:p>
      <w:pPr>
        <w:spacing w:after="0" w:line="148" w:lineRule="exact"/>
        <w:rPr>
          <w:sz w:val="20"/>
          <w:szCs w:val="20"/>
          <w:color w:val="auto"/>
        </w:rPr>
      </w:pPr>
    </w:p>
    <w:p>
      <w:pPr>
        <w:ind w:left="880" w:right="699" w:hanging="426"/>
        <w:spacing w:after="0" w:line="263" w:lineRule="auto"/>
        <w:tabs>
          <w:tab w:leader="none" w:pos="85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are certain circumstances under which the Merger Agreement may be terminated. See the section titled “</w:t>
      </w:r>
      <w:r>
        <w:rPr>
          <w:rFonts w:ascii="Arial" w:cs="Arial" w:eastAsia="Arial" w:hAnsi="Arial"/>
          <w:sz w:val="18"/>
          <w:szCs w:val="18"/>
          <w:i w:val="1"/>
          <w:iCs w:val="1"/>
          <w:color w:val="auto"/>
        </w:rPr>
        <w:t>The Business Combination Proposal — The Merger Agreement</w:t>
      </w:r>
      <w:r>
        <w:rPr>
          <w:rFonts w:ascii="Arial" w:cs="Arial" w:eastAsia="Arial" w:hAnsi="Arial"/>
          <w:sz w:val="18"/>
          <w:szCs w:val="18"/>
          <w:color w:val="auto"/>
        </w:rPr>
        <w:t>” for information regarding the parties’ specific termination rights.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right="479" w:hanging="26"/>
        <w:spacing w:after="0" w:line="283" w:lineRule="auto"/>
        <w:rPr>
          <w:sz w:val="20"/>
          <w:szCs w:val="20"/>
          <w:color w:val="auto"/>
        </w:rPr>
      </w:pPr>
      <w:r>
        <w:rPr>
          <w:rFonts w:ascii="Arial" w:cs="Arial" w:eastAsia="Arial" w:hAnsi="Arial"/>
          <w:sz w:val="16"/>
          <w:szCs w:val="16"/>
          <w:color w:val="auto"/>
        </w:rPr>
        <w:t>If, as a result of the termination of the Merger Agreement or otherwise, BCTG is unable to complete the Business Combination or another initial business combination transaction by September 8, 2022, the Current Charter provides that it will (i) cease all operations except for the purpose of winding up, (ii) as promptly as reasonably possible but not more than ten business days thereafter, subject to lawfully available funds therefor, redeem 100% of the Public Shares in consideration of a per-share price, payable in cash, equal to the quotient obtained by dividing (A) the aggregate amount then on deposit in the Trust Account, including interest earned on the funds held in the Trust Account and not previously released to it to pay franchise and income taxes payable, by (B) the total number of then outstanding Public Shares, which redemption will completely extinguish rights of the public stockholders (including the right to receive further liquidation distributions, if any), subject to applicable law, and (iii) as promptly as reasonably possible following such redemptions, subject to the approval of the remaining stockholders and the board of directors in accordance with applicable law, dissolve and liquidate, subject (in the case of</w:t>
      </w:r>
    </w:p>
    <w:p>
      <w:pPr>
        <w:spacing w:after="0" w:line="3" w:lineRule="exact"/>
        <w:rPr>
          <w:sz w:val="20"/>
          <w:szCs w:val="20"/>
          <w:color w:val="auto"/>
        </w:rPr>
      </w:pPr>
    </w:p>
    <w:p>
      <w:pPr>
        <w:ind w:left="880" w:right="1119" w:firstLine="6"/>
        <w:spacing w:after="0" w:line="260" w:lineRule="auto"/>
        <w:tabs>
          <w:tab w:leader="none" w:pos="114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and (iii) above) to its obligations under the DGCL to provide for claims of creditors and other requirements of applicable law.</w:t>
      </w:r>
    </w:p>
    <w:p>
      <w:pPr>
        <w:spacing w:after="0" w:line="118" w:lineRule="exact"/>
        <w:rPr>
          <w:sz w:val="20"/>
          <w:szCs w:val="20"/>
          <w:color w:val="auto"/>
        </w:rPr>
      </w:pPr>
    </w:p>
    <w:p>
      <w:pPr>
        <w:ind w:left="880" w:right="619" w:hanging="26"/>
        <w:spacing w:after="0" w:line="255" w:lineRule="auto"/>
        <w:rPr>
          <w:sz w:val="20"/>
          <w:szCs w:val="20"/>
          <w:color w:val="auto"/>
        </w:rPr>
      </w:pPr>
      <w:r>
        <w:rPr>
          <w:rFonts w:ascii="Arial" w:cs="Arial" w:eastAsia="Arial" w:hAnsi="Arial"/>
          <w:sz w:val="18"/>
          <w:szCs w:val="18"/>
          <w:color w:val="auto"/>
        </w:rPr>
        <w:t>BCTG expects that the amount of any distribution its public stockholders will be entitled to receive upon its dissolution will be approximately the same as the amount they would have received if they had redeemed their shares in connection with the Business Combination, subject in each case to BCTG’s obligations under the DGCL to provide for claims of creditors and other requirements of applicable law. Holders of Founders Shares have waived any right to any liquidation distribution with respect to those shares.</w:t>
      </w:r>
    </w:p>
    <w:p>
      <w:pPr>
        <w:spacing w:after="0" w:line="121" w:lineRule="exact"/>
        <w:rPr>
          <w:sz w:val="20"/>
          <w:szCs w:val="20"/>
          <w:color w:val="auto"/>
        </w:rPr>
      </w:pPr>
    </w:p>
    <w:p>
      <w:pPr>
        <w:ind w:left="880" w:hanging="426"/>
        <w:spacing w:after="0"/>
        <w:tabs>
          <w:tab w:leader="none" w:pos="8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Business Combination expected to be completed?</w:t>
      </w:r>
    </w:p>
    <w:p>
      <w:pPr>
        <w:spacing w:after="0" w:line="148" w:lineRule="exact"/>
        <w:rPr>
          <w:sz w:val="20"/>
          <w:szCs w:val="20"/>
          <w:color w:val="auto"/>
        </w:rPr>
      </w:pPr>
    </w:p>
    <w:p>
      <w:pPr>
        <w:ind w:left="880" w:right="559" w:hanging="426"/>
        <w:spacing w:after="0" w:line="255" w:lineRule="auto"/>
        <w:tabs>
          <w:tab w:leader="none" w:pos="85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Closing is expected to take place (a) the third business day following the satisfaction or waiver of the conditions described below under the section titled </w:t>
      </w:r>
      <w:r>
        <w:rPr>
          <w:rFonts w:ascii="Arial" w:cs="Arial" w:eastAsia="Arial" w:hAnsi="Arial"/>
          <w:sz w:val="18"/>
          <w:szCs w:val="18"/>
          <w:i w:val="1"/>
          <w:iCs w:val="1"/>
          <w:color w:val="auto"/>
        </w:rPr>
        <w:t>“The Business Combination Proposal — Structure of</w:t>
      </w:r>
      <w:r>
        <w:rPr>
          <w:rFonts w:ascii="Arial" w:cs="Arial" w:eastAsia="Arial" w:hAnsi="Arial"/>
          <w:sz w:val="18"/>
          <w:szCs w:val="18"/>
          <w:color w:val="auto"/>
        </w:rPr>
        <w:t xml:space="preserve"> </w:t>
      </w:r>
      <w:r>
        <w:rPr>
          <w:rFonts w:ascii="Arial" w:cs="Arial" w:eastAsia="Arial" w:hAnsi="Arial"/>
          <w:sz w:val="18"/>
          <w:szCs w:val="18"/>
          <w:i w:val="1"/>
          <w:iCs w:val="1"/>
          <w:color w:val="auto"/>
        </w:rPr>
        <w:t>the Merger — Closing Conditions”</w:t>
      </w:r>
      <w:r>
        <w:rPr>
          <w:rFonts w:ascii="Arial" w:cs="Arial" w:eastAsia="Arial" w:hAnsi="Arial"/>
          <w:sz w:val="18"/>
          <w:szCs w:val="18"/>
          <w:color w:val="auto"/>
        </w:rPr>
        <w:t>; or (b) such other date as agreed to by the parties to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in writing, in each case, subject to the satisfaction or waiver of the closing conditions. The Merger Agreement may be terminated by either BCTG or Tango if the Closing has not occurred by September 30, 2021, subject to certain exceptions.</w:t>
      </w:r>
    </w:p>
    <w:p>
      <w:pPr>
        <w:spacing w:after="0" w:line="125" w:lineRule="exact"/>
        <w:rPr>
          <w:sz w:val="20"/>
          <w:szCs w:val="20"/>
          <w:color w:val="auto"/>
        </w:rPr>
      </w:pPr>
    </w:p>
    <w:p>
      <w:pPr>
        <w:ind w:left="880" w:right="699" w:hanging="26"/>
        <w:spacing w:after="0" w:line="277" w:lineRule="auto"/>
        <w:rPr>
          <w:sz w:val="20"/>
          <w:szCs w:val="20"/>
          <w:color w:val="auto"/>
        </w:rPr>
      </w:pPr>
      <w:r>
        <w:rPr>
          <w:rFonts w:ascii="Arial" w:cs="Arial" w:eastAsia="Arial" w:hAnsi="Arial"/>
          <w:sz w:val="18"/>
          <w:szCs w:val="18"/>
          <w:color w:val="auto"/>
        </w:rPr>
        <w:t>For a description of the conditions to the completion of the Business Combination, see the section titled “</w:t>
      </w:r>
      <w:r>
        <w:rPr>
          <w:rFonts w:ascii="Arial" w:cs="Arial" w:eastAsia="Arial" w:hAnsi="Arial"/>
          <w:sz w:val="18"/>
          <w:szCs w:val="18"/>
          <w:i w:val="1"/>
          <w:iCs w:val="1"/>
          <w:color w:val="auto"/>
        </w:rPr>
        <w:t>The Business Combination Proposal</w:t>
      </w:r>
      <w:r>
        <w:rPr>
          <w:rFonts w:ascii="Arial" w:cs="Arial" w:eastAsia="Arial" w:hAnsi="Arial"/>
          <w:sz w:val="18"/>
          <w:szCs w:val="18"/>
          <w:color w:val="auto"/>
        </w:rPr>
        <w:t>.”</w:t>
      </w:r>
    </w:p>
    <w:p>
      <w:pPr>
        <w:spacing w:after="0" w:line="99" w:lineRule="exact"/>
        <w:rPr>
          <w:sz w:val="20"/>
          <w:szCs w:val="20"/>
          <w:color w:val="auto"/>
        </w:rPr>
      </w:pPr>
    </w:p>
    <w:p>
      <w:pPr>
        <w:ind w:left="880" w:hanging="426"/>
        <w:spacing w:after="0"/>
        <w:tabs>
          <w:tab w:leader="none" w:pos="8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148" w:lineRule="exact"/>
        <w:rPr>
          <w:sz w:val="20"/>
          <w:szCs w:val="20"/>
          <w:color w:val="auto"/>
        </w:rPr>
      </w:pPr>
    </w:p>
    <w:p>
      <w:pPr>
        <w:ind w:left="880" w:right="499" w:hanging="426"/>
        <w:spacing w:after="0" w:line="296" w:lineRule="auto"/>
        <w:tabs>
          <w:tab w:leader="none" w:pos="846" w:val="left"/>
        </w:tabs>
        <w:numPr>
          <w:ilvl w:val="0"/>
          <w:numId w:val="68"/>
        </w:numPr>
        <w:rPr>
          <w:rFonts w:ascii="Arial" w:cs="Arial" w:eastAsia="Arial" w:hAnsi="Arial"/>
          <w:sz w:val="16"/>
          <w:szCs w:val="16"/>
          <w:color w:val="auto"/>
        </w:rPr>
      </w:pPr>
      <w:r>
        <w:rPr>
          <w:rFonts w:ascii="Arial" w:cs="Arial" w:eastAsia="Arial" w:hAnsi="Arial"/>
          <w:sz w:val="16"/>
          <w:szCs w:val="16"/>
          <w:color w:val="auto"/>
        </w:rPr>
        <w:t>You are urged to read carefully and consider the information contained in this proxy statement/prospectus, including the annexes, and to consider how the Business Combination will affect you as a stockholder. You should then vote as soon as possible in accordance with the instructions provided in this proxy statement/prospectus and on the enclosed proxy card or, if you hold your shares through a brokerage firm, bank or other nominee, on the voting instruction form provided by the broker, bank or nominee.</w:t>
      </w:r>
    </w:p>
    <w:p>
      <w:pPr>
        <w:spacing w:after="0" w:line="90" w:lineRule="exact"/>
        <w:rPr>
          <w:sz w:val="20"/>
          <w:szCs w:val="20"/>
          <w:color w:val="auto"/>
        </w:rPr>
      </w:pPr>
    </w:p>
    <w:p>
      <w:pPr>
        <w:ind w:left="880" w:hanging="426"/>
        <w:spacing w:after="0"/>
        <w:tabs>
          <w:tab w:leader="none" w:pos="8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162" w:lineRule="exact"/>
        <w:rPr>
          <w:sz w:val="20"/>
          <w:szCs w:val="20"/>
          <w:color w:val="auto"/>
        </w:rPr>
      </w:pPr>
    </w:p>
    <w:p>
      <w:pPr>
        <w:ind w:left="880" w:right="519" w:hanging="426"/>
        <w:spacing w:after="0" w:line="273" w:lineRule="auto"/>
        <w:tabs>
          <w:tab w:leader="none" w:pos="853" w:val="left"/>
        </w:tabs>
        <w:numPr>
          <w:ilvl w:val="0"/>
          <w:numId w:val="70"/>
        </w:numPr>
        <w:rPr>
          <w:rFonts w:ascii="Arial" w:cs="Arial" w:eastAsia="Arial" w:hAnsi="Arial"/>
          <w:sz w:val="17"/>
          <w:szCs w:val="17"/>
          <w:color w:val="auto"/>
        </w:rPr>
      </w:pPr>
      <w:r>
        <w:rPr>
          <w:rFonts w:ascii="Arial" w:cs="Arial" w:eastAsia="Arial" w:hAnsi="Arial"/>
          <w:sz w:val="17"/>
          <w:szCs w:val="17"/>
          <w:color w:val="auto"/>
        </w:rPr>
        <w:t>If you were a holder of record of BCTG Common Stock on [•], 2021, the Record Date, you may vote with respect to the applicable Proposals online at the Special Meeting or by completing, signing, dating and returning the enclosed proxy card in the postage-paid envelope provided. If you choose to participate in the Special Meeting, you will need the 12-digit meeting control number that is printed on your proxy card to enter the Special Meeting. BCTG recommends that you log in at least 15 minutes before the Special Meeting to ensure you are logged in when the Special Meeting starts.</w:t>
      </w:r>
    </w:p>
    <w:p>
      <w:pPr>
        <w:spacing w:after="0" w:line="97" w:lineRule="exact"/>
        <w:rPr>
          <w:sz w:val="20"/>
          <w:szCs w:val="20"/>
          <w:color w:val="auto"/>
        </w:rPr>
      </w:pPr>
    </w:p>
    <w:p>
      <w:pPr>
        <w:ind w:left="880" w:right="519" w:hanging="26"/>
        <w:spacing w:after="0" w:line="272" w:lineRule="auto"/>
        <w:rPr>
          <w:sz w:val="20"/>
          <w:szCs w:val="20"/>
          <w:color w:val="auto"/>
        </w:rPr>
      </w:pPr>
      <w:r>
        <w:rPr>
          <w:rFonts w:ascii="Arial" w:cs="Arial" w:eastAsia="Arial" w:hAnsi="Arial"/>
          <w:sz w:val="17"/>
          <w:szCs w:val="17"/>
          <w:color w:val="auto"/>
        </w:rPr>
        <w:t>If on the Record Date your shares were held, not in your name, but rather in an 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Special Meeting online. However, since you are not the stockholder of record, you may not vote your shares online at the Special Meeting unless you first request and obtain a valid legal proxy from your broker or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 w:name="page24"/>
    <w:bookmarkEnd w:id="2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right="479"/>
        <w:spacing w:after="0" w:line="275" w:lineRule="auto"/>
        <w:rPr>
          <w:sz w:val="20"/>
          <w:szCs w:val="20"/>
          <w:color w:val="auto"/>
        </w:rPr>
      </w:pPr>
      <w:r>
        <w:rPr>
          <w:rFonts w:ascii="Arial" w:cs="Arial" w:eastAsia="Arial" w:hAnsi="Arial"/>
          <w:sz w:val="17"/>
          <w:szCs w:val="17"/>
          <w:color w:val="auto"/>
        </w:rPr>
        <w:t>other agent. You must then e-mail a copy (a legible photograph is sufficient) of your legal proxy to Continental Stock Transfer &amp; Trust Company (“</w:t>
      </w:r>
      <w:r>
        <w:rPr>
          <w:rFonts w:ascii="Arial" w:cs="Arial" w:eastAsia="Arial" w:hAnsi="Arial"/>
          <w:sz w:val="17"/>
          <w:szCs w:val="17"/>
          <w:b w:val="1"/>
          <w:bCs w:val="1"/>
          <w:color w:val="auto"/>
        </w:rPr>
        <w:t>CST</w:t>
      </w:r>
      <w:r>
        <w:rPr>
          <w:rFonts w:ascii="Arial" w:cs="Arial" w:eastAsia="Arial" w:hAnsi="Arial"/>
          <w:sz w:val="17"/>
          <w:szCs w:val="17"/>
          <w:color w:val="auto"/>
        </w:rPr>
        <w:t>”) at proxy@continentalstock.com. Beneficial owners who e-mail a valid legal proxy will be issued a 12-digit meeting control number that will allow them to register to attend and participate in the Special Meeting. Beneficial owners who wish to attend the Special Meeting online should contact CST no later than [•], 2021 to obtain this information.</w:t>
      </w:r>
    </w:p>
    <w:p>
      <w:pPr>
        <w:spacing w:after="0" w:line="105" w:lineRule="exact"/>
        <w:rPr>
          <w:sz w:val="20"/>
          <w:szCs w:val="20"/>
          <w:color w:val="auto"/>
        </w:rPr>
      </w:pPr>
    </w:p>
    <w:p>
      <w:pPr>
        <w:ind w:left="880" w:hanging="426"/>
        <w:spacing w:after="0"/>
        <w:tabs>
          <w:tab w:leader="none" w:pos="8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abstain from voting or fail to vote at the Special Meeting?</w:t>
      </w:r>
    </w:p>
    <w:p>
      <w:pPr>
        <w:spacing w:after="0" w:line="162" w:lineRule="exact"/>
        <w:rPr>
          <w:sz w:val="20"/>
          <w:szCs w:val="20"/>
          <w:color w:val="auto"/>
        </w:rPr>
      </w:pPr>
    </w:p>
    <w:p>
      <w:pPr>
        <w:ind w:left="880" w:right="479" w:hanging="426"/>
        <w:spacing w:after="0" w:line="291" w:lineRule="auto"/>
        <w:tabs>
          <w:tab w:leader="none" w:pos="843" w:val="left"/>
        </w:tabs>
        <w:numPr>
          <w:ilvl w:val="0"/>
          <w:numId w:val="72"/>
        </w:numPr>
        <w:rPr>
          <w:rFonts w:ascii="Arial" w:cs="Arial" w:eastAsia="Arial" w:hAnsi="Arial"/>
          <w:sz w:val="16"/>
          <w:szCs w:val="16"/>
          <w:color w:val="auto"/>
        </w:rPr>
      </w:pPr>
      <w:r>
        <w:rPr>
          <w:rFonts w:ascii="Arial" w:cs="Arial" w:eastAsia="Arial" w:hAnsi="Arial"/>
          <w:sz w:val="16"/>
          <w:szCs w:val="16"/>
          <w:color w:val="auto"/>
        </w:rPr>
        <w:t>At the Special Meeting, BCTG will count a properly executed proxy marked “ABSTAIN” with respect to a particular Proposal as present for purposes of determining whether a quorum is present. Abstentions will have the same effect as a vote “AGAINST” the Business Combination Proposal, the Nasdaq Proposal, the Directors Proposal, the Charter Amendment Proposal, the Advisory Charter Proposals and the Incentive Plan Proposals. Broker non-votes will not be counted as present for the purposes of establishing a quorum and will have no effect on any of the Proposals. Additionally, if you abstain from voting or fail to vote at the Special Meeting, you will not be able to exercise your redemption rights (as described above).</w:t>
      </w:r>
    </w:p>
    <w:p>
      <w:pPr>
        <w:spacing w:after="0" w:line="81" w:lineRule="exact"/>
        <w:rPr>
          <w:sz w:val="20"/>
          <w:szCs w:val="20"/>
          <w:color w:val="auto"/>
        </w:rPr>
      </w:pPr>
    </w:p>
    <w:p>
      <w:pPr>
        <w:ind w:left="880" w:hanging="426"/>
        <w:spacing w:after="0"/>
        <w:tabs>
          <w:tab w:leader="none" w:pos="8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sign and return my proxy card without indicating how I wish to vote?</w:t>
      </w:r>
    </w:p>
    <w:p>
      <w:pPr>
        <w:spacing w:after="0" w:line="162" w:lineRule="exact"/>
        <w:rPr>
          <w:sz w:val="20"/>
          <w:szCs w:val="20"/>
          <w:color w:val="auto"/>
        </w:rPr>
      </w:pPr>
    </w:p>
    <w:p>
      <w:pPr>
        <w:ind w:left="880" w:right="559" w:hanging="426"/>
        <w:spacing w:after="0" w:line="301" w:lineRule="auto"/>
        <w:tabs>
          <w:tab w:leader="none" w:pos="853" w:val="left"/>
        </w:tabs>
        <w:numPr>
          <w:ilvl w:val="0"/>
          <w:numId w:val="74"/>
        </w:numPr>
        <w:rPr>
          <w:rFonts w:ascii="Arial" w:cs="Arial" w:eastAsia="Arial" w:hAnsi="Arial"/>
          <w:sz w:val="16"/>
          <w:szCs w:val="16"/>
          <w:color w:val="auto"/>
        </w:rPr>
      </w:pPr>
      <w:r>
        <w:rPr>
          <w:rFonts w:ascii="Arial" w:cs="Arial" w:eastAsia="Arial" w:hAnsi="Arial"/>
          <w:sz w:val="16"/>
          <w:szCs w:val="16"/>
          <w:color w:val="auto"/>
        </w:rPr>
        <w:t>Signed and dated proxies received by BCTG without an indication of how the stockholder intends to vote on a proposal will be voted “FOR” each Proposal presented to the stockholders. The proxyholders may use their discretion to vote on any other matters which properly come before the Special Meeting. If you fail to indicate how you vote, you will not be able to exercise your redemption rights.</w:t>
      </w:r>
    </w:p>
    <w:p>
      <w:pPr>
        <w:spacing w:after="0" w:line="86" w:lineRule="exact"/>
        <w:rPr>
          <w:sz w:val="20"/>
          <w:szCs w:val="20"/>
          <w:color w:val="auto"/>
        </w:rPr>
      </w:pPr>
    </w:p>
    <w:p>
      <w:pPr>
        <w:ind w:left="880" w:hanging="426"/>
        <w:spacing w:after="0"/>
        <w:tabs>
          <w:tab w:leader="none" w:pos="8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attend the Special Meeting?</w:t>
      </w:r>
    </w:p>
    <w:p>
      <w:pPr>
        <w:spacing w:after="0" w:line="148" w:lineRule="exact"/>
        <w:rPr>
          <w:sz w:val="20"/>
          <w:szCs w:val="20"/>
          <w:color w:val="auto"/>
        </w:rPr>
      </w:pPr>
    </w:p>
    <w:p>
      <w:pPr>
        <w:ind w:left="880" w:right="459" w:hanging="426"/>
        <w:spacing w:after="0" w:line="272" w:lineRule="auto"/>
        <w:tabs>
          <w:tab w:leader="none" w:pos="846" w:val="left"/>
        </w:tabs>
        <w:numPr>
          <w:ilvl w:val="0"/>
          <w:numId w:val="76"/>
        </w:numPr>
        <w:rPr>
          <w:rFonts w:ascii="Arial" w:cs="Arial" w:eastAsia="Arial" w:hAnsi="Arial"/>
          <w:sz w:val="17"/>
          <w:szCs w:val="17"/>
          <w:color w:val="auto"/>
        </w:rPr>
      </w:pPr>
      <w:r>
        <w:rPr>
          <w:rFonts w:ascii="Arial" w:cs="Arial" w:eastAsia="Arial" w:hAnsi="Arial"/>
          <w:sz w:val="17"/>
          <w:szCs w:val="17"/>
          <w:color w:val="auto"/>
        </w:rPr>
        <w:t>You may attend the Special Meeting via live webcast by visiting [•]. As a registered stockholder, you received a proxy card from CST, which contains instructions on how to attend the Special Meeting online, including the URL address, along with your 12-digit meeting control number. You will need the 12-digit meeting control number that is printed on your proxy card to enter the Special Meeting. If you do not have your 12-digit meeting control number, contact CST at 917-262-2373 or e-mail CST at proxy@continentalstock.com. Please note that you will not be able to physically attend the Special Meeting in person, but may attend the Special Meeting online by following the instructions above.</w:t>
      </w:r>
    </w:p>
    <w:p>
      <w:pPr>
        <w:spacing w:after="0" w:line="110" w:lineRule="exact"/>
        <w:rPr>
          <w:sz w:val="20"/>
          <w:szCs w:val="20"/>
          <w:color w:val="auto"/>
        </w:rPr>
      </w:pPr>
    </w:p>
    <w:p>
      <w:pPr>
        <w:ind w:left="880" w:right="519" w:hanging="33"/>
        <w:spacing w:after="0" w:line="257" w:lineRule="auto"/>
        <w:rPr>
          <w:sz w:val="20"/>
          <w:szCs w:val="20"/>
          <w:color w:val="auto"/>
        </w:rPr>
      </w:pPr>
      <w:r>
        <w:rPr>
          <w:rFonts w:ascii="Arial" w:cs="Arial" w:eastAsia="Arial" w:hAnsi="Arial"/>
          <w:sz w:val="18"/>
          <w:szCs w:val="18"/>
          <w:color w:val="auto"/>
        </w:rPr>
        <w:t>You can pre-register to attend the Special Meeting online starting [•], 2021. Enter the URL address into your browser, and enter your 12-digit meeting control number, name and email address. Prior to or at the start of the Special Meeting you will need to re-log in using your 12-digit meeting control number. BCTG recommends that you log in at least 15 minutes before the Special Meeting to ensure you are logged in when the Special Meeting starts.</w:t>
      </w:r>
    </w:p>
    <w:p>
      <w:pPr>
        <w:spacing w:after="0" w:line="120" w:lineRule="exact"/>
        <w:rPr>
          <w:sz w:val="20"/>
          <w:szCs w:val="20"/>
          <w:color w:val="auto"/>
        </w:rPr>
      </w:pPr>
    </w:p>
    <w:p>
      <w:pPr>
        <w:ind w:left="880" w:right="499" w:hanging="26"/>
        <w:spacing w:after="0" w:line="257" w:lineRule="auto"/>
        <w:rPr>
          <w:sz w:val="20"/>
          <w:szCs w:val="20"/>
          <w:color w:val="auto"/>
        </w:rPr>
      </w:pPr>
      <w:r>
        <w:rPr>
          <w:rFonts w:ascii="Arial" w:cs="Arial" w:eastAsia="Arial" w:hAnsi="Arial"/>
          <w:sz w:val="18"/>
          <w:szCs w:val="18"/>
          <w:color w:val="auto"/>
        </w:rPr>
        <w:t>If your shares are held in “street name,” you may attend the Special Meeting. You will need to contact CST at the number or email address above, to receive a 12-digit meeting control number and gain access to the Special Meeting or otherwise contact your broker, bank, or other nominee as soon as possible, to do so. Please allow up to 72 hours prior to the Special Meeting for processing your 12-digit meeting control number.</w:t>
      </w:r>
    </w:p>
    <w:p>
      <w:pPr>
        <w:spacing w:after="0" w:line="107" w:lineRule="exact"/>
        <w:rPr>
          <w:sz w:val="20"/>
          <w:szCs w:val="20"/>
          <w:color w:val="auto"/>
        </w:rPr>
      </w:pPr>
    </w:p>
    <w:p>
      <w:pPr>
        <w:ind w:left="880" w:right="619" w:hanging="26"/>
        <w:spacing w:after="0" w:line="263" w:lineRule="auto"/>
        <w:rPr>
          <w:sz w:val="20"/>
          <w:szCs w:val="20"/>
          <w:color w:val="auto"/>
        </w:rPr>
      </w:pPr>
      <w:r>
        <w:rPr>
          <w:rFonts w:ascii="Arial" w:cs="Arial" w:eastAsia="Arial" w:hAnsi="Arial"/>
          <w:sz w:val="18"/>
          <w:szCs w:val="18"/>
          <w:color w:val="auto"/>
        </w:rPr>
        <w:t>If you do not have Internet capabilities, you can listen only to the Special Meeting by dialing [•], when prompted enter the pin # [•]. This is listen only, you will not be able to vote or enter questions during the Special Meeting.</w:t>
      </w:r>
    </w:p>
    <w:p>
      <w:pPr>
        <w:spacing w:after="0" w:line="112" w:lineRule="exact"/>
        <w:rPr>
          <w:sz w:val="20"/>
          <w:szCs w:val="20"/>
          <w:color w:val="auto"/>
        </w:rPr>
      </w:pPr>
    </w:p>
    <w:p>
      <w:pPr>
        <w:ind w:left="880" w:hanging="426"/>
        <w:spacing w:after="0"/>
        <w:tabs>
          <w:tab w:leader="none" w:pos="8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If I am not going to attend the Special Meeting, should I return my proxy card instead?</w:t>
      </w:r>
    </w:p>
    <w:p>
      <w:pPr>
        <w:spacing w:after="0" w:line="162" w:lineRule="exact"/>
        <w:rPr>
          <w:sz w:val="20"/>
          <w:szCs w:val="20"/>
          <w:color w:val="auto"/>
        </w:rPr>
      </w:pPr>
    </w:p>
    <w:p>
      <w:pPr>
        <w:ind w:left="880" w:right="859" w:hanging="426"/>
        <w:spacing w:after="0" w:line="286" w:lineRule="auto"/>
        <w:tabs>
          <w:tab w:leader="none" w:pos="846" w:val="left"/>
        </w:tabs>
        <w:numPr>
          <w:ilvl w:val="0"/>
          <w:numId w:val="78"/>
        </w:numPr>
        <w:rPr>
          <w:rFonts w:ascii="Arial" w:cs="Arial" w:eastAsia="Arial" w:hAnsi="Arial"/>
          <w:sz w:val="17"/>
          <w:szCs w:val="17"/>
          <w:color w:val="auto"/>
        </w:rPr>
      </w:pPr>
      <w:r>
        <w:rPr>
          <w:rFonts w:ascii="Arial" w:cs="Arial" w:eastAsia="Arial" w:hAnsi="Arial"/>
          <w:sz w:val="17"/>
          <w:szCs w:val="17"/>
          <w:color w:val="auto"/>
        </w:rPr>
        <w:t>Yes. Whether you plan to attend the Special Meeting virtually or not, please read the enclosed proxy statement/prospectus carefully, and vote your shares by completing, signing, dating and returning the enclosed proxy card in the postage-paid envelope provided.</w:t>
      </w:r>
    </w:p>
    <w:p>
      <w:pPr>
        <w:spacing w:after="0" w:line="80" w:lineRule="exact"/>
        <w:rPr>
          <w:sz w:val="20"/>
          <w:szCs w:val="20"/>
          <w:color w:val="auto"/>
        </w:rPr>
      </w:pPr>
    </w:p>
    <w:p>
      <w:pPr>
        <w:ind w:left="880" w:right="879" w:hanging="426"/>
        <w:spacing w:after="0" w:line="282" w:lineRule="auto"/>
        <w:tabs>
          <w:tab w:leader="none" w:pos="873"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will my broker, bank or nominee automatically vote my shares for me?</w:t>
      </w:r>
    </w:p>
    <w:p>
      <w:pPr>
        <w:spacing w:after="0" w:line="58" w:lineRule="exact"/>
        <w:rPr>
          <w:sz w:val="20"/>
          <w:szCs w:val="20"/>
          <w:color w:val="auto"/>
        </w:rPr>
      </w:pPr>
    </w:p>
    <w:p>
      <w:pPr>
        <w:ind w:left="880" w:right="479" w:hanging="426"/>
        <w:spacing w:after="0" w:line="257" w:lineRule="auto"/>
        <w:tabs>
          <w:tab w:leader="none" w:pos="853"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BCTG believes the Proposals presented to the stockholders will be considered non-discretionary and therefore</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4" w:name="page25"/>
    <w:bookmarkEnd w:id="2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880" w:right="659"/>
        <w:spacing w:after="0" w:line="263" w:lineRule="auto"/>
        <w:rPr>
          <w:sz w:val="20"/>
          <w:szCs w:val="20"/>
          <w:color w:val="auto"/>
        </w:rPr>
      </w:pPr>
      <w:r>
        <w:rPr>
          <w:rFonts w:ascii="Arial" w:cs="Arial" w:eastAsia="Arial" w:hAnsi="Arial"/>
          <w:sz w:val="18"/>
          <w:szCs w:val="18"/>
          <w:color w:val="auto"/>
        </w:rPr>
        <w:t>your broker, bank or nominee cannot vote your shares without your instruction. Your bank, broker or other nominee can vote your shares only if you provide instructions on how to vote. You should instruct your broker to vote your shares in accordance with directions you provide.</w:t>
      </w:r>
    </w:p>
    <w:p>
      <w:pPr>
        <w:spacing w:after="0" w:line="45" w:lineRule="exact"/>
        <w:rPr>
          <w:sz w:val="20"/>
          <w:szCs w:val="20"/>
          <w:color w:val="auto"/>
        </w:rPr>
      </w:pPr>
    </w:p>
    <w:p>
      <w:pPr>
        <w:ind w:left="880" w:hanging="426"/>
        <w:spacing w:after="0"/>
        <w:tabs>
          <w:tab w:leader="none" w:pos="8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May I change my vote after I have mailed my signed proxy card?</w:t>
      </w:r>
    </w:p>
    <w:p>
      <w:pPr>
        <w:spacing w:after="0" w:line="121" w:lineRule="exact"/>
        <w:rPr>
          <w:sz w:val="20"/>
          <w:szCs w:val="20"/>
          <w:color w:val="auto"/>
        </w:rPr>
      </w:pPr>
    </w:p>
    <w:p>
      <w:pPr>
        <w:ind w:left="880" w:right="619" w:hanging="426"/>
        <w:spacing w:after="0" w:line="301" w:lineRule="auto"/>
        <w:tabs>
          <w:tab w:leader="none" w:pos="846" w:val="left"/>
        </w:tabs>
        <w:numPr>
          <w:ilvl w:val="0"/>
          <w:numId w:val="82"/>
        </w:numPr>
        <w:rPr>
          <w:rFonts w:ascii="Arial" w:cs="Arial" w:eastAsia="Arial" w:hAnsi="Arial"/>
          <w:sz w:val="16"/>
          <w:szCs w:val="16"/>
          <w:color w:val="auto"/>
        </w:rPr>
      </w:pPr>
      <w:r>
        <w:rPr>
          <w:rFonts w:ascii="Arial" w:cs="Arial" w:eastAsia="Arial" w:hAnsi="Arial"/>
          <w:sz w:val="16"/>
          <w:szCs w:val="16"/>
          <w:color w:val="auto"/>
        </w:rPr>
        <w:t>Yes. You may change your vote by sending a later-dated, signed proxy card to BCTG’s secretary at the address listed below so that it is received by BCTG’s secretary prior to the Special Meeting or attend the Special Meeting online and vote. You also may revoke your proxy by sending a notice of revocation to BCTG’s secretary, which must be received by BCTG’s secretary prior to the Special Meeting.</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12860 El Camino Real, Suite 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 Diego, CA 92130</w:t>
      </w:r>
    </w:p>
    <w:p>
      <w:pPr>
        <w:spacing w:after="0" w:line="85" w:lineRule="exact"/>
        <w:rPr>
          <w:sz w:val="20"/>
          <w:szCs w:val="20"/>
          <w:color w:val="auto"/>
        </w:rPr>
      </w:pPr>
    </w:p>
    <w:p>
      <w:pPr>
        <w:ind w:left="880" w:hanging="426"/>
        <w:spacing w:after="0"/>
        <w:tabs>
          <w:tab w:leader="none" w:pos="88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121" w:lineRule="exact"/>
        <w:rPr>
          <w:sz w:val="20"/>
          <w:szCs w:val="20"/>
          <w:color w:val="auto"/>
        </w:rPr>
      </w:pPr>
    </w:p>
    <w:p>
      <w:pPr>
        <w:ind w:left="880" w:right="459" w:hanging="426"/>
        <w:spacing w:after="0" w:line="254" w:lineRule="auto"/>
        <w:tabs>
          <w:tab w:leader="none" w:pos="846" w:val="left"/>
        </w:tabs>
        <w:numPr>
          <w:ilvl w:val="0"/>
          <w:numId w:val="84"/>
        </w:numPr>
        <w:rPr>
          <w:rFonts w:ascii="Arial" w:cs="Arial" w:eastAsia="Arial" w:hAnsi="Arial"/>
          <w:sz w:val="18"/>
          <w:szCs w:val="18"/>
          <w:color w:val="auto"/>
        </w:rPr>
      </w:pPr>
      <w:r>
        <w:rPr>
          <w:rFonts w:ascii="Arial" w:cs="Arial" w:eastAsia="Arial" w:hAnsi="Arial"/>
          <w:sz w:val="18"/>
          <w:szCs w:val="18"/>
          <w:color w:val="auto"/>
        </w:rPr>
        <w:t>You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69" w:lineRule="exact"/>
        <w:rPr>
          <w:sz w:val="20"/>
          <w:szCs w:val="20"/>
          <w:color w:val="auto"/>
        </w:rPr>
      </w:pPr>
    </w:p>
    <w:p>
      <w:pPr>
        <w:ind w:left="880" w:hanging="426"/>
        <w:spacing w:after="0"/>
        <w:tabs>
          <w:tab w:leader="none" w:pos="8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Who will solicit and pay the cost of soliciting proxies?</w:t>
      </w:r>
    </w:p>
    <w:p>
      <w:pPr>
        <w:spacing w:after="0" w:line="94" w:lineRule="exact"/>
        <w:rPr>
          <w:sz w:val="20"/>
          <w:szCs w:val="20"/>
          <w:color w:val="auto"/>
        </w:rPr>
      </w:pPr>
    </w:p>
    <w:p>
      <w:pPr>
        <w:ind w:left="880" w:right="479" w:hanging="426"/>
        <w:spacing w:after="0" w:line="269" w:lineRule="auto"/>
        <w:tabs>
          <w:tab w:leader="none" w:pos="853" w:val="left"/>
        </w:tabs>
        <w:numPr>
          <w:ilvl w:val="0"/>
          <w:numId w:val="86"/>
        </w:numPr>
        <w:rPr>
          <w:rFonts w:ascii="Arial" w:cs="Arial" w:eastAsia="Arial" w:hAnsi="Arial"/>
          <w:sz w:val="17"/>
          <w:szCs w:val="17"/>
          <w:color w:val="auto"/>
        </w:rPr>
      </w:pPr>
      <w:r>
        <w:rPr>
          <w:rFonts w:ascii="Arial" w:cs="Arial" w:eastAsia="Arial" w:hAnsi="Arial"/>
          <w:sz w:val="17"/>
          <w:szCs w:val="17"/>
          <w:color w:val="auto"/>
        </w:rPr>
        <w:t>BCTG will pay the cost of soliciting proxies for the Special Meeting. BCTG has engaged [•], which we refer to as the “</w:t>
      </w:r>
      <w:r>
        <w:rPr>
          <w:rFonts w:ascii="Arial" w:cs="Arial" w:eastAsia="Arial" w:hAnsi="Arial"/>
          <w:sz w:val="17"/>
          <w:szCs w:val="17"/>
          <w:b w:val="1"/>
          <w:bCs w:val="1"/>
          <w:color w:val="auto"/>
        </w:rPr>
        <w:t>proxy solicitor</w:t>
      </w:r>
      <w:r>
        <w:rPr>
          <w:rFonts w:ascii="Arial" w:cs="Arial" w:eastAsia="Arial" w:hAnsi="Arial"/>
          <w:sz w:val="17"/>
          <w:szCs w:val="17"/>
          <w:color w:val="auto"/>
        </w:rPr>
        <w:t>,” to assist in the solicitation of proxies for the Special Meeting. BCTG has agreed to pay [•] a fee of $[•], plus disbursements. BCTG will reimburse the proxy solicitor for reasonable out-of-pocket expenses and will indemnify the proxy solicitor and its affiliates against certain claims, liabilities, losses, damages and expenses. BCTG will also reimburse banks, brokers and other custodians, nominees and fiduciaries representing beneficial owners of shares of BCTG Common Stock for their expenses in forwarding soliciting materials to beneficial owners of the BCTG Common Stock and in obtaining voting instructions from those owners. BCTG’s directors, officers and employees may also solicit proxies by telephone, by facsimile, by mail, on the Internet or in person. They will not be paid any additional amounts for soliciting proxies.</w:t>
      </w:r>
    </w:p>
    <w:p>
      <w:pPr>
        <w:spacing w:after="0" w:line="60" w:lineRule="exact"/>
        <w:rPr>
          <w:sz w:val="20"/>
          <w:szCs w:val="20"/>
          <w:color w:val="auto"/>
        </w:rPr>
      </w:pPr>
    </w:p>
    <w:p>
      <w:pPr>
        <w:ind w:left="880" w:hanging="426"/>
        <w:spacing w:after="0"/>
        <w:tabs>
          <w:tab w:leader="none" w:pos="8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questions?</w:t>
      </w:r>
    </w:p>
    <w:p>
      <w:pPr>
        <w:spacing w:after="0" w:line="108" w:lineRule="exact"/>
        <w:rPr>
          <w:sz w:val="20"/>
          <w:szCs w:val="20"/>
          <w:color w:val="auto"/>
        </w:rPr>
      </w:pPr>
    </w:p>
    <w:p>
      <w:pPr>
        <w:ind w:left="880" w:right="1099" w:hanging="426"/>
        <w:spacing w:after="0" w:line="308" w:lineRule="auto"/>
        <w:tabs>
          <w:tab w:leader="none" w:pos="853"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you have questions about the proposals or if you need additional copies of this proxy statement/ prospectus or the enclosed proxy card you should contact our proxy solicitor at:</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104" w:lineRule="exact"/>
        <w:rPr>
          <w:sz w:val="20"/>
          <w:szCs w:val="20"/>
          <w:color w:val="auto"/>
        </w:rPr>
      </w:pPr>
    </w:p>
    <w:p>
      <w:pPr>
        <w:ind w:left="880" w:right="599" w:hanging="29"/>
        <w:spacing w:after="0" w:line="277" w:lineRule="auto"/>
        <w:rPr>
          <w:sz w:val="20"/>
          <w:szCs w:val="20"/>
          <w:color w:val="auto"/>
        </w:rPr>
      </w:pPr>
      <w:r>
        <w:rPr>
          <w:rFonts w:ascii="Arial" w:cs="Arial" w:eastAsia="Arial" w:hAnsi="Arial"/>
          <w:sz w:val="18"/>
          <w:szCs w:val="18"/>
          <w:color w:val="auto"/>
        </w:rPr>
        <w:t>To obtain timely delivery, BCTG stockholders must request the materials no later than [five (5)] business days prior to the Special Meeting.</w:t>
      </w:r>
    </w:p>
    <w:p>
      <w:pPr>
        <w:spacing w:after="0" w:line="49" w:lineRule="exact"/>
        <w:rPr>
          <w:sz w:val="20"/>
          <w:szCs w:val="20"/>
          <w:color w:val="auto"/>
        </w:rPr>
      </w:pPr>
    </w:p>
    <w:p>
      <w:pPr>
        <w:ind w:left="880" w:right="499" w:hanging="33"/>
        <w:spacing w:after="0" w:line="277" w:lineRule="auto"/>
        <w:rPr>
          <w:sz w:val="20"/>
          <w:szCs w:val="20"/>
          <w:color w:val="auto"/>
        </w:rPr>
      </w:pPr>
      <w:r>
        <w:rPr>
          <w:rFonts w:ascii="Arial" w:cs="Arial" w:eastAsia="Arial" w:hAnsi="Arial"/>
          <w:sz w:val="18"/>
          <w:szCs w:val="18"/>
          <w:color w:val="auto"/>
        </w:rPr>
        <w:t>You may also obtain additional information about BCTG from documents filed with the SEC by following the instructions in the section 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35" w:lineRule="exact"/>
        <w:rPr>
          <w:sz w:val="20"/>
          <w:szCs w:val="20"/>
          <w:color w:val="auto"/>
        </w:rPr>
      </w:pPr>
    </w:p>
    <w:p>
      <w:pPr>
        <w:ind w:left="880" w:right="479"/>
        <w:spacing w:after="0" w:line="257" w:lineRule="auto"/>
        <w:rPr>
          <w:sz w:val="20"/>
          <w:szCs w:val="20"/>
          <w:color w:val="auto"/>
        </w:rPr>
      </w:pPr>
      <w:r>
        <w:rPr>
          <w:rFonts w:ascii="Arial" w:cs="Arial" w:eastAsia="Arial" w:hAnsi="Arial"/>
          <w:sz w:val="18"/>
          <w:szCs w:val="18"/>
          <w:color w:val="auto"/>
        </w:rPr>
        <w:t xml:space="preserve">If you intend to seek redemption of your Public Shares, you will need to send a letter demanding redemption and deliver your stock (either physically or electronically) to BCTG’s transfer agent prior to the Special Meeting in accordance with the procedures detailed under the question “— </w:t>
      </w:r>
      <w:r>
        <w:rPr>
          <w:rFonts w:ascii="Arial" w:cs="Arial" w:eastAsia="Arial" w:hAnsi="Arial"/>
          <w:sz w:val="18"/>
          <w:szCs w:val="18"/>
          <w:i w:val="1"/>
          <w:iCs w:val="1"/>
          <w:color w:val="auto"/>
        </w:rPr>
        <w:t>How do I exercise</w:t>
      </w:r>
      <w:r>
        <w:rPr>
          <w:rFonts w:ascii="Arial" w:cs="Arial" w:eastAsia="Arial" w:hAnsi="Arial"/>
          <w:sz w:val="18"/>
          <w:szCs w:val="18"/>
          <w:color w:val="auto"/>
        </w:rPr>
        <w:t xml:space="preserve"> </w:t>
      </w:r>
      <w:r>
        <w:rPr>
          <w:rFonts w:ascii="Arial" w:cs="Arial" w:eastAsia="Arial" w:hAnsi="Arial"/>
          <w:sz w:val="18"/>
          <w:szCs w:val="18"/>
          <w:i w:val="1"/>
          <w:iCs w:val="1"/>
          <w:color w:val="auto"/>
        </w:rPr>
        <w:t>my redemption rights</w:t>
      </w:r>
      <w:r>
        <w:rPr>
          <w:rFonts w:ascii="Arial" w:cs="Arial" w:eastAsia="Arial" w:hAnsi="Arial"/>
          <w:sz w:val="18"/>
          <w:szCs w:val="18"/>
          <w:color w:val="auto"/>
        </w:rPr>
        <w:t>” above. If you have questions regarding the certification of your position or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of your stock, please contact:</w:t>
      </w:r>
    </w:p>
    <w:p>
      <w:pPr>
        <w:spacing w:after="0" w:line="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Continental Stock Transfer &amp; Trust Company</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One State Street Plaza, 30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Floor</w:t>
      </w:r>
    </w:p>
    <w:p>
      <w:pPr>
        <w:ind w:left="88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8"/>
          <w:szCs w:val="18"/>
          <w:color w:val="auto"/>
        </w:rPr>
        <w:t>Attn:</w:t>
        <w:tab/>
        <w: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ind w:left="460"/>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2505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82505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THE PROXY STATEMENT/PROSPECTUS</w:t>
      </w:r>
    </w:p>
    <w:p>
      <w:pPr>
        <w:spacing w:after="0" w:line="162" w:lineRule="exact"/>
        <w:rPr>
          <w:sz w:val="20"/>
          <w:szCs w:val="20"/>
          <w:color w:val="auto"/>
        </w:rPr>
      </w:pPr>
    </w:p>
    <w:p>
      <w:pPr>
        <w:ind w:left="540" w:right="579" w:firstLine="432"/>
        <w:spacing w:after="0" w:line="296" w:lineRule="auto"/>
        <w:rPr>
          <w:sz w:val="20"/>
          <w:szCs w:val="20"/>
          <w:color w:val="auto"/>
        </w:rPr>
      </w:pPr>
      <w:r>
        <w:rPr>
          <w:rFonts w:ascii="Arial" w:cs="Arial" w:eastAsia="Arial" w:hAnsi="Arial"/>
          <w:sz w:val="16"/>
          <w:szCs w:val="16"/>
          <w:i w:val="1"/>
          <w:iCs w:val="1"/>
          <w:color w:val="auto"/>
        </w:rPr>
        <w:t>This summary, together with the section titled, “Questions and Answers About the Proposals” summarizes certain information contained in this proxy statement/prospectus and may not contain all of the information that is important to you. To better understand the Business Combination and the Proposals to be considered at the Special Meeting, you should read this entire proxy statement/prospectus carefully, including the annexes. See also the section titled “Where You Can Find More Information.”</w:t>
      </w:r>
    </w:p>
    <w:p>
      <w:pPr>
        <w:spacing w:after="0" w:line="94" w:lineRule="exact"/>
        <w:rPr>
          <w:sz w:val="20"/>
          <w:szCs w:val="20"/>
          <w:color w:val="auto"/>
        </w:rPr>
      </w:pPr>
    </w:p>
    <w:p>
      <w:pPr>
        <w:ind w:left="540" w:right="639" w:firstLine="432"/>
        <w:spacing w:after="0" w:line="259"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Summary of the Proxy Statement/Prospectus to the “Combined Entity” refer to BCTG and its consolidated subsidiaries after giving effect to the Business Combination. References to the “Company” or “BCTG” refer to BCTG Acquisition Corp.</w:t>
      </w:r>
    </w:p>
    <w:p>
      <w:pPr>
        <w:spacing w:after="0" w:line="106" w:lineRule="exact"/>
        <w:rPr>
          <w:sz w:val="20"/>
          <w:szCs w:val="20"/>
          <w:color w:val="auto"/>
        </w:rPr>
      </w:pPr>
    </w:p>
    <w:p>
      <w:pPr>
        <w:ind w:left="540" w:right="1059" w:firstLine="432"/>
        <w:spacing w:after="0" w:line="277" w:lineRule="auto"/>
        <w:rPr>
          <w:sz w:val="20"/>
          <w:szCs w:val="20"/>
          <w:color w:val="auto"/>
        </w:rPr>
      </w:pPr>
      <w:r>
        <w:rPr>
          <w:rFonts w:ascii="Arial" w:cs="Arial" w:eastAsia="Arial" w:hAnsi="Arial"/>
          <w:sz w:val="18"/>
          <w:szCs w:val="18"/>
          <w:i w:val="1"/>
          <w:iCs w:val="1"/>
          <w:color w:val="auto"/>
        </w:rPr>
        <w:t>Unless otherwise specified, all share calculations assume no exercise of redemption rights by the Company’s public stockholders.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Parties to the Business Combination</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BCTG Acquisition Corp.</w:t>
      </w:r>
    </w:p>
    <w:p>
      <w:pPr>
        <w:spacing w:after="0" w:line="158" w:lineRule="exact"/>
        <w:rPr>
          <w:sz w:val="20"/>
          <w:szCs w:val="20"/>
          <w:color w:val="auto"/>
        </w:rPr>
      </w:pPr>
    </w:p>
    <w:p>
      <w:pPr>
        <w:ind w:left="540" w:right="719" w:firstLine="432"/>
        <w:spacing w:after="0" w:line="272" w:lineRule="auto"/>
        <w:rPr>
          <w:sz w:val="20"/>
          <w:szCs w:val="20"/>
          <w:color w:val="auto"/>
        </w:rPr>
      </w:pPr>
      <w:r>
        <w:rPr>
          <w:rFonts w:ascii="Arial" w:cs="Arial" w:eastAsia="Arial" w:hAnsi="Arial"/>
          <w:sz w:val="17"/>
          <w:szCs w:val="17"/>
          <w:color w:val="auto"/>
        </w:rPr>
        <w:t>BCTG Acquisition Corp. is a blank check company incorporated in May 2020 as a Delaware corporation formed for the purpose of effecting a merger, capital stock exchange, asset acquisition, stock purchase, reorganization or similar business combination with one or more businesses, which we refer to throughout this proxy statement/prospectus as our initial business combination. While we may pursue an acquisition opportunity in any business, industry, sector or geographical location, we have focused on innovative companies in the biotechnology sector in North America and Europe in order to most effectively leverage our management team’s background and expertise.</w:t>
      </w:r>
    </w:p>
    <w:p>
      <w:pPr>
        <w:spacing w:after="0" w:line="110" w:lineRule="exact"/>
        <w:rPr>
          <w:sz w:val="20"/>
          <w:szCs w:val="20"/>
          <w:color w:val="auto"/>
        </w:rPr>
      </w:pPr>
    </w:p>
    <w:p>
      <w:pPr>
        <w:ind w:left="540" w:right="739" w:firstLine="432"/>
        <w:spacing w:after="0" w:line="286" w:lineRule="auto"/>
        <w:rPr>
          <w:sz w:val="20"/>
          <w:szCs w:val="20"/>
          <w:color w:val="auto"/>
        </w:rPr>
      </w:pPr>
      <w:r>
        <w:rPr>
          <w:rFonts w:ascii="Arial" w:cs="Arial" w:eastAsia="Arial" w:hAnsi="Arial"/>
          <w:sz w:val="17"/>
          <w:szCs w:val="17"/>
          <w:color w:val="auto"/>
        </w:rPr>
        <w:t>To date, our efforts have been limited to organizational activities, completing the BCTG IPO and searching for a target business. We have generated no operating revenues to date, and we do not expect that we will generate operating revenues until we consummate our initial business combination.</w:t>
      </w:r>
    </w:p>
    <w:p>
      <w:pPr>
        <w:spacing w:after="0" w:line="84" w:lineRule="exact"/>
        <w:rPr>
          <w:sz w:val="20"/>
          <w:szCs w:val="20"/>
          <w:color w:val="auto"/>
        </w:rPr>
      </w:pPr>
    </w:p>
    <w:p>
      <w:pPr>
        <w:ind w:left="540" w:right="559" w:firstLine="432"/>
        <w:spacing w:after="0" w:line="257" w:lineRule="auto"/>
        <w:rPr>
          <w:sz w:val="20"/>
          <w:szCs w:val="20"/>
          <w:color w:val="auto"/>
        </w:rPr>
      </w:pPr>
      <w:r>
        <w:rPr>
          <w:rFonts w:ascii="Arial" w:cs="Arial" w:eastAsia="Arial" w:hAnsi="Arial"/>
          <w:sz w:val="18"/>
          <w:szCs w:val="18"/>
          <w:color w:val="auto"/>
        </w:rPr>
        <w:t>On September 8, 2020, BCTG consummated the BCTG IPO of 16,675,000 shares of Common Stock, at a price of $10.00 per share, generating gross proceeds to the Company of $166,750,000. Simultaneously with the closing of the BCTG IPO, the Company consummated the Private Placement pursuant to which it issued 533,500 shares of Common Stock (the “</w:t>
      </w:r>
      <w:r>
        <w:rPr>
          <w:rFonts w:ascii="Arial" w:cs="Arial" w:eastAsia="Arial" w:hAnsi="Arial"/>
          <w:sz w:val="18"/>
          <w:szCs w:val="18"/>
          <w:b w:val="1"/>
          <w:bCs w:val="1"/>
          <w:color w:val="auto"/>
        </w:rPr>
        <w:t>Private Shares</w:t>
      </w:r>
      <w:r>
        <w:rPr>
          <w:rFonts w:ascii="Arial" w:cs="Arial" w:eastAsia="Arial" w:hAnsi="Arial"/>
          <w:sz w:val="18"/>
          <w:szCs w:val="18"/>
          <w:color w:val="auto"/>
        </w:rPr>
        <w:t>”) at a price of $10.00 per share, to the Sponsor generating total proceeds of $5,335,000.</w:t>
      </w:r>
    </w:p>
    <w:p>
      <w:pPr>
        <w:spacing w:after="0" w:line="120" w:lineRule="exact"/>
        <w:rPr>
          <w:sz w:val="20"/>
          <w:szCs w:val="20"/>
          <w:color w:val="auto"/>
        </w:rPr>
      </w:pPr>
    </w:p>
    <w:p>
      <w:pPr>
        <w:ind w:left="540" w:right="559" w:firstLine="432"/>
        <w:spacing w:after="0" w:line="257" w:lineRule="auto"/>
        <w:rPr>
          <w:sz w:val="20"/>
          <w:szCs w:val="20"/>
          <w:color w:val="auto"/>
        </w:rPr>
      </w:pPr>
      <w:r>
        <w:rPr>
          <w:rFonts w:ascii="Arial" w:cs="Arial" w:eastAsia="Arial" w:hAnsi="Arial"/>
          <w:sz w:val="18"/>
          <w:szCs w:val="18"/>
          <w:color w:val="auto"/>
        </w:rPr>
        <w:t>After deducting the underwriting discounts, offering expenses, and commissions from the IPO and the sale of the Private Shares, a total of $166,750,000.00 was deposited into the Trust Account, and the remaining $5,335,000 of the gross proceeds were held outside of the Trust Account and made available to be used for business, legal and accounting due diligence on prospective business combinations and continuing general and administrative expenses.</w:t>
      </w:r>
    </w:p>
    <w:p>
      <w:pPr>
        <w:spacing w:after="0" w:line="120" w:lineRule="exact"/>
        <w:rPr>
          <w:sz w:val="20"/>
          <w:szCs w:val="20"/>
          <w:color w:val="auto"/>
        </w:rPr>
      </w:pPr>
    </w:p>
    <w:p>
      <w:pPr>
        <w:ind w:left="540" w:right="559" w:firstLine="432"/>
        <w:spacing w:after="0" w:line="263" w:lineRule="auto"/>
        <w:rPr>
          <w:sz w:val="20"/>
          <w:szCs w:val="20"/>
          <w:color w:val="auto"/>
        </w:rPr>
      </w:pPr>
      <w:r>
        <w:rPr>
          <w:rFonts w:ascii="Arial" w:cs="Arial" w:eastAsia="Arial" w:hAnsi="Arial"/>
          <w:sz w:val="18"/>
          <w:szCs w:val="18"/>
          <w:color w:val="auto"/>
        </w:rPr>
        <w:t>As of [•], 2021, BCTG had cash of $[•] outside of the Trust Account. The net proceeds deposited into the Trust Account remain on deposit in the Trust Account earning interest. As of [•], 2021, there was $[•] held in the Trust Account.</w:t>
      </w:r>
    </w:p>
    <w:p>
      <w:pPr>
        <w:spacing w:after="0" w:line="103" w:lineRule="exact"/>
        <w:rPr>
          <w:sz w:val="20"/>
          <w:szCs w:val="20"/>
          <w:color w:val="auto"/>
        </w:rPr>
      </w:pPr>
    </w:p>
    <w:p>
      <w:pPr>
        <w:ind w:left="540" w:right="699" w:firstLine="432"/>
        <w:spacing w:after="0" w:line="272" w:lineRule="auto"/>
        <w:rPr>
          <w:sz w:val="20"/>
          <w:szCs w:val="20"/>
          <w:color w:val="auto"/>
        </w:rPr>
      </w:pPr>
      <w:r>
        <w:rPr>
          <w:rFonts w:ascii="Arial" w:cs="Arial" w:eastAsia="Arial" w:hAnsi="Arial"/>
          <w:sz w:val="17"/>
          <w:szCs w:val="17"/>
          <w:color w:val="auto"/>
        </w:rPr>
        <w:t>In accordance with BCTG’s Current Charter, the amounts held in the Trust Account may only be used by BCTG upon the consummation of a business combination, except that there can be released to BCTG, from time to time, any interest earned on the funds in the Trust Account that it may need to pay its tax obligations. The remaining interest earned on the funds in the Trust Account will not be released until the earlier of the completion of a business combination and BCTG’s liquidation. BCTG executed the Merger Agreement on April 13, 2021, and it must liquidate unless a business combination is consummated by September 8, 2022 (unless such date has been extended).</w:t>
      </w:r>
    </w:p>
    <w:p>
      <w:pPr>
        <w:spacing w:after="0" w:line="110" w:lineRule="exact"/>
        <w:rPr>
          <w:sz w:val="20"/>
          <w:szCs w:val="20"/>
          <w:color w:val="auto"/>
        </w:rPr>
      </w:pPr>
    </w:p>
    <w:p>
      <w:pPr>
        <w:ind w:left="540" w:right="919" w:firstLine="432"/>
        <w:spacing w:after="0" w:line="277" w:lineRule="auto"/>
        <w:rPr>
          <w:sz w:val="20"/>
          <w:szCs w:val="20"/>
          <w:color w:val="auto"/>
        </w:rPr>
      </w:pPr>
      <w:r>
        <w:rPr>
          <w:rFonts w:ascii="Arial" w:cs="Arial" w:eastAsia="Arial" w:hAnsi="Arial"/>
          <w:sz w:val="18"/>
          <w:szCs w:val="18"/>
          <w:color w:val="auto"/>
        </w:rPr>
        <w:t>BCTG’s common stock began to trade on the Nasdaq Capital Market, or Nasdaq, under the symbol “BCTG” on September 3, 2020.</w:t>
      </w:r>
    </w:p>
    <w:p>
      <w:pPr>
        <w:spacing w:after="0" w:line="103" w:lineRule="exact"/>
        <w:rPr>
          <w:sz w:val="20"/>
          <w:szCs w:val="20"/>
          <w:color w:val="auto"/>
        </w:rPr>
      </w:pPr>
    </w:p>
    <w:p>
      <w:pPr>
        <w:ind w:left="540" w:right="879" w:firstLine="432"/>
        <w:spacing w:after="0" w:line="277" w:lineRule="auto"/>
        <w:rPr>
          <w:sz w:val="20"/>
          <w:szCs w:val="20"/>
          <w:color w:val="auto"/>
        </w:rPr>
      </w:pPr>
      <w:r>
        <w:rPr>
          <w:rFonts w:ascii="Arial" w:cs="Arial" w:eastAsia="Arial" w:hAnsi="Arial"/>
          <w:sz w:val="18"/>
          <w:szCs w:val="18"/>
          <w:color w:val="auto"/>
        </w:rPr>
        <w:t>The mailing address of BCTG’s principal executive office is 12860 El Camino Real, Suite 300, San Diego, CA 92130, and its telephone number is (858) 400-3120.</w:t>
      </w:r>
    </w:p>
    <w:p>
      <w:pPr>
        <w:sectPr>
          <w:pgSz w:w="11900" w:h="16838" w:orient="portrait"/>
          <w:cols w:equalWidth="0" w:num="1">
            <w:col w:w="9019"/>
          </w:cols>
          <w:pgMar w:left="1440" w:top="274" w:right="1440" w:bottom="1440" w:gutter="0" w:footer="0" w:header="0"/>
          <w:type w:val="continuous"/>
        </w:sect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6" w:name="page27"/>
    <w:bookmarkEnd w:id="26"/>
    <w:p>
      <w:pPr>
        <w:ind w:left="460"/>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113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811339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Merger Sub</w:t>
      </w:r>
    </w:p>
    <w:p>
      <w:pPr>
        <w:spacing w:after="0" w:line="158" w:lineRule="exact"/>
        <w:rPr>
          <w:sz w:val="20"/>
          <w:szCs w:val="20"/>
          <w:color w:val="auto"/>
        </w:rPr>
      </w:pPr>
    </w:p>
    <w:p>
      <w:pPr>
        <w:ind w:left="540" w:right="699" w:firstLine="432"/>
        <w:spacing w:after="0" w:line="263" w:lineRule="auto"/>
        <w:rPr>
          <w:sz w:val="20"/>
          <w:szCs w:val="20"/>
          <w:color w:val="auto"/>
        </w:rPr>
      </w:pPr>
      <w:r>
        <w:rPr>
          <w:rFonts w:ascii="Arial" w:cs="Arial" w:eastAsia="Arial" w:hAnsi="Arial"/>
          <w:sz w:val="18"/>
          <w:szCs w:val="18"/>
          <w:color w:val="auto"/>
        </w:rPr>
        <w:t>Merger Sub is a Delaware corporation and wholly-owned subsidiary of BCTG formed for the purpose of effecting the Business Combination. Merger Sub owns no material assets and does not operate any business.</w:t>
      </w:r>
    </w:p>
    <w:p>
      <w:pPr>
        <w:spacing w:after="0" w:line="116" w:lineRule="exact"/>
        <w:rPr>
          <w:sz w:val="20"/>
          <w:szCs w:val="20"/>
          <w:color w:val="auto"/>
        </w:rPr>
      </w:pPr>
    </w:p>
    <w:p>
      <w:pPr>
        <w:ind w:left="540" w:right="619" w:firstLine="432"/>
        <w:spacing w:after="0" w:line="277" w:lineRule="auto"/>
        <w:rPr>
          <w:sz w:val="20"/>
          <w:szCs w:val="20"/>
          <w:color w:val="auto"/>
        </w:rPr>
      </w:pPr>
      <w:r>
        <w:rPr>
          <w:rFonts w:ascii="Arial" w:cs="Arial" w:eastAsia="Arial" w:hAnsi="Arial"/>
          <w:sz w:val="18"/>
          <w:szCs w:val="18"/>
          <w:color w:val="auto"/>
        </w:rPr>
        <w:t>The mailing address of Merger Sub is 12860 El Camino Real, Suite 300, San Diego, CA 92130, and its telephone number is (858) 400-3120.</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Tango</w:t>
      </w:r>
    </w:p>
    <w:p>
      <w:pPr>
        <w:spacing w:after="0" w:line="144" w:lineRule="exact"/>
        <w:rPr>
          <w:sz w:val="20"/>
          <w:szCs w:val="20"/>
          <w:color w:val="auto"/>
        </w:rPr>
      </w:pPr>
    </w:p>
    <w:p>
      <w:pPr>
        <w:ind w:left="540" w:right="599" w:firstLine="432"/>
        <w:spacing w:after="0" w:line="267" w:lineRule="auto"/>
        <w:rPr>
          <w:sz w:val="20"/>
          <w:szCs w:val="20"/>
          <w:color w:val="auto"/>
        </w:rPr>
      </w:pPr>
      <w:r>
        <w:rPr>
          <w:rFonts w:ascii="Arial" w:cs="Arial" w:eastAsia="Arial" w:hAnsi="Arial"/>
          <w:sz w:val="17"/>
          <w:szCs w:val="17"/>
          <w:color w:val="auto"/>
        </w:rPr>
        <w:t>Tango is a precision oncology company leveraging its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Tango is now able to employ a unique functional genomics approach and apply the principles of synthetic lethality to target the loss of specific tumor suppressor genes at scale, establishing a sustainable pipeline optimized to deliver meaningfully clinical benefit to patients. Tango’s novel small molecules are designed to be selectively active in cancer cells with specific tumor suppressor gene loss, killing those cancer cells while being relatively inert in normal cells. Tango is also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Tango believes this approach will provide the ability to deliver the deep, sustained target inhibition necessary for prolonged tumor regression and meaningful clinical benefit as a result of the unique ability of synthetic lethal targeting to spare normal cells. Tango’s approach also opens possibilities of histology-agnostic treatments for patients harboring specific genome alternations, regardless of cancer type, in cases where a specific tumor suppressor gene loss is common to more than one subgroup of cancers.</w:t>
      </w:r>
    </w:p>
    <w:p>
      <w:pPr>
        <w:spacing w:after="0" w:line="124" w:lineRule="exact"/>
        <w:rPr>
          <w:sz w:val="20"/>
          <w:szCs w:val="20"/>
          <w:color w:val="auto"/>
        </w:rPr>
      </w:pPr>
    </w:p>
    <w:p>
      <w:pPr>
        <w:ind w:left="540" w:right="939" w:firstLine="432"/>
        <w:spacing w:after="0" w:line="263" w:lineRule="auto"/>
        <w:rPr>
          <w:sz w:val="20"/>
          <w:szCs w:val="20"/>
          <w:color w:val="auto"/>
        </w:rPr>
      </w:pPr>
      <w:r>
        <w:rPr>
          <w:rFonts w:ascii="Arial" w:cs="Arial" w:eastAsia="Arial" w:hAnsi="Arial"/>
          <w:sz w:val="18"/>
          <w:szCs w:val="18"/>
          <w:color w:val="auto"/>
        </w:rPr>
        <w:t>Tango’s target discovery and drug development process, which is clinically oriented and guided by patient-focused cancer genetics to produce innovative therapies, can be summarized by the following fundamental elements:</w:t>
      </w:r>
    </w:p>
    <w:p>
      <w:pPr>
        <w:spacing w:after="0" w:line="112" w:lineRule="exact"/>
        <w:rPr>
          <w:sz w:val="20"/>
          <w:szCs w:val="20"/>
          <w:color w:val="auto"/>
        </w:rPr>
      </w:pPr>
    </w:p>
    <w:p>
      <w:pPr>
        <w:ind w:left="1400" w:right="579" w:hanging="424"/>
        <w:spacing w:after="0" w:line="256" w:lineRule="auto"/>
        <w:tabs>
          <w:tab w:leader="none" w:pos="1391"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A singular focus on precision oncology from target discovery through clinical development. </w:t>
      </w:r>
      <w:r>
        <w:rPr>
          <w:rFonts w:ascii="Arial" w:cs="Arial" w:eastAsia="Arial" w:hAnsi="Arial"/>
          <w:sz w:val="18"/>
          <w:szCs w:val="18"/>
          <w:color w:val="auto"/>
        </w:rPr>
        <w:t>By identifying a target patient population, defining the tumor suppressor gene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loss that characterizes those patients’ cancers and using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that mimic the genetics of those cancer cells in its discovery platform, Tango concentrates discovery and clinical development paths on treatments for those patients most likely to derive meaningful clinical benefit from each new molecule.</w:t>
      </w:r>
    </w:p>
    <w:p>
      <w:pPr>
        <w:spacing w:after="0" w:line="106" w:lineRule="exact"/>
        <w:rPr>
          <w:rFonts w:ascii="Arial" w:cs="Arial" w:eastAsia="Arial" w:hAnsi="Arial"/>
          <w:sz w:val="18"/>
          <w:szCs w:val="18"/>
          <w:color w:val="auto"/>
        </w:rPr>
      </w:pPr>
    </w:p>
    <w:p>
      <w:pPr>
        <w:ind w:left="1400" w:right="679" w:hanging="424"/>
        <w:spacing w:after="0" w:line="277" w:lineRule="auto"/>
        <w:tabs>
          <w:tab w:leader="none" w:pos="1391" w:val="left"/>
        </w:tabs>
        <w:numPr>
          <w:ilvl w:val="0"/>
          <w:numId w:val="89"/>
        </w:numPr>
        <w:rPr>
          <w:rFonts w:ascii="Arial" w:cs="Arial" w:eastAsia="Arial" w:hAnsi="Arial"/>
          <w:sz w:val="17"/>
          <w:szCs w:val="17"/>
          <w:color w:val="auto"/>
        </w:rPr>
      </w:pPr>
      <w:r>
        <w:rPr>
          <w:rFonts w:ascii="Arial" w:cs="Arial" w:eastAsia="Arial" w:hAnsi="Arial"/>
          <w:sz w:val="17"/>
          <w:szCs w:val="17"/>
          <w:b w:val="1"/>
          <w:bCs w:val="1"/>
          <w:color w:val="auto"/>
        </w:rPr>
        <w:t xml:space="preserve">Deep expertise linking cancer genetics to novel target discovery. </w:t>
      </w:r>
      <w:r>
        <w:rPr>
          <w:rFonts w:ascii="Arial" w:cs="Arial" w:eastAsia="Arial" w:hAnsi="Arial"/>
          <w:sz w:val="17"/>
          <w:szCs w:val="17"/>
          <w:color w:val="auto"/>
        </w:rPr>
        <w:t>Tango has built a state-of-the-art discovery engine, based on multiple optimized CRISPR systems, advanced functional genomics and a proprietary cloud-based computational biology platform, which Tango refers to as TANDEM, for sophisticated analysis of genetic and functional data, enabling integration of target biology with specific genetic alterations in cancer cells.</w:t>
      </w:r>
    </w:p>
    <w:p>
      <w:pPr>
        <w:spacing w:after="0" w:line="100" w:lineRule="exact"/>
        <w:rPr>
          <w:rFonts w:ascii="Arial" w:cs="Arial" w:eastAsia="Arial" w:hAnsi="Arial"/>
          <w:sz w:val="17"/>
          <w:szCs w:val="17"/>
          <w:color w:val="auto"/>
        </w:rPr>
      </w:pPr>
    </w:p>
    <w:p>
      <w:pPr>
        <w:ind w:left="1400" w:right="599" w:hanging="424"/>
        <w:spacing w:after="0" w:line="261" w:lineRule="auto"/>
        <w:tabs>
          <w:tab w:leader="none" w:pos="1391"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A versatile drug discovery approach. </w:t>
      </w:r>
      <w:r>
        <w:rPr>
          <w:rFonts w:ascii="Arial" w:cs="Arial" w:eastAsia="Arial" w:hAnsi="Arial"/>
          <w:sz w:val="18"/>
          <w:szCs w:val="18"/>
          <w:color w:val="auto"/>
        </w:rPr>
        <w:t>Tango employs its hit-finding and medicinal chemistry</w:t>
      </w:r>
      <w:r>
        <w:rPr>
          <w:rFonts w:ascii="Arial" w:cs="Arial" w:eastAsia="Arial" w:hAnsi="Arial"/>
          <w:sz w:val="18"/>
          <w:szCs w:val="18"/>
          <w:b w:val="1"/>
          <w:bCs w:val="1"/>
          <w:color w:val="auto"/>
        </w:rPr>
        <w:t xml:space="preserve"> </w:t>
      </w:r>
      <w:r>
        <w:rPr>
          <w:rFonts w:ascii="Arial" w:cs="Arial" w:eastAsia="Arial" w:hAnsi="Arial"/>
          <w:sz w:val="18"/>
          <w:szCs w:val="18"/>
          <w:color w:val="auto"/>
        </w:rPr>
        <w:t>expertise to identify tractable chemical matter and solve high resolution crystal structures for its novel targets as the basis for designing potent, selective molecules with the precise mechanism of action required by the target biology.</w:t>
      </w:r>
    </w:p>
    <w:p>
      <w:pPr>
        <w:spacing w:after="0" w:line="112" w:lineRule="exact"/>
        <w:rPr>
          <w:rFonts w:ascii="Arial" w:cs="Arial" w:eastAsia="Arial" w:hAnsi="Arial"/>
          <w:sz w:val="18"/>
          <w:szCs w:val="18"/>
          <w:color w:val="auto"/>
        </w:rPr>
      </w:pPr>
    </w:p>
    <w:p>
      <w:pPr>
        <w:ind w:left="1400" w:right="579" w:hanging="424"/>
        <w:spacing w:after="0" w:line="272" w:lineRule="auto"/>
        <w:tabs>
          <w:tab w:leader="none" w:pos="1391"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 unique ability to bring precision medicine to immuno-oncology. </w:t>
      </w:r>
      <w:r>
        <w:rPr>
          <w:rFonts w:ascii="Arial" w:cs="Arial" w:eastAsia="Arial" w:hAnsi="Arial"/>
          <w:sz w:val="17"/>
          <w:szCs w:val="17"/>
          <w:color w:val="auto"/>
        </w:rPr>
        <w:t>Through rigorous focus</w:t>
      </w:r>
      <w:r>
        <w:rPr>
          <w:rFonts w:ascii="Arial" w:cs="Arial" w:eastAsia="Arial" w:hAnsi="Arial"/>
          <w:sz w:val="17"/>
          <w:szCs w:val="17"/>
          <w:b w:val="1"/>
          <w:bCs w:val="1"/>
          <w:color w:val="auto"/>
        </w:rPr>
        <w:t xml:space="preserve"> </w:t>
      </w:r>
      <w:r>
        <w:rPr>
          <w:rFonts w:ascii="Arial" w:cs="Arial" w:eastAsia="Arial" w:hAnsi="Arial"/>
          <w:sz w:val="17"/>
          <w:szCs w:val="17"/>
          <w:color w:val="auto"/>
        </w:rPr>
        <w:t>on cancer genetics, Tango has identified critical links between tumor suppressor gene loss and the ability of tumor cells to evade killing by the immune system causing immune evasion. That knowledge powers Tango’s approach to reverse the tumor-intrinsic immune evasion mechanisms driven by specific tumor suppressor gene loss in cancer cells. Tango plans to design clinical trials that combine the efficiency and success of genetic patient selection with a novel approach to reversing tumor-intrinsic immune evasion, avoiding the known drawbacks of large, empiric clinical trials lacking a patient selection strategy.</w:t>
      </w:r>
    </w:p>
    <w:p>
      <w:pPr>
        <w:sectPr>
          <w:pgSz w:w="11900" w:h="16838" w:orient="portrait"/>
          <w:cols w:equalWidth="0" w:num="1">
            <w:col w:w="9019"/>
          </w:cols>
          <w:pgMar w:left="1440" w:top="274" w:right="1440" w:bottom="1440" w:gutter="0" w:footer="0" w:header="0"/>
          <w:type w:val="continuous"/>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7" w:name="page28"/>
    <w:bookmarkEnd w:id="27"/>
    <w:p>
      <w:pPr>
        <w:ind w:left="460"/>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01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83019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Tango’s first product candidate, TNG908, is a potent, selective, synthetic lethal, small molecule</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inhibitor of protein arginine methyltransferase 5 (“</w:t>
      </w:r>
      <w:r>
        <w:rPr>
          <w:rFonts w:ascii="Arial" w:cs="Arial" w:eastAsia="Arial" w:hAnsi="Arial"/>
          <w:sz w:val="17"/>
          <w:szCs w:val="17"/>
          <w:b w:val="1"/>
          <w:bCs w:val="1"/>
          <w:color w:val="auto"/>
        </w:rPr>
        <w:t>PRMT5</w:t>
      </w:r>
      <w:r>
        <w:rPr>
          <w:rFonts w:ascii="Arial" w:cs="Arial" w:eastAsia="Arial" w:hAnsi="Arial"/>
          <w:sz w:val="17"/>
          <w:szCs w:val="17"/>
          <w:color w:val="auto"/>
        </w:rPr>
        <w:t>”) designed to work selectively in cancer cells</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an -methylthioadenosine phosphorylase (“</w:t>
      </w:r>
      <w:r>
        <w:rPr>
          <w:rFonts w:ascii="Arial" w:cs="Arial" w:eastAsia="Arial" w:hAnsi="Arial"/>
          <w:sz w:val="17"/>
          <w:szCs w:val="17"/>
          <w:b w:val="1"/>
          <w:bCs w:val="1"/>
          <w:color w:val="auto"/>
        </w:rPr>
        <w:t>MTAP</w:t>
      </w:r>
      <w:r>
        <w:rPr>
          <w:rFonts w:ascii="Arial" w:cs="Arial" w:eastAsia="Arial" w:hAnsi="Arial"/>
          <w:sz w:val="17"/>
          <w:szCs w:val="17"/>
          <w:color w:val="auto"/>
        </w:rPr>
        <w:t>”) deletion. MTAP-deletion occurs in approximately</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10% to 15% of all human tumors, including many common cancers with high unmet need such as squamous</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cell lung, esophageal and bladder cancer, creating a significant therapeutic opportunity for patients. The</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challenge of non-synthetic lethal PRMT5 inhibitors in treating cancer is that they kill rapidly growing normal</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cells (bone marrow cells in particular) as effectively as cancer cells and therefore the dose needed to kill</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cancer cells often cannot be achieved without endangering patients. To address this problem, Tango designed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TNG908 to be selectively active (synthetic lethal) in cancer cells that have a deletion of MTAP, which is not</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present in normal cells. MTAP encodes the enzyme that degrades 5’-deoxy-5’-methylthioadenosine</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MTA</w:t>
      </w:r>
      <w:r>
        <w:rPr>
          <w:rFonts w:ascii="Arial" w:cs="Arial" w:eastAsia="Arial" w:hAnsi="Arial"/>
          <w:sz w:val="17"/>
          <w:szCs w:val="17"/>
          <w:color w:val="auto"/>
        </w:rPr>
        <w:t>”), an intrinsic inhibitor of PRMT5. Deletion of MTAP is not tumor-promoting by itself but occurs as</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 “passenger” with deletion of the tumor suppressor gene CDKN2A. As the normal function of MTAP is to</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degrade MTA, MTAP deletion results in marked accumulation of MTA in cancer cells. This increase in MTA</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results in partial PRMT5 inhibition, creating a vulnerability that is not sufficient alone to kill tumor cells but</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makes them more susceptible to PRMT5 inhibition than normal cells. As PRMT5 is an essential gene,</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treatment with a PRMT5 inhibitor like TNG908 is sufficient to cause cancer cell death without killing normal</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cells. However, treatment with a non-selective PRMT5 inhibitor kills cancer cells and normal cells at</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approximately the same exposure, markedly limits potential efficacy. This difference in mechanism of</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inhibition occurs because TNG908 binds much more efficiently to the PRMT5-MTA complex, so the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increased MTA levels in MTAP-deleted cancer cells make TNG908 much more potent in MTAP-deleted</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cancer cells than in normal cells. In preclinical studies, TNG908 has demonstrated 15-fold greater potency in</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MTAP-deleted cancer cells versus normal cells. This unique selectivity of TNG908 for MTAP-deleted cancer</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cells allows for the near-complete and sustained inhibition of PRMT5 needed to induce tumor cell death</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while sparing normal cells, including bone marrow cells responsible for the dose-limiting toxicity of non-</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synthetic lethal PRMT5 inhibitors currently in clinical development. In preclinical studies, TNG908 has</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demonstrated selectivity for MTAP-deleted tumors, anti-tumor effects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and</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pharmacokinetics that, if approved, support its potential to be a first-in-class synthetic lethal PRMT5</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inhibitor. Tango plans to file an Investigational New Drug (“</w:t>
      </w:r>
      <w:r>
        <w:rPr>
          <w:rFonts w:ascii="Arial" w:cs="Arial" w:eastAsia="Arial" w:hAnsi="Arial"/>
          <w:sz w:val="17"/>
          <w:szCs w:val="17"/>
          <w:b w:val="1"/>
          <w:bCs w:val="1"/>
          <w:color w:val="auto"/>
        </w:rPr>
        <w:t>IND</w:t>
      </w:r>
      <w:r>
        <w:rPr>
          <w:rFonts w:ascii="Arial" w:cs="Arial" w:eastAsia="Arial" w:hAnsi="Arial"/>
          <w:sz w:val="17"/>
          <w:szCs w:val="17"/>
          <w:color w:val="auto"/>
        </w:rPr>
        <w:t>”) application for TNG908 in the fourth</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quarter of 2021 and initiate a Phase 1/2 clinical trial in the first half of 2022.</w:t>
      </w:r>
    </w:p>
    <w:p>
      <w:pPr>
        <w:spacing w:after="0" w:line="143" w:lineRule="exact"/>
        <w:rPr>
          <w:sz w:val="20"/>
          <w:szCs w:val="20"/>
          <w:color w:val="auto"/>
        </w:rPr>
      </w:pPr>
    </w:p>
    <w:p>
      <w:pPr>
        <w:ind w:left="540" w:right="679" w:firstLine="432"/>
        <w:spacing w:after="0" w:line="269" w:lineRule="auto"/>
        <w:rPr>
          <w:sz w:val="20"/>
          <w:szCs w:val="20"/>
          <w:color w:val="auto"/>
        </w:rPr>
      </w:pPr>
      <w:r>
        <w:rPr>
          <w:rFonts w:ascii="Arial" w:cs="Arial" w:eastAsia="Arial" w:hAnsi="Arial"/>
          <w:sz w:val="17"/>
          <w:szCs w:val="17"/>
          <w:color w:val="auto"/>
        </w:rPr>
        <w:t>Tango’s second product candidate has the potential to be a highly differentiated small molecule inhibitor of ubiquitin-specific protease 1 (“</w:t>
      </w:r>
      <w:r>
        <w:rPr>
          <w:rFonts w:ascii="Arial" w:cs="Arial" w:eastAsia="Arial" w:hAnsi="Arial"/>
          <w:sz w:val="17"/>
          <w:szCs w:val="17"/>
          <w:b w:val="1"/>
          <w:bCs w:val="1"/>
          <w:color w:val="auto"/>
        </w:rPr>
        <w:t>USP1</w:t>
      </w:r>
      <w:r>
        <w:rPr>
          <w:rFonts w:ascii="Arial" w:cs="Arial" w:eastAsia="Arial" w:hAnsi="Arial"/>
          <w:sz w:val="17"/>
          <w:szCs w:val="17"/>
          <w:color w:val="auto"/>
        </w:rPr>
        <w:t>”), a synthetic lethal target for BRCA1-mutant breast, ovarian and prostate cancer. USP1 has the potential to treat a patient population that is comparable in size to approximately half of the patient population for poly (ADP-ribose) polymerase (“</w:t>
      </w:r>
      <w:r>
        <w:rPr>
          <w:rFonts w:ascii="Arial" w:cs="Arial" w:eastAsia="Arial" w:hAnsi="Arial"/>
          <w:sz w:val="17"/>
          <w:szCs w:val="17"/>
          <w:b w:val="1"/>
          <w:bCs w:val="1"/>
          <w:color w:val="auto"/>
        </w:rPr>
        <w:t>PARP</w:t>
      </w:r>
      <w:r>
        <w:rPr>
          <w:rFonts w:ascii="Arial" w:cs="Arial" w:eastAsia="Arial" w:hAnsi="Arial"/>
          <w:sz w:val="17"/>
          <w:szCs w:val="17"/>
          <w:color w:val="auto"/>
        </w:rPr>
        <w:t xml:space="preserve">”) inhibitors that are effective against cancers with BRCA1 and BRCA2 mutations. BRCA1 mutations are present in approximately 15% of ovarian cancer, 5% of breast cancer, and 1% of prostate cancer.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preclinical data suggest this molecule will have the potential to be effective as a single agent in PARP-naive and PARP-resistant cancers with a BRCA1 mutation. Preclinical data further suggest that USP1 inhibition is synergistic with PARP inhibition, providing the potential for enhanced efficacy in BRCA1-mutant breast, ovarian and prostate cancer in combination with a PARP inhibitor. Tango anticipates advancing a clinical candidate and filing an IND for this program in 2022.</w:t>
      </w:r>
    </w:p>
    <w:p>
      <w:pPr>
        <w:spacing w:after="0" w:line="101" w:lineRule="exact"/>
        <w:rPr>
          <w:sz w:val="20"/>
          <w:szCs w:val="20"/>
          <w:color w:val="auto"/>
        </w:rPr>
      </w:pPr>
    </w:p>
    <w:p>
      <w:pPr>
        <w:ind w:left="540" w:right="619" w:firstLine="432"/>
        <w:spacing w:after="0" w:line="288" w:lineRule="auto"/>
        <w:rPr>
          <w:sz w:val="20"/>
          <w:szCs w:val="20"/>
          <w:color w:val="auto"/>
        </w:rPr>
      </w:pPr>
      <w:r>
        <w:rPr>
          <w:rFonts w:ascii="Arial" w:cs="Arial" w:eastAsia="Arial" w:hAnsi="Arial"/>
          <w:sz w:val="16"/>
          <w:szCs w:val="16"/>
          <w:color w:val="auto"/>
        </w:rPr>
        <w:t>Tango’s third program, an undisclosed target (Target 3), exploits Tango’s platform developed to find synthetic lethal targets that reverse the immune evasion effects of tumor suppressor gene loss, in this case serine-threonine kinase 11 (“</w:t>
      </w:r>
      <w:r>
        <w:rPr>
          <w:rFonts w:ascii="Arial" w:cs="Arial" w:eastAsia="Arial" w:hAnsi="Arial"/>
          <w:sz w:val="16"/>
          <w:szCs w:val="16"/>
          <w:b w:val="1"/>
          <w:bCs w:val="1"/>
          <w:color w:val="auto"/>
        </w:rPr>
        <w:t>STK11</w:t>
      </w:r>
      <w:r>
        <w:rPr>
          <w:rFonts w:ascii="Arial" w:cs="Arial" w:eastAsia="Arial" w:hAnsi="Arial"/>
          <w:sz w:val="16"/>
          <w:szCs w:val="16"/>
          <w:color w:val="auto"/>
        </w:rPr>
        <w:t>”) loss-of-function mutations. STK11 loss-of-function mutations are present in approximately 20% of non-small cell lung cancers. Using its proprietary target discovery platform, Tango identified STK11 as a tumor suppressor gene responsible for mediating cancer cell resistance to immunotherapy when deleted (immune evasion) and then identified a novel drug target (Target 3) that reverses this effect when inhibited in preclinical studies. Tango expects the clinical development plan for this inhibitor in STK11-mutant lung cancer to be the first to combine the power of genetically-based patient selection and checkpoint inhibitor therapy. Tango anticipates advancing a clinical candidate for this target into IND-enabling studies in the second half of 2022 and filing an IND in 2023.</w:t>
      </w:r>
    </w:p>
    <w:p>
      <w:pPr>
        <w:spacing w:after="0" w:line="97" w:lineRule="exact"/>
        <w:rPr>
          <w:sz w:val="20"/>
          <w:szCs w:val="20"/>
          <w:color w:val="auto"/>
        </w:rPr>
      </w:pPr>
    </w:p>
    <w:p>
      <w:pPr>
        <w:ind w:left="540" w:right="699" w:firstLine="432"/>
        <w:spacing w:after="0" w:line="256" w:lineRule="auto"/>
        <w:rPr>
          <w:sz w:val="20"/>
          <w:szCs w:val="20"/>
          <w:color w:val="auto"/>
        </w:rPr>
      </w:pPr>
      <w:r>
        <w:rPr>
          <w:rFonts w:ascii="Arial" w:cs="Arial" w:eastAsia="Arial" w:hAnsi="Arial"/>
          <w:sz w:val="18"/>
          <w:szCs w:val="18"/>
          <w:color w:val="auto"/>
        </w:rPr>
        <w:t>In October 2018, Tango entered into a collaboration agreement with Gilead Sciences Inc. (“</w:t>
      </w:r>
      <w:r>
        <w:rPr>
          <w:rFonts w:ascii="Arial" w:cs="Arial" w:eastAsia="Arial" w:hAnsi="Arial"/>
          <w:sz w:val="18"/>
          <w:szCs w:val="18"/>
          <w:b w:val="1"/>
          <w:bCs w:val="1"/>
          <w:color w:val="auto"/>
        </w:rPr>
        <w:t>Gilead</w:t>
      </w:r>
      <w:r>
        <w:rPr>
          <w:rFonts w:ascii="Arial" w:cs="Arial" w:eastAsia="Arial" w:hAnsi="Arial"/>
          <w:sz w:val="18"/>
          <w:szCs w:val="18"/>
          <w:color w:val="auto"/>
        </w:rPr>
        <w:t>”), and this collaboration was expanded in August 2020 (the “</w:t>
      </w:r>
      <w:r>
        <w:rPr>
          <w:rFonts w:ascii="Arial" w:cs="Arial" w:eastAsia="Arial" w:hAnsi="Arial"/>
          <w:sz w:val="18"/>
          <w:szCs w:val="18"/>
          <w:b w:val="1"/>
          <w:bCs w:val="1"/>
          <w:color w:val="auto"/>
        </w:rPr>
        <w:t>Gilead Agreement</w:t>
      </w:r>
      <w:r>
        <w:rPr>
          <w:rFonts w:ascii="Arial" w:cs="Arial" w:eastAsia="Arial" w:hAnsi="Arial"/>
          <w:sz w:val="18"/>
          <w:szCs w:val="18"/>
          <w:color w:val="auto"/>
        </w:rPr>
        <w:t>”). Tango’s immune evasion platform is the foundation for its collaboration with Gilead. Under the Gilead Agreement, Tango and Gilead collaborate to identify and develop novel immune evasion targets by leveraging our proprietary functional genomics-based discovery platform. To date, Gilead has licensed two of Tango’s programs and has option-extended one program.</w:t>
      </w:r>
    </w:p>
    <w:p>
      <w:pPr>
        <w:sectPr>
          <w:pgSz w:w="11900" w:h="16838" w:orient="portrait"/>
          <w:cols w:equalWidth="0" w:num="1">
            <w:col w:w="9019"/>
          </w:cols>
          <w:pgMar w:left="1440" w:top="274" w:right="1440" w:bottom="1440" w:gutter="0" w:footer="0" w:header="0"/>
          <w:type w:val="continuous"/>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8" w:name="page29"/>
    <w:bookmarkEnd w:id="2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402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7402195"/>
                    </a:xfrm>
                    <a:prstGeom prst="rect">
                      <a:avLst/>
                    </a:prstGeom>
                    <a:noFill/>
                  </pic:spPr>
                </pic:pic>
              </a:graphicData>
            </a:graphic>
          </wp:anchor>
        </w:drawing>
      </w:r>
    </w:p>
    <w:p>
      <w:pPr>
        <w:spacing w:after="0" w:line="327" w:lineRule="exact"/>
        <w:rPr>
          <w:sz w:val="20"/>
          <w:szCs w:val="20"/>
          <w:color w:val="auto"/>
        </w:rPr>
      </w:pPr>
    </w:p>
    <w:p>
      <w:pPr>
        <w:ind w:left="540" w:right="599" w:firstLine="432"/>
        <w:spacing w:after="0" w:line="257" w:lineRule="auto"/>
        <w:rPr>
          <w:sz w:val="20"/>
          <w:szCs w:val="20"/>
          <w:color w:val="auto"/>
        </w:rPr>
      </w:pPr>
      <w:r>
        <w:rPr>
          <w:rFonts w:ascii="Arial" w:cs="Arial" w:eastAsia="Arial" w:hAnsi="Arial"/>
          <w:sz w:val="18"/>
          <w:szCs w:val="18"/>
          <w:color w:val="auto"/>
        </w:rPr>
        <w:t>The collaboration with Gilead excludes Tango’s lead program, PRMT5, as well as USP1 and Tango’s undisclosed target (Target 3) in STK11-mutant cancers. Tango retains the right to identify and validate targets outside the scope of its collaboration with Gilead, which includes all cell autonomous targets except those discovered in immune evasion contexts, and to develop and commercialize products directed to such targets on its own or in collaboration with third parties.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Tango’s Pipeline</w:t>
      </w:r>
    </w:p>
    <w:p>
      <w:pPr>
        <w:spacing w:after="0" w:line="162" w:lineRule="exact"/>
        <w:rPr>
          <w:sz w:val="20"/>
          <w:szCs w:val="20"/>
          <w:color w:val="auto"/>
        </w:rPr>
      </w:pPr>
    </w:p>
    <w:p>
      <w:pPr>
        <w:ind w:left="540" w:right="559" w:firstLine="432"/>
        <w:spacing w:after="0" w:line="286" w:lineRule="auto"/>
        <w:rPr>
          <w:sz w:val="20"/>
          <w:szCs w:val="20"/>
          <w:color w:val="auto"/>
        </w:rPr>
      </w:pPr>
      <w:r>
        <w:rPr>
          <w:rFonts w:ascii="Arial" w:cs="Arial" w:eastAsia="Arial" w:hAnsi="Arial"/>
          <w:sz w:val="17"/>
          <w:szCs w:val="17"/>
          <w:color w:val="auto"/>
        </w:rPr>
        <w:t>Tango is leveraging the power and productivity of its discovery engine to discover and validate multiple novel targets each year. Tango’s growing pipeline consists of discovery programs for multiple cancer types with limited treatment options. The pipeline is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40" w:right="719" w:firstLine="432"/>
        <w:spacing w:after="0" w:line="277" w:lineRule="auto"/>
        <w:rPr>
          <w:sz w:val="20"/>
          <w:szCs w:val="20"/>
          <w:color w:val="auto"/>
        </w:rPr>
      </w:pPr>
      <w:r>
        <w:rPr>
          <w:rFonts w:ascii="Arial" w:cs="Arial" w:eastAsia="Arial" w:hAnsi="Arial"/>
          <w:sz w:val="18"/>
          <w:szCs w:val="18"/>
          <w:color w:val="auto"/>
        </w:rPr>
        <w:t>The mailing address of Tango’s principal executive office is 100 Binney Street, Unit 700, Cambridge, MA 02142, and our telephone number is (857) 320-4900.</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Proposals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Business Combination Proposal</w:t>
      </w:r>
    </w:p>
    <w:p>
      <w:pPr>
        <w:spacing w:after="0" w:line="144" w:lineRule="exact"/>
        <w:rPr>
          <w:sz w:val="20"/>
          <w:szCs w:val="20"/>
          <w:color w:val="auto"/>
        </w:rPr>
      </w:pPr>
    </w:p>
    <w:p>
      <w:pPr>
        <w:jc w:val="both"/>
        <w:ind w:left="540" w:right="699" w:firstLine="432"/>
        <w:spacing w:after="0" w:line="311" w:lineRule="auto"/>
        <w:rPr>
          <w:sz w:val="20"/>
          <w:szCs w:val="20"/>
          <w:color w:val="auto"/>
        </w:rPr>
      </w:pPr>
      <w:r>
        <w:rPr>
          <w:rFonts w:ascii="Arial" w:cs="Arial" w:eastAsia="Arial" w:hAnsi="Arial"/>
          <w:sz w:val="16"/>
          <w:szCs w:val="16"/>
          <w:color w:val="auto"/>
        </w:rPr>
        <w:t>BCTG’s stockholders are being asked to adopt and approve the Merger Agreement pursuant to which Merger Sub will merge with and into Tango, with Tango surviving the merger as a wholly owned subsidiary of BCTG. Subject to the terms and conditions set forth in the Merger Agreement, at the Effective Time:</w:t>
      </w:r>
    </w:p>
    <w:p>
      <w:pPr>
        <w:spacing w:after="0" w:line="77" w:lineRule="exact"/>
        <w:rPr>
          <w:sz w:val="20"/>
          <w:szCs w:val="20"/>
          <w:color w:val="auto"/>
        </w:rPr>
      </w:pPr>
    </w:p>
    <w:p>
      <w:pPr>
        <w:ind w:left="1400" w:right="559" w:hanging="424"/>
        <w:spacing w:after="0" w:line="274" w:lineRule="auto"/>
        <w:tabs>
          <w:tab w:leader="none" w:pos="1363" w:val="left"/>
        </w:tabs>
        <w:numPr>
          <w:ilvl w:val="0"/>
          <w:numId w:val="90"/>
        </w:numPr>
        <w:rPr>
          <w:rFonts w:ascii="Arial" w:cs="Arial" w:eastAsia="Arial" w:hAnsi="Arial"/>
          <w:sz w:val="17"/>
          <w:szCs w:val="17"/>
          <w:color w:val="auto"/>
        </w:rPr>
      </w:pPr>
      <w:r>
        <w:rPr>
          <w:rFonts w:ascii="Arial" w:cs="Arial" w:eastAsia="Arial" w:hAnsi="Arial"/>
          <w:sz w:val="17"/>
          <w:szCs w:val="17"/>
          <w:color w:val="auto"/>
        </w:rPr>
        <w:t>all shares of Tango Common Stock (the “</w:t>
      </w:r>
      <w:r>
        <w:rPr>
          <w:rFonts w:ascii="Arial" w:cs="Arial" w:eastAsia="Arial" w:hAnsi="Arial"/>
          <w:sz w:val="17"/>
          <w:szCs w:val="17"/>
          <w:b w:val="1"/>
          <w:bCs w:val="1"/>
          <w:color w:val="auto"/>
        </w:rPr>
        <w:t>Tango Stock</w:t>
      </w:r>
      <w:r>
        <w:rPr>
          <w:rFonts w:ascii="Arial" w:cs="Arial" w:eastAsia="Arial" w:hAnsi="Arial"/>
          <w:sz w:val="17"/>
          <w:szCs w:val="17"/>
          <w:color w:val="auto"/>
        </w:rPr>
        <w:t>”) issued and outstanding immediately prior to the Effective Time (after conversion of the outstanding preferred stock of Tango as contemplated by the Merger Agreement), whether vested or unvested, will be converted into the right to receive the Merger Consideration Shares, with each stockholder of Tango Stock being entitled to receive its pro rata share of the Merger Consideration Shares set forth in the equityholder allocation schedule (as defined in the Merger Agreement); and</w:t>
      </w:r>
    </w:p>
    <w:p>
      <w:pPr>
        <w:spacing w:after="0" w:line="109" w:lineRule="exact"/>
        <w:rPr>
          <w:rFonts w:ascii="Arial" w:cs="Arial" w:eastAsia="Arial" w:hAnsi="Arial"/>
          <w:sz w:val="17"/>
          <w:szCs w:val="17"/>
          <w:color w:val="auto"/>
        </w:rPr>
      </w:pPr>
    </w:p>
    <w:p>
      <w:pPr>
        <w:ind w:left="1380" w:hanging="404"/>
        <w:spacing w:after="0"/>
        <w:tabs>
          <w:tab w:leader="none" w:pos="13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all options to purchase shares of Tango Stock under Tango’s existing equity incentive plans (the</w:t>
      </w:r>
    </w:p>
    <w:p>
      <w:pPr>
        <w:spacing w:after="0" w:line="46" w:lineRule="exact"/>
        <w:rPr>
          <w:sz w:val="20"/>
          <w:szCs w:val="20"/>
          <w:color w:val="auto"/>
        </w:rPr>
      </w:pPr>
    </w:p>
    <w:p>
      <w:pPr>
        <w:ind w:left="1400" w:right="559"/>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Tango Options</w:t>
      </w:r>
      <w:r>
        <w:rPr>
          <w:rFonts w:ascii="Arial" w:cs="Arial" w:eastAsia="Arial" w:hAnsi="Arial"/>
          <w:sz w:val="17"/>
          <w:szCs w:val="17"/>
          <w:color w:val="auto"/>
        </w:rPr>
        <w:t>”) issued and outstanding immediately prior to the Effective Time, whether vested or unvested, will be assumed and become an option to purchase such number of shares of New Tango common stock equal to the option holder’s respective pro rata share of the Merger Consideration set forth in the equityholder allocation schedule (as defined in the Merger Agreement), which shall be reserved for future issuance upon the exercise of such assumed options, upon substantially the same terms and conditions as in effect with respect to such options immediately prior to the Effective Time.</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 w:name="page30"/>
    <w:bookmarkEnd w:id="29"/>
    <w:p>
      <w:pPr>
        <w:ind w:left="460"/>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662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86620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699" w:firstLine="432"/>
        <w:spacing w:after="0" w:line="263" w:lineRule="auto"/>
        <w:rPr>
          <w:sz w:val="20"/>
          <w:szCs w:val="20"/>
          <w:color w:val="auto"/>
        </w:rPr>
      </w:pPr>
      <w:r>
        <w:rPr>
          <w:rFonts w:ascii="Arial" w:cs="Arial" w:eastAsia="Arial" w:hAnsi="Arial"/>
          <w:sz w:val="18"/>
          <w:szCs w:val="18"/>
          <w:color w:val="auto"/>
        </w:rPr>
        <w:t>The Board considered a number of factors pertaining to the Business Combination as generally supporting its decision to enter into the Merger Agreement and the Business Combination, including but not limited to, the following material factors:</w:t>
      </w:r>
    </w:p>
    <w:p>
      <w:pPr>
        <w:spacing w:after="0" w:line="112" w:lineRule="exact"/>
        <w:rPr>
          <w:sz w:val="20"/>
          <w:szCs w:val="20"/>
          <w:color w:val="auto"/>
        </w:rPr>
      </w:pPr>
    </w:p>
    <w:p>
      <w:pPr>
        <w:ind w:left="1400" w:right="559" w:hanging="424"/>
        <w:spacing w:after="0" w:line="285" w:lineRule="auto"/>
        <w:tabs>
          <w:tab w:leader="none" w:pos="1391"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Selective PRMT5 inhibition may address a large unmet need in oncology therapeutics</w:t>
      </w:r>
      <w:r>
        <w:rPr>
          <w:rFonts w:ascii="Arial" w:cs="Arial" w:eastAsia="Arial" w:hAnsi="Arial"/>
          <w:sz w:val="16"/>
          <w:szCs w:val="16"/>
          <w:color w:val="auto"/>
        </w:rPr>
        <w:t>. Tango is a pre-clinical-stage precision oncology company focused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discovery and development of novel drugs with a synthetic lethal mechanism of action. The lead program is an MTA-cooperative PRMT5 inhibitor for cancers with MTAP deletions. MTAP deletions occur in approximately 10% to 15% of human tumors, including many common cancers with high unmet need such as squamous cell lung, esophageal and bladder cancer, creating a significant therapeutic opportunity for patient. TNG908 is distinct from existing PRMT5 inhibitors because of its mechanism of binding cooperatively with MTA, an intrinsic inhibitor of MTAP. Since MTAP is required for MTA degradation, MTA accumulates to high levels in MTAP-deleted cells. TNG908 has demonstrated 15-fold greater potency in cells with MTAP deletions, which are not found in normal cells and therefore should have a larger therapeutic index in patients with MTAP-deleted tumors than non-selective PRMT5 inhibitors. TNG908 will be tested in any patients whose tumor has an MTAP deletion to determine the optimal dose and schedule and then evaluated further in multiple dose expansion cohorts. These cohorts include the rare tumor MPNST (malignant peripheral nerve sheath tumor), non-small cell lung cancer (both squamous and non-squamous), bladder cancer and cholangiocarcinoma. Finally, a histology-agnostic “bucket” arm will be included to evaluate the multiple other histologies where MTAP deletions occur. As TNG908 is designed to work selectively in cancers with MTAP deletion, enrollment will be limited to patients with MTAP-deleted tumors using either next generation sequencing (NGS) or immunohistochemistry (IHC).</w:t>
      </w:r>
    </w:p>
    <w:p>
      <w:pPr>
        <w:spacing w:after="0" w:line="303" w:lineRule="exact"/>
        <w:rPr>
          <w:rFonts w:ascii="Arial" w:cs="Arial" w:eastAsia="Arial" w:hAnsi="Arial"/>
          <w:sz w:val="16"/>
          <w:szCs w:val="16"/>
          <w:color w:val="auto"/>
        </w:rPr>
      </w:pPr>
    </w:p>
    <w:p>
      <w:pPr>
        <w:ind w:left="1400" w:right="619" w:hanging="424"/>
        <w:spacing w:after="0" w:line="285" w:lineRule="auto"/>
        <w:tabs>
          <w:tab w:leader="none" w:pos="1391"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Experienced management team with drug development expertise</w:t>
      </w:r>
      <w:r>
        <w:rPr>
          <w:rFonts w:ascii="Arial" w:cs="Arial" w:eastAsia="Arial" w:hAnsi="Arial"/>
          <w:sz w:val="16"/>
          <w:szCs w:val="16"/>
          <w:color w:val="auto"/>
        </w:rPr>
        <w:t>. Tango has assembled an</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experienced team of experts in genetics, drug discovery and precision oncology. Tango’s Chief Executive Officer and co-founder, Barbara Weber M.D., is a board-certified medical oncologist and was a Professor of Medicine and Genetics at the University of Pennsylvania, where she was involved in the identification and characterization of BRCA1 and BRCA2, led a clinical and translational research program in cancer genetics, and developed the foundational concepts on which Tango was founded. Moving to industry in 2005, she led early oncology clinical development at GlaxoSmithKline and then Novartis, where she oversaw the filing of more than 80 INDs. She also spearheaded the early development of ceritinib that led to registration of that drug from the Phase I trial. Dr. Weber joined Third Rock Ventures in 2015 as a Venture Partner, where she played a major role in the formation of Relay Therapeutics and Neon Therapeutics (later acquired by BioNTech). She created and led the formation of Tango and launched Tango in 2017. Alan Huang Ph.D., Tango’s Chief Scientific Officer, also played a leading role in the creation of Tango, specifically developing the ground-breaking concept of immune evasion driven by tumor suppressor gene loss. He brings fourteen years of oncology translational research, target discovery and drug development experience from his years at Millennium Pharmaceuticals (acquired by Takeda) and Novartis, where he led oncology translational research. Dr. Huang oversaw the laboratory-based efforts supporting the Novartis Oncology portfolio and played a leadership role in establishing the foundation of project DRIVE, a large-scale functional genomics screen platform, as well as the Cancer Cell Line Encyclopedia project, a large external genomic collaboration with The Broad Institute.</w:t>
      </w:r>
    </w:p>
    <w:p>
      <w:pPr>
        <w:spacing w:after="0" w:line="96" w:lineRule="exact"/>
        <w:rPr>
          <w:rFonts w:ascii="Arial" w:cs="Arial" w:eastAsia="Arial" w:hAnsi="Arial"/>
          <w:sz w:val="16"/>
          <w:szCs w:val="16"/>
          <w:color w:val="auto"/>
        </w:rPr>
      </w:pPr>
    </w:p>
    <w:p>
      <w:pPr>
        <w:ind w:left="1400" w:right="659" w:hanging="424"/>
        <w:spacing w:after="0" w:line="291" w:lineRule="auto"/>
        <w:tabs>
          <w:tab w:leader="none" w:pos="1391"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Additional promising pipeline opportunities</w:t>
      </w:r>
      <w:r>
        <w:rPr>
          <w:rFonts w:ascii="Arial" w:cs="Arial" w:eastAsia="Arial" w:hAnsi="Arial"/>
          <w:sz w:val="16"/>
          <w:szCs w:val="16"/>
          <w:color w:val="auto"/>
        </w:rPr>
        <w:t>. Tango discovered ubiquitin-specific protease 1</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USP1</w:t>
      </w:r>
      <w:r>
        <w:rPr>
          <w:rFonts w:ascii="Arial" w:cs="Arial" w:eastAsia="Arial" w:hAnsi="Arial"/>
          <w:sz w:val="16"/>
          <w:szCs w:val="16"/>
          <w:color w:val="auto"/>
        </w:rPr>
        <w:t>”) as a strong synthetic lethal target for BRCA1 loss and is developing a potentially differentiated molecule for the treatment of BRCA1-mutant breast, ovarian and prostate cancer, with a planned IND filing in 2022. Tango expects the development candidate for this program to have single-agent activity in both PARPi-naïve and PARPi-resistant BRCA1 mutant cancers and to have synergy when used in combination with PARP inhibitors. Tango is also developing a treatment against a novel undisclosed target that may reverse STK11-loss mediated immune evasion in non-small cell lung cancer for which it plans to file an IND in 2023.</w:t>
      </w:r>
    </w:p>
    <w:p>
      <w:pPr>
        <w:spacing w:after="0" w:line="91" w:lineRule="exact"/>
        <w:rPr>
          <w:rFonts w:ascii="Arial" w:cs="Arial" w:eastAsia="Arial" w:hAnsi="Arial"/>
          <w:sz w:val="16"/>
          <w:szCs w:val="16"/>
          <w:color w:val="auto"/>
        </w:rPr>
      </w:pPr>
    </w:p>
    <w:p>
      <w:pPr>
        <w:ind w:left="1400" w:right="839" w:hanging="424"/>
        <w:spacing w:after="0" w:line="294" w:lineRule="auto"/>
        <w:tabs>
          <w:tab w:leader="none" w:pos="1391"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A robust drug discovery platform that may enable the discovery of additional product candidates</w:t>
      </w:r>
      <w:r>
        <w:rPr>
          <w:rFonts w:ascii="Arial" w:cs="Arial" w:eastAsia="Arial" w:hAnsi="Arial"/>
          <w:sz w:val="16"/>
          <w:szCs w:val="16"/>
          <w:color w:val="auto"/>
        </w:rPr>
        <w:t>. Tango has a drug target discovery engine powered by CRISPR technology that</w:t>
      </w:r>
      <w:r>
        <w:rPr>
          <w:rFonts w:ascii="Arial" w:cs="Arial" w:eastAsia="Arial" w:hAnsi="Arial"/>
          <w:sz w:val="16"/>
          <w:szCs w:val="16"/>
          <w:b w:val="1"/>
          <w:bCs w:val="1"/>
          <w:color w:val="auto"/>
        </w:rPr>
        <w:t xml:space="preserve"> </w:t>
      </w:r>
      <w:r>
        <w:rPr>
          <w:rFonts w:ascii="Arial" w:cs="Arial" w:eastAsia="Arial" w:hAnsi="Arial"/>
          <w:sz w:val="16"/>
          <w:szCs w:val="16"/>
          <w:color w:val="auto"/>
        </w:rPr>
        <w:t>may continue to produce druggable targets to fuel further pipeline growth. Tango’s platform is expected to file one new IND every 12 to 18 months. Tango’s collaboration with Gilead may enable the discovery and development of additional immune evasion targets by leveraging the expanded capabilities and global development reach of a larger company.</w:t>
      </w:r>
    </w:p>
    <w:p>
      <w:pPr>
        <w:sectPr>
          <w:pgSz w:w="11900" w:h="16838" w:orient="portrait"/>
          <w:cols w:equalWidth="0" w:num="1">
            <w:col w:w="9019"/>
          </w:cols>
          <w:pgMar w:left="1440" w:top="274" w:right="1440" w:bottom="1440" w:gutter="0" w:footer="0" w:header="0"/>
          <w:type w:val="continuous"/>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0" w:name="page31"/>
    <w:bookmarkEnd w:id="30"/>
    <w:p>
      <w:pPr>
        <w:ind w:left="460"/>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164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81648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66" w:lineRule="exact"/>
        <w:rPr>
          <w:sz w:val="20"/>
          <w:szCs w:val="20"/>
          <w:color w:val="auto"/>
        </w:rPr>
      </w:pPr>
    </w:p>
    <w:p>
      <w:pPr>
        <w:ind w:left="1400" w:hanging="424"/>
        <w:spacing w:after="0"/>
        <w:tabs>
          <w:tab w:leader="none" w:pos="140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Continued participation by leading biotech private investors and a strong balance</w:t>
      </w:r>
    </w:p>
    <w:p>
      <w:pPr>
        <w:spacing w:after="0" w:line="27" w:lineRule="exact"/>
        <w:rPr>
          <w:rFonts w:ascii="Arial" w:cs="Arial" w:eastAsia="Arial" w:hAnsi="Arial"/>
          <w:sz w:val="18"/>
          <w:szCs w:val="18"/>
          <w:b w:val="1"/>
          <w:bCs w:val="1"/>
          <w:color w:val="auto"/>
        </w:rPr>
      </w:pPr>
    </w:p>
    <w:p>
      <w:pPr>
        <w:ind w:left="1400" w:right="559"/>
        <w:spacing w:after="0" w:line="271" w:lineRule="auto"/>
        <w:rPr>
          <w:rFonts w:ascii="Arial" w:cs="Arial" w:eastAsia="Arial" w:hAnsi="Arial"/>
          <w:sz w:val="18"/>
          <w:szCs w:val="18"/>
          <w:b w:val="1"/>
          <w:bCs w:val="1"/>
          <w:color w:val="auto"/>
        </w:rPr>
      </w:pPr>
      <w:r>
        <w:rPr>
          <w:rFonts w:ascii="Arial" w:cs="Arial" w:eastAsia="Arial" w:hAnsi="Arial"/>
          <w:sz w:val="17"/>
          <w:szCs w:val="17"/>
          <w:b w:val="1"/>
          <w:bCs w:val="1"/>
          <w:color w:val="auto"/>
        </w:rPr>
        <w:t>sheet</w:t>
      </w:r>
      <w:r>
        <w:rPr>
          <w:rFonts w:ascii="Arial" w:cs="Arial" w:eastAsia="Arial" w:hAnsi="Arial"/>
          <w:sz w:val="17"/>
          <w:szCs w:val="17"/>
          <w:color w:val="auto"/>
        </w:rPr>
        <w:t>. Tango stockholders include Third Rock Ventures, Boxer Capital LLC (“</w:t>
      </w:r>
      <w:r>
        <w:rPr>
          <w:rFonts w:ascii="Arial" w:cs="Arial" w:eastAsia="Arial" w:hAnsi="Arial"/>
          <w:sz w:val="17"/>
          <w:szCs w:val="17"/>
          <w:b w:val="1"/>
          <w:bCs w:val="1"/>
          <w:color w:val="auto"/>
        </w:rPr>
        <w:t>Boxer Capital</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 affiliate of the Sponsor, Cormorant Asset Management, Casdin Capital and Gilead Sciences, among others. Furthermore, upon the closing of the Business Combination, Tango is expected to have approximately $550 million in cash plus marketable securities in order to develop its current and future pipeline of oncology therapeutics.</w:t>
      </w:r>
    </w:p>
    <w:p>
      <w:pPr>
        <w:spacing w:after="0" w:line="106" w:lineRule="exact"/>
        <w:rPr>
          <w:rFonts w:ascii="Arial" w:cs="Arial" w:eastAsia="Arial" w:hAnsi="Arial"/>
          <w:sz w:val="18"/>
          <w:szCs w:val="18"/>
          <w:b w:val="1"/>
          <w:bCs w:val="1"/>
          <w:color w:val="auto"/>
        </w:rPr>
      </w:pPr>
    </w:p>
    <w:p>
      <w:pPr>
        <w:ind w:left="1400" w:right="779" w:hanging="424"/>
        <w:spacing w:after="0" w:line="282" w:lineRule="auto"/>
        <w:tabs>
          <w:tab w:leader="none" w:pos="1391"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Fairness opinion of Canaccord Genuity</w:t>
      </w:r>
      <w:r>
        <w:rPr>
          <w:rFonts w:ascii="Arial" w:cs="Arial" w:eastAsia="Arial" w:hAnsi="Arial"/>
          <w:sz w:val="18"/>
          <w:szCs w:val="18"/>
          <w:color w:val="auto"/>
        </w:rPr>
        <w:t>. BCTG received the fairness opinion of Canaccord</w:t>
      </w:r>
      <w:r>
        <w:rPr>
          <w:rFonts w:ascii="Arial" w:cs="Arial" w:eastAsia="Arial" w:hAnsi="Arial"/>
          <w:sz w:val="18"/>
          <w:szCs w:val="18"/>
          <w:b w:val="1"/>
          <w:bCs w:val="1"/>
          <w:color w:val="auto"/>
        </w:rPr>
        <w:t xml:space="preserve"> </w:t>
      </w:r>
      <w:r>
        <w:rPr>
          <w:rFonts w:ascii="Arial" w:cs="Arial" w:eastAsia="Arial" w:hAnsi="Arial"/>
          <w:sz w:val="18"/>
          <w:szCs w:val="18"/>
          <w:color w:val="auto"/>
        </w:rPr>
        <w:t>Genuity described below.</w:t>
      </w:r>
    </w:p>
    <w:p>
      <w:pPr>
        <w:spacing w:after="0" w:line="85" w:lineRule="exact"/>
        <w:rPr>
          <w:sz w:val="20"/>
          <w:szCs w:val="20"/>
          <w:color w:val="auto"/>
        </w:rPr>
      </w:pPr>
    </w:p>
    <w:p>
      <w:pPr>
        <w:ind w:left="540" w:right="879" w:firstLine="432"/>
        <w:spacing w:after="0" w:line="308" w:lineRule="auto"/>
        <w:rPr>
          <w:sz w:val="20"/>
          <w:szCs w:val="20"/>
          <w:color w:val="auto"/>
        </w:rPr>
      </w:pPr>
      <w:r>
        <w:rPr>
          <w:rFonts w:ascii="Arial" w:cs="Arial" w:eastAsia="Arial" w:hAnsi="Arial"/>
          <w:sz w:val="17"/>
          <w:szCs w:val="17"/>
          <w:color w:val="auto"/>
        </w:rPr>
        <w:t>The Board also considered a variety of uncertainties and risks and other potentially negative factors concerning the Business Combination, including, but not limited to, the following:</w:t>
      </w:r>
    </w:p>
    <w:p>
      <w:pPr>
        <w:spacing w:after="0" w:line="75" w:lineRule="exact"/>
        <w:rPr>
          <w:sz w:val="20"/>
          <w:szCs w:val="20"/>
          <w:color w:val="auto"/>
        </w:rPr>
      </w:pPr>
    </w:p>
    <w:p>
      <w:pPr>
        <w:ind w:left="1400" w:right="759" w:hanging="424"/>
        <w:spacing w:after="0" w:line="312" w:lineRule="auto"/>
        <w:tabs>
          <w:tab w:leader="none" w:pos="1391" w:val="left"/>
        </w:tabs>
        <w:numPr>
          <w:ilvl w:val="0"/>
          <w:numId w:val="93"/>
        </w:numPr>
        <w:rPr>
          <w:rFonts w:ascii="Arial" w:cs="Arial" w:eastAsia="Arial" w:hAnsi="Arial"/>
          <w:sz w:val="17"/>
          <w:szCs w:val="17"/>
          <w:color w:val="auto"/>
        </w:rPr>
      </w:pPr>
      <w:r>
        <w:rPr>
          <w:rFonts w:ascii="Arial" w:cs="Arial" w:eastAsia="Arial" w:hAnsi="Arial"/>
          <w:sz w:val="17"/>
          <w:szCs w:val="17"/>
          <w:b w:val="1"/>
          <w:bCs w:val="1"/>
          <w:color w:val="auto"/>
        </w:rPr>
        <w:t>Benefits Not Achieved</w:t>
      </w:r>
      <w:r>
        <w:rPr>
          <w:rFonts w:ascii="Arial" w:cs="Arial" w:eastAsia="Arial" w:hAnsi="Arial"/>
          <w:sz w:val="17"/>
          <w:szCs w:val="17"/>
          <w:color w:val="auto"/>
        </w:rPr>
        <w:t>. The risk that the potential benefits of the Business Combination may</w:t>
      </w:r>
      <w:r>
        <w:rPr>
          <w:rFonts w:ascii="Arial" w:cs="Arial" w:eastAsia="Arial" w:hAnsi="Arial"/>
          <w:sz w:val="17"/>
          <w:szCs w:val="17"/>
          <w:b w:val="1"/>
          <w:bCs w:val="1"/>
          <w:color w:val="auto"/>
        </w:rPr>
        <w:t xml:space="preserve"> </w:t>
      </w:r>
      <w:r>
        <w:rPr>
          <w:rFonts w:ascii="Arial" w:cs="Arial" w:eastAsia="Arial" w:hAnsi="Arial"/>
          <w:sz w:val="17"/>
          <w:szCs w:val="17"/>
          <w:color w:val="auto"/>
        </w:rPr>
        <w:t>not be fully achieved, or may not be achieved within the expected timeframe.</w:t>
      </w:r>
    </w:p>
    <w:p>
      <w:pPr>
        <w:spacing w:after="0" w:line="72" w:lineRule="exact"/>
        <w:rPr>
          <w:rFonts w:ascii="Arial" w:cs="Arial" w:eastAsia="Arial" w:hAnsi="Arial"/>
          <w:sz w:val="17"/>
          <w:szCs w:val="17"/>
          <w:color w:val="auto"/>
        </w:rPr>
      </w:pPr>
    </w:p>
    <w:p>
      <w:pPr>
        <w:ind w:left="1400" w:right="579" w:hanging="424"/>
        <w:spacing w:after="0" w:line="261" w:lineRule="auto"/>
        <w:tabs>
          <w:tab w:leader="none" w:pos="1391"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Liquidation of BCTG</w:t>
      </w:r>
      <w:r>
        <w:rPr>
          <w:rFonts w:ascii="Arial" w:cs="Arial" w:eastAsia="Arial" w:hAnsi="Arial"/>
          <w:sz w:val="18"/>
          <w:szCs w:val="18"/>
          <w:color w:val="auto"/>
        </w:rPr>
        <w:t>. The risks and costs to BCTG if the Business Combination is not</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including the risk of diverting management focus and resources from other businesses combination opportunities, which could result in BCTG being unable to effect a business combination by September 2022 and force BCTG to liquidate.</w:t>
      </w:r>
    </w:p>
    <w:p>
      <w:pPr>
        <w:spacing w:after="0" w:line="98" w:lineRule="exact"/>
        <w:rPr>
          <w:rFonts w:ascii="Arial" w:cs="Arial" w:eastAsia="Arial" w:hAnsi="Arial"/>
          <w:sz w:val="18"/>
          <w:szCs w:val="18"/>
          <w:color w:val="auto"/>
        </w:rPr>
      </w:pPr>
    </w:p>
    <w:p>
      <w:pPr>
        <w:ind w:left="1400" w:right="599" w:hanging="424"/>
        <w:spacing w:after="0" w:line="258" w:lineRule="auto"/>
        <w:tabs>
          <w:tab w:leader="none" w:pos="1391"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No Survival of Remedies for Breach of Representations, Warranties or Covenants of Tango</w:t>
      </w:r>
      <w:r>
        <w:rPr>
          <w:rFonts w:ascii="Arial" w:cs="Arial" w:eastAsia="Arial" w:hAnsi="Arial"/>
          <w:sz w:val="18"/>
          <w:szCs w:val="18"/>
          <w:color w:val="auto"/>
        </w:rPr>
        <w:t>. The risk that BCTG will not have any surviving remedies against Tango’s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after the closing of the Business Combination to recover for losses as a result of any inaccuracies or breaches of Tango’s representations, warranties or covenants set forth in the merger agreement.</w:t>
      </w:r>
    </w:p>
    <w:p>
      <w:pPr>
        <w:spacing w:after="0" w:line="115" w:lineRule="exact"/>
        <w:rPr>
          <w:rFonts w:ascii="Arial" w:cs="Arial" w:eastAsia="Arial" w:hAnsi="Arial"/>
          <w:sz w:val="18"/>
          <w:szCs w:val="18"/>
          <w:color w:val="auto"/>
        </w:rPr>
      </w:pPr>
    </w:p>
    <w:p>
      <w:pPr>
        <w:ind w:left="1400" w:right="719" w:hanging="424"/>
        <w:spacing w:after="0" w:line="282" w:lineRule="auto"/>
        <w:tabs>
          <w:tab w:leader="none" w:pos="1391"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Stockholder Vote</w:t>
      </w:r>
      <w:r>
        <w:rPr>
          <w:rFonts w:ascii="Arial" w:cs="Arial" w:eastAsia="Arial" w:hAnsi="Arial"/>
          <w:sz w:val="18"/>
          <w:szCs w:val="18"/>
          <w:color w:val="auto"/>
        </w:rPr>
        <w:t>. The risk that BCTG’s stockholders may fail to provide the votes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to effect the Business Combination.</w:t>
      </w:r>
    </w:p>
    <w:p>
      <w:pPr>
        <w:spacing w:after="0" w:line="94" w:lineRule="exact"/>
        <w:rPr>
          <w:rFonts w:ascii="Arial" w:cs="Arial" w:eastAsia="Arial" w:hAnsi="Arial"/>
          <w:sz w:val="18"/>
          <w:szCs w:val="18"/>
          <w:color w:val="auto"/>
        </w:rPr>
      </w:pPr>
    </w:p>
    <w:p>
      <w:pPr>
        <w:ind w:left="1400" w:right="759" w:hanging="424"/>
        <w:spacing w:after="0" w:line="312" w:lineRule="auto"/>
        <w:tabs>
          <w:tab w:leader="none" w:pos="1391" w:val="left"/>
        </w:tabs>
        <w:numPr>
          <w:ilvl w:val="0"/>
          <w:numId w:val="93"/>
        </w:numPr>
        <w:rPr>
          <w:rFonts w:ascii="Arial" w:cs="Arial" w:eastAsia="Arial" w:hAnsi="Arial"/>
          <w:sz w:val="17"/>
          <w:szCs w:val="17"/>
          <w:color w:val="auto"/>
        </w:rPr>
      </w:pPr>
      <w:r>
        <w:rPr>
          <w:rFonts w:ascii="Arial" w:cs="Arial" w:eastAsia="Arial" w:hAnsi="Arial"/>
          <w:sz w:val="17"/>
          <w:szCs w:val="17"/>
          <w:b w:val="1"/>
          <w:bCs w:val="1"/>
          <w:color w:val="auto"/>
        </w:rPr>
        <w:t>Closing Conditions</w:t>
      </w:r>
      <w:r>
        <w:rPr>
          <w:rFonts w:ascii="Arial" w:cs="Arial" w:eastAsia="Arial" w:hAnsi="Arial"/>
          <w:sz w:val="17"/>
          <w:szCs w:val="17"/>
          <w:color w:val="auto"/>
        </w:rPr>
        <w:t>. The fact that completion of the Business Combination is conditioned on</w:t>
      </w:r>
      <w:r>
        <w:rPr>
          <w:rFonts w:ascii="Arial" w:cs="Arial" w:eastAsia="Arial" w:hAnsi="Arial"/>
          <w:sz w:val="17"/>
          <w:szCs w:val="17"/>
          <w:b w:val="1"/>
          <w:bCs w:val="1"/>
          <w:color w:val="auto"/>
        </w:rPr>
        <w:t xml:space="preserve"> </w:t>
      </w:r>
      <w:r>
        <w:rPr>
          <w:rFonts w:ascii="Arial" w:cs="Arial" w:eastAsia="Arial" w:hAnsi="Arial"/>
          <w:sz w:val="17"/>
          <w:szCs w:val="17"/>
          <w:color w:val="auto"/>
        </w:rPr>
        <w:t>the satisfaction of certain closing conditions that are not within the Company’s control.</w:t>
      </w:r>
    </w:p>
    <w:p>
      <w:pPr>
        <w:spacing w:after="0" w:line="58" w:lineRule="exact"/>
        <w:rPr>
          <w:rFonts w:ascii="Arial" w:cs="Arial" w:eastAsia="Arial" w:hAnsi="Arial"/>
          <w:sz w:val="17"/>
          <w:szCs w:val="17"/>
          <w:color w:val="auto"/>
        </w:rPr>
      </w:pPr>
    </w:p>
    <w:p>
      <w:pPr>
        <w:ind w:left="1400" w:right="579" w:hanging="424"/>
        <w:spacing w:after="0" w:line="266" w:lineRule="auto"/>
        <w:tabs>
          <w:tab w:leader="none" w:pos="1391"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Litigation</w:t>
      </w:r>
      <w:r>
        <w:rPr>
          <w:rFonts w:ascii="Arial" w:cs="Arial" w:eastAsia="Arial" w:hAnsi="Arial"/>
          <w:sz w:val="18"/>
          <w:szCs w:val="18"/>
          <w:color w:val="auto"/>
        </w:rPr>
        <w:t>. The possibility of litigation challenging the Business Combination or that an</w:t>
      </w:r>
      <w:r>
        <w:rPr>
          <w:rFonts w:ascii="Arial" w:cs="Arial" w:eastAsia="Arial" w:hAnsi="Arial"/>
          <w:sz w:val="18"/>
          <w:szCs w:val="18"/>
          <w:b w:val="1"/>
          <w:bCs w:val="1"/>
          <w:color w:val="auto"/>
        </w:rPr>
        <w:t xml:space="preserve"> </w:t>
      </w:r>
      <w:r>
        <w:rPr>
          <w:rFonts w:ascii="Arial" w:cs="Arial" w:eastAsia="Arial" w:hAnsi="Arial"/>
          <w:sz w:val="18"/>
          <w:szCs w:val="18"/>
          <w:color w:val="auto"/>
        </w:rPr>
        <w:t>adverse judgment granting permanent injunctive relief could indefinitely enjoin consummation of the Business Combination.</w:t>
      </w:r>
    </w:p>
    <w:p>
      <w:pPr>
        <w:spacing w:after="0" w:line="108" w:lineRule="exact"/>
        <w:rPr>
          <w:rFonts w:ascii="Arial" w:cs="Arial" w:eastAsia="Arial" w:hAnsi="Arial"/>
          <w:sz w:val="18"/>
          <w:szCs w:val="18"/>
          <w:color w:val="auto"/>
        </w:rPr>
      </w:pPr>
    </w:p>
    <w:p>
      <w:pPr>
        <w:ind w:left="1400" w:right="1399" w:hanging="424"/>
        <w:spacing w:after="0" w:line="282" w:lineRule="auto"/>
        <w:tabs>
          <w:tab w:leader="none" w:pos="1391"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Fees and Expenses</w:t>
      </w:r>
      <w:r>
        <w:rPr>
          <w:rFonts w:ascii="Arial" w:cs="Arial" w:eastAsia="Arial" w:hAnsi="Arial"/>
          <w:sz w:val="18"/>
          <w:szCs w:val="18"/>
          <w:color w:val="auto"/>
        </w:rPr>
        <w:t>. The fees and expenses associated with completing the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w:t>
      </w:r>
    </w:p>
    <w:p>
      <w:pPr>
        <w:spacing w:after="0" w:line="94" w:lineRule="exact"/>
        <w:rPr>
          <w:rFonts w:ascii="Arial" w:cs="Arial" w:eastAsia="Arial" w:hAnsi="Arial"/>
          <w:sz w:val="18"/>
          <w:szCs w:val="18"/>
          <w:color w:val="auto"/>
        </w:rPr>
      </w:pPr>
    </w:p>
    <w:p>
      <w:pPr>
        <w:ind w:left="1400" w:right="619" w:hanging="424"/>
        <w:spacing w:after="0" w:line="312" w:lineRule="auto"/>
        <w:tabs>
          <w:tab w:leader="none" w:pos="1391" w:val="left"/>
        </w:tabs>
        <w:numPr>
          <w:ilvl w:val="0"/>
          <w:numId w:val="93"/>
        </w:numPr>
        <w:rPr>
          <w:rFonts w:ascii="Arial" w:cs="Arial" w:eastAsia="Arial" w:hAnsi="Arial"/>
          <w:sz w:val="17"/>
          <w:szCs w:val="17"/>
          <w:color w:val="auto"/>
        </w:rPr>
      </w:pPr>
      <w:r>
        <w:rPr>
          <w:rFonts w:ascii="Arial" w:cs="Arial" w:eastAsia="Arial" w:hAnsi="Arial"/>
          <w:sz w:val="17"/>
          <w:szCs w:val="17"/>
          <w:b w:val="1"/>
          <w:bCs w:val="1"/>
          <w:color w:val="auto"/>
        </w:rPr>
        <w:t>Other Risks</w:t>
      </w:r>
      <w:r>
        <w:rPr>
          <w:rFonts w:ascii="Arial" w:cs="Arial" w:eastAsia="Arial" w:hAnsi="Arial"/>
          <w:sz w:val="17"/>
          <w:szCs w:val="17"/>
          <w:color w:val="auto"/>
        </w:rPr>
        <w:t>. Various other risks associated with the Business Combination, the business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the business of Tango described under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63" w:lineRule="exact"/>
        <w:rPr>
          <w:sz w:val="20"/>
          <w:szCs w:val="20"/>
          <w:color w:val="auto"/>
        </w:rPr>
      </w:pPr>
    </w:p>
    <w:p>
      <w:pPr>
        <w:ind w:left="540" w:right="579" w:firstLine="432"/>
        <w:spacing w:after="0" w:line="269" w:lineRule="auto"/>
        <w:rPr>
          <w:sz w:val="20"/>
          <w:szCs w:val="20"/>
          <w:color w:val="auto"/>
        </w:rPr>
      </w:pPr>
      <w:r>
        <w:rPr>
          <w:rFonts w:ascii="Arial" w:cs="Arial" w:eastAsia="Arial" w:hAnsi="Arial"/>
          <w:sz w:val="17"/>
          <w:szCs w:val="17"/>
          <w:color w:val="auto"/>
        </w:rPr>
        <w:t>In addition to considering the factors described above, the Board also considered that some officers and directors of the Company may have interests in the Business Combination as individuals that are in addition to, and that may be different from, the interests of the Company’s stockholders (see “</w:t>
      </w:r>
      <w:r>
        <w:rPr>
          <w:rFonts w:ascii="Arial" w:cs="Arial" w:eastAsia="Arial" w:hAnsi="Arial"/>
          <w:sz w:val="17"/>
          <w:szCs w:val="17"/>
          <w:i w:val="1"/>
          <w:iCs w:val="1"/>
          <w:color w:val="auto"/>
        </w:rPr>
        <w:t>Risk Factors — Risks</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to BCTG and the Business Combination</w:t>
      </w:r>
      <w:r>
        <w:rPr>
          <w:rFonts w:ascii="Arial" w:cs="Arial" w:eastAsia="Arial" w:hAnsi="Arial"/>
          <w:sz w:val="17"/>
          <w:szCs w:val="17"/>
          <w:color w:val="auto"/>
        </w:rPr>
        <w:t>”). Our Subcommittee of independent directors reviewed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considered these interests during the negotiation of the Business Combination and in evaluating and unanimously approving, as members of the Board, the merger agreement and the Business Combination. The Subcommittee and the Board concluded that the potential benefits that it expected BCTG and its stockholders to achieve as a result of the Business Combination outweighed the potentially negative factors associated with the Business Combination. Accordingly, the Subcommittee and the Board unanimously determined that the merger agreement and the Business Combination were advisable, fair to, and in the best interests of, BCTG and its stockholders.</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Consideration to Tango Equityholders in the Business Combination</w:t>
      </w:r>
    </w:p>
    <w:p>
      <w:pPr>
        <w:spacing w:after="0" w:line="158" w:lineRule="exact"/>
        <w:rPr>
          <w:sz w:val="20"/>
          <w:szCs w:val="20"/>
          <w:color w:val="auto"/>
        </w:rPr>
      </w:pPr>
    </w:p>
    <w:p>
      <w:pPr>
        <w:jc w:val="both"/>
        <w:ind w:left="540" w:right="879" w:firstLine="432"/>
        <w:spacing w:after="0" w:line="279" w:lineRule="auto"/>
        <w:rPr>
          <w:sz w:val="20"/>
          <w:szCs w:val="20"/>
          <w:color w:val="auto"/>
        </w:rPr>
      </w:pPr>
      <w:r>
        <w:rPr>
          <w:rFonts w:ascii="Arial" w:cs="Arial" w:eastAsia="Arial" w:hAnsi="Arial"/>
          <w:sz w:val="17"/>
          <w:szCs w:val="17"/>
          <w:color w:val="auto"/>
        </w:rPr>
        <w:t>Under the Merger Agreement, BCTG has agreed to acquire all of the outstanding shares of Tango common stock (including any options exercisable therefor) for $550,000,000 in aggregate consideration, comprising 55,000,000 shares of BCTG common stock, based on a price of $10.00 per share (such shares being referred to herein as the “</w:t>
      </w:r>
      <w:r>
        <w:rPr>
          <w:rFonts w:ascii="Arial" w:cs="Arial" w:eastAsia="Arial" w:hAnsi="Arial"/>
          <w:sz w:val="17"/>
          <w:szCs w:val="17"/>
          <w:b w:val="1"/>
          <w:bCs w:val="1"/>
          <w:color w:val="auto"/>
        </w:rPr>
        <w:t>Merger Consideration</w:t>
      </w:r>
      <w:r>
        <w:rPr>
          <w:rFonts w:ascii="Arial" w:cs="Arial" w:eastAsia="Arial" w:hAnsi="Arial"/>
          <w:sz w:val="17"/>
          <w:szCs w:val="17"/>
          <w:color w:val="auto"/>
        </w:rPr>
        <w:t>”).</w:t>
      </w:r>
    </w:p>
    <w:p>
      <w:pPr>
        <w:sectPr>
          <w:pgSz w:w="11900" w:h="16838" w:orient="portrait"/>
          <w:cols w:equalWidth="0" w:num="1">
            <w:col w:w="9019"/>
          </w:cols>
          <w:pgMar w:left="1440" w:top="274" w:right="1440" w:bottom="1440" w:gutter="0" w:footer="0" w:header="0"/>
          <w:type w:val="continuous"/>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1" w:name="page32"/>
    <w:bookmarkEnd w:id="3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753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7753350"/>
                    </a:xfrm>
                    <a:prstGeom prst="rect">
                      <a:avLst/>
                    </a:prstGeom>
                    <a:noFill/>
                  </pic:spPr>
                </pic:pic>
              </a:graphicData>
            </a:graphic>
          </wp:anchor>
        </w:drawing>
      </w:r>
    </w:p>
    <w:p>
      <w:pPr>
        <w:spacing w:after="0" w:line="327" w:lineRule="exact"/>
        <w:rPr>
          <w:sz w:val="20"/>
          <w:szCs w:val="20"/>
          <w:color w:val="auto"/>
        </w:rPr>
      </w:pPr>
    </w:p>
    <w:p>
      <w:pPr>
        <w:ind w:left="540" w:right="559" w:firstLine="432"/>
        <w:spacing w:after="0" w:line="285" w:lineRule="auto"/>
        <w:rPr>
          <w:sz w:val="20"/>
          <w:szCs w:val="20"/>
          <w:color w:val="auto"/>
        </w:rPr>
      </w:pPr>
      <w:r>
        <w:rPr>
          <w:rFonts w:ascii="Arial" w:cs="Arial" w:eastAsia="Arial" w:hAnsi="Arial"/>
          <w:sz w:val="16"/>
          <w:szCs w:val="16"/>
          <w:color w:val="auto"/>
        </w:rPr>
        <w:t>At the Effective Time, by virtue of the Merger and without any further action on the part of BCTG, Merger Sub or Tango (after Tango causes each share of Tango preferred stock that is issued and outstanding immediately prior to the consummation of the Business Combination to be converted immediately prior to the consummation of the Business Combination into a number of shares of Tango common stock at the then-effective conversation rate as calculated in accordance with Tango’s organizational documents), each share of Tango common stock issued and outstanding immediately prior to the Effective Time shall be canceled and converted into the right to receive a number of shares of BCTG equal in value to the quotient of the Merger Consideration divided by the fully diluted capitalization of Tango (the “</w:t>
      </w:r>
      <w:r>
        <w:rPr>
          <w:rFonts w:ascii="Arial" w:cs="Arial" w:eastAsia="Arial" w:hAnsi="Arial"/>
          <w:sz w:val="16"/>
          <w:szCs w:val="16"/>
          <w:b w:val="1"/>
          <w:bCs w:val="1"/>
          <w:color w:val="auto"/>
        </w:rPr>
        <w:t>Exchange Ratio</w:t>
      </w:r>
      <w:r>
        <w:rPr>
          <w:rFonts w:ascii="Arial" w:cs="Arial" w:eastAsia="Arial" w:hAnsi="Arial"/>
          <w:sz w:val="16"/>
          <w:szCs w:val="16"/>
          <w:color w:val="auto"/>
        </w:rPr>
        <w:t>”) without interest. Each outstanding Tango option shall be assumed by BCTG and automatically converted into an option to purchase such number of shares of BCTG’s common stock, as adjusted based on the Exchange Ratio. If any shares of Tango common stock issued and outstanding immediately prior to the Effective Time are shares of Tango restricted stock, then the shares of BCTG common stock issued in exchange for such shares of Tango restricted stock shall to the same extent be unvested and subject to the same repurchase option or risk of forfeiture as in effect immediately prior to the Effective Time, and the certificates and/or book entries representing such shares of BCTG common stock shall accordingly be marked with appropriate legends. No certificates or scrip representing fractional shares of BCTG’s common stock will be issued pursuant to the Merger. Stock certificates evidencing the Merger Consideration shall bear restrictive legends as required by any securities laws at the time of the Merger.</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Conditions to Closing of the Business Combination</w:t>
      </w:r>
    </w:p>
    <w:p>
      <w:pPr>
        <w:spacing w:after="0" w:line="158" w:lineRule="exact"/>
        <w:rPr>
          <w:sz w:val="20"/>
          <w:szCs w:val="20"/>
          <w:color w:val="auto"/>
        </w:rPr>
      </w:pPr>
    </w:p>
    <w:p>
      <w:pPr>
        <w:ind w:left="540" w:right="799" w:firstLine="432"/>
        <w:spacing w:after="0" w:line="291" w:lineRule="auto"/>
        <w:rPr>
          <w:sz w:val="20"/>
          <w:szCs w:val="20"/>
          <w:color w:val="auto"/>
        </w:rPr>
      </w:pPr>
      <w:r>
        <w:rPr>
          <w:rFonts w:ascii="Arial" w:cs="Arial" w:eastAsia="Arial" w:hAnsi="Arial"/>
          <w:sz w:val="16"/>
          <w:szCs w:val="16"/>
          <w:color w:val="auto"/>
        </w:rPr>
        <w:t>The closing of the Business Combination is subject to certain customary conditions of the respective parties, including, among other things, that: (i) applicable stockholder approval shall have been received;</w:t>
      </w:r>
    </w:p>
    <w:p>
      <w:pPr>
        <w:ind w:left="540" w:right="719" w:firstLine="4"/>
        <w:spacing w:after="0" w:line="281" w:lineRule="auto"/>
        <w:tabs>
          <w:tab w:leader="none" w:pos="805"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there shall have been no Material Adverse Effect (as defined in the Merger Agreement) with respect to Tango since the date of the Merger Agreement; (iii) the waiting period (or any extension thereof) applicable under the Hart-Scott-Rodino Antitrust Improvements Act of 1976 shall have expired or terminated;</w:t>
      </w:r>
    </w:p>
    <w:p>
      <w:pPr>
        <w:spacing w:after="0" w:line="1" w:lineRule="exact"/>
        <w:rPr>
          <w:rFonts w:ascii="Arial" w:cs="Arial" w:eastAsia="Arial" w:hAnsi="Arial"/>
          <w:sz w:val="16"/>
          <w:szCs w:val="16"/>
          <w:color w:val="auto"/>
        </w:rPr>
      </w:pPr>
    </w:p>
    <w:p>
      <w:pPr>
        <w:ind w:left="540" w:right="579" w:firstLine="4"/>
        <w:spacing w:after="0" w:line="268" w:lineRule="auto"/>
        <w:tabs>
          <w:tab w:leader="none" w:pos="845" w:val="left"/>
        </w:tabs>
        <w:numPr>
          <w:ilvl w:val="0"/>
          <w:numId w:val="95"/>
        </w:numPr>
        <w:rPr>
          <w:rFonts w:ascii="Arial" w:cs="Arial" w:eastAsia="Arial" w:hAnsi="Arial"/>
          <w:sz w:val="17"/>
          <w:szCs w:val="17"/>
          <w:color w:val="auto"/>
        </w:rPr>
      </w:pPr>
      <w:r>
        <w:rPr>
          <w:rFonts w:ascii="Arial" w:cs="Arial" w:eastAsia="Arial" w:hAnsi="Arial"/>
          <w:sz w:val="17"/>
          <w:szCs w:val="17"/>
          <w:color w:val="auto"/>
        </w:rPr>
        <w:t>BCTG shall have at least $5,000,001 of net tangible assets immediately following the closing (after giving effect to the redemption of public shares by BCTG’s public stockholders); (v) BCTG shall have proceeds at the closing of the Business Combination, comprised of amounts held in trust and amounts raised pursuant to the Subscription Agreements (as defined below), net of any amount required to satisfy the redemptions and net of BCTG’s expenses (the “</w:t>
      </w:r>
      <w:r>
        <w:rPr>
          <w:rFonts w:ascii="Arial" w:cs="Arial" w:eastAsia="Arial" w:hAnsi="Arial"/>
          <w:sz w:val="17"/>
          <w:szCs w:val="17"/>
          <w:b w:val="1"/>
          <w:bCs w:val="1"/>
          <w:color w:val="auto"/>
        </w:rPr>
        <w:t>Closing Cash</w:t>
      </w:r>
      <w:r>
        <w:rPr>
          <w:rFonts w:ascii="Arial" w:cs="Arial" w:eastAsia="Arial" w:hAnsi="Arial"/>
          <w:sz w:val="17"/>
          <w:szCs w:val="17"/>
          <w:color w:val="auto"/>
        </w:rPr>
        <w:t>”) of at least $300 million; (vi) BCTG’s initial listing application in connection with the Transactions (as defined in the Merger Agreement) shall have been approved by The Nasdaq Capital Market (“</w:t>
      </w:r>
      <w:r>
        <w:rPr>
          <w:rFonts w:ascii="Arial" w:cs="Arial" w:eastAsia="Arial" w:hAnsi="Arial"/>
          <w:sz w:val="17"/>
          <w:szCs w:val="17"/>
          <w:b w:val="1"/>
          <w:bCs w:val="1"/>
          <w:color w:val="auto"/>
        </w:rPr>
        <w:t>Nasdaq</w:t>
      </w:r>
      <w:r>
        <w:rPr>
          <w:rFonts w:ascii="Arial" w:cs="Arial" w:eastAsia="Arial" w:hAnsi="Arial"/>
          <w:sz w:val="17"/>
          <w:szCs w:val="17"/>
          <w:color w:val="auto"/>
        </w:rPr>
        <w:t>”) so that immediately following the Merger, BCTG satisfies any applicable initial and continuing listing requirements of Nasdaq; (vii) certain Tango stockholders shall have delivered a lock-up agreement; and (viii) BCTG and certain Tango stockholders shall have entered into the BCTG Amended and Restated Registration Rights Agreement.</w:t>
      </w:r>
    </w:p>
    <w:p>
      <w:pPr>
        <w:spacing w:after="0" w:line="98" w:lineRule="exact"/>
        <w:rPr>
          <w:sz w:val="20"/>
          <w:szCs w:val="20"/>
          <w:color w:val="auto"/>
        </w:rPr>
      </w:pPr>
    </w:p>
    <w:p>
      <w:pPr>
        <w:ind w:left="540" w:right="639" w:firstLine="432"/>
        <w:spacing w:after="0" w:line="268" w:lineRule="auto"/>
        <w:rPr>
          <w:sz w:val="20"/>
          <w:szCs w:val="20"/>
          <w:color w:val="auto"/>
        </w:rPr>
      </w:pPr>
      <w:r>
        <w:rPr>
          <w:rFonts w:ascii="Arial" w:cs="Arial" w:eastAsia="Arial" w:hAnsi="Arial"/>
          <w:sz w:val="17"/>
          <w:szCs w:val="17"/>
          <w:color w:val="auto"/>
        </w:rPr>
        <w:t>The Merger Agreement contains representations, warranties and covenants that the respective parties made to each other as of the date of the Merger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the Merger Agreement. The representations, warranties and covenants in the Merger Agreement are also modified in part by the underlying disclosure schedules (the “</w:t>
      </w:r>
      <w:r>
        <w:rPr>
          <w:rFonts w:ascii="Arial" w:cs="Arial" w:eastAsia="Arial" w:hAnsi="Arial"/>
          <w:sz w:val="17"/>
          <w:szCs w:val="17"/>
          <w:b w:val="1"/>
          <w:bCs w:val="1"/>
          <w:color w:val="auto"/>
        </w:rPr>
        <w:t>Disclosure</w:t>
      </w:r>
      <w:r>
        <w:rPr>
          <w:rFonts w:ascii="Arial" w:cs="Arial" w:eastAsia="Arial" w:hAnsi="Arial"/>
          <w:sz w:val="17"/>
          <w:szCs w:val="17"/>
          <w:color w:val="auto"/>
        </w:rPr>
        <w:t xml:space="preserve"> </w:t>
      </w:r>
      <w:r>
        <w:rPr>
          <w:rFonts w:ascii="Arial" w:cs="Arial" w:eastAsia="Arial" w:hAnsi="Arial"/>
          <w:sz w:val="17"/>
          <w:szCs w:val="17"/>
          <w:b w:val="1"/>
          <w:bCs w:val="1"/>
          <w:color w:val="auto"/>
        </w:rPr>
        <w:t>Schedules</w:t>
      </w:r>
      <w:r>
        <w:rPr>
          <w:rFonts w:ascii="Arial" w:cs="Arial" w:eastAsia="Arial" w:hAnsi="Arial"/>
          <w:sz w:val="17"/>
          <w:szCs w:val="17"/>
          <w:color w:val="auto"/>
        </w:rPr>
        <w:t>”), which are not filed publicly and which are subject to a contractual standard of materiality</w:t>
      </w:r>
      <w:r>
        <w:rPr>
          <w:rFonts w:ascii="Arial" w:cs="Arial" w:eastAsia="Arial" w:hAnsi="Arial"/>
          <w:sz w:val="17"/>
          <w:szCs w:val="17"/>
          <w:b w:val="1"/>
          <w:bCs w:val="1"/>
          <w:color w:val="auto"/>
        </w:rPr>
        <w:t xml:space="preserve"> </w:t>
      </w:r>
      <w:r>
        <w:rPr>
          <w:rFonts w:ascii="Arial" w:cs="Arial" w:eastAsia="Arial" w:hAnsi="Arial"/>
          <w:sz w:val="17"/>
          <w:szCs w:val="17"/>
          <w:color w:val="auto"/>
        </w:rPr>
        <w:t>different from that generally applicable to stockholders and were used for the purpose of allocating risk among the parties rather than establishing matters as facts. We do not believe that the disclosure schedules contain information that is material to an investment decision. Additionally, the representations and warranties of the parties to the Merger Agreement may or may not have been accurate as of any specific date and do not purport to be accurate as of the date of this proxy statement/prospectus. Accordingly, no person should rely on the representations and warranties in the Merger Agreement or the summaries thereof in this proxy statement/prospectus as characterizations of the actual state of facts about BCTG, Sponsor, Tango or any other matter.</w:t>
      </w:r>
    </w:p>
    <w:p>
      <w:pPr>
        <w:spacing w:after="0" w:line="114" w:lineRule="exact"/>
        <w:rPr>
          <w:sz w:val="20"/>
          <w:szCs w:val="20"/>
          <w:color w:val="auto"/>
        </w:rPr>
      </w:pPr>
    </w:p>
    <w:p>
      <w:pPr>
        <w:ind w:left="540" w:right="579" w:firstLine="432"/>
        <w:spacing w:after="0" w:line="342" w:lineRule="auto"/>
        <w:rPr>
          <w:sz w:val="20"/>
          <w:szCs w:val="20"/>
          <w:color w:val="auto"/>
        </w:rPr>
      </w:pPr>
      <w:r>
        <w:rPr>
          <w:rFonts w:ascii="Arial" w:cs="Arial" w:eastAsia="Arial" w:hAnsi="Arial"/>
          <w:sz w:val="16"/>
          <w:szCs w:val="16"/>
          <w:color w:val="auto"/>
        </w:rPr>
        <w:t>Please see the section titled “</w:t>
      </w:r>
      <w:r>
        <w:rPr>
          <w:rFonts w:ascii="Arial" w:cs="Arial" w:eastAsia="Arial" w:hAnsi="Arial"/>
          <w:sz w:val="16"/>
          <w:szCs w:val="16"/>
          <w:i w:val="1"/>
          <w:iCs w:val="1"/>
          <w:color w:val="auto"/>
        </w:rPr>
        <w:t>The Merger Agreement</w:t>
      </w:r>
      <w:r>
        <w:rPr>
          <w:rFonts w:ascii="Arial" w:cs="Arial" w:eastAsia="Arial" w:hAnsi="Arial"/>
          <w:sz w:val="16"/>
          <w:szCs w:val="16"/>
          <w:color w:val="auto"/>
        </w:rPr>
        <w:t>” for further information. Below is a brief summary of the other Proposals that BCTG stockholders are being asked to vote on at the Special Meeting.</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 w:name="page33"/>
    <w:bookmarkEnd w:id="32"/>
    <w:p>
      <w:pPr>
        <w:ind w:left="460"/>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0448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7310" cy="804481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Nasdaq Proposal</w:t>
      </w:r>
    </w:p>
    <w:p>
      <w:pPr>
        <w:spacing w:after="0" w:line="158" w:lineRule="exact"/>
        <w:rPr>
          <w:sz w:val="20"/>
          <w:szCs w:val="20"/>
          <w:color w:val="auto"/>
        </w:rPr>
      </w:pPr>
    </w:p>
    <w:p>
      <w:pPr>
        <w:ind w:left="540" w:right="559" w:firstLine="432"/>
        <w:spacing w:after="0" w:line="270" w:lineRule="auto"/>
        <w:rPr>
          <w:sz w:val="20"/>
          <w:szCs w:val="20"/>
          <w:color w:val="auto"/>
        </w:rPr>
      </w:pPr>
      <w:r>
        <w:rPr>
          <w:rFonts w:ascii="Arial" w:cs="Arial" w:eastAsia="Arial" w:hAnsi="Arial"/>
          <w:sz w:val="17"/>
          <w:szCs w:val="17"/>
          <w:color w:val="auto"/>
        </w:rPr>
        <w:t>As part of the consideration for the Business Combination, BCTG is obligated to (a) issue 55,000,000 shares of Common Stock to the Tango Equityholders. In addition, in connection with the Business Combination, BCTG entered into the Subscription Agreements with the PIPE Financing investors to purchase 18,610,000 shares of Common Stock for an aggregate amount of $186,100,000, subject to certain conditions, including that all conditions precedent to the Closing will have been satisfied or waived (other than those conditions that are to be satisfied at Closing). BCTG stockholders will be asked to approve, for purposes of complying with the Nasdaq Rules, (a) the issuance of 55,000,000 shares of Common Stock to the Tango Equityholders and (b) the issuance of 18,610,000 shares of Common Stock to the PIPE Financing investors. Please see the section titled “</w:t>
      </w:r>
      <w:r>
        <w:rPr>
          <w:rFonts w:ascii="Arial" w:cs="Arial" w:eastAsia="Arial" w:hAnsi="Arial"/>
          <w:sz w:val="17"/>
          <w:szCs w:val="17"/>
          <w:i w:val="1"/>
          <w:iCs w:val="1"/>
          <w:color w:val="auto"/>
        </w:rPr>
        <w:t>The Nasdaq Proposal</w:t>
      </w:r>
      <w:r>
        <w:rPr>
          <w:rFonts w:ascii="Arial" w:cs="Arial" w:eastAsia="Arial" w:hAnsi="Arial"/>
          <w:sz w:val="17"/>
          <w:szCs w:val="17"/>
          <w:color w:val="auto"/>
        </w:rPr>
        <w:t>.”</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Charter Amendment Proposal</w:t>
      </w:r>
    </w:p>
    <w:p>
      <w:pPr>
        <w:spacing w:after="0" w:line="158" w:lineRule="exact"/>
        <w:rPr>
          <w:sz w:val="20"/>
          <w:szCs w:val="20"/>
          <w:color w:val="auto"/>
        </w:rPr>
      </w:pPr>
    </w:p>
    <w:p>
      <w:pPr>
        <w:ind w:left="540" w:right="619" w:firstLine="432"/>
        <w:spacing w:after="0" w:line="257" w:lineRule="auto"/>
        <w:rPr>
          <w:sz w:val="20"/>
          <w:szCs w:val="20"/>
          <w:color w:val="auto"/>
        </w:rPr>
      </w:pPr>
      <w:r>
        <w:rPr>
          <w:rFonts w:ascii="Arial" w:cs="Arial" w:eastAsia="Arial" w:hAnsi="Arial"/>
          <w:sz w:val="18"/>
          <w:szCs w:val="18"/>
          <w:color w:val="auto"/>
        </w:rPr>
        <w:t xml:space="preserve">BCTG stockholders will be asked to approve and adopt, subject to and conditional on (but with immediate effect therefrom) approval of the Business Combination Proposal, the Nasdaq Proposal, the Directors Proposal and the Incentive Plan Proposals and the consummation of the Business Combination, an amendment and restatement of the Current Charter, as set out in the Proposed Charter appended to this proxy statement/prospectus as </w:t>
      </w:r>
      <w:r>
        <w:rPr>
          <w:rFonts w:ascii="Arial" w:cs="Arial" w:eastAsia="Arial" w:hAnsi="Arial"/>
          <w:sz w:val="18"/>
          <w:szCs w:val="18"/>
          <w:i w:val="1"/>
          <w:iCs w:val="1"/>
          <w:u w:val="single" w:color="auto"/>
          <w:color w:val="auto"/>
        </w:rPr>
        <w:t>Annex B</w:t>
      </w:r>
      <w:r>
        <w:rPr>
          <w:rFonts w:ascii="Arial" w:cs="Arial" w:eastAsia="Arial" w:hAnsi="Arial"/>
          <w:sz w:val="18"/>
          <w:szCs w:val="18"/>
          <w:color w:val="auto"/>
        </w:rPr>
        <w:t>, for the following:</w:t>
      </w:r>
    </w:p>
    <w:p>
      <w:pPr>
        <w:spacing w:after="0" w:line="107" w:lineRule="exact"/>
        <w:rPr>
          <w:sz w:val="20"/>
          <w:szCs w:val="20"/>
          <w:color w:val="auto"/>
        </w:rPr>
      </w:pPr>
    </w:p>
    <w:p>
      <w:pPr>
        <w:ind w:left="1400" w:right="819" w:hanging="424"/>
        <w:spacing w:after="0" w:line="277" w:lineRule="auto"/>
        <w:tabs>
          <w:tab w:leader="none" w:pos="1363"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amend the name of the public entity to “Tango Therapeutics, Inc.” from “BCTG Acquisition Corp.”;</w:t>
      </w:r>
    </w:p>
    <w:p>
      <w:pPr>
        <w:spacing w:after="0" w:line="102" w:lineRule="exact"/>
        <w:rPr>
          <w:rFonts w:ascii="Arial" w:cs="Arial" w:eastAsia="Arial" w:hAnsi="Arial"/>
          <w:sz w:val="18"/>
          <w:szCs w:val="18"/>
          <w:color w:val="auto"/>
        </w:rPr>
      </w:pPr>
    </w:p>
    <w:p>
      <w:pPr>
        <w:ind w:left="1400" w:right="799" w:hanging="424"/>
        <w:spacing w:after="0" w:line="277" w:lineRule="auto"/>
        <w:tabs>
          <w:tab w:leader="none" w:pos="1373"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increase the authorized shares of New Tango to [•] shares of common stock and [•] shares of “blank check” preferred stock;</w:t>
      </w:r>
    </w:p>
    <w:p>
      <w:pPr>
        <w:spacing w:after="0" w:line="102" w:lineRule="exact"/>
        <w:rPr>
          <w:rFonts w:ascii="Arial" w:cs="Arial" w:eastAsia="Arial" w:hAnsi="Arial"/>
          <w:sz w:val="18"/>
          <w:szCs w:val="18"/>
          <w:color w:val="auto"/>
        </w:rPr>
      </w:pPr>
    </w:p>
    <w:p>
      <w:pPr>
        <w:ind w:left="1400" w:right="619" w:hanging="424"/>
        <w:spacing w:after="0" w:line="258" w:lineRule="auto"/>
        <w:tabs>
          <w:tab w:leader="none" w:pos="1323" w:val="left"/>
        </w:tabs>
        <w:numPr>
          <w:ilvl w:val="0"/>
          <w:numId w:val="96"/>
        </w:numPr>
        <w:rPr>
          <w:rFonts w:ascii="Arial" w:cs="Arial" w:eastAsia="Arial" w:hAnsi="Arial"/>
          <w:sz w:val="16"/>
          <w:szCs w:val="16"/>
          <w:color w:val="auto"/>
        </w:rPr>
      </w:pPr>
      <w:r>
        <w:rPr>
          <w:rFonts w:ascii="Arial" w:cs="Arial" w:eastAsia="Arial" w:hAnsi="Arial"/>
          <w:sz w:val="18"/>
          <w:szCs w:val="18"/>
          <w:color w:val="auto"/>
        </w:rPr>
        <w:t xml:space="preserve">to provide that the removal of any director be only for cause and by the affirmative vote of at least 66 </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 of New Tango’s then-outstanding shares of capital stock entitled to vote generally in the election of directors;</w:t>
      </w:r>
    </w:p>
    <w:p>
      <w:pPr>
        <w:spacing w:after="0" w:line="104" w:lineRule="exact"/>
        <w:rPr>
          <w:rFonts w:ascii="Arial" w:cs="Arial" w:eastAsia="Arial" w:hAnsi="Arial"/>
          <w:sz w:val="16"/>
          <w:szCs w:val="16"/>
          <w:color w:val="auto"/>
        </w:rPr>
      </w:pPr>
    </w:p>
    <w:p>
      <w:pPr>
        <w:ind w:left="1400" w:right="779" w:hanging="424"/>
        <w:spacing w:after="0" w:line="257" w:lineRule="auto"/>
        <w:tabs>
          <w:tab w:leader="none" w:pos="1333" w:val="left"/>
        </w:tabs>
        <w:numPr>
          <w:ilvl w:val="0"/>
          <w:numId w:val="96"/>
        </w:numPr>
        <w:rPr>
          <w:rFonts w:ascii="Arial" w:cs="Arial" w:eastAsia="Arial" w:hAnsi="Arial"/>
          <w:sz w:val="16"/>
          <w:szCs w:val="16"/>
          <w:color w:val="auto"/>
        </w:rPr>
      </w:pPr>
      <w:r>
        <w:rPr>
          <w:rFonts w:ascii="Arial" w:cs="Arial" w:eastAsia="Arial" w:hAnsi="Arial"/>
          <w:sz w:val="18"/>
          <w:szCs w:val="18"/>
          <w:color w:val="auto"/>
        </w:rPr>
        <w:t>to make New Tango’s corporate existence perpetual as opposed to BCTG’s corporate existence, which is required to be dissolved and liquidated 24 months following the closing of its initial public offering if it does not complete a business combination in that time, and to remove from the Proposed Charter the various provisions applicable only to special purpose acquisition corporations;</w:t>
      </w:r>
    </w:p>
    <w:p>
      <w:pPr>
        <w:spacing w:after="0" w:line="120" w:lineRule="exact"/>
        <w:rPr>
          <w:rFonts w:ascii="Arial" w:cs="Arial" w:eastAsia="Arial" w:hAnsi="Arial"/>
          <w:sz w:val="16"/>
          <w:szCs w:val="16"/>
          <w:color w:val="auto"/>
        </w:rPr>
      </w:pPr>
    </w:p>
    <w:p>
      <w:pPr>
        <w:ind w:left="1340" w:hanging="364"/>
        <w:spacing w:after="0"/>
        <w:tabs>
          <w:tab w:leader="none" w:pos="1340" w:val="left"/>
        </w:tabs>
        <w:numPr>
          <w:ilvl w:val="0"/>
          <w:numId w:val="96"/>
        </w:numPr>
        <w:rPr>
          <w:rFonts w:ascii="Arial" w:cs="Arial" w:eastAsia="Arial" w:hAnsi="Arial"/>
          <w:sz w:val="16"/>
          <w:szCs w:val="16"/>
          <w:color w:val="auto"/>
        </w:rPr>
      </w:pPr>
      <w:r>
        <w:rPr>
          <w:rFonts w:ascii="Arial" w:cs="Arial" w:eastAsia="Arial" w:hAnsi="Arial"/>
          <w:sz w:val="18"/>
          <w:szCs w:val="18"/>
          <w:color w:val="auto"/>
        </w:rPr>
        <w:t>to provide that New Tango will not be subject to Section 203 of the DGCL;</w:t>
      </w:r>
    </w:p>
    <w:p>
      <w:pPr>
        <w:spacing w:after="0" w:line="157" w:lineRule="exact"/>
        <w:rPr>
          <w:rFonts w:ascii="Arial" w:cs="Arial" w:eastAsia="Arial" w:hAnsi="Arial"/>
          <w:sz w:val="16"/>
          <w:szCs w:val="16"/>
          <w:color w:val="auto"/>
        </w:rPr>
      </w:pPr>
    </w:p>
    <w:p>
      <w:pPr>
        <w:ind w:left="1400" w:right="819" w:hanging="424"/>
        <w:spacing w:after="0" w:line="277" w:lineRule="auto"/>
        <w:tabs>
          <w:tab w:leader="none" w:pos="1346" w:val="left"/>
        </w:tabs>
        <w:numPr>
          <w:ilvl w:val="0"/>
          <w:numId w:val="96"/>
        </w:numPr>
        <w:rPr>
          <w:rFonts w:ascii="Arial" w:cs="Arial" w:eastAsia="Arial" w:hAnsi="Arial"/>
          <w:sz w:val="16"/>
          <w:szCs w:val="16"/>
          <w:color w:val="auto"/>
        </w:rPr>
      </w:pPr>
      <w:r>
        <w:rPr>
          <w:rFonts w:ascii="Arial" w:cs="Arial" w:eastAsia="Arial" w:hAnsi="Arial"/>
          <w:sz w:val="18"/>
          <w:szCs w:val="18"/>
          <w:color w:val="auto"/>
        </w:rPr>
        <w:t>to remove the provisions setting the Court of Chancery of the State of Delaware as the sole and exclusive forum for certain stockholder actions; and</w:t>
      </w:r>
    </w:p>
    <w:p>
      <w:pPr>
        <w:spacing w:after="0" w:line="89" w:lineRule="exact"/>
        <w:rPr>
          <w:rFonts w:ascii="Arial" w:cs="Arial" w:eastAsia="Arial" w:hAnsi="Arial"/>
          <w:sz w:val="16"/>
          <w:szCs w:val="16"/>
          <w:color w:val="auto"/>
        </w:rPr>
      </w:pPr>
    </w:p>
    <w:p>
      <w:pPr>
        <w:ind w:left="1400" w:right="779" w:hanging="424"/>
        <w:spacing w:after="0" w:line="277" w:lineRule="auto"/>
        <w:tabs>
          <w:tab w:leader="none" w:pos="1373"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increase the required vote thresholds for approving amendments to the Proposed Charter and bylaws to 66 2/3%.</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Advisory Charter Proposals</w:t>
      </w:r>
    </w:p>
    <w:p>
      <w:pPr>
        <w:spacing w:after="0" w:line="158" w:lineRule="exact"/>
        <w:rPr>
          <w:sz w:val="20"/>
          <w:szCs w:val="20"/>
          <w:color w:val="auto"/>
        </w:rPr>
      </w:pPr>
    </w:p>
    <w:p>
      <w:pPr>
        <w:ind w:left="540" w:right="559" w:firstLine="432"/>
        <w:spacing w:after="0" w:line="311" w:lineRule="auto"/>
        <w:rPr>
          <w:sz w:val="20"/>
          <w:szCs w:val="20"/>
          <w:color w:val="auto"/>
        </w:rPr>
      </w:pPr>
      <w:r>
        <w:rPr>
          <w:rFonts w:ascii="Arial" w:cs="Arial" w:eastAsia="Arial" w:hAnsi="Arial"/>
          <w:sz w:val="16"/>
          <w:szCs w:val="16"/>
          <w:color w:val="auto"/>
        </w:rPr>
        <w:t>BCTG stockholders will be asked to approve and adopt, on a non-binding advisory basis, certain differences in the governance provisions set forth in the Proposed Charter, as compared to our Current Charter, which are being presented in accordance with the requirements of the SEC as separate sub-proposals:</w:t>
      </w:r>
    </w:p>
    <w:p>
      <w:pPr>
        <w:spacing w:after="0" w:line="81" w:lineRule="exact"/>
        <w:rPr>
          <w:sz w:val="20"/>
          <w:szCs w:val="20"/>
          <w:color w:val="auto"/>
        </w:rPr>
      </w:pPr>
    </w:p>
    <w:p>
      <w:pPr>
        <w:ind w:left="1400" w:right="759" w:hanging="424"/>
        <w:spacing w:after="0" w:line="277" w:lineRule="auto"/>
        <w:tabs>
          <w:tab w:leader="none" w:pos="1348" w:val="left"/>
        </w:tabs>
        <w:numPr>
          <w:ilvl w:val="0"/>
          <w:numId w:val="97"/>
        </w:numPr>
        <w:rPr>
          <w:rFonts w:ascii="Arial" w:cs="Arial" w:eastAsia="Arial" w:hAnsi="Arial"/>
          <w:sz w:val="18"/>
          <w:szCs w:val="18"/>
          <w:color w:val="auto"/>
        </w:rPr>
      </w:pPr>
      <w:r>
        <w:rPr>
          <w:rFonts w:ascii="Arial" w:cs="Arial" w:eastAsia="Arial" w:hAnsi="Arial"/>
          <w:sz w:val="18"/>
          <w:szCs w:val="18"/>
          <w:color w:val="auto"/>
        </w:rPr>
        <w:t>Advisory Charter Proposal A — to amend the name of the public entity to “Tango Therapeutics, Inc.” from “BCTG Acquisition Corp.”;</w:t>
      </w:r>
    </w:p>
    <w:p>
      <w:pPr>
        <w:spacing w:after="0" w:line="89" w:lineRule="exact"/>
        <w:rPr>
          <w:rFonts w:ascii="Arial" w:cs="Arial" w:eastAsia="Arial" w:hAnsi="Arial"/>
          <w:sz w:val="18"/>
          <w:szCs w:val="18"/>
          <w:color w:val="auto"/>
        </w:rPr>
      </w:pPr>
    </w:p>
    <w:p>
      <w:pPr>
        <w:ind w:left="1400" w:right="559" w:hanging="424"/>
        <w:spacing w:after="0" w:line="286" w:lineRule="auto"/>
        <w:tabs>
          <w:tab w:leader="none" w:pos="1348" w:val="left"/>
        </w:tabs>
        <w:numPr>
          <w:ilvl w:val="0"/>
          <w:numId w:val="97"/>
        </w:numPr>
        <w:rPr>
          <w:rFonts w:ascii="Arial" w:cs="Arial" w:eastAsia="Arial" w:hAnsi="Arial"/>
          <w:sz w:val="17"/>
          <w:szCs w:val="17"/>
          <w:color w:val="auto"/>
        </w:rPr>
      </w:pPr>
      <w:r>
        <w:rPr>
          <w:rFonts w:ascii="Arial" w:cs="Arial" w:eastAsia="Arial" w:hAnsi="Arial"/>
          <w:sz w:val="17"/>
          <w:szCs w:val="17"/>
          <w:color w:val="auto"/>
        </w:rPr>
        <w:t>Advisory Charter Proposal B — to authorize the issuance of up to [•] shares of common stock, and up to [•] shares of “blank check” preferred stock, the rights, preferences and privileges of which may be designated from time to time by New Tango’s board of directors;</w:t>
      </w:r>
    </w:p>
    <w:p>
      <w:pPr>
        <w:spacing w:after="0" w:line="97" w:lineRule="exact"/>
        <w:rPr>
          <w:rFonts w:ascii="Arial" w:cs="Arial" w:eastAsia="Arial" w:hAnsi="Arial"/>
          <w:sz w:val="17"/>
          <w:szCs w:val="17"/>
          <w:color w:val="auto"/>
        </w:rPr>
      </w:pPr>
    </w:p>
    <w:p>
      <w:pPr>
        <w:ind w:left="1400" w:right="559" w:hanging="424"/>
        <w:spacing w:after="0" w:line="258" w:lineRule="auto"/>
        <w:tabs>
          <w:tab w:leader="none" w:pos="1348"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Advisory Charter Proposal C — to provide that the removal of any director be only for cause and by the affirmative vote of at least 66 </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 of New Tango’s then-outstanding shares of capital stock entitled to vote generally in the election of directors;</w:t>
      </w:r>
    </w:p>
    <w:p>
      <w:pPr>
        <w:sectPr>
          <w:pgSz w:w="11900" w:h="16838" w:orient="portrait"/>
          <w:cols w:equalWidth="0" w:num="1">
            <w:col w:w="9019"/>
          </w:cols>
          <w:pgMar w:left="1440" w:top="274" w:right="1440" w:bottom="1440" w:gutter="0" w:footer="0" w:header="0"/>
          <w:type w:val="continuous"/>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3" w:name="page34"/>
    <w:bookmarkEnd w:id="3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753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7310" cy="7753350"/>
                    </a:xfrm>
                    <a:prstGeom prst="rect">
                      <a:avLst/>
                    </a:prstGeom>
                    <a:noFill/>
                  </pic:spPr>
                </pic:pic>
              </a:graphicData>
            </a:graphic>
          </wp:anchor>
        </w:drawing>
      </w:r>
    </w:p>
    <w:p>
      <w:pPr>
        <w:spacing w:after="0" w:line="327" w:lineRule="exact"/>
        <w:rPr>
          <w:sz w:val="20"/>
          <w:szCs w:val="20"/>
          <w:color w:val="auto"/>
        </w:rPr>
      </w:pPr>
    </w:p>
    <w:p>
      <w:pPr>
        <w:ind w:left="1400" w:right="719" w:hanging="424"/>
        <w:spacing w:after="0" w:line="275" w:lineRule="auto"/>
        <w:tabs>
          <w:tab w:leader="none" w:pos="1348" w:val="left"/>
        </w:tabs>
        <w:numPr>
          <w:ilvl w:val="0"/>
          <w:numId w:val="98"/>
        </w:numPr>
        <w:rPr>
          <w:rFonts w:ascii="Arial" w:cs="Arial" w:eastAsia="Arial" w:hAnsi="Arial"/>
          <w:sz w:val="17"/>
          <w:szCs w:val="17"/>
          <w:color w:val="auto"/>
        </w:rPr>
      </w:pPr>
      <w:r>
        <w:rPr>
          <w:rFonts w:ascii="Arial" w:cs="Arial" w:eastAsia="Arial" w:hAnsi="Arial"/>
          <w:sz w:val="17"/>
          <w:szCs w:val="17"/>
          <w:color w:val="auto"/>
        </w:rPr>
        <w:t>Advisory Charter Proposal D — to make New Tango’s corporate existence perpetual as opposed to BCTG’s corporate existence, which is required to be dissolved and liquidated 24 months following the closing of its initial public offering if it does not complete a business combination in that time, and to remove from the Proposed Charter the various provisions applicable only to special purpose acquisition corporations;</w:t>
      </w:r>
    </w:p>
    <w:p>
      <w:pPr>
        <w:spacing w:after="0" w:line="108" w:lineRule="exact"/>
        <w:rPr>
          <w:rFonts w:ascii="Arial" w:cs="Arial" w:eastAsia="Arial" w:hAnsi="Arial"/>
          <w:sz w:val="17"/>
          <w:szCs w:val="17"/>
          <w:color w:val="auto"/>
        </w:rPr>
      </w:pPr>
    </w:p>
    <w:p>
      <w:pPr>
        <w:ind w:left="1400" w:right="739" w:hanging="424"/>
        <w:spacing w:after="0" w:line="277" w:lineRule="auto"/>
        <w:tabs>
          <w:tab w:leader="none" w:pos="1348" w:val="left"/>
        </w:tabs>
        <w:numPr>
          <w:ilvl w:val="0"/>
          <w:numId w:val="98"/>
        </w:numPr>
        <w:rPr>
          <w:rFonts w:ascii="Arial" w:cs="Arial" w:eastAsia="Arial" w:hAnsi="Arial"/>
          <w:sz w:val="18"/>
          <w:szCs w:val="18"/>
          <w:color w:val="auto"/>
        </w:rPr>
      </w:pPr>
      <w:r>
        <w:rPr>
          <w:rFonts w:ascii="Arial" w:cs="Arial" w:eastAsia="Arial" w:hAnsi="Arial"/>
          <w:sz w:val="18"/>
          <w:szCs w:val="18"/>
          <w:color w:val="auto"/>
        </w:rPr>
        <w:t>Advisory Charter Proposal E — to provide that New Tango will not be subject to Section 203 of the DGCL;</w:t>
      </w:r>
    </w:p>
    <w:p>
      <w:pPr>
        <w:spacing w:after="0" w:line="89" w:lineRule="exact"/>
        <w:rPr>
          <w:rFonts w:ascii="Arial" w:cs="Arial" w:eastAsia="Arial" w:hAnsi="Arial"/>
          <w:sz w:val="18"/>
          <w:szCs w:val="18"/>
          <w:color w:val="auto"/>
        </w:rPr>
      </w:pPr>
    </w:p>
    <w:p>
      <w:pPr>
        <w:ind w:left="1400" w:right="899" w:hanging="424"/>
        <w:spacing w:after="0" w:line="342" w:lineRule="auto"/>
        <w:tabs>
          <w:tab w:leader="none" w:pos="1348" w:val="left"/>
        </w:tabs>
        <w:numPr>
          <w:ilvl w:val="0"/>
          <w:numId w:val="98"/>
        </w:numPr>
        <w:rPr>
          <w:rFonts w:ascii="Arial" w:cs="Arial" w:eastAsia="Arial" w:hAnsi="Arial"/>
          <w:sz w:val="16"/>
          <w:szCs w:val="16"/>
          <w:color w:val="auto"/>
        </w:rPr>
      </w:pPr>
      <w:r>
        <w:rPr>
          <w:rFonts w:ascii="Arial" w:cs="Arial" w:eastAsia="Arial" w:hAnsi="Arial"/>
          <w:sz w:val="16"/>
          <w:szCs w:val="16"/>
          <w:color w:val="auto"/>
        </w:rPr>
        <w:t>Advisory Charter Proposal F — to remove the provisions setting the Court of Chancery of the State of Delaware as the sole and exclusive forum for certain stockholder actions; and</w:t>
      </w:r>
    </w:p>
    <w:p>
      <w:pPr>
        <w:spacing w:after="0" w:line="56" w:lineRule="exact"/>
        <w:rPr>
          <w:rFonts w:ascii="Arial" w:cs="Arial" w:eastAsia="Arial" w:hAnsi="Arial"/>
          <w:sz w:val="16"/>
          <w:szCs w:val="16"/>
          <w:color w:val="auto"/>
        </w:rPr>
      </w:pPr>
    </w:p>
    <w:p>
      <w:pPr>
        <w:ind w:left="1400" w:right="1439" w:hanging="424"/>
        <w:spacing w:after="0" w:line="277" w:lineRule="auto"/>
        <w:tabs>
          <w:tab w:leader="none" w:pos="1348" w:val="left"/>
        </w:tabs>
        <w:numPr>
          <w:ilvl w:val="0"/>
          <w:numId w:val="98"/>
        </w:numPr>
        <w:rPr>
          <w:rFonts w:ascii="Arial" w:cs="Arial" w:eastAsia="Arial" w:hAnsi="Arial"/>
          <w:sz w:val="18"/>
          <w:szCs w:val="18"/>
          <w:color w:val="auto"/>
        </w:rPr>
      </w:pPr>
      <w:r>
        <w:rPr>
          <w:rFonts w:ascii="Arial" w:cs="Arial" w:eastAsia="Arial" w:hAnsi="Arial"/>
          <w:sz w:val="18"/>
          <w:szCs w:val="18"/>
          <w:color w:val="auto"/>
        </w:rPr>
        <w:t>Advisory Charter Proposal G — to increase the required vote thresholds for approving amendments to the Proposed Charter and bylaws to 66 2/3%.</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Directors Proposal</w:t>
      </w:r>
    </w:p>
    <w:p>
      <w:pPr>
        <w:spacing w:after="0" w:line="158" w:lineRule="exact"/>
        <w:rPr>
          <w:sz w:val="20"/>
          <w:szCs w:val="20"/>
          <w:color w:val="auto"/>
        </w:rPr>
      </w:pPr>
    </w:p>
    <w:p>
      <w:pPr>
        <w:jc w:val="both"/>
        <w:ind w:left="540" w:right="599" w:firstLine="432"/>
        <w:spacing w:after="0" w:line="263" w:lineRule="auto"/>
        <w:rPr>
          <w:sz w:val="20"/>
          <w:szCs w:val="20"/>
          <w:color w:val="auto"/>
        </w:rPr>
      </w:pPr>
      <w:r>
        <w:rPr>
          <w:rFonts w:ascii="Arial" w:cs="Arial" w:eastAsia="Arial" w:hAnsi="Arial"/>
          <w:sz w:val="18"/>
          <w:szCs w:val="18"/>
          <w:color w:val="auto"/>
        </w:rPr>
        <w:t>BCTG is proposing that its stockholders vote to elect, effective as of the consummation of the Business Combination Alexis Borisy, Aaron Davis, Reid Huber, Malte Peters, Lesley Calhoun, Mace Rothenberg and Barbara Weber to serve on New Tango’s board of directors.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Equity Incentive Plan Proposal</w:t>
      </w:r>
    </w:p>
    <w:p>
      <w:pPr>
        <w:spacing w:after="0" w:line="144" w:lineRule="exact"/>
        <w:rPr>
          <w:sz w:val="20"/>
          <w:szCs w:val="20"/>
          <w:color w:val="auto"/>
        </w:rPr>
      </w:pPr>
    </w:p>
    <w:p>
      <w:pPr>
        <w:ind w:left="540" w:right="639" w:firstLine="432"/>
        <w:spacing w:after="0" w:line="259" w:lineRule="auto"/>
        <w:rPr>
          <w:sz w:val="20"/>
          <w:szCs w:val="20"/>
          <w:color w:val="auto"/>
        </w:rPr>
      </w:pPr>
      <w:r>
        <w:rPr>
          <w:rFonts w:ascii="Arial" w:cs="Arial" w:eastAsia="Arial" w:hAnsi="Arial"/>
          <w:sz w:val="18"/>
          <w:szCs w:val="18"/>
          <w:color w:val="auto"/>
        </w:rPr>
        <w:t>BCTG is proposing that its stockholders approve and adopt the 2021 Equity Incentive Plan of New Tango, which will become effective upon the Closing. A summary of the Equity Incentive Plan is set forth in the “</w:t>
      </w:r>
      <w:r>
        <w:rPr>
          <w:rFonts w:ascii="Arial" w:cs="Arial" w:eastAsia="Arial" w:hAnsi="Arial"/>
          <w:sz w:val="18"/>
          <w:szCs w:val="18"/>
          <w:i w:val="1"/>
          <w:iCs w:val="1"/>
          <w:color w:val="auto"/>
        </w:rPr>
        <w:t>The Equity Incentive Plan Proposal</w:t>
      </w:r>
      <w:r>
        <w:rPr>
          <w:rFonts w:ascii="Arial" w:cs="Arial" w:eastAsia="Arial" w:hAnsi="Arial"/>
          <w:sz w:val="18"/>
          <w:szCs w:val="18"/>
          <w:color w:val="auto"/>
        </w:rPr>
        <w:t xml:space="preserve">” section of this proxy statement/prospectus and a complete copy of the Equity Incentive Plan is attached hereto as </w:t>
      </w:r>
      <w:r>
        <w:rPr>
          <w:rFonts w:ascii="Arial" w:cs="Arial" w:eastAsia="Arial" w:hAnsi="Arial"/>
          <w:sz w:val="18"/>
          <w:szCs w:val="18"/>
          <w:i w:val="1"/>
          <w:iCs w:val="1"/>
          <w:u w:val="single" w:color="auto"/>
          <w:color w:val="auto"/>
        </w:rPr>
        <w:t>Annex C</w:t>
      </w:r>
      <w:r>
        <w:rPr>
          <w:rFonts w:ascii="Arial" w:cs="Arial" w:eastAsia="Arial" w:hAnsi="Arial"/>
          <w:sz w:val="18"/>
          <w:szCs w:val="18"/>
          <w:color w:val="auto"/>
        </w:rPr>
        <w:t>.</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ESPP Proposal</w:t>
      </w:r>
    </w:p>
    <w:p>
      <w:pPr>
        <w:spacing w:after="0" w:line="158" w:lineRule="exact"/>
        <w:rPr>
          <w:sz w:val="20"/>
          <w:szCs w:val="20"/>
          <w:color w:val="auto"/>
        </w:rPr>
      </w:pPr>
    </w:p>
    <w:p>
      <w:pPr>
        <w:ind w:left="540" w:right="559" w:firstLine="432"/>
        <w:spacing w:after="0" w:line="279" w:lineRule="auto"/>
        <w:rPr>
          <w:sz w:val="20"/>
          <w:szCs w:val="20"/>
          <w:color w:val="auto"/>
        </w:rPr>
      </w:pPr>
      <w:r>
        <w:rPr>
          <w:rFonts w:ascii="Arial" w:cs="Arial" w:eastAsia="Arial" w:hAnsi="Arial"/>
          <w:sz w:val="17"/>
          <w:szCs w:val="17"/>
          <w:color w:val="auto"/>
        </w:rPr>
        <w:t>BCTG is proposing that its stockholders approve and adopt the 2021 Employee Stock Purchase Plan New Tango, which will become effective upon the Closing. A summary of the Employee Stock Purchase Plan is set forth in the “</w:t>
      </w:r>
      <w:r>
        <w:rPr>
          <w:rFonts w:ascii="Arial" w:cs="Arial" w:eastAsia="Arial" w:hAnsi="Arial"/>
          <w:sz w:val="17"/>
          <w:szCs w:val="17"/>
          <w:i w:val="1"/>
          <w:iCs w:val="1"/>
          <w:color w:val="auto"/>
        </w:rPr>
        <w:t>The ESPP Proposal</w:t>
      </w:r>
      <w:r>
        <w:rPr>
          <w:rFonts w:ascii="Arial" w:cs="Arial" w:eastAsia="Arial" w:hAnsi="Arial"/>
          <w:sz w:val="17"/>
          <w:szCs w:val="17"/>
          <w:color w:val="auto"/>
        </w:rPr>
        <w:t xml:space="preserve">” section of this proxy statement/prospectus and a complete copy of the Employee Stock Purchase Plan is attached hereto as </w:t>
      </w:r>
      <w:r>
        <w:rPr>
          <w:rFonts w:ascii="Arial" w:cs="Arial" w:eastAsia="Arial" w:hAnsi="Arial"/>
          <w:sz w:val="17"/>
          <w:szCs w:val="17"/>
          <w:i w:val="1"/>
          <w:iCs w:val="1"/>
          <w:u w:val="single" w:color="auto"/>
          <w:color w:val="auto"/>
        </w:rPr>
        <w:t>Annex D</w:t>
      </w:r>
      <w:r>
        <w:rPr>
          <w:rFonts w:ascii="Arial" w:cs="Arial" w:eastAsia="Arial" w:hAnsi="Arial"/>
          <w:sz w:val="17"/>
          <w:szCs w:val="17"/>
          <w:color w:val="auto"/>
        </w:rPr>
        <w: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Date, Time and Place of Special Meeting</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Special Meeting will be held on [•], 2021, at [_____]., Eastern time, conducted via live webcast at</w:t>
      </w:r>
    </w:p>
    <w:p>
      <w:pPr>
        <w:spacing w:after="0" w:line="46" w:lineRule="exact"/>
        <w:rPr>
          <w:sz w:val="20"/>
          <w:szCs w:val="20"/>
          <w:color w:val="auto"/>
        </w:rPr>
      </w:pPr>
    </w:p>
    <w:p>
      <w:pPr>
        <w:ind w:left="540" w:right="659"/>
        <w:spacing w:after="0" w:line="253" w:lineRule="auto"/>
        <w:rPr>
          <w:sz w:val="20"/>
          <w:szCs w:val="20"/>
          <w:color w:val="auto"/>
        </w:rPr>
      </w:pPr>
      <w:r>
        <w:rPr>
          <w:rFonts w:ascii="Arial" w:cs="Arial" w:eastAsia="Arial" w:hAnsi="Arial"/>
          <w:sz w:val="18"/>
          <w:szCs w:val="18"/>
          <w:color w:val="auto"/>
        </w:rPr>
        <w:t>the following address [•]. You will need the 12-digit meeting control number that is printed on your proxy card to enter the Special Meeting. BCTG recommends that you log in at least 15 minutes before the Special Meeting to ensure you are logged in when the Special Meeting starts. Please note that you will not be able to physically attend the Special Meeting in person.</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Proxy Solicitation</w:t>
      </w:r>
    </w:p>
    <w:p>
      <w:pPr>
        <w:spacing w:after="0" w:line="148" w:lineRule="exact"/>
        <w:rPr>
          <w:sz w:val="20"/>
          <w:szCs w:val="20"/>
          <w:color w:val="auto"/>
        </w:rPr>
      </w:pPr>
    </w:p>
    <w:p>
      <w:pPr>
        <w:ind w:left="540" w:right="579" w:firstLine="432"/>
        <w:spacing w:after="0" w:line="259" w:lineRule="auto"/>
        <w:rPr>
          <w:sz w:val="20"/>
          <w:szCs w:val="20"/>
          <w:color w:val="auto"/>
        </w:rPr>
      </w:pPr>
      <w:r>
        <w:rPr>
          <w:rFonts w:ascii="Arial" w:cs="Arial" w:eastAsia="Arial" w:hAnsi="Arial"/>
          <w:sz w:val="18"/>
          <w:szCs w:val="18"/>
          <w:color w:val="auto"/>
        </w:rPr>
        <w:t>Proxies may be solicited by mail. We have engaged [•] to assist in the solicitation of proxies. If a stockholder grants a proxy, it may still vote its shares online if it revokes its proxy before the special meeting. A stockholder may also change its vote by submitting a later-dated proxy as described in the section titled “</w:t>
      </w:r>
      <w:r>
        <w:rPr>
          <w:rFonts w:ascii="Arial" w:cs="Arial" w:eastAsia="Arial" w:hAnsi="Arial"/>
          <w:sz w:val="18"/>
          <w:szCs w:val="18"/>
          <w:i w:val="1"/>
          <w:iCs w:val="1"/>
          <w:color w:val="auto"/>
        </w:rPr>
        <w:t>Special Meeting of BCTG Stockholders — Revoking Your Proxy</w:t>
      </w:r>
      <w:r>
        <w:rPr>
          <w:rFonts w:ascii="Arial" w:cs="Arial" w:eastAsia="Arial" w:hAnsi="Arial"/>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Quorum and Required Vote for Proposals for the Special Meeting</w:t>
      </w:r>
    </w:p>
    <w:p>
      <w:pPr>
        <w:spacing w:after="0" w:line="162" w:lineRule="exact"/>
        <w:rPr>
          <w:sz w:val="20"/>
          <w:szCs w:val="20"/>
          <w:color w:val="auto"/>
        </w:rPr>
      </w:pPr>
    </w:p>
    <w:p>
      <w:pPr>
        <w:jc w:val="both"/>
        <w:ind w:left="540" w:right="659" w:firstLine="432"/>
        <w:spacing w:after="0" w:line="287" w:lineRule="auto"/>
        <w:rPr>
          <w:sz w:val="20"/>
          <w:szCs w:val="20"/>
          <w:color w:val="auto"/>
        </w:rPr>
      </w:pPr>
      <w:r>
        <w:rPr>
          <w:rFonts w:ascii="Arial" w:cs="Arial" w:eastAsia="Arial" w:hAnsi="Arial"/>
          <w:sz w:val="16"/>
          <w:szCs w:val="16"/>
          <w:color w:val="auto"/>
        </w:rPr>
        <w:t>A quorum of BCTG stockholders is necessary to hold a valid meeting. A quorum will be present at the Special Meeting of stockholders if a majority of the shares of capital stock of BCTG issued and outstanding and entitled to vote, is represented in person, by virtual attendance or by proxy at the Special Meeting.</w:t>
      </w:r>
    </w:p>
    <w:p>
      <w:pPr>
        <w:spacing w:after="0" w:line="2" w:lineRule="exact"/>
        <w:rPr>
          <w:sz w:val="20"/>
          <w:szCs w:val="20"/>
          <w:color w:val="auto"/>
        </w:rPr>
      </w:pPr>
    </w:p>
    <w:p>
      <w:pPr>
        <w:ind w:left="540" w:right="899"/>
        <w:spacing w:after="0" w:line="260" w:lineRule="auto"/>
        <w:rPr>
          <w:sz w:val="20"/>
          <w:szCs w:val="20"/>
          <w:color w:val="auto"/>
        </w:rPr>
      </w:pPr>
      <w:r>
        <w:rPr>
          <w:rFonts w:ascii="Arial" w:cs="Arial" w:eastAsia="Arial" w:hAnsi="Arial"/>
          <w:sz w:val="18"/>
          <w:szCs w:val="18"/>
          <w:color w:val="auto"/>
        </w:rPr>
        <w:t>Abstentions will count as present for the purposes of establishing a quorum. Broker non-votes will not be counted for purposes of establishing a quorum.</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 w:name="page35"/>
    <w:bookmarkEnd w:id="34"/>
    <w:p>
      <w:pPr>
        <w:ind w:left="460"/>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164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7310" cy="81648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659" w:firstLine="432"/>
        <w:spacing w:after="0" w:line="259" w:lineRule="auto"/>
        <w:rPr>
          <w:sz w:val="20"/>
          <w:szCs w:val="20"/>
          <w:color w:val="auto"/>
        </w:rPr>
      </w:pPr>
      <w:r>
        <w:rPr>
          <w:rFonts w:ascii="Arial" w:cs="Arial" w:eastAsia="Arial" w:hAnsi="Arial"/>
          <w:sz w:val="18"/>
          <w:szCs w:val="18"/>
          <w:color w:val="auto"/>
        </w:rPr>
        <w:t>The approval of the Charter Amendment Proposal requires the affirmative vote of a majority of the issued and outstanding BCTG Common Stock as of the Record Date. Accordingly, a BCTG stockholder’s failure to vote by proxy or to vote online at the Special Meeting or an abstention will have the same effect as a vote “AGAINST” the Charter Amendment Proposal.</w:t>
      </w:r>
    </w:p>
    <w:p>
      <w:pPr>
        <w:spacing w:after="0" w:line="119" w:lineRule="exact"/>
        <w:rPr>
          <w:sz w:val="20"/>
          <w:szCs w:val="20"/>
          <w:color w:val="auto"/>
        </w:rPr>
      </w:pPr>
    </w:p>
    <w:p>
      <w:pPr>
        <w:ind w:left="540" w:right="579" w:firstLine="432"/>
        <w:spacing w:after="0" w:line="268" w:lineRule="auto"/>
        <w:rPr>
          <w:sz w:val="20"/>
          <w:szCs w:val="20"/>
          <w:color w:val="auto"/>
        </w:rPr>
      </w:pPr>
      <w:r>
        <w:rPr>
          <w:rFonts w:ascii="Arial" w:cs="Arial" w:eastAsia="Arial" w:hAnsi="Arial"/>
          <w:sz w:val="17"/>
          <w:szCs w:val="17"/>
          <w:color w:val="auto"/>
        </w:rPr>
        <w:t>The approval of the Business Combination Proposal, the Nasdaq Proposal, the Incentive Plan Proposals and the Adjournment Proposal each require the affirmative vote of the holders of a majority of the shares of BCTG Common Stock present or represented at the Special Meeting, by ballot, proxy or electronic ballot and entitled to vote thereon at the Special Meeting. The approval of the Advisory Charter Proposals is a non-binding advisory vote, and requires the affirmative vote of the holders of a majority of the shares of BCTG Common Stock present or represented at the Special Meeting, by ballot, proxy or electronic ballot and entitled to vote thereon at the Special Meeting. A BCTG stockholder’s failure to vote by proxy or to vote online at the Special Meeting will not be counted towards the number of shares of Common Stock required to validly establish a quorum, and if a valid quorum is otherwise established, it will have no effect on the outcome of the vote on the Business Combination Proposal, the Nasdaq Proposal, the Directors Proposal, the Incentive Plan Proposals and Adjournment Proposal. Approval of the Directors Proposal will require the vote by a plurality of the shares of the Common Stock present by virtual attendance or represented by proxy and entitled to vote at the Meeting.</w:t>
      </w:r>
    </w:p>
    <w:p>
      <w:pPr>
        <w:spacing w:after="0" w:line="105" w:lineRule="exact"/>
        <w:rPr>
          <w:sz w:val="20"/>
          <w:szCs w:val="20"/>
          <w:color w:val="auto"/>
        </w:rPr>
      </w:pPr>
    </w:p>
    <w:p>
      <w:pPr>
        <w:ind w:left="540" w:right="619" w:firstLine="432"/>
        <w:spacing w:after="0" w:line="287" w:lineRule="auto"/>
        <w:rPr>
          <w:sz w:val="20"/>
          <w:szCs w:val="20"/>
          <w:color w:val="auto"/>
        </w:rPr>
      </w:pPr>
      <w:r>
        <w:rPr>
          <w:rFonts w:ascii="Arial" w:cs="Arial" w:eastAsia="Arial" w:hAnsi="Arial"/>
          <w:sz w:val="16"/>
          <w:szCs w:val="16"/>
          <w:color w:val="auto"/>
        </w:rPr>
        <w:t>The Nasdaq Proposal, the Charter Amendment Proposal, the Directors Proposal and the Incentive Plan Proposals are subject to and conditioned on the approval of the Business Combination Proposal and the Business Combination Proposal is subject to and conditioned on the approval of the Nasdaq Proposal, the Charter Amendment Proposal, the Directors Proposal and the Incentive Plan Proposals. The Adjournment Proposal is not subject to and conditioned on any other Proposal and does not require the approval of any other Proposal to be effective. It is important for you to note that in the event the Business Combination Proposal, the Nasdaq Proposal, the Charter Amendment Proposal, the Directors Proposal and the Incentive Plan Proposals do not receive the requisite vote for approval, then BCTG will not consummate the Business Combination. If BCTG does not consummate the Business Combination and fails to complete an initial business combination by September 8, 2022, it will be required to dissolve and liquidate its Trust Account by returning the then remaining funds in such account to its public stockholders.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Recommendation to BCTG Stockholders</w:t>
      </w:r>
    </w:p>
    <w:p>
      <w:pPr>
        <w:spacing w:after="0" w:line="225" w:lineRule="exact"/>
        <w:rPr>
          <w:sz w:val="20"/>
          <w:szCs w:val="20"/>
          <w:color w:val="auto"/>
        </w:rPr>
      </w:pPr>
    </w:p>
    <w:p>
      <w:pPr>
        <w:ind w:left="540" w:right="599"/>
        <w:spacing w:after="0" w:line="266" w:lineRule="auto"/>
        <w:rPr>
          <w:sz w:val="20"/>
          <w:szCs w:val="20"/>
          <w:color w:val="auto"/>
        </w:rPr>
      </w:pPr>
      <w:r>
        <w:rPr>
          <w:rFonts w:ascii="Arial" w:cs="Arial" w:eastAsia="Arial" w:hAnsi="Arial"/>
          <w:sz w:val="18"/>
          <w:szCs w:val="18"/>
          <w:b w:val="1"/>
          <w:bCs w:val="1"/>
          <w:color w:val="auto"/>
        </w:rPr>
        <w:t>The Board believes that the Proposals to be presented at the Special Meeting are in the best interests of BCTG and its stockholders and unanimously recommends that BCTG stockholders vote “FOR” the Proposals.</w:t>
      </w:r>
    </w:p>
    <w:p>
      <w:pPr>
        <w:spacing w:after="0" w:line="112" w:lineRule="exact"/>
        <w:rPr>
          <w:sz w:val="20"/>
          <w:szCs w:val="20"/>
          <w:color w:val="auto"/>
        </w:rPr>
      </w:pPr>
    </w:p>
    <w:p>
      <w:pPr>
        <w:ind w:left="540" w:right="719" w:firstLine="432"/>
        <w:spacing w:after="0" w:line="259" w:lineRule="auto"/>
        <w:rPr>
          <w:sz w:val="20"/>
          <w:szCs w:val="20"/>
          <w:color w:val="auto"/>
        </w:rPr>
      </w:pPr>
      <w:r>
        <w:rPr>
          <w:rFonts w:ascii="Arial" w:cs="Arial" w:eastAsia="Arial" w:hAnsi="Arial"/>
          <w:sz w:val="18"/>
          <w:szCs w:val="18"/>
          <w:color w:val="auto"/>
        </w:rPr>
        <w:t>When you consider the recommendation of the Board in favor of approval of these Proposals, you should keep in mind that BCTG directors, officers and advisors have interests in the Business Combination that are different from or in addition to (and which may conflict with) your interests as a stockholder. These interests include, among other things:</w:t>
      </w:r>
    </w:p>
    <w:p>
      <w:pPr>
        <w:spacing w:after="0" w:line="119" w:lineRule="exact"/>
        <w:rPr>
          <w:sz w:val="20"/>
          <w:szCs w:val="20"/>
          <w:color w:val="auto"/>
        </w:rPr>
      </w:pPr>
    </w:p>
    <w:p>
      <w:pPr>
        <w:ind w:left="1400" w:right="739" w:hanging="424"/>
        <w:spacing w:after="0" w:line="259" w:lineRule="auto"/>
        <w:tabs>
          <w:tab w:leader="none" w:pos="1391" w:val="left"/>
        </w:tabs>
        <w:numPr>
          <w:ilvl w:val="0"/>
          <w:numId w:val="99"/>
        </w:numPr>
        <w:rPr>
          <w:rFonts w:ascii="Arial" w:cs="Arial" w:eastAsia="Arial" w:hAnsi="Arial"/>
          <w:sz w:val="18"/>
          <w:szCs w:val="18"/>
          <w:color w:val="auto"/>
        </w:rPr>
      </w:pPr>
      <w:r>
        <w:rPr>
          <w:rFonts w:ascii="Arial" w:cs="Arial" w:eastAsia="Arial" w:hAnsi="Arial"/>
          <w:sz w:val="18"/>
          <w:szCs w:val="18"/>
          <w:color w:val="auto"/>
        </w:rPr>
        <w:t>unless BCTG consummates an initial business combination, BCTG’s officers, directors and Sponsor will not receive reimbursement for any out-of-pocket expenses incurred by them to the extent that such expenses exceed the amount of available proceeds not deposited in the Trust Account from the BCTG IPO and Private Placement;</w:t>
      </w:r>
    </w:p>
    <w:p>
      <w:pPr>
        <w:spacing w:after="0" w:line="105" w:lineRule="exact"/>
        <w:rPr>
          <w:rFonts w:ascii="Arial" w:cs="Arial" w:eastAsia="Arial" w:hAnsi="Arial"/>
          <w:sz w:val="18"/>
          <w:szCs w:val="18"/>
          <w:color w:val="auto"/>
        </w:rPr>
      </w:pPr>
    </w:p>
    <w:p>
      <w:pPr>
        <w:ind w:left="1400" w:right="599" w:hanging="424"/>
        <w:spacing w:after="0" w:line="289" w:lineRule="auto"/>
        <w:tabs>
          <w:tab w:leader="none" w:pos="1391" w:val="left"/>
        </w:tabs>
        <w:numPr>
          <w:ilvl w:val="0"/>
          <w:numId w:val="99"/>
        </w:numPr>
        <w:rPr>
          <w:rFonts w:ascii="Arial" w:cs="Arial" w:eastAsia="Arial" w:hAnsi="Arial"/>
          <w:sz w:val="16"/>
          <w:szCs w:val="16"/>
          <w:color w:val="auto"/>
        </w:rPr>
      </w:pPr>
      <w:r>
        <w:rPr>
          <w:rFonts w:ascii="Arial" w:cs="Arial" w:eastAsia="Arial" w:hAnsi="Arial"/>
          <w:sz w:val="16"/>
          <w:szCs w:val="16"/>
          <w:color w:val="auto"/>
        </w:rPr>
        <w:t>with certain limited exceptions, the Founders Shares will not be transferable, assignable by our Sponsor or our directors and executive officers until the earlier of: (A) one year after the completion of our initial business combination or (B) subsequent to our initial business combination, (x) if the last reported sale price of our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we complete a liquidation, merger, capital stock exchange, reorganization or other similar transaction that results in all of our stockholders having the right to exchange their shares of common stock for cash, securities or other property;</w:t>
      </w:r>
    </w:p>
    <w:p>
      <w:pPr>
        <w:spacing w:after="0" w:line="98" w:lineRule="exact"/>
        <w:rPr>
          <w:rFonts w:ascii="Arial" w:cs="Arial" w:eastAsia="Arial" w:hAnsi="Arial"/>
          <w:sz w:val="16"/>
          <w:szCs w:val="16"/>
          <w:color w:val="auto"/>
        </w:rPr>
      </w:pPr>
    </w:p>
    <w:p>
      <w:pPr>
        <w:ind w:left="1400" w:right="619" w:hanging="424"/>
        <w:spacing w:after="0" w:line="308" w:lineRule="auto"/>
        <w:tabs>
          <w:tab w:leader="none" w:pos="1391"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fact that the Sponsor paid an aggregate of $25,000 for its Founders Shares and such securities will have a significantly higher value at the time of the Business Combination;</w:t>
      </w:r>
    </w:p>
    <w:p>
      <w:pPr>
        <w:sectPr>
          <w:pgSz w:w="11900" w:h="16838" w:orient="portrait"/>
          <w:cols w:equalWidth="0" w:num="1">
            <w:col w:w="9019"/>
          </w:cols>
          <w:pgMar w:left="1440" w:top="274" w:right="1440" w:bottom="1440" w:gutter="0" w:footer="0" w:header="0"/>
          <w:type w:val="continuous"/>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5" w:name="page36"/>
    <w:bookmarkEnd w:id="3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5876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7310" cy="5876290"/>
                    </a:xfrm>
                    <a:prstGeom prst="rect">
                      <a:avLst/>
                    </a:prstGeom>
                    <a:noFill/>
                  </pic:spPr>
                </pic:pic>
              </a:graphicData>
            </a:graphic>
          </wp:anchor>
        </w:drawing>
      </w:r>
    </w:p>
    <w:p>
      <w:pPr>
        <w:spacing w:after="0" w:line="327" w:lineRule="exact"/>
        <w:rPr>
          <w:sz w:val="20"/>
          <w:szCs w:val="20"/>
          <w:color w:val="auto"/>
        </w:rPr>
      </w:pPr>
    </w:p>
    <w:p>
      <w:pPr>
        <w:ind w:left="1400" w:right="639" w:hanging="424"/>
        <w:spacing w:after="0" w:line="308" w:lineRule="auto"/>
        <w:tabs>
          <w:tab w:leader="none" w:pos="139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fact that the Sponsor has agreed not to redeem any of the Founders Shares in connection with a stockholder vote to approve a proposed initial business combination; and</w:t>
      </w:r>
    </w:p>
    <w:p>
      <w:pPr>
        <w:spacing w:after="0" w:line="78" w:lineRule="exact"/>
        <w:rPr>
          <w:rFonts w:ascii="Arial" w:cs="Arial" w:eastAsia="Arial" w:hAnsi="Arial"/>
          <w:sz w:val="17"/>
          <w:szCs w:val="17"/>
          <w:color w:val="auto"/>
        </w:rPr>
      </w:pPr>
    </w:p>
    <w:p>
      <w:pPr>
        <w:ind w:left="1400" w:right="599" w:hanging="424"/>
        <w:spacing w:after="0" w:line="263" w:lineRule="auto"/>
        <w:tabs>
          <w:tab w:leader="none" w:pos="139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Boxer Capital, an affiliate of the Sponsor, has a seat on the Tango board of directors (occupied by Aaron Davis) and owns approximately 15% of Tango’s outstanding securities prior to the Business Combination.</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Emerging Growth Company</w:t>
      </w:r>
    </w:p>
    <w:p>
      <w:pPr>
        <w:spacing w:after="0" w:line="148" w:lineRule="exact"/>
        <w:rPr>
          <w:sz w:val="20"/>
          <w:szCs w:val="20"/>
          <w:color w:val="auto"/>
        </w:rPr>
      </w:pPr>
    </w:p>
    <w:p>
      <w:pPr>
        <w:ind w:left="540" w:right="619" w:firstLine="432"/>
        <w:spacing w:after="0" w:line="291" w:lineRule="auto"/>
        <w:rPr>
          <w:sz w:val="20"/>
          <w:szCs w:val="20"/>
          <w:color w:val="auto"/>
        </w:rPr>
      </w:pPr>
      <w:r>
        <w:rPr>
          <w:rFonts w:ascii="Arial" w:cs="Arial" w:eastAsia="Arial" w:hAnsi="Arial"/>
          <w:sz w:val="16"/>
          <w:szCs w:val="16"/>
          <w:color w:val="auto"/>
        </w:rPr>
        <w:t>BCTG is an “emerging growth company,” as defined in Section 2(a) of the Securities Act, as modified by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99" w:lineRule="exact"/>
        <w:rPr>
          <w:sz w:val="20"/>
          <w:szCs w:val="20"/>
          <w:color w:val="auto"/>
        </w:rPr>
      </w:pPr>
    </w:p>
    <w:p>
      <w:pPr>
        <w:ind w:left="540" w:right="559" w:firstLine="432"/>
        <w:spacing w:after="0" w:line="287"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BCTG has elected not to opt out of such extended transition period, which means that when a standard is issued or revised and it has different application dates for public or private companies, BCTG, as an emerging growth company, can adopt the new or revised standard at the time private companies adopt the new or revised standard. This may make comparison of BCTG’s financial statements with certain other public companies difficult or impossible because of the potential differences in accounting standards used.</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We will remain an emerging growth company until the earlier of: (i) the last day of the fiscal year</w:t>
      </w:r>
    </w:p>
    <w:p>
      <w:pPr>
        <w:spacing w:after="0" w:line="23" w:lineRule="exact"/>
        <w:rPr>
          <w:sz w:val="20"/>
          <w:szCs w:val="20"/>
          <w:color w:val="auto"/>
        </w:rPr>
      </w:pPr>
    </w:p>
    <w:p>
      <w:pPr>
        <w:ind w:left="540" w:right="659" w:firstLine="4"/>
        <w:spacing w:after="0" w:line="290" w:lineRule="auto"/>
        <w:tabs>
          <w:tab w:leader="none" w:pos="78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following the fifth anniversary of the closing of the BCTG IPO, (b) in which we have total annual gross revenue of at least $1.07 billion, or (c) in which we are deemed to be a large accelerated filer, which means the market value of our common equity that is held by non-affiliates exceeds $700 million as of the last business day of our most recently completed second fiscal quarter; and (ii) the date on which we have issued more than $1.00 billion in non-convertible debt securities during the prior three-year period. References herein to “emerging growth company” have the meaning associated with it in the JOBS Act.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540" w:right="719" w:firstLine="432"/>
        <w:spacing w:after="0" w:line="263" w:lineRule="auto"/>
        <w:rPr>
          <w:sz w:val="20"/>
          <w:szCs w:val="20"/>
          <w:color w:val="auto"/>
        </w:rPr>
      </w:pPr>
      <w:r>
        <w:rPr>
          <w:rFonts w:ascii="Arial" w:cs="Arial" w:eastAsia="Arial" w:hAnsi="Arial"/>
          <w:sz w:val="18"/>
          <w:szCs w:val="18"/>
          <w:color w:val="auto"/>
        </w:rPr>
        <w:t>In evaluating the Proposals set forth in this proxy statement/prospectus, you should carefully read this proxy statement/prospectus, including the annexes, and especially consider the factors discussed in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 w:name="page37"/>
    <w:bookmarkEnd w:id="3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68364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7310" cy="683641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Risks Related to Tango</w:t>
      </w:r>
    </w:p>
    <w:p>
      <w:pPr>
        <w:spacing w:after="0" w:line="162" w:lineRule="exact"/>
        <w:rPr>
          <w:sz w:val="20"/>
          <w:szCs w:val="20"/>
          <w:color w:val="auto"/>
        </w:rPr>
      </w:pPr>
    </w:p>
    <w:p>
      <w:pPr>
        <w:ind w:left="1400" w:right="579" w:hanging="424"/>
        <w:spacing w:after="0" w:line="277" w:lineRule="auto"/>
        <w:tabs>
          <w:tab w:leader="none" w:pos="139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Tango is a biopharmaceutical company with a limited operating history and has not generated any revenue to date from drug sales, and may never become profitable.</w:t>
      </w:r>
    </w:p>
    <w:p>
      <w:pPr>
        <w:spacing w:after="0" w:line="102" w:lineRule="exact"/>
        <w:rPr>
          <w:rFonts w:ascii="Arial" w:cs="Arial" w:eastAsia="Arial" w:hAnsi="Arial"/>
          <w:sz w:val="18"/>
          <w:szCs w:val="18"/>
          <w:color w:val="auto"/>
        </w:rPr>
      </w:pPr>
    </w:p>
    <w:p>
      <w:pPr>
        <w:ind w:left="1400" w:right="679" w:hanging="424"/>
        <w:spacing w:after="0" w:line="277" w:lineRule="auto"/>
        <w:tabs>
          <w:tab w:leader="none" w:pos="139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Tango has incurred significant operating losses in recent periods and anticipates that it will incur continued losses for the foreseeable future.</w:t>
      </w:r>
    </w:p>
    <w:p>
      <w:pPr>
        <w:spacing w:after="0" w:line="89" w:lineRule="exact"/>
        <w:rPr>
          <w:rFonts w:ascii="Arial" w:cs="Arial" w:eastAsia="Arial" w:hAnsi="Arial"/>
          <w:sz w:val="18"/>
          <w:szCs w:val="18"/>
          <w:color w:val="auto"/>
        </w:rPr>
      </w:pPr>
    </w:p>
    <w:p>
      <w:pPr>
        <w:jc w:val="both"/>
        <w:ind w:left="1400" w:right="779" w:hanging="424"/>
        <w:spacing w:after="0" w:line="286" w:lineRule="auto"/>
        <w:tabs>
          <w:tab w:leader="none" w:pos="139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Tango will need to raise substantial additional funding. If Tango is unable to raise capital when needed or on attractive terms, it would be forced to delay, scale back or discontinue some of its product candidate development programs or future commercialization efforts.</w:t>
      </w:r>
    </w:p>
    <w:p>
      <w:pPr>
        <w:spacing w:after="0" w:line="97" w:lineRule="exact"/>
        <w:rPr>
          <w:rFonts w:ascii="Arial" w:cs="Arial" w:eastAsia="Arial" w:hAnsi="Arial"/>
          <w:sz w:val="17"/>
          <w:szCs w:val="17"/>
          <w:color w:val="auto"/>
        </w:rPr>
      </w:pPr>
    </w:p>
    <w:p>
      <w:pPr>
        <w:ind w:left="1400" w:right="739" w:hanging="424"/>
        <w:spacing w:after="0" w:line="311" w:lineRule="auto"/>
        <w:tabs>
          <w:tab w:leader="none" w:pos="1391"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Tango’s programs are still in preclinical development. If Tango is unable to advance them into and through the clinic for safety or efficacy reasons or commercialize our product candidates or experience significant delays in doing so, its business will be materially harmed.</w:t>
      </w:r>
    </w:p>
    <w:p>
      <w:pPr>
        <w:spacing w:after="0" w:line="81" w:lineRule="exact"/>
        <w:rPr>
          <w:rFonts w:ascii="Arial" w:cs="Arial" w:eastAsia="Arial" w:hAnsi="Arial"/>
          <w:sz w:val="16"/>
          <w:szCs w:val="16"/>
          <w:color w:val="auto"/>
        </w:rPr>
      </w:pPr>
    </w:p>
    <w:p>
      <w:pPr>
        <w:ind w:left="1400" w:right="599" w:hanging="424"/>
        <w:spacing w:after="0" w:line="263" w:lineRule="auto"/>
        <w:tabs>
          <w:tab w:leader="none" w:pos="139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Tango’s approach to the discovery and development of product candidates is novel and unproven, which makes it difficult to predict the time, cost of development, and likelihood of successfully developing any products.</w:t>
      </w:r>
    </w:p>
    <w:p>
      <w:pPr>
        <w:spacing w:after="0" w:line="102" w:lineRule="exact"/>
        <w:rPr>
          <w:rFonts w:ascii="Arial" w:cs="Arial" w:eastAsia="Arial" w:hAnsi="Arial"/>
          <w:sz w:val="18"/>
          <w:szCs w:val="18"/>
          <w:color w:val="auto"/>
        </w:rPr>
      </w:pPr>
    </w:p>
    <w:p>
      <w:pPr>
        <w:jc w:val="both"/>
        <w:ind w:left="1400" w:right="799" w:hanging="424"/>
        <w:spacing w:after="0" w:line="263" w:lineRule="auto"/>
        <w:tabs>
          <w:tab w:leader="none" w:pos="139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Business interruptions resulting from the coronavirus disease (COVID-19) outbreak or similar public health crises could cause a disruption of the development of Tango’s product candidates and adversely impact our business.</w:t>
      </w:r>
    </w:p>
    <w:p>
      <w:pPr>
        <w:spacing w:after="0" w:line="116" w:lineRule="exact"/>
        <w:rPr>
          <w:rFonts w:ascii="Arial" w:cs="Arial" w:eastAsia="Arial" w:hAnsi="Arial"/>
          <w:sz w:val="18"/>
          <w:szCs w:val="18"/>
          <w:color w:val="auto"/>
        </w:rPr>
      </w:pPr>
    </w:p>
    <w:p>
      <w:pPr>
        <w:jc w:val="both"/>
        <w:ind w:left="1400" w:right="559" w:hanging="424"/>
        <w:spacing w:after="0" w:line="259" w:lineRule="auto"/>
        <w:tabs>
          <w:tab w:leader="none" w:pos="139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Tango may not be successful in it efforts to identify or discover additional product candidates or it may expend its limited resources to pursue a particular product candidate or indication and fail to capitalize on product candidates or indications that may be more profitable or for which there is a greater likelihood of success.</w:t>
      </w:r>
    </w:p>
    <w:p>
      <w:pPr>
        <w:spacing w:after="0" w:line="119" w:lineRule="exact"/>
        <w:rPr>
          <w:rFonts w:ascii="Arial" w:cs="Arial" w:eastAsia="Arial" w:hAnsi="Arial"/>
          <w:sz w:val="18"/>
          <w:szCs w:val="18"/>
          <w:color w:val="auto"/>
        </w:rPr>
      </w:pPr>
    </w:p>
    <w:p>
      <w:pPr>
        <w:ind w:left="1400" w:right="879" w:hanging="424"/>
        <w:spacing w:after="0" w:line="308" w:lineRule="auto"/>
        <w:tabs>
          <w:tab w:leader="none" w:pos="139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If Tango experiences delays or difficulties in the initiation or enrollment of patients in clinical trials, its receipt of necessary regulatory approvals could be delayed or prevented.</w:t>
      </w:r>
    </w:p>
    <w:p>
      <w:pPr>
        <w:spacing w:after="0" w:line="65" w:lineRule="exact"/>
        <w:rPr>
          <w:rFonts w:ascii="Arial" w:cs="Arial" w:eastAsia="Arial" w:hAnsi="Arial"/>
          <w:sz w:val="17"/>
          <w:szCs w:val="17"/>
          <w:color w:val="auto"/>
        </w:rPr>
      </w:pPr>
    </w:p>
    <w:p>
      <w:pPr>
        <w:ind w:left="1400" w:right="619" w:hanging="424"/>
        <w:spacing w:after="0" w:line="311" w:lineRule="auto"/>
        <w:tabs>
          <w:tab w:leader="none" w:pos="1391"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Tango’s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81" w:lineRule="exact"/>
        <w:rPr>
          <w:rFonts w:ascii="Arial" w:cs="Arial" w:eastAsia="Arial" w:hAnsi="Arial"/>
          <w:sz w:val="16"/>
          <w:szCs w:val="16"/>
          <w:color w:val="auto"/>
        </w:rPr>
      </w:pPr>
    </w:p>
    <w:p>
      <w:pPr>
        <w:ind w:left="1400" w:right="719" w:hanging="424"/>
        <w:spacing w:after="0" w:line="263" w:lineRule="auto"/>
        <w:tabs>
          <w:tab w:leader="none" w:pos="139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Even if Tango receives regulatory approval for any of its current or future product candidates, it will be subject to ongoing obligations and continued regulatory review, which may result in significant additional expense.</w:t>
      </w:r>
    </w:p>
    <w:p>
      <w:pPr>
        <w:spacing w:after="0" w:line="116" w:lineRule="exact"/>
        <w:rPr>
          <w:rFonts w:ascii="Arial" w:cs="Arial" w:eastAsia="Arial" w:hAnsi="Arial"/>
          <w:sz w:val="18"/>
          <w:szCs w:val="18"/>
          <w:color w:val="auto"/>
        </w:rPr>
      </w:pPr>
    </w:p>
    <w:p>
      <w:pPr>
        <w:ind w:left="1400" w:right="619" w:hanging="424"/>
        <w:spacing w:after="0" w:line="296" w:lineRule="auto"/>
        <w:tabs>
          <w:tab w:leader="none" w:pos="1391"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Tango relies, and expects to continue to rely, on third parties to conduct its ongoing and planned clinical trials for its current and future product candidates. If these third parties do not successfully carry out their contractual duties, comply with regulatory requirements or meet expected deadlines, Tango may not be able to obtain marketing approval for or commercialize its current and potential future product candidates and its business could be substantially harmed.</w:t>
      </w:r>
    </w:p>
    <w:p>
      <w:pPr>
        <w:spacing w:after="0" w:line="80" w:lineRule="exact"/>
        <w:rPr>
          <w:rFonts w:ascii="Arial" w:cs="Arial" w:eastAsia="Arial" w:hAnsi="Arial"/>
          <w:sz w:val="16"/>
          <w:szCs w:val="16"/>
          <w:color w:val="auto"/>
        </w:rPr>
      </w:pPr>
    </w:p>
    <w:p>
      <w:pPr>
        <w:ind w:left="1400" w:right="639" w:hanging="424"/>
        <w:spacing w:after="0" w:line="257" w:lineRule="auto"/>
        <w:tabs>
          <w:tab w:leader="none" w:pos="139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Tango is unable to obtain and maintain patent and other intellectual property protection for its technology and product candidates or if the scope of the intellectual property protection obtained is not sufficiently broad, its competitors could develop and commercialize technology and drugs similar or identical to Tango’s, and its ability to successfully commercialize its technology and drugs may be impaired.</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 w:name="page38"/>
    <w:bookmarkEnd w:id="37"/>
    <w:p>
      <w:pPr>
        <w:ind w:left="460"/>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036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7310" cy="803656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HISTORICAL CONSOLIDATED FINANCIAL INFORMATION OF TANGO</w:t>
      </w:r>
    </w:p>
    <w:p>
      <w:pPr>
        <w:spacing w:after="0" w:line="162" w:lineRule="exact"/>
        <w:rPr>
          <w:sz w:val="20"/>
          <w:szCs w:val="20"/>
          <w:color w:val="auto"/>
        </w:rPr>
      </w:pPr>
    </w:p>
    <w:p>
      <w:pPr>
        <w:ind w:left="540" w:right="979" w:firstLine="432"/>
        <w:spacing w:after="0" w:line="255" w:lineRule="auto"/>
        <w:rPr>
          <w:sz w:val="20"/>
          <w:szCs w:val="20"/>
          <w:color w:val="auto"/>
        </w:rPr>
      </w:pPr>
      <w:r>
        <w:rPr>
          <w:rFonts w:ascii="Arial" w:cs="Arial" w:eastAsia="Arial" w:hAnsi="Arial"/>
          <w:sz w:val="18"/>
          <w:szCs w:val="18"/>
          <w:color w:val="auto"/>
        </w:rPr>
        <w:t>The following tables summarize Tango’s historical financial data. Tango has derived the summary statements of operations data for the years ended December 31, 2020 and December 31, 2019 and the summary consolidated balance sheet data as of December 31, 2020 and December 31, 2019 from Tango Therapeutic’s audited consolidated financial statements appearing elsewhere in this proxy statement/prospectus. Tango’s historical results are not necessarily indicative of the results that may be expected in the future.</w:t>
      </w:r>
    </w:p>
    <w:p>
      <w:pPr>
        <w:spacing w:after="0" w:line="125" w:lineRule="exact"/>
        <w:rPr>
          <w:sz w:val="20"/>
          <w:szCs w:val="20"/>
          <w:color w:val="auto"/>
        </w:rPr>
      </w:pPr>
    </w:p>
    <w:p>
      <w:pPr>
        <w:ind w:left="540" w:right="759" w:firstLine="432"/>
        <w:spacing w:after="0" w:line="286" w:lineRule="auto"/>
        <w:rPr>
          <w:sz w:val="20"/>
          <w:szCs w:val="20"/>
          <w:color w:val="auto"/>
        </w:rPr>
      </w:pPr>
      <w:r>
        <w:rPr>
          <w:rFonts w:ascii="Arial" w:cs="Arial" w:eastAsia="Arial" w:hAnsi="Arial"/>
          <w:sz w:val="17"/>
          <w:szCs w:val="17"/>
          <w:color w:val="auto"/>
        </w:rPr>
        <w:t>You should read this data together with Tango’s audited consolidated financial statements and related notes included elsewhere in this proxy statement/prospectus and the section titled and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Discussion and Analysis of Financial Condition and Results of Operations of Tango</w:t>
      </w:r>
      <w:r>
        <w:rPr>
          <w:rFonts w:ascii="Arial" w:cs="Arial" w:eastAsia="Arial" w:hAnsi="Arial"/>
          <w:sz w:val="17"/>
          <w:szCs w:val="17"/>
          <w:color w:val="auto"/>
        </w:rPr>
        <w:t>.”</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Statements of Operations and Comprehensive Loss Data:</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6"/>
          </w:tcPr>
          <w:p>
            <w:pPr>
              <w:jc w:val="right"/>
              <w:ind w:right="281"/>
              <w:spacing w:after="0"/>
              <w:rPr>
                <w:sz w:val="20"/>
                <w:szCs w:val="20"/>
                <w:color w:val="auto"/>
              </w:rPr>
            </w:pPr>
            <w:r>
              <w:rPr>
                <w:rFonts w:ascii="Arial" w:cs="Arial" w:eastAsia="Arial" w:hAnsi="Arial"/>
                <w:sz w:val="16"/>
                <w:szCs w:val="16"/>
                <w:b w:val="1"/>
                <w:bCs w:val="1"/>
                <w:color w:val="auto"/>
                <w:w w:val="99"/>
              </w:rPr>
              <w:t>Year Ended December 31,</w:t>
            </w:r>
          </w:p>
        </w:tc>
        <w:tc>
          <w:tcPr>
            <w:tcW w:w="0" w:type="dxa"/>
            <w:vAlign w:val="bottom"/>
          </w:tcPr>
          <w:p>
            <w:pPr>
              <w:spacing w:after="0"/>
              <w:rPr>
                <w:sz w:val="1"/>
                <w:szCs w:val="1"/>
                <w:color w:val="auto"/>
              </w:rPr>
            </w:pPr>
          </w:p>
        </w:tc>
      </w:tr>
      <w:tr>
        <w:trPr>
          <w:trHeight w:val="46"/>
        </w:trPr>
        <w:tc>
          <w:tcPr>
            <w:tcW w:w="54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400" w:type="dxa"/>
            <w:vAlign w:val="bottom"/>
            <w:gridSpan w:val="2"/>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3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4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24,649</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9,865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7,537</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59,856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39,811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4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(15,162)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4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income, net</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Total other income, net</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(51,972</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CCEEFF"/>
            </w:tcBorders>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(14,095</w:t>
            </w:r>
          </w:p>
        </w:tc>
        <w:tc>
          <w:tcPr>
            <w:tcW w:w="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4"/>
        </w:trPr>
        <w:tc>
          <w:tcPr>
            <w:tcW w:w="5400" w:type="dxa"/>
            <w:vAlign w:val="bottom"/>
            <w:gridSpan w:val="2"/>
          </w:tcPr>
          <w:p>
            <w:pPr>
              <w:spacing w:after="0"/>
              <w:rPr>
                <w:sz w:val="20"/>
                <w:szCs w:val="20"/>
                <w:color w:val="auto"/>
              </w:rPr>
            </w:pPr>
            <w:r>
              <w:rPr>
                <w:rFonts w:ascii="Arial" w:cs="Arial" w:eastAsia="Arial" w:hAnsi="Arial"/>
                <w:sz w:val="18"/>
                <w:szCs w:val="18"/>
                <w:color w:val="auto"/>
              </w:rPr>
              <w:t>Net loss per common share – basic and diluted</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5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 average number of common shares outstanding – basic and</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11,461,011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8,985,710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4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(51,972)</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(14,095)</w:t>
            </w:r>
          </w:p>
        </w:tc>
        <w:tc>
          <w:tcPr>
            <w:tcW w:w="0" w:type="dxa"/>
            <w:vAlign w:val="bottom"/>
          </w:tcPr>
          <w:p>
            <w:pPr>
              <w:spacing w:after="0"/>
              <w:rPr>
                <w:sz w:val="1"/>
                <w:szCs w:val="1"/>
                <w:color w:val="auto"/>
              </w:rPr>
            </w:pPr>
          </w:p>
        </w:tc>
      </w:tr>
      <w:tr>
        <w:trPr>
          <w:trHeight w:val="27"/>
        </w:trPr>
        <w:tc>
          <w:tcPr>
            <w:tcW w:w="54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Unrealized gain on marketable securities</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(51,965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CCEEFF"/>
            </w:tcBorders>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(14,078</w:t>
            </w:r>
          </w:p>
        </w:tc>
        <w:tc>
          <w:tcPr>
            <w:tcW w:w="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426"/>
        </w:trPr>
        <w:tc>
          <w:tcPr>
            <w:tcW w:w="5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Balance Sheet Data:</w:t>
            </w: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6"/>
          </w:tcPr>
          <w:p>
            <w:pPr>
              <w:jc w:val="right"/>
              <w:ind w:right="70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54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3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4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28,381</w:t>
            </w:r>
          </w:p>
        </w:tc>
        <w:tc>
          <w:tcPr>
            <w:tcW w:w="140" w:type="dxa"/>
            <w:vAlign w:val="bottom"/>
          </w:tcPr>
          <w:p>
            <w:pPr>
              <w:spacing w:after="0"/>
              <w:rPr>
                <w:sz w:val="21"/>
                <w:szCs w:val="21"/>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22,889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400" w:type="dxa"/>
            <w:vAlign w:val="bottom"/>
            <w:gridSpan w:val="2"/>
          </w:tcPr>
          <w:p>
            <w:pPr>
              <w:spacing w:after="0"/>
              <w:rPr>
                <w:sz w:val="3"/>
                <w:szCs w:val="3"/>
                <w:color w:val="auto"/>
              </w:rPr>
            </w:pPr>
          </w:p>
        </w:tc>
        <w:tc>
          <w:tcPr>
            <w:tcW w:w="2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207,252</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55,764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168,652</w:t>
            </w:r>
          </w:p>
        </w:tc>
        <w:tc>
          <w:tcPr>
            <w:tcW w:w="140" w:type="dxa"/>
            <w:vAlign w:val="bottom"/>
          </w:tcPr>
          <w:p>
            <w:pPr>
              <w:spacing w:after="0"/>
              <w:rPr>
                <w:sz w:val="21"/>
                <w:szCs w:val="21"/>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47,859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400" w:type="dxa"/>
            <w:vAlign w:val="bottom"/>
            <w:gridSpan w:val="2"/>
          </w:tcPr>
          <w:p>
            <w:pPr>
              <w:spacing w:after="0"/>
              <w:rPr>
                <w:sz w:val="3"/>
                <w:szCs w:val="3"/>
                <w:color w:val="auto"/>
              </w:rPr>
            </w:pPr>
          </w:p>
        </w:tc>
        <w:tc>
          <w:tcPr>
            <w:tcW w:w="2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136,544</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0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(103,101)</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(51,129)</w:t>
            </w:r>
          </w:p>
        </w:tc>
        <w:tc>
          <w:tcPr>
            <w:tcW w:w="0" w:type="dxa"/>
            <w:vAlign w:val="bottom"/>
          </w:tcPr>
          <w:p>
            <w:pPr>
              <w:spacing w:after="0"/>
              <w:rPr>
                <w:sz w:val="1"/>
                <w:szCs w:val="1"/>
                <w:color w:val="auto"/>
              </w:rPr>
            </w:pPr>
          </w:p>
        </w:tc>
      </w:tr>
      <w:tr>
        <w:trPr>
          <w:trHeight w:val="41"/>
        </w:trPr>
        <w:tc>
          <w:tcPr>
            <w:tcW w:w="5400" w:type="dxa"/>
            <w:vAlign w:val="bottom"/>
            <w:gridSpan w:val="2"/>
          </w:tcPr>
          <w:p>
            <w:pPr>
              <w:spacing w:after="0"/>
              <w:rPr>
                <w:sz w:val="3"/>
                <w:szCs w:val="3"/>
                <w:color w:val="auto"/>
              </w:rPr>
            </w:pPr>
          </w:p>
        </w:tc>
        <w:tc>
          <w:tcPr>
            <w:tcW w:w="220" w:type="dxa"/>
            <w:vAlign w:val="bottom"/>
            <w:gridSpan w:val="2"/>
          </w:tcPr>
          <w:p>
            <w:pPr>
              <w:spacing w:after="0"/>
              <w:rPr>
                <w:sz w:val="3"/>
                <w:szCs w:val="3"/>
                <w:color w:val="auto"/>
              </w:rPr>
            </w:pPr>
          </w:p>
        </w:tc>
        <w:tc>
          <w:tcPr>
            <w:tcW w:w="980" w:type="dxa"/>
            <w:vAlign w:val="bottom"/>
            <w:gridSpan w:val="2"/>
          </w:tcPr>
          <w:p>
            <w:pPr>
              <w:spacing w:after="0"/>
              <w:rPr>
                <w:sz w:val="3"/>
                <w:szCs w:val="3"/>
                <w:color w:val="auto"/>
              </w:rPr>
            </w:pPr>
          </w:p>
        </w:tc>
        <w:tc>
          <w:tcPr>
            <w:tcW w:w="320" w:type="dxa"/>
            <w:vAlign w:val="bottom"/>
            <w:gridSpan w:val="2"/>
          </w:tcPr>
          <w:p>
            <w:pPr>
              <w:spacing w:after="0"/>
              <w:rPr>
                <w:sz w:val="3"/>
                <w:szCs w:val="3"/>
                <w:color w:val="auto"/>
              </w:rPr>
            </w:pPr>
          </w:p>
        </w:tc>
        <w:tc>
          <w:tcPr>
            <w:tcW w:w="10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(97,944)</w:t>
            </w: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(47,795)</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4" w:right="1440" w:bottom="1440" w:gutter="0" w:footer="0" w:header="0"/>
          <w:type w:val="continuous"/>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8" w:name="page39"/>
    <w:bookmarkEnd w:id="3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63817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7310" cy="638175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HISTORICAL FINANCIAL INFORMATION OF BCTG</w:t>
      </w:r>
    </w:p>
    <w:p>
      <w:pPr>
        <w:spacing w:after="0" w:line="162" w:lineRule="exact"/>
        <w:rPr>
          <w:sz w:val="20"/>
          <w:szCs w:val="20"/>
          <w:color w:val="auto"/>
        </w:rPr>
      </w:pPr>
    </w:p>
    <w:p>
      <w:pPr>
        <w:ind w:left="540" w:right="599" w:firstLine="432"/>
        <w:spacing w:after="0" w:line="257" w:lineRule="auto"/>
        <w:rPr>
          <w:sz w:val="20"/>
          <w:szCs w:val="20"/>
          <w:color w:val="auto"/>
        </w:rPr>
      </w:pPr>
      <w:r>
        <w:rPr>
          <w:rFonts w:ascii="Arial" w:cs="Arial" w:eastAsia="Arial" w:hAnsi="Arial"/>
          <w:sz w:val="18"/>
          <w:szCs w:val="18"/>
          <w:color w:val="auto"/>
        </w:rPr>
        <w:t>The following tables set forth summary historical financial data derived from BCTG’s audited financial statements as of December 31, 2020 and for the period from May 21, 2020 (inception) through December 31, 2020, each of which is included elsewhere in this proxy statement/prospectus. Such financial information should be read in conjunction with the audited financial statements and related notes included elsewhere in this proxy statement/prospectus.</w:t>
      </w:r>
    </w:p>
    <w:p>
      <w:pPr>
        <w:spacing w:after="0" w:line="116" w:lineRule="exact"/>
        <w:rPr>
          <w:sz w:val="20"/>
          <w:szCs w:val="20"/>
          <w:color w:val="auto"/>
        </w:rPr>
      </w:pPr>
    </w:p>
    <w:p>
      <w:pPr>
        <w:ind w:left="540" w:right="719" w:firstLine="432"/>
        <w:spacing w:after="0" w:line="258" w:lineRule="auto"/>
        <w:rPr>
          <w:sz w:val="20"/>
          <w:szCs w:val="20"/>
          <w:color w:val="auto"/>
        </w:rPr>
      </w:pPr>
      <w:r>
        <w:rPr>
          <w:rFonts w:ascii="Arial" w:cs="Arial" w:eastAsia="Arial" w:hAnsi="Arial"/>
          <w:sz w:val="18"/>
          <w:szCs w:val="18"/>
          <w:b w:val="1"/>
          <w:bCs w:val="1"/>
          <w:color w:val="auto"/>
        </w:rPr>
        <w:t>The historical results presented below are not necessarily indicative of the results to be expected for any future period. You should carefully read the following selected financial information in conjunction with the section titled “</w:t>
      </w:r>
      <w:r>
        <w:rPr>
          <w:rFonts w:ascii="Arial" w:cs="Arial" w:eastAsia="Arial" w:hAnsi="Arial"/>
          <w:sz w:val="18"/>
          <w:szCs w:val="18"/>
          <w:b w:val="1"/>
          <w:bCs w:val="1"/>
          <w:i w:val="1"/>
          <w:iCs w:val="1"/>
          <w:color w:val="auto"/>
        </w:rPr>
        <w:t>Management’s Discussion and Analysis of Financial Condition and</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Results of Operations of BCTG</w:t>
      </w:r>
      <w:r>
        <w:rPr>
          <w:rFonts w:ascii="Arial" w:cs="Arial" w:eastAsia="Arial" w:hAnsi="Arial"/>
          <w:sz w:val="18"/>
          <w:szCs w:val="18"/>
          <w:b w:val="1"/>
          <w:bCs w:val="1"/>
          <w:color w:val="auto"/>
        </w:rPr>
        <w:t>” and BCTG’s financial statements and the related notes appearing</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elsewhere in this proxy statement/prospectus.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Period From May 21, 2020 (inception) through December 31, 2020</w:t>
      </w:r>
    </w:p>
    <w:p>
      <w:pPr>
        <w:spacing w:after="0" w:line="185" w:lineRule="exact"/>
        <w:rPr>
          <w:sz w:val="20"/>
          <w:szCs w:val="20"/>
          <w:color w:val="auto"/>
        </w:rPr>
      </w:pPr>
    </w:p>
    <w:tbl>
      <w:tblPr>
        <w:tblLayout w:type="fixed"/>
        <w:tblInd w:w="540" w:type="dxa"/>
        <w:tblCellMar>
          <w:top w:w="0" w:type="dxa"/>
          <w:left w:w="0" w:type="dxa"/>
          <w:bottom w:w="0" w:type="dxa"/>
          <w:right w:w="0" w:type="dxa"/>
        </w:tblCellMar>
      </w:tblPr>
      <w:tr>
        <w:trPr>
          <w:trHeight w:val="263"/>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40" w:type="dxa"/>
            <w:vAlign w:val="bottom"/>
            <w:tcBorders>
              <w:bottom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108,865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Administrative expenses – related party</w:t>
            </w: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Franchise tax expense</w:t>
            </w:r>
          </w:p>
        </w:tc>
        <w:tc>
          <w:tcPr>
            <w:tcW w:w="8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32,563</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4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8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8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65,246</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40" w:type="dxa"/>
            <w:vAlign w:val="bottom"/>
          </w:tcPr>
          <w:p>
            <w:pPr>
              <w:spacing w:after="0"/>
              <w:rPr>
                <w:sz w:val="20"/>
                <w:szCs w:val="20"/>
                <w:color w:val="auto"/>
              </w:rPr>
            </w:pPr>
            <w:r>
              <w:rPr>
                <w:rFonts w:ascii="Arial" w:cs="Arial" w:eastAsia="Arial" w:hAnsi="Arial"/>
                <w:sz w:val="18"/>
                <w:szCs w:val="18"/>
                <w:b w:val="1"/>
                <w:bCs w:val="1"/>
                <w:color w:val="auto"/>
              </w:rPr>
              <w:t>Loss before income tax expense</w:t>
            </w:r>
          </w:p>
        </w:tc>
        <w:tc>
          <w:tcPr>
            <w:tcW w:w="8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(116,182)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8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6,864</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86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(123,046</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584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Weighted average shares outstanding, of Public Shares</w:t>
            </w:r>
          </w:p>
        </w:tc>
        <w:tc>
          <w:tcPr>
            <w:tcW w:w="8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16,675,000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 Public Shares</w:t>
            </w:r>
          </w:p>
        </w:tc>
        <w:tc>
          <w:tcPr>
            <w:tcW w:w="1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40" w:type="dxa"/>
            <w:vAlign w:val="bottom"/>
            <w:tcBorders>
              <w:bottom w:val="single" w:sz="8" w:color="CCEEFF"/>
            </w:tcBorders>
            <w:vMerge w:val="continue"/>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Weighted average shares outstanding, of Founder Shares</w:t>
            </w:r>
          </w:p>
        </w:tc>
        <w:tc>
          <w:tcPr>
            <w:tcW w:w="8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4,212,127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 Founder Shares</w:t>
            </w:r>
          </w:p>
        </w:tc>
        <w:tc>
          <w:tcPr>
            <w:tcW w:w="1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2940"/>
              <w:spacing w:after="0"/>
              <w:rPr>
                <w:sz w:val="20"/>
                <w:szCs w:val="20"/>
                <w:color w:val="auto"/>
              </w:rPr>
            </w:pPr>
            <w:r>
              <w:rPr>
                <w:rFonts w:ascii="Arial" w:cs="Arial" w:eastAsia="Arial" w:hAnsi="Arial"/>
                <w:sz w:val="18"/>
                <w:szCs w:val="18"/>
                <w:b w:val="1"/>
                <w:bCs w:val="1"/>
                <w:color w:val="auto"/>
              </w:rPr>
              <w:t>BALANCE SHEET DATA</w:t>
            </w: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58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3020"/>
              <w:spacing w:after="0"/>
              <w:rPr>
                <w:sz w:val="20"/>
                <w:szCs w:val="20"/>
                <w:color w:val="auto"/>
              </w:rPr>
            </w:pPr>
            <w:r>
              <w:rPr>
                <w:rFonts w:ascii="Arial" w:cs="Arial" w:eastAsia="Arial" w:hAnsi="Arial"/>
                <w:sz w:val="18"/>
                <w:szCs w:val="18"/>
                <w:b w:val="1"/>
                <w:bCs w:val="1"/>
                <w:color w:val="auto"/>
              </w:rPr>
              <w:t>As of December 31, 2020</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84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10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40" w:type="dxa"/>
            <w:vAlign w:val="bottom"/>
            <w:tcBorders>
              <w:bottom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168,312,816</w:t>
            </w: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Total liabilities</w:t>
            </w:r>
          </w:p>
        </w:tc>
        <w:tc>
          <w:tcPr>
            <w:tcW w:w="10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5,950,604</w:t>
            </w:r>
          </w:p>
        </w:tc>
        <w:tc>
          <w:tcPr>
            <w:tcW w:w="0" w:type="dxa"/>
            <w:vAlign w:val="bottom"/>
          </w:tcPr>
          <w:p>
            <w:pPr>
              <w:spacing w:after="0"/>
              <w:rPr>
                <w:sz w:val="1"/>
                <w:szCs w:val="1"/>
                <w:color w:val="auto"/>
              </w:rPr>
            </w:pPr>
          </w:p>
        </w:tc>
      </w:tr>
      <w:tr>
        <w:trPr>
          <w:trHeight w:val="40"/>
        </w:trPr>
        <w:tc>
          <w:tcPr>
            <w:tcW w:w="584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0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20"/>
                <w:szCs w:val="20"/>
                <w:color w:val="auto"/>
                <w:vertAlign w:val="superscript"/>
              </w:rPr>
              <w:t>(1)</w:t>
            </w:r>
          </w:p>
        </w:tc>
        <w:tc>
          <w:tcPr>
            <w:tcW w:w="10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1,383,227</w:t>
            </w: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5,000,002</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980" w:hanging="436"/>
        <w:spacing w:after="0"/>
        <w:tabs>
          <w:tab w:leader="none" w:pos="9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Working capital is defined as total current assets minus total current liabilities.</w:t>
      </w:r>
    </w:p>
    <w:p>
      <w:pPr>
        <w:spacing w:after="0" w:line="392" w:lineRule="exact"/>
        <w:rPr>
          <w:rFonts w:ascii="Arial" w:cs="Arial" w:eastAsia="Arial" w:hAnsi="Arial"/>
          <w:sz w:val="16"/>
          <w:szCs w:val="16"/>
          <w:color w:val="auto"/>
        </w:rPr>
      </w:pPr>
    </w:p>
    <w:p>
      <w:pPr>
        <w:ind w:left="4420"/>
        <w:spacing w:after="0"/>
        <w:rPr>
          <w:rFonts w:ascii="Arial" w:cs="Arial" w:eastAsia="Arial" w:hAnsi="Arial"/>
          <w:sz w:val="16"/>
          <w:szCs w:val="16"/>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 w:name="page40"/>
    <w:bookmarkEnd w:id="3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i w:val="1"/>
          <w:iCs w:val="1"/>
          <w:color w:val="auto"/>
        </w:rPr>
        <w:t>The following risk factors will apply to our business and operations following the completion of the Business Combination. These risk factors are not exhaustive and investors are encouraged to perform their own investigation with respect to the business, prospects, financial condition and operating results of Tango and our business, prospects, financial condition and operating results following the completion of the Business Combination. You should carefully consider the following risk factors in addition to the other information included in this proxy statement/prospectus, including matters addressed in the section titled “Cautionary Note Regarding Forward-Looking Statements,” before deciding how to vote your shares of Common Stock. We may face additional risks and uncertainties that are not presently known to us, or that we currently deem immaterial, which may also impair our business, prospects, financial condition or operating results. The following discussion should be read in conjunction with our financial statements and the consolidated financial statements of Tango and notes to the consolidated financial statements included herein.</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Tango</w:t>
      </w:r>
    </w:p>
    <w:p>
      <w:pPr>
        <w:spacing w:after="0" w:line="162"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Unless the context otherwise requires, references in this subsection “— Risks Related to Tango” to “we”, “us” and “our” generally refer to Tango in the present tense or New Tango from and after the Business Combination.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Limited Operating History, Financial Position, and Capital Requirements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a precision oncology company with a limited operating history.</w:t>
      </w:r>
    </w:p>
    <w:p>
      <w:pPr>
        <w:spacing w:after="0" w:line="158"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We commenced operations in 2017 and are a precision oncology company with a limited operating history. Biopharmaceutical product development is a highly speculative undertaking and involves a substantial degree of risk. Since our inception, we have devoted substantially all of our efforts to organizing and staffing our company, acquiring intellectual property, business planning, raising capital, conducting discovery, research and development activities, and providing general and administrative support for these operations. We have no products approved for commercial sale and therefore have never generated any revenue from product sales, and we do not expect to in the foreseeable future. We have not obtained regulatory approvals for any of our product candidates, and there is no assurance that we will obtain approvals in the future. Our precision oncology programs are still in preclinical development.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w:t>
      </w:r>
    </w:p>
    <w:p>
      <w:pPr>
        <w:spacing w:after="0" w:line="179" w:lineRule="exact"/>
        <w:rPr>
          <w:sz w:val="20"/>
          <w:szCs w:val="20"/>
          <w:color w:val="auto"/>
        </w:rPr>
      </w:pPr>
    </w:p>
    <w:p>
      <w:pPr>
        <w:ind w:left="460" w:right="899"/>
        <w:spacing w:after="0" w:line="277" w:lineRule="auto"/>
        <w:rPr>
          <w:sz w:val="20"/>
          <w:szCs w:val="20"/>
          <w:color w:val="auto"/>
        </w:rPr>
      </w:pPr>
      <w:r>
        <w:rPr>
          <w:rFonts w:ascii="Arial" w:cs="Arial" w:eastAsia="Arial" w:hAnsi="Arial"/>
          <w:sz w:val="18"/>
          <w:szCs w:val="18"/>
          <w:b w:val="1"/>
          <w:bCs w:val="1"/>
          <w:i w:val="1"/>
          <w:iCs w:val="1"/>
          <w:color w:val="auto"/>
        </w:rPr>
        <w:t>We have incurred significant net losses since our inception and anticipate that we will continue to incur losses for the foreseeable future.</w:t>
      </w:r>
    </w:p>
    <w:p>
      <w:pPr>
        <w:spacing w:after="0" w:line="89"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Our net losses were $14.1 million and $52.0 million for the years ended December 31, 2019 and 2020, respectively. We had an accumulated deficit of $103.1 million as of December 31, 2020.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 w:name="page41"/>
    <w:bookmarkEnd w:id="4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The amount of our future losses is uncertain and our quarterly and annual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w:t>
      </w:r>
    </w:p>
    <w:p>
      <w:pPr>
        <w:spacing w:after="0" w:line="107" w:lineRule="exact"/>
        <w:rPr>
          <w:sz w:val="20"/>
          <w:szCs w:val="20"/>
          <w:color w:val="auto"/>
        </w:rPr>
      </w:pPr>
    </w:p>
    <w:p>
      <w:pPr>
        <w:ind w:left="1320" w:right="799" w:hanging="434"/>
        <w:spacing w:after="0" w:line="263" w:lineRule="auto"/>
        <w:tabs>
          <w:tab w:leader="none" w:pos="131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timing and success or failure of future clinical trials for our product candidates or competing product candidates, or any other change in the competitive landscape of our industry, including consolidation among our competitors or partners;</w:t>
      </w:r>
    </w:p>
    <w:p>
      <w:pPr>
        <w:spacing w:after="0" w:line="89" w:lineRule="exact"/>
        <w:rPr>
          <w:rFonts w:ascii="Arial" w:cs="Arial" w:eastAsia="Arial" w:hAnsi="Arial"/>
          <w:sz w:val="18"/>
          <w:szCs w:val="18"/>
          <w:color w:val="auto"/>
        </w:rPr>
      </w:pPr>
    </w:p>
    <w:p>
      <w:pPr>
        <w:ind w:left="1320" w:right="699" w:hanging="434"/>
        <w:spacing w:after="0" w:line="277" w:lineRule="auto"/>
        <w:tabs>
          <w:tab w:leader="none" w:pos="131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our ability to successfully open clinical trial sites and recruit and retain subjects for clinical trials, and any delays caused by difficulties in such efforts;</w:t>
      </w:r>
    </w:p>
    <w:p>
      <w:pPr>
        <w:spacing w:after="0" w:line="75"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our ability to obtain regulatory approval for our product candidates, and the timing and scope of any such approvals we may receive;</w:t>
      </w:r>
    </w:p>
    <w:p>
      <w:pPr>
        <w:spacing w:after="0" w:line="89" w:lineRule="exact"/>
        <w:rPr>
          <w:rFonts w:ascii="Arial" w:cs="Arial" w:eastAsia="Arial" w:hAnsi="Arial"/>
          <w:sz w:val="18"/>
          <w:szCs w:val="18"/>
          <w:color w:val="auto"/>
        </w:rPr>
      </w:pPr>
    </w:p>
    <w:p>
      <w:pPr>
        <w:ind w:left="1320" w:right="739" w:hanging="434"/>
        <w:spacing w:after="0" w:line="277" w:lineRule="auto"/>
        <w:tabs>
          <w:tab w:leader="none" w:pos="131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product candidates, which may change from time to time;</w:t>
      </w:r>
    </w:p>
    <w:p>
      <w:pPr>
        <w:spacing w:after="0" w:line="75" w:lineRule="exact"/>
        <w:rPr>
          <w:rFonts w:ascii="Arial" w:cs="Arial" w:eastAsia="Arial" w:hAnsi="Arial"/>
          <w:sz w:val="18"/>
          <w:szCs w:val="18"/>
          <w:color w:val="auto"/>
        </w:rPr>
      </w:pPr>
    </w:p>
    <w:p>
      <w:pPr>
        <w:ind w:left="1320" w:right="519" w:hanging="434"/>
        <w:spacing w:after="0" w:line="263" w:lineRule="auto"/>
        <w:tabs>
          <w:tab w:leader="none" w:pos="131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products, should they receive regulatory approval, which may vary depending on the quantity of production and the terms of our agreements with manufacturers;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our ability to attract, hire and retain qualified personnel;</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expenditures that we will or may incur to develop additional product candidates;</w:t>
      </w:r>
    </w:p>
    <w:p>
      <w:pPr>
        <w:spacing w:after="0" w:line="130" w:lineRule="exact"/>
        <w:rPr>
          <w:rFonts w:ascii="Arial" w:cs="Arial" w:eastAsia="Arial" w:hAnsi="Arial"/>
          <w:sz w:val="18"/>
          <w:szCs w:val="18"/>
          <w:color w:val="auto"/>
        </w:rPr>
      </w:pPr>
    </w:p>
    <w:p>
      <w:pPr>
        <w:ind w:left="1320" w:right="939" w:hanging="434"/>
        <w:spacing w:after="0" w:line="277" w:lineRule="auto"/>
        <w:tabs>
          <w:tab w:leader="none" w:pos="131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level of demand for our products should they receive regulatory approval, which may vary significantly;</w:t>
      </w:r>
    </w:p>
    <w:p>
      <w:pPr>
        <w:spacing w:after="0" w:line="75" w:lineRule="exact"/>
        <w:rPr>
          <w:rFonts w:ascii="Arial" w:cs="Arial" w:eastAsia="Arial" w:hAnsi="Arial"/>
          <w:sz w:val="18"/>
          <w:szCs w:val="18"/>
          <w:color w:val="auto"/>
        </w:rPr>
      </w:pPr>
    </w:p>
    <w:p>
      <w:pPr>
        <w:ind w:left="1320" w:right="639" w:hanging="434"/>
        <w:spacing w:after="0" w:line="342" w:lineRule="auto"/>
        <w:tabs>
          <w:tab w:leader="none" w:pos="131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risk/benefit profile, cost and reimbursement policies with respect to our product candidates, if approved, and existing and potential future therapeutics that compete with our product candidates;</w:t>
      </w:r>
    </w:p>
    <w:p>
      <w:pPr>
        <w:spacing w:after="0" w:line="42" w:lineRule="exact"/>
        <w:rPr>
          <w:rFonts w:ascii="Arial" w:cs="Arial" w:eastAsia="Arial" w:hAnsi="Arial"/>
          <w:sz w:val="16"/>
          <w:szCs w:val="16"/>
          <w:color w:val="auto"/>
        </w:rPr>
      </w:pPr>
    </w:p>
    <w:p>
      <w:pPr>
        <w:ind w:left="1320" w:right="979" w:hanging="434"/>
        <w:spacing w:after="0" w:line="277" w:lineRule="auto"/>
        <w:tabs>
          <w:tab w:leader="none" w:pos="131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changing and volatile U.S. and global economic environments, including as a result of the COVID-19 pandemic; and</w:t>
      </w:r>
    </w:p>
    <w:p>
      <w:pPr>
        <w:spacing w:after="0" w:line="75" w:lineRule="exact"/>
        <w:rPr>
          <w:rFonts w:ascii="Arial" w:cs="Arial" w:eastAsia="Arial" w:hAnsi="Arial"/>
          <w:sz w:val="18"/>
          <w:szCs w:val="18"/>
          <w:color w:val="auto"/>
        </w:rPr>
      </w:pPr>
    </w:p>
    <w:p>
      <w:pPr>
        <w:ind w:left="1300" w:hanging="41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58"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We have no products approved for commercial sale and have not generated any revenue from product sales.</w:t>
      </w:r>
    </w:p>
    <w:p>
      <w:pPr>
        <w:spacing w:after="0" w:line="179"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Our ability to become profitable depends upon our ability to generate revenue. To date, we have not generated any revenue from product sales, and we do not expect to generate any revenue from the sale of products in the near future. We do not expect to generate significant product revenue unless and until we obtain regulatory approval of, and begin to sell, one or more of our product candidates. Our ability to generate revenue depends on a number of factors, including, but not limited to, our ability to:</w:t>
      </w:r>
    </w:p>
    <w:p>
      <w:pPr>
        <w:spacing w:after="0" w:line="95" w:lineRule="exact"/>
        <w:rPr>
          <w:sz w:val="20"/>
          <w:szCs w:val="20"/>
          <w:color w:val="auto"/>
        </w:rPr>
      </w:pPr>
    </w:p>
    <w:p>
      <w:pPr>
        <w:ind w:left="1320" w:right="499" w:hanging="434"/>
        <w:spacing w:after="0" w:line="277" w:lineRule="auto"/>
        <w:tabs>
          <w:tab w:leader="none" w:pos="131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successfully complete our planned preclinical studies for our novel precision oncology development programs;</w:t>
      </w:r>
    </w:p>
    <w:p>
      <w:pPr>
        <w:spacing w:after="0" w:line="75" w:lineRule="exact"/>
        <w:rPr>
          <w:rFonts w:ascii="Arial" w:cs="Arial" w:eastAsia="Arial" w:hAnsi="Arial"/>
          <w:sz w:val="18"/>
          <w:szCs w:val="18"/>
          <w:color w:val="auto"/>
        </w:rPr>
      </w:pPr>
    </w:p>
    <w:p>
      <w:pPr>
        <w:ind w:left="1320" w:right="759" w:hanging="434"/>
        <w:spacing w:after="0" w:line="277" w:lineRule="auto"/>
        <w:tabs>
          <w:tab w:leader="none" w:pos="131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timely file and the acceptance of our investigational new drug applications, or IND, for TNG908 and our other programs in order to commence our future clinical trials;</w:t>
      </w:r>
    </w:p>
    <w:p>
      <w:pPr>
        <w:spacing w:after="0" w:line="75" w:lineRule="exact"/>
        <w:rPr>
          <w:rFonts w:ascii="Arial" w:cs="Arial" w:eastAsia="Arial" w:hAnsi="Arial"/>
          <w:sz w:val="18"/>
          <w:szCs w:val="18"/>
          <w:color w:val="auto"/>
        </w:rPr>
      </w:pPr>
    </w:p>
    <w:p>
      <w:pPr>
        <w:ind w:left="1300" w:hanging="41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successfully enroll subjects in, and complete, our planned clinical trials;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 w:name="page42"/>
    <w:bookmarkEnd w:id="4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1320" w:right="539" w:hanging="434"/>
        <w:spacing w:after="0" w:line="277" w:lineRule="auto"/>
        <w:tabs>
          <w:tab w:leader="none" w:pos="131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initiate and successfully complete all safety and efficacy studies required to obtain U.S. and foreign regulatory approval for our product candidates;</w:t>
      </w:r>
    </w:p>
    <w:p>
      <w:pPr>
        <w:spacing w:after="0" w:line="75" w:lineRule="exact"/>
        <w:rPr>
          <w:rFonts w:ascii="Arial" w:cs="Arial" w:eastAsia="Arial" w:hAnsi="Arial"/>
          <w:sz w:val="18"/>
          <w:szCs w:val="18"/>
          <w:color w:val="auto"/>
        </w:rPr>
      </w:pPr>
    </w:p>
    <w:p>
      <w:pPr>
        <w:ind w:left="1320" w:right="1399" w:hanging="434"/>
        <w:spacing w:after="0" w:line="277" w:lineRule="auto"/>
        <w:tabs>
          <w:tab w:leader="none" w:pos="131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establish commercial manufacturing capabilities or make arrangements with third-party manufacturers for clinical supply and commercial manufacturing;</w:t>
      </w:r>
    </w:p>
    <w:p>
      <w:pPr>
        <w:spacing w:after="0" w:line="89" w:lineRule="exact"/>
        <w:rPr>
          <w:rFonts w:ascii="Arial" w:cs="Arial" w:eastAsia="Arial" w:hAnsi="Arial"/>
          <w:sz w:val="18"/>
          <w:szCs w:val="18"/>
          <w:color w:val="auto"/>
        </w:rPr>
      </w:pPr>
    </w:p>
    <w:p>
      <w:pPr>
        <w:ind w:left="1320" w:right="899" w:hanging="434"/>
        <w:spacing w:after="0" w:line="277" w:lineRule="auto"/>
        <w:tabs>
          <w:tab w:leader="none" w:pos="131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obtain and maintain patent and trade secret protection or regulatory exclusivity for our product candidates;</w:t>
      </w:r>
    </w:p>
    <w:p>
      <w:pPr>
        <w:spacing w:after="0" w:line="75" w:lineRule="exact"/>
        <w:rPr>
          <w:rFonts w:ascii="Arial" w:cs="Arial" w:eastAsia="Arial" w:hAnsi="Arial"/>
          <w:sz w:val="18"/>
          <w:szCs w:val="18"/>
          <w:color w:val="auto"/>
        </w:rPr>
      </w:pPr>
    </w:p>
    <w:p>
      <w:pPr>
        <w:ind w:left="1320" w:right="659" w:hanging="434"/>
        <w:spacing w:after="0" w:line="277" w:lineRule="auto"/>
        <w:tabs>
          <w:tab w:leader="none" w:pos="131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launch commercial sales of our products, if and when approved, whether alone or in collaboration with others;</w:t>
      </w:r>
    </w:p>
    <w:p>
      <w:pPr>
        <w:spacing w:after="0" w:line="75" w:lineRule="exact"/>
        <w:rPr>
          <w:rFonts w:ascii="Arial" w:cs="Arial" w:eastAsia="Arial" w:hAnsi="Arial"/>
          <w:sz w:val="18"/>
          <w:szCs w:val="18"/>
          <w:color w:val="auto"/>
        </w:rPr>
      </w:pPr>
    </w:p>
    <w:p>
      <w:pPr>
        <w:ind w:left="1320" w:right="879" w:hanging="434"/>
        <w:spacing w:after="0" w:line="277" w:lineRule="auto"/>
        <w:tabs>
          <w:tab w:leader="none" w:pos="131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obtain and maintain acceptance of the products, if and when approved, by patients, the medical community and third-party payors;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position our products to effectively compete with other therapies;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obtain and maintain healthcare coverage and adequate reimbursement;</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enforce and defend intellectual property rights and claims;</w:t>
      </w:r>
    </w:p>
    <w:p>
      <w:pPr>
        <w:spacing w:after="0" w:line="144" w:lineRule="exact"/>
        <w:rPr>
          <w:rFonts w:ascii="Arial" w:cs="Arial" w:eastAsia="Arial" w:hAnsi="Arial"/>
          <w:sz w:val="18"/>
          <w:szCs w:val="18"/>
          <w:color w:val="auto"/>
        </w:rPr>
      </w:pPr>
    </w:p>
    <w:p>
      <w:pPr>
        <w:ind w:left="1320" w:right="699" w:hanging="434"/>
        <w:spacing w:after="0" w:line="277" w:lineRule="auto"/>
        <w:tabs>
          <w:tab w:leader="none" w:pos="131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implement measures to help minimize the risk of COVID-19 to our employees as well as patients and subjects enrolled in our clinical trials; and</w:t>
      </w:r>
    </w:p>
    <w:p>
      <w:pPr>
        <w:spacing w:after="0" w:line="75" w:lineRule="exact"/>
        <w:rPr>
          <w:rFonts w:ascii="Arial" w:cs="Arial" w:eastAsia="Arial" w:hAnsi="Arial"/>
          <w:sz w:val="18"/>
          <w:szCs w:val="18"/>
          <w:color w:val="auto"/>
        </w:rPr>
      </w:pPr>
    </w:p>
    <w:p>
      <w:pPr>
        <w:ind w:left="1300" w:hanging="41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maintain a continued acceptable safety profile of our products following approval.</w:t>
      </w:r>
    </w:p>
    <w:p>
      <w:pPr>
        <w:spacing w:after="0" w:line="158"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187" w:lineRule="exact"/>
        <w:rPr>
          <w:sz w:val="20"/>
          <w:szCs w:val="20"/>
          <w:color w:val="auto"/>
        </w:rPr>
      </w:pPr>
    </w:p>
    <w:p>
      <w:pPr>
        <w:ind w:left="460" w:right="759"/>
        <w:spacing w:after="0" w:line="263" w:lineRule="auto"/>
        <w:rPr>
          <w:sz w:val="20"/>
          <w:szCs w:val="20"/>
          <w:color w:val="auto"/>
        </w:rPr>
      </w:pPr>
      <w:r>
        <w:rPr>
          <w:rFonts w:ascii="Arial" w:cs="Arial" w:eastAsia="Arial" w:hAnsi="Arial"/>
          <w:sz w:val="18"/>
          <w:szCs w:val="18"/>
          <w:b w:val="1"/>
          <w:bCs w:val="1"/>
          <w:i w:val="1"/>
          <w:iCs w:val="1"/>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103"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The development of pharmaceutical products is capital-intensive. We are currently advancing our precision oncology programs through preclinical development. We plan to file an IND for TNG908 in the fourth quarter of 2021 and begin a Phase 1/2 clinical trial in the first half of 2022. We also plan to file an IND for our USP1 inhibitor program in 2022 and file an IND for our undisclosed target for STK11-mutant cancers (Target 3) in 2023. Consequently, we expect our expenses to significantly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we presently anticipate. Furthermore, we will incur additional costs associated with operating as a public company following the Business Combination.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12"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We expect that the net proceeds from the Business Combination and the PIPE transaction, together with its existing cash and cash equivalents, will fund its projected operating requirements at least into the second half of 2024. However, our future capital requirements will depend on and could increase significantly as a result of many factors, including:</w:t>
      </w:r>
    </w:p>
    <w:p>
      <w:pPr>
        <w:spacing w:after="0" w:line="119" w:lineRule="exact"/>
        <w:rPr>
          <w:sz w:val="20"/>
          <w:szCs w:val="20"/>
          <w:color w:val="auto"/>
        </w:rPr>
      </w:pPr>
    </w:p>
    <w:p>
      <w:pPr>
        <w:ind w:left="1320" w:right="499" w:hanging="434"/>
        <w:spacing w:after="0" w:line="277" w:lineRule="auto"/>
        <w:tabs>
          <w:tab w:leader="none" w:pos="131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scope, progress, results and costs of product discovery, preclinical and clinical development, and clinical trials for our product candidates;</w:t>
      </w:r>
    </w:p>
    <w:p>
      <w:pPr>
        <w:spacing w:after="0" w:line="89" w:lineRule="exact"/>
        <w:rPr>
          <w:rFonts w:ascii="Arial" w:cs="Arial" w:eastAsia="Arial" w:hAnsi="Arial"/>
          <w:sz w:val="18"/>
          <w:szCs w:val="18"/>
          <w:color w:val="auto"/>
        </w:rPr>
      </w:pPr>
    </w:p>
    <w:p>
      <w:pPr>
        <w:ind w:left="1320" w:right="839" w:hanging="434"/>
        <w:spacing w:after="0" w:line="277" w:lineRule="auto"/>
        <w:tabs>
          <w:tab w:leader="none" w:pos="131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potential additional expenses attributable to adjusting our development plans (including any supply related matters) to the COVID-19 pandemic;</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 w:name="page43"/>
    <w:bookmarkEnd w:id="4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1300" w:hanging="414"/>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30" w:lineRule="exact"/>
        <w:rPr>
          <w:rFonts w:ascii="Arial" w:cs="Arial" w:eastAsia="Arial" w:hAnsi="Arial"/>
          <w:sz w:val="18"/>
          <w:szCs w:val="18"/>
          <w:color w:val="auto"/>
        </w:rPr>
      </w:pPr>
    </w:p>
    <w:p>
      <w:pPr>
        <w:ind w:left="1320" w:right="539" w:hanging="434"/>
        <w:spacing w:after="0" w:line="342" w:lineRule="auto"/>
        <w:tabs>
          <w:tab w:leader="none" w:pos="131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achievement of milestones or occurrence of other developments that trigger payments under our existing collaboration agreements or any additional collaboration agreements we may establish;</w:t>
      </w:r>
    </w:p>
    <w:p>
      <w:pPr>
        <w:spacing w:after="0" w:line="29" w:lineRule="exact"/>
        <w:rPr>
          <w:rFonts w:ascii="Arial" w:cs="Arial" w:eastAsia="Arial" w:hAnsi="Arial"/>
          <w:sz w:val="16"/>
          <w:szCs w:val="16"/>
          <w:color w:val="auto"/>
        </w:rPr>
      </w:pPr>
    </w:p>
    <w:p>
      <w:pPr>
        <w:ind w:left="1320" w:right="459" w:hanging="434"/>
        <w:spacing w:after="0" w:line="277" w:lineRule="auto"/>
        <w:tabs>
          <w:tab w:leader="none" w:pos="131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89" w:lineRule="exact"/>
        <w:rPr>
          <w:rFonts w:ascii="Arial" w:cs="Arial" w:eastAsia="Arial" w:hAnsi="Arial"/>
          <w:sz w:val="18"/>
          <w:szCs w:val="18"/>
          <w:color w:val="auto"/>
        </w:rPr>
      </w:pPr>
    </w:p>
    <w:p>
      <w:pPr>
        <w:ind w:left="1320" w:right="819" w:hanging="434"/>
        <w:spacing w:after="0" w:line="308" w:lineRule="auto"/>
        <w:tabs>
          <w:tab w:leader="none" w:pos="1311"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w:t>
      </w:r>
    </w:p>
    <w:p>
      <w:pPr>
        <w:spacing w:after="0" w:line="51" w:lineRule="exact"/>
        <w:rPr>
          <w:rFonts w:ascii="Arial" w:cs="Arial" w:eastAsia="Arial" w:hAnsi="Arial"/>
          <w:sz w:val="17"/>
          <w:szCs w:val="17"/>
          <w:color w:val="auto"/>
        </w:rPr>
      </w:pPr>
    </w:p>
    <w:p>
      <w:pPr>
        <w:ind w:left="1300" w:hanging="414"/>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and commercial production;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costs related to the development of any companion diagnostics we may use in the future; and</w:t>
      </w:r>
    </w:p>
    <w:p>
      <w:pPr>
        <w:spacing w:after="0" w:line="142" w:lineRule="exact"/>
        <w:rPr>
          <w:rFonts w:ascii="Arial" w:cs="Arial" w:eastAsia="Arial" w:hAnsi="Arial"/>
          <w:sz w:val="17"/>
          <w:szCs w:val="17"/>
          <w:color w:val="auto"/>
        </w:rPr>
      </w:pPr>
    </w:p>
    <w:p>
      <w:pPr>
        <w:ind w:left="1320" w:right="659" w:hanging="434"/>
        <w:spacing w:after="0" w:line="277" w:lineRule="auto"/>
        <w:tabs>
          <w:tab w:leader="none" w:pos="131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if we obtain regulatory approvals to market our product candidates.</w:t>
      </w:r>
    </w:p>
    <w:p>
      <w:pPr>
        <w:spacing w:after="0" w:line="103"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we do not expect to be commercially available for many years, if at all. Accordingly, we will need to continue to rely on additional financing to achieve our business objectives.</w:t>
      </w:r>
    </w:p>
    <w:p>
      <w:pPr>
        <w:spacing w:after="0" w:line="83"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our product candidates. Disruptions in the financial markets in general and more recently due to the COVID-19 pandemic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spacing w:after="0" w:line="125" w:lineRule="exact"/>
        <w:rPr>
          <w:sz w:val="20"/>
          <w:szCs w:val="20"/>
          <w:color w:val="auto"/>
        </w:rPr>
      </w:pPr>
    </w:p>
    <w:p>
      <w:pPr>
        <w:ind w:left="460" w:right="659" w:firstLine="432"/>
        <w:spacing w:after="0" w:line="257" w:lineRule="auto"/>
        <w:rPr>
          <w:sz w:val="20"/>
          <w:szCs w:val="20"/>
          <w:color w:val="auto"/>
        </w:rPr>
      </w:pPr>
      <w:r>
        <w:rPr>
          <w:rFonts w:ascii="Arial" w:cs="Arial" w:eastAsia="Arial" w:hAnsi="Arial"/>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188" w:lineRule="exact"/>
        <w:rPr>
          <w:sz w:val="20"/>
          <w:szCs w:val="20"/>
          <w:color w:val="auto"/>
        </w:rPr>
      </w:pPr>
    </w:p>
    <w:p>
      <w:pPr>
        <w:ind w:left="460" w:right="499"/>
        <w:spacing w:after="0" w:line="277" w:lineRule="auto"/>
        <w:rPr>
          <w:sz w:val="20"/>
          <w:szCs w:val="20"/>
          <w:color w:val="auto"/>
        </w:rPr>
      </w:pPr>
      <w:r>
        <w:rPr>
          <w:rFonts w:ascii="Arial" w:cs="Arial" w:eastAsia="Arial" w:hAnsi="Arial"/>
          <w:sz w:val="18"/>
          <w:szCs w:val="18"/>
          <w:b w:val="1"/>
          <w:bCs w:val="1"/>
          <w:i w:val="1"/>
          <w:iCs w:val="1"/>
          <w:color w:val="auto"/>
        </w:rPr>
        <w:t>Ability to raise additional capital may cause dilution to our stockholders, restrict our operations or require us to relinquish rights to our technologies or product candidates.</w:t>
      </w:r>
    </w:p>
    <w:p>
      <w:pPr>
        <w:spacing w:after="0" w:line="103"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private and public equity offerings,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ectPr>
          <w:pgSz w:w="11900" w:h="16838" w:orient="portrait"/>
          <w:cols w:equalWidth="0" w:num="1">
            <w:col w:w="9019"/>
          </w:cols>
          <w:pgMar w:left="1440" w:top="274"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3" w:name="page44"/>
    <w:bookmarkEnd w:id="4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We also could be required to seek funds through arrangements with additional collaborators or otherwise at an earlier stage than otherwise would be desirable. If we raise funds through additional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our product candidates that we would otherwise prefer to develop and market ourselves, any of which may have a material adverse effect on our business, operating results and prospects.</w:t>
      </w:r>
    </w:p>
    <w:p>
      <w:pPr>
        <w:spacing w:after="0" w:line="173" w:lineRule="exact"/>
        <w:rPr>
          <w:sz w:val="20"/>
          <w:szCs w:val="20"/>
          <w:color w:val="auto"/>
        </w:rPr>
      </w:pPr>
    </w:p>
    <w:p>
      <w:pPr>
        <w:ind w:left="460" w:right="1299"/>
        <w:spacing w:after="0" w:line="282" w:lineRule="auto"/>
        <w:rPr>
          <w:sz w:val="20"/>
          <w:szCs w:val="20"/>
          <w:color w:val="auto"/>
        </w:rPr>
      </w:pPr>
      <w:r>
        <w:rPr>
          <w:rFonts w:ascii="Arial" w:cs="Arial" w:eastAsia="Arial" w:hAnsi="Arial"/>
          <w:sz w:val="18"/>
          <w:szCs w:val="18"/>
          <w:b w:val="1"/>
          <w:bCs w:val="1"/>
          <w:color w:val="auto"/>
        </w:rPr>
        <w:t>Risks Related to the Development of our Precision Oncology and Other Programs and Product Candidates</w:t>
      </w:r>
    </w:p>
    <w:p>
      <w:pPr>
        <w:spacing w:after="0" w:line="166" w:lineRule="exact"/>
        <w:rPr>
          <w:sz w:val="20"/>
          <w:szCs w:val="20"/>
          <w:color w:val="auto"/>
        </w:rPr>
      </w:pPr>
    </w:p>
    <w:p>
      <w:pPr>
        <w:ind w:left="460" w:right="619"/>
        <w:spacing w:after="0" w:line="263" w:lineRule="auto"/>
        <w:rPr>
          <w:sz w:val="20"/>
          <w:szCs w:val="20"/>
          <w:color w:val="auto"/>
        </w:rPr>
      </w:pPr>
      <w:r>
        <w:rPr>
          <w:rFonts w:ascii="Arial" w:cs="Arial" w:eastAsia="Arial" w:hAnsi="Arial"/>
          <w:sz w:val="18"/>
          <w:szCs w:val="18"/>
          <w:b w:val="1"/>
          <w:bCs w:val="1"/>
          <w:i w:val="1"/>
          <w:iCs w:val="1"/>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116"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We have not yet demonstrated our ability to successfully complete clinical trials, including large-scale, pivotal clinical trials, obtain regulatory approvals, manufacture a commercial scale product, or arrange for a third party to do so on our behalf, or conduct sales and marketing activities necessary for successful commercialization. Our programs are still in preclinical development and may never advance to clinical development. We plan to file an IND for TNG908 in the fourth quarter of 2021 and expect to begin a Phase 1/2 clinical trial in first half of 2022. We also plan to file an IND for our USP1 inhibitor program in 2022 and file an IND for our undisclosed target for STK11-mutant cancers (Target 3) in 2023. We may not be able to file such IND or INDs for any of our other product candidates on the timelines we expect, if at all. Moreover, we cannot be sure that submission of an IND will result in the FDA allowing clinical trials to begin, or that, once begun, issues will not arise that require us to suspend or terminate clinical trials. Commencing each of these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composition of stricter approval conditions than we currently expect. Successful completion of our clinical trials is a prerequisite to submitting a new drug application, or NDA to the FDA, a Marketing Authorization Application, or MAA, to the European Medicines Agency, or EMA, or other marketing applications to regulatory authorities in other jurisdictions, for each product candidate and, consequently, the regulatory approval of each product candidate. We currently do not have any product candidates in clinical development. Our lead development candidate, TNG908, is currently in IND-enabling studies. However, we do not know whether this will advance to future clinical trials, and if so, whether it or any of our future clinical trials will begin on time or be completed on schedule, if at all.</w:t>
      </w:r>
    </w:p>
    <w:p>
      <w:pPr>
        <w:spacing w:after="0" w:line="116" w:lineRule="exact"/>
        <w:rPr>
          <w:sz w:val="20"/>
          <w:szCs w:val="20"/>
          <w:color w:val="auto"/>
        </w:rPr>
      </w:pPr>
    </w:p>
    <w:p>
      <w:pPr>
        <w:jc w:val="both"/>
        <w:ind w:left="460" w:right="839" w:firstLine="432"/>
        <w:spacing w:after="0" w:line="259" w:lineRule="auto"/>
        <w:rPr>
          <w:sz w:val="20"/>
          <w:szCs w:val="20"/>
          <w:color w:val="auto"/>
        </w:rPr>
      </w:pPr>
      <w:r>
        <w:rPr>
          <w:rFonts w:ascii="Arial" w:cs="Arial" w:eastAsia="Arial" w:hAnsi="Arial"/>
          <w:sz w:val="18"/>
          <w:szCs w:val="18"/>
          <w:color w:val="auto"/>
        </w:rPr>
        <w:t>If we are required to conduct additional preclinical studies or clinical trials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06" w:lineRule="exact"/>
        <w:rPr>
          <w:sz w:val="20"/>
          <w:szCs w:val="20"/>
          <w:color w:val="auto"/>
        </w:rPr>
      </w:pPr>
    </w:p>
    <w:p>
      <w:pPr>
        <w:ind w:left="1300" w:hanging="414"/>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be delayed in obtaining regulatory approval for our product candidates;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not obtain regulatory approval at all;</w:t>
      </w:r>
    </w:p>
    <w:p>
      <w:pPr>
        <w:spacing w:after="0" w:line="157" w:lineRule="exact"/>
        <w:rPr>
          <w:rFonts w:ascii="Arial" w:cs="Arial" w:eastAsia="Arial" w:hAnsi="Arial"/>
          <w:sz w:val="18"/>
          <w:szCs w:val="18"/>
          <w:color w:val="auto"/>
        </w:rPr>
      </w:pPr>
    </w:p>
    <w:p>
      <w:pPr>
        <w:ind w:left="1320" w:right="539" w:hanging="434"/>
        <w:spacing w:after="0" w:line="277" w:lineRule="auto"/>
        <w:tabs>
          <w:tab w:leader="none" w:pos="131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obtain regulatory approval for indications or patient populations that are not as broad as intended or desired;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continue to be subject to post-marketing testing requirements; or</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experience having the product removed from the market after obtaining regulatory approval.</w:t>
      </w:r>
    </w:p>
    <w:p>
      <w:pPr>
        <w:spacing w:after="0" w:line="237" w:lineRule="exact"/>
        <w:rPr>
          <w:sz w:val="20"/>
          <w:szCs w:val="20"/>
          <w:color w:val="auto"/>
        </w:rPr>
      </w:pPr>
    </w:p>
    <w:p>
      <w:pPr>
        <w:jc w:val="both"/>
        <w:ind w:left="460" w:right="559"/>
        <w:spacing w:after="0" w:line="340" w:lineRule="auto"/>
        <w:rPr>
          <w:sz w:val="20"/>
          <w:szCs w:val="20"/>
          <w:color w:val="auto"/>
        </w:rPr>
      </w:pPr>
      <w:r>
        <w:rPr>
          <w:rFonts w:ascii="Arial" w:cs="Arial" w:eastAsia="Arial" w:hAnsi="Arial"/>
          <w:sz w:val="15"/>
          <w:szCs w:val="15"/>
          <w:b w:val="1"/>
          <w:bCs w:val="1"/>
          <w:i w:val="1"/>
          <w:iCs w:val="1"/>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63"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The discovery and development of oncology therapeutics for patients with genetically defined or biomarker-driven cancers is an emerging field, and the scientific discoveries that form the basis for our efforts to</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4" w:name="page45"/>
    <w:bookmarkEnd w:id="4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86" w:lineRule="auto"/>
        <w:rPr>
          <w:sz w:val="20"/>
          <w:szCs w:val="20"/>
          <w:color w:val="auto"/>
        </w:rPr>
      </w:pPr>
      <w:r>
        <w:rPr>
          <w:rFonts w:ascii="Arial" w:cs="Arial" w:eastAsia="Arial" w:hAnsi="Arial"/>
          <w:sz w:val="16"/>
          <w:szCs w:val="16"/>
          <w:color w:val="auto"/>
        </w:rPr>
        <w:t>discover and develop product candidates are relatively new. Our unique functional genomics discovery approach is based on the genetic concept of synthetic lethality. The scientific evidence to support the feasibility of developing product candidates based on these discoveries is both preliminary and limited. Although we believe, based on our preclinical work, that the genetic markers targeted by our programs drive the formation and spread of certain cancers,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with specific targets, we cannot be certain that the resulting patient populations for each alternation will be large enough to allow us to successfully obtain approval for each alternation type and commercialize our product candidates and achieve profitability.</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Clinical product development involves a lengthy and expensive process, with an uncertain outcome.</w:t>
      </w:r>
    </w:p>
    <w:p>
      <w:pPr>
        <w:spacing w:after="0" w:line="181"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Our preclinical studies and future clinical trials may not be successful. Currently, all our programs are in preclinical development.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w:t>
      </w:r>
    </w:p>
    <w:p>
      <w:pPr>
        <w:spacing w:after="0" w:line="186" w:lineRule="exact"/>
        <w:rPr>
          <w:sz w:val="20"/>
          <w:szCs w:val="20"/>
          <w:color w:val="auto"/>
        </w:rPr>
      </w:pPr>
    </w:p>
    <w:p>
      <w:pPr>
        <w:ind w:left="460" w:right="639"/>
        <w:spacing w:after="0" w:line="340" w:lineRule="auto"/>
        <w:rPr>
          <w:sz w:val="20"/>
          <w:szCs w:val="20"/>
          <w:color w:val="auto"/>
        </w:rPr>
      </w:pPr>
      <w:r>
        <w:rPr>
          <w:rFonts w:ascii="Arial" w:cs="Arial" w:eastAsia="Arial" w:hAnsi="Arial"/>
          <w:sz w:val="15"/>
          <w:szCs w:val="15"/>
          <w:b w:val="1"/>
          <w:bCs w:val="1"/>
          <w:i w:val="1"/>
          <w:iCs w:val="1"/>
          <w:color w:val="auto"/>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w:t>
      </w:r>
    </w:p>
    <w:p>
      <w:pPr>
        <w:spacing w:after="0" w:line="63" w:lineRule="exact"/>
        <w:rPr>
          <w:sz w:val="20"/>
          <w:szCs w:val="20"/>
          <w:color w:val="auto"/>
        </w:rPr>
      </w:pPr>
    </w:p>
    <w:p>
      <w:pPr>
        <w:ind w:left="460" w:right="579" w:firstLine="432"/>
        <w:spacing w:after="0" w:line="269" w:lineRule="auto"/>
        <w:rPr>
          <w:sz w:val="20"/>
          <w:szCs w:val="20"/>
          <w:color w:val="auto"/>
        </w:rPr>
      </w:pPr>
      <w:r>
        <w:rPr>
          <w:rFonts w:ascii="Arial" w:cs="Arial" w:eastAsia="Arial" w:hAnsi="Arial"/>
          <w:sz w:val="17"/>
          <w:szCs w:val="17"/>
          <w:color w:val="auto"/>
        </w:rPr>
        <w:t xml:space="preserve">In connection with the clinical development of our product candidates for certain indications, we may engage third parties to develop or otherwise obtain access to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tests to identify patient subsets within a disease category who may derive selective and meaningful benefit from our product candidates. Such companion diagnostics would be used during our clinical trials as well as in connection with the commercialization of our products that receive regulatory approval. To be successful, we or our collaborators will need to address a number of scientific, technical, regulatory and logistical challenges. The FDA and comparable foreign regulatory authorities regulate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diagnostics as medical devices and, under that regulatory framework, will likely require the conduct of clinical trials to demonstrate the safety and effectiveness of any diagnostics we may develop, which we expect will require separate regulatory clearance or approval prior to commercialization.</w:t>
      </w:r>
    </w:p>
    <w:p>
      <w:pPr>
        <w:spacing w:after="0" w:line="104"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6"/>
          <w:szCs w:val="16"/>
          <w:color w:val="auto"/>
        </w:rPr>
        <w:t>We intend to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therapeutic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of these therapeutic product candidates may be adversely affected, these therapeutic product candidates</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5" w:name="page46"/>
    <w:bookmarkEnd w:id="4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spacing w:after="0" w:line="253" w:lineRule="auto"/>
        <w:rPr>
          <w:sz w:val="20"/>
          <w:szCs w:val="20"/>
          <w:color w:val="auto"/>
        </w:rPr>
      </w:pPr>
      <w:r>
        <w:rPr>
          <w:rFonts w:ascii="Arial" w:cs="Arial" w:eastAsia="Arial" w:hAnsi="Arial"/>
          <w:sz w:val="18"/>
          <w:szCs w:val="18"/>
          <w:color w:val="auto"/>
        </w:rPr>
        <w:t>may not obtain regulatory approval, and we may not realize the full commercial potential of any of these therapeutic products that obtain regulatory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therapeutic product candidates.</w:t>
      </w:r>
    </w:p>
    <w:p>
      <w:pPr>
        <w:spacing w:after="0" w:line="194" w:lineRule="exact"/>
        <w:rPr>
          <w:sz w:val="20"/>
          <w:szCs w:val="20"/>
          <w:color w:val="auto"/>
        </w:rPr>
      </w:pPr>
    </w:p>
    <w:p>
      <w:pPr>
        <w:ind w:left="460" w:right="519"/>
        <w:spacing w:after="0" w:line="311" w:lineRule="auto"/>
        <w:rPr>
          <w:sz w:val="20"/>
          <w:szCs w:val="20"/>
          <w:color w:val="auto"/>
        </w:rPr>
      </w:pPr>
      <w:r>
        <w:rPr>
          <w:rFonts w:ascii="Arial" w:cs="Arial" w:eastAsia="Arial" w:hAnsi="Arial"/>
          <w:sz w:val="16"/>
          <w:szCs w:val="16"/>
          <w:b w:val="1"/>
          <w:bCs w:val="1"/>
          <w:i w:val="1"/>
          <w:iCs w:val="1"/>
          <w:color w:val="auto"/>
        </w:rPr>
        <w:t>Interim, top-line, and preliminary data from our future clinical trials that we announce or publish from time to time may change as more patient data become available and are subject to confirmation, audit and verification procedures that could result in material changes in the final data.</w:t>
      </w:r>
    </w:p>
    <w:p>
      <w:pPr>
        <w:spacing w:after="0" w:line="81" w:lineRule="exact"/>
        <w:rPr>
          <w:sz w:val="20"/>
          <w:szCs w:val="20"/>
          <w:color w:val="auto"/>
        </w:rPr>
      </w:pPr>
    </w:p>
    <w:p>
      <w:pPr>
        <w:ind w:left="460" w:right="539" w:firstLine="432"/>
        <w:spacing w:after="0" w:line="268" w:lineRule="auto"/>
        <w:rPr>
          <w:sz w:val="20"/>
          <w:szCs w:val="20"/>
          <w:color w:val="auto"/>
        </w:rPr>
      </w:pPr>
      <w:r>
        <w:rPr>
          <w:rFonts w:ascii="Arial" w:cs="Arial" w:eastAsia="Arial" w:hAnsi="Arial"/>
          <w:sz w:val="17"/>
          <w:szCs w:val="17"/>
          <w:color w:val="auto"/>
        </w:rPr>
        <w:t>From time to time, we may publicly disclose interim, top-line or preliminary data from our future clinical trials, which is based on a preliminary analysis of then-available data, and the results and related findings and conclusions are subject to change following a more comprehensive review of the data.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Interim data from clinical trials are subject to the risk that one or more of the clinical outcomes may materially change as patient enrollment continues and more patient data become available. Preliminary, interim or top-line data also remain subject to audit and verification procedures that may result in the final data being materially different from the preliminary top-line data we previously published. As a result, preliminary, interim and top-line data should be viewed with caution until the final data are available. Adverse differences between preliminary or interim data and final data could significantly harm our business prospects and may cause the price of our common stock to fluctuate or decline.</w:t>
      </w:r>
    </w:p>
    <w:p>
      <w:pPr>
        <w:spacing w:after="0" w:line="117" w:lineRule="exact"/>
        <w:rPr>
          <w:sz w:val="20"/>
          <w:szCs w:val="20"/>
          <w:color w:val="auto"/>
        </w:rPr>
      </w:pPr>
    </w:p>
    <w:p>
      <w:pPr>
        <w:ind w:left="460" w:right="599" w:firstLine="432"/>
        <w:spacing w:after="0" w:line="291" w:lineRule="auto"/>
        <w:rPr>
          <w:sz w:val="20"/>
          <w:szCs w:val="20"/>
          <w:color w:val="auto"/>
        </w:rPr>
      </w:pPr>
      <w:r>
        <w:rPr>
          <w:rFonts w:ascii="Arial" w:cs="Arial" w:eastAsia="Arial" w:hAnsi="Arial"/>
          <w:sz w:val="16"/>
          <w:szCs w:val="16"/>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our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85" w:lineRule="exact"/>
        <w:rPr>
          <w:sz w:val="20"/>
          <w:szCs w:val="20"/>
          <w:color w:val="auto"/>
        </w:rPr>
      </w:pPr>
    </w:p>
    <w:p>
      <w:pPr>
        <w:ind w:left="460" w:right="1079" w:firstLine="432"/>
        <w:spacing w:after="0" w:line="259" w:lineRule="auto"/>
        <w:rPr>
          <w:sz w:val="20"/>
          <w:szCs w:val="20"/>
          <w:color w:val="auto"/>
        </w:rPr>
      </w:pPr>
      <w:r>
        <w:rPr>
          <w:rFonts w:ascii="Arial" w:cs="Arial" w:eastAsia="Arial" w:hAnsi="Arial"/>
          <w:sz w:val="18"/>
          <w:szCs w:val="18"/>
          <w:color w:val="auto"/>
        </w:rPr>
        <w:t>If the preliminary, interim or top-line data that we report differ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w:t>
      </w:r>
    </w:p>
    <w:p>
      <w:pPr>
        <w:spacing w:after="0" w:line="187" w:lineRule="exact"/>
        <w:rPr>
          <w:sz w:val="20"/>
          <w:szCs w:val="20"/>
          <w:color w:val="auto"/>
        </w:rPr>
      </w:pPr>
    </w:p>
    <w:p>
      <w:pPr>
        <w:ind w:left="460" w:right="799"/>
        <w:spacing w:after="0" w:line="308" w:lineRule="auto"/>
        <w:rPr>
          <w:sz w:val="20"/>
          <w:szCs w:val="20"/>
          <w:color w:val="auto"/>
        </w:rPr>
      </w:pPr>
      <w:r>
        <w:rPr>
          <w:rFonts w:ascii="Arial" w:cs="Arial" w:eastAsia="Arial" w:hAnsi="Arial"/>
          <w:sz w:val="17"/>
          <w:szCs w:val="17"/>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79"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w:t>
      </w:r>
    </w:p>
    <w:p>
      <w:pPr>
        <w:spacing w:after="0" w:line="127" w:lineRule="exact"/>
        <w:rPr>
          <w:sz w:val="20"/>
          <w:szCs w:val="20"/>
          <w:color w:val="auto"/>
        </w:rPr>
      </w:pPr>
    </w:p>
    <w:p>
      <w:pPr>
        <w:ind w:left="1320" w:right="759" w:hanging="434"/>
        <w:spacing w:after="0" w:line="342" w:lineRule="auto"/>
        <w:tabs>
          <w:tab w:leader="none" w:pos="131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we may receive feedback from regulatory authorities that require us to modify the design or implementation of our preclinical studies or clinical trials or to delay or terminate a clinical trial;</w:t>
      </w:r>
    </w:p>
    <w:p>
      <w:pPr>
        <w:spacing w:after="0" w:line="42" w:lineRule="exact"/>
        <w:rPr>
          <w:rFonts w:ascii="Arial" w:cs="Arial" w:eastAsia="Arial" w:hAnsi="Arial"/>
          <w:sz w:val="16"/>
          <w:szCs w:val="16"/>
          <w:color w:val="auto"/>
        </w:rPr>
      </w:pPr>
    </w:p>
    <w:p>
      <w:pPr>
        <w:ind w:left="1320" w:right="979" w:hanging="434"/>
        <w:spacing w:after="0" w:line="263" w:lineRule="auto"/>
        <w:tabs>
          <w:tab w:leader="none" w:pos="131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or ethics committees may delay or may not authorize us or our investigators to commence a clinical trial or conduct a clinical trial at a prospective trial site;</w:t>
      </w:r>
    </w:p>
    <w:p>
      <w:pPr>
        <w:sectPr>
          <w:pgSz w:w="11900" w:h="16838" w:orient="portrait"/>
          <w:cols w:equalWidth="0" w:num="1">
            <w:col w:w="9019"/>
          </w:cols>
          <w:pgMar w:left="1440" w:top="274"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6" w:name="page47"/>
    <w:bookmarkEnd w:id="4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99" w:hanging="434"/>
        <w:spacing w:after="0" w:line="259" w:lineRule="auto"/>
        <w:tabs>
          <w:tab w:leader="none" w:pos="131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119" w:lineRule="exact"/>
        <w:rPr>
          <w:rFonts w:ascii="Arial" w:cs="Arial" w:eastAsia="Arial" w:hAnsi="Arial"/>
          <w:sz w:val="18"/>
          <w:szCs w:val="18"/>
          <w:color w:val="auto"/>
        </w:rPr>
      </w:pPr>
    </w:p>
    <w:p>
      <w:pPr>
        <w:jc w:val="both"/>
        <w:ind w:left="1320" w:right="619" w:hanging="434"/>
        <w:spacing w:after="0" w:line="259" w:lineRule="auto"/>
        <w:tabs>
          <w:tab w:leader="none" w:pos="131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119" w:lineRule="exact"/>
        <w:rPr>
          <w:rFonts w:ascii="Arial" w:cs="Arial" w:eastAsia="Arial" w:hAnsi="Arial"/>
          <w:sz w:val="18"/>
          <w:szCs w:val="18"/>
          <w:color w:val="auto"/>
        </w:rPr>
      </w:pPr>
    </w:p>
    <w:p>
      <w:pPr>
        <w:ind w:left="1320" w:right="899" w:hanging="434"/>
        <w:spacing w:after="0" w:line="277" w:lineRule="auto"/>
        <w:tabs>
          <w:tab w:leader="none" w:pos="131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preclinical studies or clinical trials of our product candidates may not produce differentiated or clinically significant results across tumor types or indications;</w:t>
      </w:r>
    </w:p>
    <w:p>
      <w:pPr>
        <w:spacing w:after="0" w:line="89" w:lineRule="exact"/>
        <w:rPr>
          <w:rFonts w:ascii="Arial" w:cs="Arial" w:eastAsia="Arial" w:hAnsi="Arial"/>
          <w:sz w:val="18"/>
          <w:szCs w:val="18"/>
          <w:color w:val="auto"/>
        </w:rPr>
      </w:pPr>
    </w:p>
    <w:p>
      <w:pPr>
        <w:ind w:left="1320" w:right="539" w:hanging="434"/>
        <w:spacing w:after="0" w:line="259" w:lineRule="auto"/>
        <w:tabs>
          <w:tab w:leader="none" w:pos="131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19" w:lineRule="exact"/>
        <w:rPr>
          <w:rFonts w:ascii="Arial" w:cs="Arial" w:eastAsia="Arial" w:hAnsi="Arial"/>
          <w:sz w:val="18"/>
          <w:szCs w:val="18"/>
          <w:color w:val="auto"/>
        </w:rPr>
      </w:pPr>
    </w:p>
    <w:p>
      <w:pPr>
        <w:ind w:left="1320" w:right="479" w:hanging="434"/>
        <w:spacing w:after="0" w:line="257" w:lineRule="auto"/>
        <w:tabs>
          <w:tab w:leader="none" w:pos="131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our third 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120" w:lineRule="exact"/>
        <w:rPr>
          <w:rFonts w:ascii="Arial" w:cs="Arial" w:eastAsia="Arial" w:hAnsi="Arial"/>
          <w:sz w:val="18"/>
          <w:szCs w:val="18"/>
          <w:color w:val="auto"/>
        </w:rPr>
      </w:pPr>
    </w:p>
    <w:p>
      <w:pPr>
        <w:ind w:left="1320" w:right="499" w:hanging="434"/>
        <w:spacing w:after="0" w:line="259" w:lineRule="auto"/>
        <w:tabs>
          <w:tab w:leader="none" w:pos="131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105" w:lineRule="exact"/>
        <w:rPr>
          <w:rFonts w:ascii="Arial" w:cs="Arial" w:eastAsia="Arial" w:hAnsi="Arial"/>
          <w:sz w:val="18"/>
          <w:szCs w:val="18"/>
          <w:color w:val="auto"/>
        </w:rPr>
      </w:pPr>
    </w:p>
    <w:p>
      <w:pPr>
        <w:ind w:left="1300" w:hanging="414"/>
        <w:spacing w:after="0"/>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57" w:lineRule="exact"/>
        <w:rPr>
          <w:rFonts w:ascii="Arial" w:cs="Arial" w:eastAsia="Arial" w:hAnsi="Arial"/>
          <w:sz w:val="18"/>
          <w:szCs w:val="18"/>
          <w:color w:val="auto"/>
        </w:rPr>
      </w:pPr>
    </w:p>
    <w:p>
      <w:pPr>
        <w:ind w:left="1320" w:right="759" w:hanging="434"/>
        <w:spacing w:after="0" w:line="277" w:lineRule="auto"/>
        <w:tabs>
          <w:tab w:leader="none" w:pos="131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clinical trials of our product candidates may be delayed due to complications associated with the evolving COVID-19 pandemic;</w:t>
      </w:r>
    </w:p>
    <w:p>
      <w:pPr>
        <w:spacing w:after="0" w:line="102" w:lineRule="exact"/>
        <w:rPr>
          <w:rFonts w:ascii="Arial" w:cs="Arial" w:eastAsia="Arial" w:hAnsi="Arial"/>
          <w:sz w:val="18"/>
          <w:szCs w:val="18"/>
          <w:color w:val="auto"/>
        </w:rPr>
      </w:pPr>
    </w:p>
    <w:p>
      <w:pPr>
        <w:ind w:left="1320" w:right="519" w:hanging="434"/>
        <w:spacing w:after="0" w:line="277" w:lineRule="auto"/>
        <w:tabs>
          <w:tab w:leader="none" w:pos="131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89" w:lineRule="exact"/>
        <w:rPr>
          <w:rFonts w:ascii="Arial" w:cs="Arial" w:eastAsia="Arial" w:hAnsi="Arial"/>
          <w:sz w:val="18"/>
          <w:szCs w:val="18"/>
          <w:color w:val="auto"/>
        </w:rPr>
      </w:pPr>
    </w:p>
    <w:p>
      <w:pPr>
        <w:ind w:left="1320" w:right="559" w:hanging="434"/>
        <w:spacing w:after="0" w:line="279" w:lineRule="auto"/>
        <w:tabs>
          <w:tab w:leader="none" w:pos="131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w:t>
      </w:r>
    </w:p>
    <w:p>
      <w:pPr>
        <w:spacing w:after="0" w:line="103" w:lineRule="exact"/>
        <w:rPr>
          <w:rFonts w:ascii="Arial" w:cs="Arial" w:eastAsia="Arial" w:hAnsi="Arial"/>
          <w:sz w:val="17"/>
          <w:szCs w:val="17"/>
          <w:color w:val="auto"/>
        </w:rPr>
      </w:pPr>
    </w:p>
    <w:p>
      <w:pPr>
        <w:ind w:left="1320" w:right="599" w:hanging="434"/>
        <w:spacing w:after="0" w:line="277" w:lineRule="auto"/>
        <w:tabs>
          <w:tab w:leader="none" w:pos="131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 and</w:t>
      </w:r>
    </w:p>
    <w:p>
      <w:pPr>
        <w:spacing w:after="0" w:line="102" w:lineRule="exact"/>
        <w:rPr>
          <w:rFonts w:ascii="Arial" w:cs="Arial" w:eastAsia="Arial" w:hAnsi="Arial"/>
          <w:sz w:val="18"/>
          <w:szCs w:val="18"/>
          <w:color w:val="auto"/>
        </w:rPr>
      </w:pPr>
    </w:p>
    <w:p>
      <w:pPr>
        <w:ind w:left="1320" w:right="759" w:hanging="434"/>
        <w:spacing w:after="0" w:line="277" w:lineRule="auto"/>
        <w:tabs>
          <w:tab w:leader="none" w:pos="131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regulatory developments with respect to our competitors’ products, including any developments, litigation or public concern about the safety of such products.</w:t>
      </w:r>
    </w:p>
    <w:p>
      <w:pPr>
        <w:spacing w:after="0" w:line="89"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at which such trials are being conducted, by the Data Safety Monitoring Board, or DSMB,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 w:name="page48"/>
    <w:bookmarkEnd w:id="4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18"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including those caused by the COVID-19 pandemic,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192" w:lineRule="exact"/>
        <w:rPr>
          <w:sz w:val="20"/>
          <w:szCs w:val="20"/>
          <w:color w:val="auto"/>
        </w:rPr>
      </w:pPr>
    </w:p>
    <w:p>
      <w:pPr>
        <w:ind w:left="460" w:right="599"/>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03"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We may not be able to initiate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genetic mutations for the development of our precision oncology programs and because orphan indications have small populations, our ability to enroll eligible patients may be limited or may result in slower enrollment than we anticipate.</w:t>
      </w:r>
    </w:p>
    <w:p>
      <w:pPr>
        <w:spacing w:after="0" w:line="97"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We may experience difficulties with identifying specific patient populations for any biomarker-defined trial cohorts. The patient eligibility criteria defined in our trial protocols, including biomarker-driven identification may limit the patient populations eligible for our clinical trials to a greater extent than competing clinical trials for the same indication that do not have biomarker-driven patient eligibility criteria. We will also rely on the willingness and ability of clinicians to screen their patients for biomarkers to indicate which patients may be eligible for enrollment in our clinical trials.</w:t>
      </w:r>
    </w:p>
    <w:p>
      <w:pPr>
        <w:spacing w:after="0" w:line="125"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In addition, some of our competitors have ongoing clinical trials for product candidates that treat the same indications as do our product candidates, and patients who would otherwise be eligible for our clinical trials may choose instead to enroll in clinical trials of our competitors’ product candidates. Furthermore, our ability to enroll patients may be significantly delayed by the evolving COVID-19 pandemic, and we cannot accurately predict the extent and scope of such delays at this point.</w:t>
      </w:r>
    </w:p>
    <w:p>
      <w:pPr>
        <w:spacing w:after="0" w:line="120"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In addition to the competitive trial environment, the eligibility criteria of our future clinical trials will further limit the pool of available study participants as we will require that patients have specific characteristics that we can measure to assure their cancer is either severe enough or not too advanced to include them in a study.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85"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We may also engage third parties to develop companion diagnostics for use in our clinical trials, but such third parties may not be successful in developing such companion diagnostics, limiting our ability to identify patients with the targeted genetic mutations for our clinical trials. Further, if we are required to develop companion diagnostics and are unable to include patients with the targeted genetic mutations, this could compromise our ability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8" w:name="page49"/>
    <w:bookmarkEnd w:id="4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879"/>
        <w:spacing w:after="0" w:line="311" w:lineRule="auto"/>
        <w:rPr>
          <w:sz w:val="20"/>
          <w:szCs w:val="20"/>
          <w:color w:val="auto"/>
        </w:rPr>
      </w:pPr>
      <w:r>
        <w:rPr>
          <w:rFonts w:ascii="Arial" w:cs="Arial" w:eastAsia="Arial" w:hAnsi="Arial"/>
          <w:sz w:val="16"/>
          <w:szCs w:val="16"/>
          <w:color w:val="auto"/>
        </w:rPr>
        <w:t>to seek participation in the FDA’s expedited review and development programs, including Breakthrough Therapy Designation and Fast Track Designation, or otherwise seek to accelerate clinical development and regulatory timelines. Patient enrollment may be affected by other factors, including:</w:t>
      </w:r>
    </w:p>
    <w:p>
      <w:pPr>
        <w:spacing w:after="0" w:line="81" w:lineRule="exact"/>
        <w:rPr>
          <w:sz w:val="20"/>
          <w:szCs w:val="20"/>
          <w:color w:val="auto"/>
        </w:rPr>
      </w:pPr>
    </w:p>
    <w:p>
      <w:pPr>
        <w:ind w:left="1300" w:hanging="41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efforts to obtain and maintain patient consents and facilitate timely enrollment in clinical trials;</w:t>
      </w:r>
    </w:p>
    <w:p>
      <w:pPr>
        <w:spacing w:after="0" w:line="167" w:lineRule="exact"/>
        <w:rPr>
          <w:rFonts w:ascii="Arial" w:cs="Arial" w:eastAsia="Arial" w:hAnsi="Arial"/>
          <w:sz w:val="16"/>
          <w:szCs w:val="16"/>
          <w:color w:val="auto"/>
        </w:rPr>
      </w:pPr>
    </w:p>
    <w:p>
      <w:pPr>
        <w:ind w:left="1300" w:hanging="41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57"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ability to recruit clinical trial investigators with the appropriate competencies and experience;</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 and</w:t>
      </w:r>
    </w:p>
    <w:p>
      <w:pPr>
        <w:spacing w:after="0" w:line="157" w:lineRule="exact"/>
        <w:rPr>
          <w:rFonts w:ascii="Arial" w:cs="Arial" w:eastAsia="Arial" w:hAnsi="Arial"/>
          <w:sz w:val="18"/>
          <w:szCs w:val="18"/>
          <w:color w:val="auto"/>
        </w:rPr>
      </w:pPr>
    </w:p>
    <w:p>
      <w:pPr>
        <w:ind w:left="1320" w:right="619" w:hanging="434"/>
        <w:spacing w:after="0" w:line="277" w:lineRule="auto"/>
        <w:tabs>
          <w:tab w:leader="none" w:pos="131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factors we may not be able to control, including the impacts of the COVID-19 pandemic, that may limit patients, principal investigators or staff or clinical site availability.</w:t>
      </w:r>
    </w:p>
    <w:p>
      <w:pPr>
        <w:spacing w:after="0" w:line="170" w:lineRule="exact"/>
        <w:rPr>
          <w:sz w:val="20"/>
          <w:szCs w:val="20"/>
          <w:color w:val="auto"/>
        </w:rPr>
      </w:pPr>
    </w:p>
    <w:p>
      <w:pPr>
        <w:jc w:val="both"/>
        <w:ind w:left="460" w:right="559"/>
        <w:spacing w:after="0" w:line="340" w:lineRule="auto"/>
        <w:rPr>
          <w:sz w:val="20"/>
          <w:szCs w:val="20"/>
          <w:color w:val="auto"/>
        </w:rPr>
      </w:pPr>
      <w:r>
        <w:rPr>
          <w:rFonts w:ascii="Arial" w:cs="Arial" w:eastAsia="Arial" w:hAnsi="Arial"/>
          <w:sz w:val="15"/>
          <w:szCs w:val="15"/>
          <w:b w:val="1"/>
          <w:bCs w:val="1"/>
          <w:i w:val="1"/>
          <w:iCs w:val="1"/>
          <w:color w:val="auto"/>
        </w:rPr>
        <w:t>We anticipate that certain of our current product candidates and future product candidates could be used in combination with third-party drugs or biologics, some of which are still in development, and we have limited or no control over the supply, regulatory status, or regulatory approval of such drugs or biologics.</w:t>
      </w:r>
    </w:p>
    <w:p>
      <w:pPr>
        <w:spacing w:after="0" w:line="63" w:lineRule="exact"/>
        <w:rPr>
          <w:sz w:val="20"/>
          <w:szCs w:val="20"/>
          <w:color w:val="auto"/>
        </w:rPr>
      </w:pPr>
    </w:p>
    <w:p>
      <w:pPr>
        <w:ind w:left="460" w:right="619" w:firstLine="432"/>
        <w:spacing w:after="0" w:line="271" w:lineRule="auto"/>
        <w:rPr>
          <w:sz w:val="20"/>
          <w:szCs w:val="20"/>
          <w:color w:val="auto"/>
        </w:rPr>
      </w:pPr>
      <w:r>
        <w:rPr>
          <w:rFonts w:ascii="Arial" w:cs="Arial" w:eastAsia="Arial" w:hAnsi="Arial"/>
          <w:sz w:val="17"/>
          <w:szCs w:val="17"/>
          <w:color w:val="auto"/>
        </w:rPr>
        <w:t>Certain of our current product candidates and any future product candidates have the potential to be administered in combination with existing standards of care like checkpoint inhibitor immunotherapies, chemotherapies, targeted therapies or radiotherapy. Our ability to develop and ultimately commercialize our current programs and product candidates and any future programs or product candidates used in combination with other therapies will depend on our ability to access such drugs or biologics on commercially reasonable terms for the clinical trials and their availability for use with our commercialized product, if approved. We cannot be certain that current or potential future commercial relationships will provide us with a steady supply of such drugs or biologics on commercially reasonable terms or at all.</w:t>
      </w:r>
    </w:p>
    <w:p>
      <w:pPr>
        <w:spacing w:after="0" w:line="97" w:lineRule="exact"/>
        <w:rPr>
          <w:sz w:val="20"/>
          <w:szCs w:val="20"/>
          <w:color w:val="auto"/>
        </w:rPr>
      </w:pPr>
    </w:p>
    <w:p>
      <w:pPr>
        <w:ind w:left="460" w:right="639" w:firstLine="432"/>
        <w:spacing w:after="0" w:line="275" w:lineRule="auto"/>
        <w:rPr>
          <w:sz w:val="20"/>
          <w:szCs w:val="20"/>
          <w:color w:val="auto"/>
        </w:rPr>
      </w:pPr>
      <w:r>
        <w:rPr>
          <w:rFonts w:ascii="Arial" w:cs="Arial" w:eastAsia="Arial" w:hAnsi="Arial"/>
          <w:sz w:val="17"/>
          <w:szCs w:val="17"/>
          <w:color w:val="auto"/>
        </w:rPr>
        <w:t>Any failure to maintain or enter into new successful commercial relationships, or the expense of purchasing checkpoint inhibitor immunotherapies or other comparator therapies in the market, may delay our development timelines, increase our costs and jeopardize our ability to develop our current product candidates and any future product candidates as commercially viable therapies. If any of these occur, our business, financial condition, operating results, stock price and prospects may be materially harmed.</w:t>
      </w:r>
    </w:p>
    <w:p>
      <w:pPr>
        <w:spacing w:after="0" w:line="109"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Moreover, the development of product candidates for use in combination with another product or product candidate may present challenges that are not faced for single agent product candidates.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combination therapy and not our current product candidates and any future product candidates. Moreover, following product approval,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Moreover, developments related to the other product may impact our clinical trials for the combination as well as our commercial prospects should we receive regulatory approval. Such developments may include changes to the other product’s safety or efficacy profile, changes to the availability of the other product, quality, manufacturing and supply issues with respect to the other product, and changes to the standard of care.</w:t>
      </w:r>
    </w:p>
    <w:p>
      <w:pPr>
        <w:spacing w:after="0" w:line="106" w:lineRule="exact"/>
        <w:rPr>
          <w:sz w:val="20"/>
          <w:szCs w:val="20"/>
          <w:color w:val="auto"/>
        </w:rPr>
      </w:pPr>
    </w:p>
    <w:p>
      <w:pPr>
        <w:ind w:left="460" w:right="679" w:firstLine="432"/>
        <w:spacing w:after="0" w:line="293" w:lineRule="auto"/>
        <w:rPr>
          <w:sz w:val="20"/>
          <w:szCs w:val="20"/>
          <w:color w:val="auto"/>
        </w:rPr>
      </w:pPr>
      <w:r>
        <w:rPr>
          <w:rFonts w:ascii="Arial" w:cs="Arial" w:eastAsia="Arial" w:hAnsi="Arial"/>
          <w:sz w:val="16"/>
          <w:szCs w:val="16"/>
          <w:color w:val="auto"/>
        </w:rPr>
        <w:t>In the event that any future collaborator or supplier cannot continue to supply their products on commercially reasonable terms, we would need to identify alternatives for accessing potential combination or targeted therapies. Additionally, should the supply of products from any current or future collaborator or supplier be interrupted, delayed or otherwise be unavailable to us, our clinical trials may be delayed. In the event we are unable to source an alternative supply, or are unable to do so on commercially reasonable terms, our business, financial condition, operating results, stock price and prospects may be materially harmed.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9" w:name="page50"/>
    <w:bookmarkEnd w:id="4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579"/>
        <w:spacing w:after="0" w:line="275" w:lineRule="auto"/>
        <w:rPr>
          <w:sz w:val="20"/>
          <w:szCs w:val="20"/>
          <w:color w:val="auto"/>
        </w:rPr>
      </w:pPr>
      <w:r>
        <w:rPr>
          <w:rFonts w:ascii="Arial" w:cs="Arial" w:eastAsia="Arial" w:hAnsi="Arial"/>
          <w:sz w:val="17"/>
          <w:szCs w:val="17"/>
          <w:b w:val="1"/>
          <w:bCs w:val="1"/>
          <w:i w:val="1"/>
          <w:iCs w:val="1"/>
          <w:color w:val="auto"/>
        </w:rPr>
        <w:t>Results from early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95"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Any results from our early preclinical studies of our programs or our product candidates may not necessarily be predictive of the results from later preclinical studies and clinical trials.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109"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178" w:lineRule="exact"/>
        <w:rPr>
          <w:sz w:val="20"/>
          <w:szCs w:val="20"/>
          <w:color w:val="auto"/>
        </w:rPr>
      </w:pPr>
    </w:p>
    <w:p>
      <w:pPr>
        <w:ind w:left="460" w:right="659"/>
        <w:spacing w:after="0" w:line="342" w:lineRule="auto"/>
        <w:rPr>
          <w:sz w:val="20"/>
          <w:szCs w:val="20"/>
          <w:color w:val="auto"/>
        </w:rPr>
      </w:pPr>
      <w:r>
        <w:rPr>
          <w:rFonts w:ascii="Arial" w:cs="Arial" w:eastAsia="Arial" w:hAnsi="Arial"/>
          <w:sz w:val="16"/>
          <w:szCs w:val="16"/>
          <w:b w:val="1"/>
          <w:bCs w:val="1"/>
          <w:i w:val="1"/>
          <w:iCs w:val="1"/>
          <w:color w:val="auto"/>
        </w:rPr>
        <w:t>We may not be able to file INDs for our precision oncology and other programs to commence clinical trials on the timelines we expect, and even if we are able to, the FDA may not permit us to proceed.</w:t>
      </w:r>
    </w:p>
    <w:p>
      <w:pPr>
        <w:spacing w:after="0" w:line="56"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We expect to file an IND for TNG908 in the fourth quarter of 2021 and to file an IND for our USP1 inhibitor program in 2022 and file an IND for our undisclosed target for STK11-mutant cancers (Target 3) in 2023. However, we may not be able to file such INDs or INDs for future product candidates for our precision oncology or other programs on the timelines we expect. For example, we may experience manufacturing delays or other delays with IND-enabling studies. Moreover, we cannot be sure that submission of an IND will result in the FDA allowing clinical trials to begin, or that, once begun, issues will not arise that suspend or terminate clinical trials. Additionally, even if the FDA agrees with the design and implementation of the clinical trials set forth in an IND, we cannot guarantee that it will not change its requirements in the future. These considerations also apply to new clinical trials we may submit as amendments to existing INDs or to a new IND. Any failure to file INDs on the timelines we expect or to obtain regulatory approvals for our planned clinical trials may prevent us from initiating or completing our clinical trials or commercializing our product candidates on a timely basis, if at all.</w:t>
      </w:r>
    </w:p>
    <w:p>
      <w:pPr>
        <w:spacing w:after="0" w:line="179" w:lineRule="exact"/>
        <w:rPr>
          <w:sz w:val="20"/>
          <w:szCs w:val="20"/>
          <w:color w:val="auto"/>
        </w:rPr>
      </w:pPr>
    </w:p>
    <w:p>
      <w:pPr>
        <w:ind w:left="460" w:right="479"/>
        <w:spacing w:after="0" w:line="286" w:lineRule="auto"/>
        <w:rPr>
          <w:sz w:val="20"/>
          <w:szCs w:val="20"/>
          <w:color w:val="auto"/>
        </w:rPr>
      </w:pPr>
      <w:r>
        <w:rPr>
          <w:rFonts w:ascii="Arial" w:cs="Arial" w:eastAsia="Arial" w:hAnsi="Arial"/>
          <w:sz w:val="17"/>
          <w:szCs w:val="17"/>
          <w:b w:val="1"/>
          <w:bCs w:val="1"/>
          <w:i w:val="1"/>
          <w:iCs w:val="1"/>
          <w:color w:val="auto"/>
        </w:rPr>
        <w:t>Our future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84"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Before obtaining regulatory approvals for the commercial sale of any products, we must demonstrate through lengthy, complex and expensive preclinical studies and clinical trials that our product candidates are both safe and effective for use in each target indication. Clinical testing is expensive and can take many years to complete, and outcomes are inherently uncertain. Failure can occur at any time during the clinical trial process. Because our precision oncology programs and our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nonclinical studies and initial clinical trials. If the results of our future preclinical studies and clinical trials are inconclusive with respect to the safety and efficacy of our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have not yet initiated clinical trials for our precision oncology programs, it is likely, as is the case with many oncology therapies, that there may be side</w:t>
      </w:r>
    </w:p>
    <w:p>
      <w:pPr>
        <w:sectPr>
          <w:pgSz w:w="11900" w:h="16838" w:orient="portrait"/>
          <w:cols w:equalWidth="0" w:num="1">
            <w:col w:w="9019"/>
          </w:cols>
          <w:pgMar w:left="1440" w:top="274"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0" w:name="page51"/>
    <w:bookmarkEnd w:id="5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96" w:lineRule="auto"/>
        <w:rPr>
          <w:sz w:val="20"/>
          <w:szCs w:val="20"/>
          <w:color w:val="auto"/>
        </w:rPr>
      </w:pPr>
      <w:r>
        <w:rPr>
          <w:rFonts w:ascii="Arial" w:cs="Arial" w:eastAsia="Arial" w:hAnsi="Arial"/>
          <w:sz w:val="16"/>
          <w:szCs w:val="16"/>
          <w:color w:val="auto"/>
        </w:rPr>
        <w:t>effects associated with their use.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w:t>
      </w:r>
    </w:p>
    <w:p>
      <w:pPr>
        <w:spacing w:after="0" w:line="9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yet observed. Many compounds that initially showed promise in early-stage testing for treating cancer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p>
    <w:p>
      <w:pPr>
        <w:spacing w:after="0" w:line="118"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color w:val="auto"/>
        </w:rPr>
        <w:t>We may develop future product candidates, in combination with one or more cancer therapies. The uncertainty resulting from the use of our product candidates in combination with other cancer therapies may make it difficult to accurately predict side effects in future clinical trials. As is the case with many treatments for cancer and rare diseases, it is likely that there may be side effects associated with the use of our product candidates. If significant adverse events or other side effects are observed in any of our future clinical trials, we may have difficulty recruiting patients to our clinical trials, patients may drop out of our trials, or we may be required to abandon the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167" w:lineRule="exact"/>
        <w:rPr>
          <w:sz w:val="20"/>
          <w:szCs w:val="20"/>
          <w:color w:val="auto"/>
        </w:rPr>
      </w:pPr>
    </w:p>
    <w:p>
      <w:pPr>
        <w:ind w:left="460" w:right="639"/>
        <w:spacing w:after="0" w:line="259" w:lineRule="auto"/>
        <w:rPr>
          <w:sz w:val="20"/>
          <w:szCs w:val="20"/>
          <w:color w:val="auto"/>
        </w:rPr>
      </w:pPr>
      <w:r>
        <w:rPr>
          <w:rFonts w:ascii="Arial" w:cs="Arial" w:eastAsia="Arial" w:hAnsi="Arial"/>
          <w:sz w:val="18"/>
          <w:szCs w:val="18"/>
          <w:b w:val="1"/>
          <w:bCs w:val="1"/>
          <w:i w:val="1"/>
          <w:iCs w:val="1"/>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106"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Some of our product candidates modulate pathway for which there are currently no approved or effective therapies, which may result in uncertainty regarding our current and future development efforts and ability to obtain regulatory approval for such candidates. We select programs for cancer driver targets based on compelling biological rationale. We explore new programs based on extensive preclinical data analysis which sometimes cannot predict efficacy or safety in humans.</w:t>
      </w:r>
    </w:p>
    <w:p>
      <w:pPr>
        <w:spacing w:after="0" w:line="120"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Some of our product candidates utilize novel binding locations, which may result in greater research and development expenses, regulatory issues that could delay or prevent approval, or discovery of unknown or unanticipated adverse effects. We utilize structural biology in tight integration with our medicinal chemistry and biology capabilities to predict and design the compounds that will achieve the most desirable characteristics, including potency, selectivity, bioavailability, and drug-like properties. A disruption in any of these capabilities may have significant adverse effects in our ability to expand our pipeline of product candidates, and we cannot predict whether we will continue to have access to these capabilities in the future to support our pipeline development. In addition, there can be no assurance that we will be able to rapidly identify, design and synthesize the necessary compounds or that these or other problems related to the development of product candidates will not arise in the future, which may cause significant delays or we raise problems we may not be able to resolve.</w:t>
      </w:r>
    </w:p>
    <w:p>
      <w:pPr>
        <w:spacing w:after="0" w:line="114"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1" w:name="page52"/>
    <w:bookmarkEnd w:id="5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69" w:lineRule="auto"/>
        <w:rPr>
          <w:sz w:val="20"/>
          <w:szCs w:val="20"/>
          <w:color w:val="auto"/>
        </w:rPr>
      </w:pPr>
      <w:r>
        <w:rPr>
          <w:rFonts w:ascii="Arial" w:cs="Arial" w:eastAsia="Arial" w:hAnsi="Arial"/>
          <w:sz w:val="17"/>
          <w:szCs w:val="17"/>
          <w:color w:val="auto"/>
        </w:rPr>
        <w:t>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inhibitors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Any such events could adversely impact our business prospects, operating results and financial condition.</w:t>
      </w:r>
    </w:p>
    <w:p>
      <w:pPr>
        <w:spacing w:after="0" w:line="185" w:lineRule="exact"/>
        <w:rPr>
          <w:sz w:val="20"/>
          <w:szCs w:val="20"/>
          <w:color w:val="auto"/>
        </w:rPr>
      </w:pPr>
    </w:p>
    <w:p>
      <w:pPr>
        <w:ind w:left="460" w:right="819"/>
        <w:spacing w:after="0" w:line="342" w:lineRule="auto"/>
        <w:rPr>
          <w:sz w:val="20"/>
          <w:szCs w:val="20"/>
          <w:color w:val="auto"/>
        </w:rPr>
      </w:pPr>
      <w:r>
        <w:rPr>
          <w:rFonts w:ascii="Arial" w:cs="Arial" w:eastAsia="Arial" w:hAnsi="Arial"/>
          <w:sz w:val="16"/>
          <w:szCs w:val="16"/>
          <w:b w:val="1"/>
          <w:bCs w:val="1"/>
          <w:i w:val="1"/>
          <w:iCs w:val="1"/>
          <w:color w:val="auto"/>
        </w:rPr>
        <w:t>We may in the future conduct clinical trials for our product candidates outside the United States, and the FDA and comparable foreign regulatory authorities may not accept data from such trials.</w:t>
      </w:r>
    </w:p>
    <w:p>
      <w:pPr>
        <w:spacing w:after="0" w:line="56" w:lineRule="exact"/>
        <w:rPr>
          <w:sz w:val="20"/>
          <w:szCs w:val="20"/>
          <w:color w:val="auto"/>
        </w:rPr>
      </w:pPr>
    </w:p>
    <w:p>
      <w:pPr>
        <w:ind w:left="460" w:right="679" w:firstLine="432"/>
        <w:spacing w:after="0" w:line="285" w:lineRule="auto"/>
        <w:rPr>
          <w:sz w:val="20"/>
          <w:szCs w:val="20"/>
          <w:color w:val="auto"/>
        </w:rPr>
      </w:pPr>
      <w:r>
        <w:rPr>
          <w:rFonts w:ascii="Arial" w:cs="Arial" w:eastAsia="Arial" w:hAnsi="Arial"/>
          <w:sz w:val="16"/>
          <w:szCs w:val="16"/>
          <w:color w:val="auto"/>
        </w:rPr>
        <w:t>We may in the future choose to conduct additional clinical trials outside the United States, including in Europe, Australia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w:t>
      </w:r>
    </w:p>
    <w:p>
      <w:pPr>
        <w:spacing w:after="0" w:line="2" w:lineRule="exact"/>
        <w:rPr>
          <w:sz w:val="20"/>
          <w:szCs w:val="20"/>
          <w:color w:val="auto"/>
        </w:rPr>
      </w:pPr>
    </w:p>
    <w:p>
      <w:pPr>
        <w:ind w:left="460" w:right="479" w:hanging="6"/>
        <w:spacing w:after="0" w:line="285" w:lineRule="auto"/>
        <w:tabs>
          <w:tab w:leader="none" w:pos="67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data are applicable to the United States population and United States medical practices,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172" w:lineRule="exact"/>
        <w:rPr>
          <w:sz w:val="20"/>
          <w:szCs w:val="20"/>
          <w:color w:val="auto"/>
        </w:rPr>
      </w:pPr>
    </w:p>
    <w:p>
      <w:pPr>
        <w:ind w:left="460" w:right="479"/>
        <w:spacing w:after="0" w:line="259" w:lineRule="auto"/>
        <w:rPr>
          <w:sz w:val="20"/>
          <w:szCs w:val="20"/>
          <w:color w:val="auto"/>
        </w:rPr>
      </w:pPr>
      <w:r>
        <w:rPr>
          <w:rFonts w:ascii="Arial" w:cs="Arial" w:eastAsia="Arial" w:hAnsi="Arial"/>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119"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107" w:lineRule="exact"/>
        <w:rPr>
          <w:sz w:val="20"/>
          <w:szCs w:val="20"/>
          <w:color w:val="auto"/>
        </w:rPr>
      </w:pPr>
    </w:p>
    <w:p>
      <w:pPr>
        <w:ind w:left="1320" w:right="819" w:hanging="434"/>
        <w:spacing w:after="0" w:line="277" w:lineRule="auto"/>
        <w:tabs>
          <w:tab w:leader="none" w:pos="131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indications and/or product candidates;</w:t>
      </w:r>
    </w:p>
    <w:p>
      <w:pPr>
        <w:spacing w:after="0" w:line="102" w:lineRule="exact"/>
        <w:rPr>
          <w:rFonts w:ascii="Arial" w:cs="Arial" w:eastAsia="Arial" w:hAnsi="Arial"/>
          <w:sz w:val="18"/>
          <w:szCs w:val="18"/>
          <w:color w:val="auto"/>
        </w:rPr>
      </w:pPr>
    </w:p>
    <w:p>
      <w:pPr>
        <w:ind w:left="1320" w:right="699" w:hanging="434"/>
        <w:spacing w:after="0" w:line="277" w:lineRule="auto"/>
        <w:tabs>
          <w:tab w:leader="none" w:pos="131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potential product candidates may, after further study, be shown to have harmful adverse effects or other characteristics that indicate they are unlikely to be effective products; or</w:t>
      </w:r>
    </w:p>
    <w:p>
      <w:pPr>
        <w:spacing w:after="0" w:line="102" w:lineRule="exact"/>
        <w:rPr>
          <w:rFonts w:ascii="Arial" w:cs="Arial" w:eastAsia="Arial" w:hAnsi="Arial"/>
          <w:sz w:val="18"/>
          <w:szCs w:val="18"/>
          <w:color w:val="auto"/>
        </w:rPr>
      </w:pPr>
    </w:p>
    <w:p>
      <w:pPr>
        <w:ind w:left="1320" w:right="499" w:hanging="434"/>
        <w:spacing w:after="0" w:line="259" w:lineRule="auto"/>
        <w:tabs>
          <w:tab w:leader="none" w:pos="131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106"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2" w:name="page53"/>
    <w:bookmarkEnd w:id="5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188" w:lineRule="exact"/>
        <w:rPr>
          <w:sz w:val="20"/>
          <w:szCs w:val="20"/>
          <w:color w:val="auto"/>
        </w:rPr>
      </w:pPr>
    </w:p>
    <w:p>
      <w:pPr>
        <w:ind w:left="460" w:right="519"/>
        <w:spacing w:after="0" w:line="286" w:lineRule="auto"/>
        <w:rPr>
          <w:sz w:val="20"/>
          <w:szCs w:val="20"/>
          <w:color w:val="auto"/>
        </w:rPr>
      </w:pPr>
      <w:r>
        <w:rPr>
          <w:rFonts w:ascii="Arial" w:cs="Arial" w:eastAsia="Arial" w:hAnsi="Arial"/>
          <w:sz w:val="17"/>
          <w:szCs w:val="17"/>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9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Currently, all of our product candidates are in discovery or preclinical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101"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premarket approval application, or PMA, or equivalent application types, may cause delays in the approval or rejection of an application. The FDA and comparable foreign regulatory authorities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w:t>
      </w:r>
    </w:p>
    <w:p>
      <w:pPr>
        <w:spacing w:after="0" w:line="91" w:lineRule="exact"/>
        <w:rPr>
          <w:sz w:val="20"/>
          <w:szCs w:val="20"/>
          <w:color w:val="auto"/>
        </w:rPr>
      </w:pPr>
    </w:p>
    <w:p>
      <w:pPr>
        <w:ind w:left="1320" w:right="1519" w:hanging="434"/>
        <w:spacing w:after="0" w:line="277" w:lineRule="auto"/>
        <w:tabs>
          <w:tab w:leader="none" w:pos="131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we may not be able to enroll a sufficient number of patients in our clinical studies;</w:t>
      </w:r>
    </w:p>
    <w:p>
      <w:pPr>
        <w:spacing w:after="0" w:line="157" w:lineRule="exact"/>
        <w:rPr>
          <w:rFonts w:ascii="Arial" w:cs="Arial" w:eastAsia="Arial" w:hAnsi="Arial"/>
          <w:sz w:val="18"/>
          <w:szCs w:val="18"/>
          <w:color w:val="auto"/>
        </w:rPr>
      </w:pPr>
    </w:p>
    <w:p>
      <w:pPr>
        <w:ind w:left="1320" w:right="699" w:hanging="434"/>
        <w:spacing w:after="0" w:line="286" w:lineRule="auto"/>
        <w:tabs>
          <w:tab w:leader="none" w:pos="131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or comparable foreign regulatory authorities that a product candidate is safe and effective for its proposed indication or a related companion diagnostic is suitable to identify appropriate patient populations;</w:t>
      </w:r>
    </w:p>
    <w:p>
      <w:pPr>
        <w:spacing w:after="0" w:line="84" w:lineRule="exact"/>
        <w:rPr>
          <w:rFonts w:ascii="Arial" w:cs="Arial" w:eastAsia="Arial" w:hAnsi="Arial"/>
          <w:sz w:val="17"/>
          <w:szCs w:val="17"/>
          <w:color w:val="auto"/>
        </w:rPr>
      </w:pPr>
    </w:p>
    <w:p>
      <w:pPr>
        <w:ind w:left="1320" w:right="559" w:hanging="434"/>
        <w:spacing w:after="0" w:line="277" w:lineRule="auto"/>
        <w:tabs>
          <w:tab w:leader="none" w:pos="131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02" w:lineRule="exact"/>
        <w:rPr>
          <w:rFonts w:ascii="Arial" w:cs="Arial" w:eastAsia="Arial" w:hAnsi="Arial"/>
          <w:sz w:val="18"/>
          <w:szCs w:val="18"/>
          <w:color w:val="auto"/>
        </w:rPr>
      </w:pPr>
    </w:p>
    <w:p>
      <w:pPr>
        <w:ind w:left="1320" w:right="579" w:hanging="434"/>
        <w:spacing w:after="0" w:line="277" w:lineRule="auto"/>
        <w:tabs>
          <w:tab w:leader="none" w:pos="131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02" w:lineRule="exact"/>
        <w:rPr>
          <w:rFonts w:ascii="Arial" w:cs="Arial" w:eastAsia="Arial" w:hAnsi="Arial"/>
          <w:sz w:val="18"/>
          <w:szCs w:val="18"/>
          <w:color w:val="auto"/>
        </w:rPr>
      </w:pPr>
    </w:p>
    <w:p>
      <w:pPr>
        <w:ind w:left="1320" w:right="659" w:hanging="434"/>
        <w:spacing w:after="0" w:line="277" w:lineRule="auto"/>
        <w:tabs>
          <w:tab w:leader="none" w:pos="131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3" w:name="page54"/>
    <w:bookmarkEnd w:id="5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559" w:hanging="434"/>
        <w:spacing w:after="0" w:line="263" w:lineRule="auto"/>
        <w:tabs>
          <w:tab w:leader="none" w:pos="131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116" w:lineRule="exact"/>
        <w:rPr>
          <w:rFonts w:ascii="Arial" w:cs="Arial" w:eastAsia="Arial" w:hAnsi="Arial"/>
          <w:sz w:val="18"/>
          <w:szCs w:val="18"/>
          <w:color w:val="auto"/>
        </w:rPr>
      </w:pPr>
    </w:p>
    <w:p>
      <w:pPr>
        <w:ind w:left="1320" w:right="599" w:hanging="434"/>
        <w:spacing w:after="0" w:line="263" w:lineRule="auto"/>
        <w:tabs>
          <w:tab w:leader="none" w:pos="131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116" w:lineRule="exact"/>
        <w:rPr>
          <w:rFonts w:ascii="Arial" w:cs="Arial" w:eastAsia="Arial" w:hAnsi="Arial"/>
          <w:sz w:val="18"/>
          <w:szCs w:val="18"/>
          <w:color w:val="auto"/>
        </w:rPr>
      </w:pPr>
    </w:p>
    <w:p>
      <w:pPr>
        <w:ind w:left="1320" w:right="719" w:hanging="434"/>
        <w:spacing w:after="0" w:line="308" w:lineRule="auto"/>
        <w:tabs>
          <w:tab w:leader="none" w:pos="131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such that our clinical data are insufficient for approval.</w:t>
      </w:r>
    </w:p>
    <w:p>
      <w:pPr>
        <w:spacing w:after="0" w:line="65"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97" w:lineRule="exact"/>
        <w:rPr>
          <w:sz w:val="20"/>
          <w:szCs w:val="20"/>
          <w:color w:val="auto"/>
        </w:rPr>
      </w:pPr>
    </w:p>
    <w:p>
      <w:pPr>
        <w:ind w:left="460" w:right="819" w:firstLine="432"/>
        <w:spacing w:after="0" w:line="263" w:lineRule="auto"/>
        <w:rPr>
          <w:sz w:val="20"/>
          <w:szCs w:val="20"/>
          <w:color w:val="auto"/>
        </w:rPr>
      </w:pPr>
      <w:r>
        <w:rPr>
          <w:rFonts w:ascii="Arial" w:cs="Arial" w:eastAsia="Arial" w:hAnsi="Arial"/>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184" w:lineRule="exact"/>
        <w:rPr>
          <w:sz w:val="20"/>
          <w:szCs w:val="20"/>
          <w:color w:val="auto"/>
        </w:rPr>
      </w:pPr>
    </w:p>
    <w:p>
      <w:pPr>
        <w:ind w:left="460" w:right="799"/>
        <w:spacing w:after="0" w:line="263" w:lineRule="auto"/>
        <w:rPr>
          <w:sz w:val="20"/>
          <w:szCs w:val="20"/>
          <w:color w:val="auto"/>
        </w:rPr>
      </w:pPr>
      <w:r>
        <w:rPr>
          <w:rFonts w:ascii="Arial" w:cs="Arial" w:eastAsia="Arial" w:hAnsi="Arial"/>
          <w:sz w:val="18"/>
          <w:szCs w:val="18"/>
          <w:b w:val="1"/>
          <w:bCs w:val="1"/>
          <w:i w:val="1"/>
          <w:iCs w:val="1"/>
          <w:color w:val="auto"/>
        </w:rPr>
        <w:t>The COVID-19 pandemic, or a similar pandemic, epidemic, or outbreak of an infectious disease, may materially and adversely affect our business and our financial results and could cause a disruption to the development of our product candidates.</w:t>
      </w:r>
    </w:p>
    <w:p>
      <w:pPr>
        <w:spacing w:after="0" w:line="116" w:lineRule="exact"/>
        <w:rPr>
          <w:sz w:val="20"/>
          <w:szCs w:val="20"/>
          <w:color w:val="auto"/>
        </w:rPr>
      </w:pPr>
    </w:p>
    <w:p>
      <w:pPr>
        <w:ind w:left="460" w:right="519" w:firstLine="432"/>
        <w:spacing w:after="0" w:line="283" w:lineRule="auto"/>
        <w:rPr>
          <w:sz w:val="20"/>
          <w:szCs w:val="20"/>
          <w:color w:val="auto"/>
        </w:rPr>
      </w:pPr>
      <w:r>
        <w:rPr>
          <w:rFonts w:ascii="Arial" w:cs="Arial" w:eastAsia="Arial" w:hAnsi="Arial"/>
          <w:sz w:val="16"/>
          <w:szCs w:val="16"/>
          <w:color w:val="auto"/>
        </w:rPr>
        <w:t>Public health crises such as pandemics or similar outbreaks could adversely impact our business. In 2020 and continuing into 2021, a novel strain of a virus named SARS-CoV-2 (severe acute respiratory syndrome coronavirus 2), or coronavirus, which causes COVID-19 has spread to most countries across the world, including all 50 states within the U.S., including Cambridge, Massachusetts, where our primary office and laboratory space is located. The coronavirus pandemic is evolving, and has led to the implementation of various responses, including government-imposed quarantines, travel restrictions and other public health safety measures. The extent to which the coronavirus impacts our operations or those of our third-party partners, including our preclinical studies or clinical trial operations, will depend on future developments, which are highly uncertain and cannot be predicted with confidence, including the duration of the outbreak, new information that will emerge concerning the severity of the coronavirus and the actions to contain the coronavirus or treat its impact, among others. The continued spread of COVID-19 globally could adversely impact our preclinical or clinical trial operations in the U.S., including our ability to recruit and retain patients and principal investigators and site staff who, as healthcare providers, may have heightened exposure</w:t>
      </w:r>
    </w:p>
    <w:p>
      <w:pPr>
        <w:spacing w:after="0" w:line="2" w:lineRule="exact"/>
        <w:rPr>
          <w:sz w:val="20"/>
          <w:szCs w:val="20"/>
          <w:color w:val="auto"/>
        </w:rPr>
      </w:pPr>
    </w:p>
    <w:p>
      <w:pPr>
        <w:ind w:left="460" w:right="519"/>
        <w:spacing w:after="0" w:line="268" w:lineRule="auto"/>
        <w:rPr>
          <w:sz w:val="20"/>
          <w:szCs w:val="20"/>
          <w:color w:val="auto"/>
        </w:rPr>
      </w:pPr>
      <w:r>
        <w:rPr>
          <w:rFonts w:ascii="Arial" w:cs="Arial" w:eastAsia="Arial" w:hAnsi="Arial"/>
          <w:sz w:val="17"/>
          <w:szCs w:val="17"/>
          <w:color w:val="auto"/>
        </w:rPr>
        <w:t>to COVID-19 if an outbreak occurs in their geography. For example, similar to other biopharmaceutical companies, we may experience delays in initiating IND-enabling studies, protocol deviations, enrolling our clinical trials, or dosing of patients in our clinical trials as well as in activating new trial sites. COVID-19 may also affect employees of third-party CROs located in affected geographies that we rely upon to carry out our clinical trials. Any negative impact COVID-19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02"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Additionally, timely enrollment in planned clinical trials is dependent upon clinical trial sites which could be adversely affected by global health matters, such as pandemics. We plan to conduct clinical trials for our product candidates in geographies which are currently being affected by the COVID-19 pandemic. Some factors from the COVID-19 pandemic that may delay or otherwise adversely affect enrollment in the clinical trials of our product candidates, as well as our business generally, include:</w:t>
      </w:r>
    </w:p>
    <w:p>
      <w:pPr>
        <w:spacing w:after="0" w:line="109" w:lineRule="exact"/>
        <w:rPr>
          <w:sz w:val="20"/>
          <w:szCs w:val="20"/>
          <w:color w:val="auto"/>
        </w:rPr>
      </w:pPr>
    </w:p>
    <w:p>
      <w:pPr>
        <w:ind w:left="1320" w:right="639" w:hanging="434"/>
        <w:spacing w:after="0" w:line="259" w:lineRule="auto"/>
        <w:tabs>
          <w:tab w:leader="none" w:pos="131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4" w:name="page55"/>
    <w:bookmarkEnd w:id="5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59" w:hanging="434"/>
        <w:spacing w:after="0" w:line="254" w:lineRule="auto"/>
        <w:tabs>
          <w:tab w:leader="none" w:pos="131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prospective clinical trials;</w:t>
      </w:r>
    </w:p>
    <w:p>
      <w:pPr>
        <w:spacing w:after="0" w:line="127" w:lineRule="exact"/>
        <w:rPr>
          <w:rFonts w:ascii="Arial" w:cs="Arial" w:eastAsia="Arial" w:hAnsi="Arial"/>
          <w:sz w:val="18"/>
          <w:szCs w:val="18"/>
          <w:color w:val="auto"/>
        </w:rPr>
      </w:pPr>
    </w:p>
    <w:p>
      <w:pPr>
        <w:ind w:left="1300" w:hanging="414"/>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potential negative affect on the operations of our third-party manufacturers;</w:t>
      </w:r>
    </w:p>
    <w:p>
      <w:pPr>
        <w:spacing w:after="0" w:line="157" w:lineRule="exact"/>
        <w:rPr>
          <w:rFonts w:ascii="Arial" w:cs="Arial" w:eastAsia="Arial" w:hAnsi="Arial"/>
          <w:sz w:val="18"/>
          <w:szCs w:val="18"/>
          <w:color w:val="auto"/>
        </w:rPr>
      </w:pPr>
    </w:p>
    <w:p>
      <w:pPr>
        <w:ind w:left="1320" w:right="919" w:hanging="434"/>
        <w:spacing w:after="0" w:line="263" w:lineRule="auto"/>
        <w:tabs>
          <w:tab w:leader="none" w:pos="131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prospective clinical trials;</w:t>
      </w:r>
    </w:p>
    <w:p>
      <w:pPr>
        <w:spacing w:after="0" w:line="102" w:lineRule="exact"/>
        <w:rPr>
          <w:rFonts w:ascii="Arial" w:cs="Arial" w:eastAsia="Arial" w:hAnsi="Arial"/>
          <w:sz w:val="18"/>
          <w:szCs w:val="18"/>
          <w:color w:val="auto"/>
        </w:rPr>
      </w:pPr>
    </w:p>
    <w:p>
      <w:pPr>
        <w:ind w:left="1320" w:right="559" w:hanging="434"/>
        <w:spacing w:after="0" w:line="263" w:lineRule="auto"/>
        <w:tabs>
          <w:tab w:leader="none" w:pos="131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business disruptions caused by potential workplace, laboratory and office closures and an increased reliance on employees working from home, disruptions to or delays in ongoing laboratory experiments;</w:t>
      </w:r>
    </w:p>
    <w:p>
      <w:pPr>
        <w:spacing w:after="0" w:line="116" w:lineRule="exact"/>
        <w:rPr>
          <w:rFonts w:ascii="Arial" w:cs="Arial" w:eastAsia="Arial" w:hAnsi="Arial"/>
          <w:sz w:val="18"/>
          <w:szCs w:val="18"/>
          <w:color w:val="auto"/>
        </w:rPr>
      </w:pPr>
    </w:p>
    <w:p>
      <w:pPr>
        <w:jc w:val="both"/>
        <w:ind w:left="1320" w:right="879" w:hanging="434"/>
        <w:spacing w:after="0" w:line="286" w:lineRule="auto"/>
        <w:tabs>
          <w:tab w:leader="none" w:pos="1311" w:val="left"/>
        </w:tabs>
        <w:numPr>
          <w:ilvl w:val="0"/>
          <w:numId w:val="118"/>
        </w:numPr>
        <w:rPr>
          <w:rFonts w:ascii="Arial" w:cs="Arial" w:eastAsia="Arial" w:hAnsi="Arial"/>
          <w:sz w:val="17"/>
          <w:szCs w:val="17"/>
          <w:color w:val="auto"/>
        </w:rPr>
      </w:pPr>
      <w:r>
        <w:rPr>
          <w:rFonts w:ascii="Arial" w:cs="Arial" w:eastAsia="Arial" w:hAnsi="Arial"/>
          <w:sz w:val="17"/>
          <w:szCs w:val="17"/>
          <w:color w:val="auto"/>
        </w:rPr>
        <w:t>operations, staffing shortages, travel limitations or mass transit disruptions, any of which could adversely impact our business operations or delay necessary interactions with local regulators, ethics committees and other important agencies and contractors;</w:t>
      </w:r>
    </w:p>
    <w:p>
      <w:pPr>
        <w:spacing w:after="0" w:line="97" w:lineRule="exact"/>
        <w:rPr>
          <w:rFonts w:ascii="Arial" w:cs="Arial" w:eastAsia="Arial" w:hAnsi="Arial"/>
          <w:sz w:val="17"/>
          <w:szCs w:val="17"/>
          <w:color w:val="auto"/>
        </w:rPr>
      </w:pPr>
    </w:p>
    <w:p>
      <w:pPr>
        <w:jc w:val="both"/>
        <w:ind w:left="1320" w:right="499" w:hanging="434"/>
        <w:spacing w:after="0" w:line="263" w:lineRule="auto"/>
        <w:tabs>
          <w:tab w:leader="none" w:pos="131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us to change the ways in which our clinical trials are conducted, which may result in unexpected costs, or to discontinue such clinical trials altogether; and</w:t>
      </w:r>
    </w:p>
    <w:p>
      <w:pPr>
        <w:spacing w:after="0" w:line="102" w:lineRule="exact"/>
        <w:rPr>
          <w:rFonts w:ascii="Arial" w:cs="Arial" w:eastAsia="Arial" w:hAnsi="Arial"/>
          <w:sz w:val="18"/>
          <w:szCs w:val="18"/>
          <w:color w:val="auto"/>
        </w:rPr>
      </w:pPr>
    </w:p>
    <w:p>
      <w:pPr>
        <w:ind w:left="1320" w:right="979" w:hanging="434"/>
        <w:spacing w:after="0" w:line="277" w:lineRule="auto"/>
        <w:tabs>
          <w:tab w:leader="none" w:pos="131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103"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We have taken temporary precautionary measures intended to help minimize the risk of the virus to our employees, including temporarily requiring certain of our employees to work remotely, suspending all non-essential travel worldwide for our employees, implementing COVID-19 testing policies for employees in certain instances and discouraging employee attendance at industry events and in-person work-related meetings, which could negatively affect our business. We cannot presently predict the scope and severity of the planned and potential shutdowns or disruptions of businesses and government agencies, such as the Securities and Exchange Commission, or the SEC, or FDA.</w:t>
      </w:r>
    </w:p>
    <w:p>
      <w:pPr>
        <w:spacing w:after="0" w:line="110"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These and other factors arising from COVID-19 could worsen in countries that are already afflicted with COVID-19 or could continue to spread to additional countries. Any of these factors, and other factors related to any such disruptions that are unforeseen, could have a material adverse effect on our business and our results of operation and financial condition. Further, uncertainty around these and related issues could lead to adverse effects on the economy of the United States and other economies, which could impact our ability to raise the necessary capital needed to develop and commercialize our programs and product candidates.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Commercialization</w:t>
      </w:r>
    </w:p>
    <w:p>
      <w:pPr>
        <w:spacing w:after="0" w:line="229" w:lineRule="exact"/>
        <w:rPr>
          <w:sz w:val="20"/>
          <w:szCs w:val="20"/>
          <w:color w:val="auto"/>
        </w:rPr>
      </w:pPr>
    </w:p>
    <w:p>
      <w:pPr>
        <w:ind w:left="460" w:right="899"/>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89"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The development and commercialization of new products in the biopharmaceutical and related industries is highly competitive. We compete in the segments of the pharmaceutical, biotechnology, and other related markets that address structural biology-guided chemistry-based drug design to develop therapies in the fields of cancer and genetic diseases. There are other companies focusing on precision oncology to develop therapies in the fields of cancer and other diseases. We also compete more broadly across the market for cost-effective and reimbursable cancer treatments.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w:t>
      </w:r>
    </w:p>
    <w:p>
      <w:pPr>
        <w:sectPr>
          <w:pgSz w:w="11900" w:h="16838" w:orient="portrait"/>
          <w:cols w:equalWidth="0" w:num="1">
            <w:col w:w="9019"/>
          </w:cols>
          <w:pgMar w:left="1440" w:top="274"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5" w:name="page56"/>
    <w:bookmarkEnd w:id="5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39"/>
        <w:spacing w:after="0" w:line="263" w:lineRule="auto"/>
        <w:rPr>
          <w:sz w:val="20"/>
          <w:szCs w:val="20"/>
          <w:color w:val="auto"/>
        </w:rPr>
      </w:pPr>
      <w:r>
        <w:rPr>
          <w:rFonts w:ascii="Arial" w:cs="Arial" w:eastAsia="Arial" w:hAnsi="Arial"/>
          <w:sz w:val="18"/>
          <w:szCs w:val="18"/>
          <w:color w:val="auto"/>
        </w:rPr>
        <w:t>institutions, government agencies and other public and private research organizations that conduct research, seek patent protection and establish collaborative arrangements for research, development, manufacturing and commercialization.</w:t>
      </w:r>
    </w:p>
    <w:p>
      <w:pPr>
        <w:spacing w:after="0" w:line="116" w:lineRule="exact"/>
        <w:rPr>
          <w:sz w:val="20"/>
          <w:szCs w:val="20"/>
          <w:color w:val="auto"/>
        </w:rPr>
      </w:pPr>
    </w:p>
    <w:p>
      <w:pPr>
        <w:ind w:left="460" w:right="639" w:firstLine="432"/>
        <w:spacing w:after="0" w:line="272" w:lineRule="auto"/>
        <w:rPr>
          <w:sz w:val="20"/>
          <w:szCs w:val="20"/>
          <w:color w:val="auto"/>
        </w:rPr>
      </w:pPr>
      <w:r>
        <w:rPr>
          <w:rFonts w:ascii="Arial" w:cs="Arial" w:eastAsia="Arial" w:hAnsi="Arial"/>
          <w:sz w:val="17"/>
          <w:szCs w:val="17"/>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identify biomarkers, ability to successfully transition research programs into clinical development, ability to raise capital, and the scalability of the platform, pipeline, and business.</w:t>
      </w:r>
    </w:p>
    <w:p>
      <w:pPr>
        <w:spacing w:after="0" w:line="110"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these or other barriers to entry do not remain in place, other companies may be able to more directly or effectively compete with us.</w:t>
      </w:r>
    </w:p>
    <w:p>
      <w:pPr>
        <w:spacing w:after="0" w:line="87"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w:t>
      </w:r>
    </w:p>
    <w:p>
      <w:pPr>
        <w:spacing w:after="0" w:line="178" w:lineRule="exact"/>
        <w:rPr>
          <w:sz w:val="20"/>
          <w:szCs w:val="20"/>
          <w:color w:val="auto"/>
        </w:rPr>
      </w:pPr>
    </w:p>
    <w:p>
      <w:pPr>
        <w:jc w:val="both"/>
        <w:ind w:left="460" w:right="639"/>
        <w:spacing w:after="0" w:line="311" w:lineRule="auto"/>
        <w:rPr>
          <w:sz w:val="20"/>
          <w:szCs w:val="20"/>
          <w:color w:val="auto"/>
        </w:rPr>
      </w:pPr>
      <w:r>
        <w:rPr>
          <w:rFonts w:ascii="Arial" w:cs="Arial" w:eastAsia="Arial" w:hAnsi="Arial"/>
          <w:sz w:val="16"/>
          <w:szCs w:val="16"/>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will be adversely affected, possibly materially.</w:t>
      </w:r>
    </w:p>
    <w:p>
      <w:pPr>
        <w:spacing w:after="0" w:line="81"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The incidence and prevalence for target patient populations of our programs and product candidates have not been established with precision. Our lead product candidate, TNG908, is an oral small molecule inhibitor of PRMT5. We are developing TNG908 for the treatment of patients with solid tumors with MTAP deletion, genetic alteration which occurs in 10 to 15% of all human tumors, including many commonly occurring cancers with high unmet need such as squamous cell lung, esophageal and bladder cancer. Our second product candidate, USP1, is a strong synthetic lethal target for BRCA1-mutant which are present in approximately 15% of ovarian cancer, 5% of breast cancer, and 1% of prostate cancer. Additionally, our undisclosed Target 3 program is being developed for patients with STK11 loss-of-function mutations, a genetic alteration in approximately 20% of non-small cell lung cancer. Our projections of both the number of people who have these diseases, as well as the subset of people with these diseases who have the potential to benefit from treatment with our programs and product candidates, are based on our estimates.</w:t>
      </w:r>
    </w:p>
    <w:p>
      <w:pPr>
        <w:spacing w:after="0" w:line="114"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the cancers and solid tumors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6" w:name="page57"/>
    <w:bookmarkEnd w:id="5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539"/>
        <w:spacing w:after="0" w:line="381" w:lineRule="auto"/>
        <w:rPr>
          <w:sz w:val="20"/>
          <w:szCs w:val="20"/>
          <w:color w:val="auto"/>
        </w:rPr>
      </w:pPr>
      <w:r>
        <w:rPr>
          <w:rFonts w:ascii="Arial" w:cs="Arial" w:eastAsia="Arial" w:hAnsi="Arial"/>
          <w:sz w:val="15"/>
          <w:szCs w:val="15"/>
          <w:b w:val="1"/>
          <w:bCs w:val="1"/>
          <w:i w:val="1"/>
          <w:iCs w:val="1"/>
          <w:color w:val="auto"/>
        </w:rPr>
        <w:t>If our current product candidates or any future product candidates do not achieve broad market acceptance, the revenue that we generate from their sales may be limited, and we may never become profitable.</w:t>
      </w:r>
    </w:p>
    <w:p>
      <w:pPr>
        <w:spacing w:after="0" w:line="19"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certain precision oncology product candidates or immunotherapies and targeted therapies is unsafe, whether related to our or our competitors’ products, our products may not be accepted by the general public or the medical community. Future adverse events in precision oncology, immuno-oncology or the biopharmaceutical industry could also result in greater governmental regulation, stricter labeling requirements and potential regulatory delays in the testing or approvals of our product candidates.</w:t>
      </w:r>
    </w:p>
    <w:p>
      <w:pPr>
        <w:spacing w:after="0" w:line="100" w:lineRule="exact"/>
        <w:rPr>
          <w:sz w:val="20"/>
          <w:szCs w:val="20"/>
          <w:color w:val="auto"/>
        </w:rPr>
      </w:pPr>
    </w:p>
    <w:p>
      <w:pPr>
        <w:ind w:left="460" w:right="599" w:firstLine="432"/>
        <w:spacing w:after="0" w:line="273" w:lineRule="auto"/>
        <w:rPr>
          <w:sz w:val="20"/>
          <w:szCs w:val="20"/>
          <w:color w:val="auto"/>
        </w:rPr>
      </w:pPr>
      <w:r>
        <w:rPr>
          <w:rFonts w:ascii="Arial" w:cs="Arial" w:eastAsia="Arial" w:hAnsi="Arial"/>
          <w:sz w:val="17"/>
          <w:szCs w:val="17"/>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110" w:lineRule="exact"/>
        <w:rPr>
          <w:sz w:val="20"/>
          <w:szCs w:val="20"/>
          <w:color w:val="auto"/>
        </w:rPr>
      </w:pPr>
    </w:p>
    <w:p>
      <w:pPr>
        <w:ind w:left="1320" w:right="479" w:hanging="434"/>
        <w:spacing w:after="0" w:line="277" w:lineRule="auto"/>
        <w:tabs>
          <w:tab w:leader="none" w:pos="131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efficacy of our current product candidates and any future product candidates as single agents and in combination with marketed combination therapies;</w:t>
      </w:r>
    </w:p>
    <w:p>
      <w:pPr>
        <w:spacing w:after="0" w:line="89" w:lineRule="exact"/>
        <w:rPr>
          <w:rFonts w:ascii="Arial" w:cs="Arial" w:eastAsia="Arial" w:hAnsi="Arial"/>
          <w:sz w:val="18"/>
          <w:szCs w:val="18"/>
          <w:color w:val="auto"/>
        </w:rPr>
      </w:pPr>
    </w:p>
    <w:p>
      <w:pPr>
        <w:ind w:left="1320" w:right="939" w:hanging="434"/>
        <w:spacing w:after="0" w:line="277" w:lineRule="auto"/>
        <w:tabs>
          <w:tab w:leader="none" w:pos="131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commercial success of the checkpoint blockade drugs with which our products may be co-administered;</w:t>
      </w:r>
    </w:p>
    <w:p>
      <w:pPr>
        <w:spacing w:after="0" w:line="102" w:lineRule="exact"/>
        <w:rPr>
          <w:rFonts w:ascii="Arial" w:cs="Arial" w:eastAsia="Arial" w:hAnsi="Arial"/>
          <w:sz w:val="18"/>
          <w:szCs w:val="18"/>
          <w:color w:val="auto"/>
        </w:rPr>
      </w:pPr>
    </w:p>
    <w:p>
      <w:pPr>
        <w:ind w:left="1320" w:right="759" w:hanging="434"/>
        <w:spacing w:after="0" w:line="342" w:lineRule="auto"/>
        <w:tabs>
          <w:tab w:leader="none" w:pos="131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prevalence and severity of adverse events associated with our current product candidates and any future product candidates or those products with which they may be co-administered;</w:t>
      </w:r>
    </w:p>
    <w:p>
      <w:pPr>
        <w:spacing w:after="0" w:line="56" w:lineRule="exact"/>
        <w:rPr>
          <w:rFonts w:ascii="Arial" w:cs="Arial" w:eastAsia="Arial" w:hAnsi="Arial"/>
          <w:sz w:val="16"/>
          <w:szCs w:val="16"/>
          <w:color w:val="auto"/>
        </w:rPr>
      </w:pPr>
    </w:p>
    <w:p>
      <w:pPr>
        <w:ind w:left="1320" w:right="559" w:hanging="434"/>
        <w:spacing w:after="0" w:line="277" w:lineRule="auto"/>
        <w:tabs>
          <w:tab w:leader="none" w:pos="131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 and the approved claims that we may make for the products;</w:t>
      </w:r>
    </w:p>
    <w:p>
      <w:pPr>
        <w:spacing w:after="0" w:line="89" w:lineRule="exact"/>
        <w:rPr>
          <w:rFonts w:ascii="Arial" w:cs="Arial" w:eastAsia="Arial" w:hAnsi="Arial"/>
          <w:sz w:val="18"/>
          <w:szCs w:val="18"/>
          <w:color w:val="auto"/>
        </w:rPr>
      </w:pPr>
    </w:p>
    <w:p>
      <w:pPr>
        <w:ind w:left="1320" w:right="679" w:hanging="434"/>
        <w:spacing w:after="0" w:line="259" w:lineRule="auto"/>
        <w:tabs>
          <w:tab w:leader="none" w:pos="131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spacing w:after="0" w:line="119" w:lineRule="exact"/>
        <w:rPr>
          <w:rFonts w:ascii="Arial" w:cs="Arial" w:eastAsia="Arial" w:hAnsi="Arial"/>
          <w:sz w:val="18"/>
          <w:szCs w:val="18"/>
          <w:color w:val="auto"/>
        </w:rPr>
      </w:pPr>
    </w:p>
    <w:p>
      <w:pPr>
        <w:ind w:left="1320" w:right="459" w:hanging="434"/>
        <w:spacing w:after="0" w:line="259" w:lineRule="auto"/>
        <w:tabs>
          <w:tab w:leader="none" w:pos="131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w:t>
      </w:r>
    </w:p>
    <w:p>
      <w:pPr>
        <w:spacing w:after="0" w:line="119"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our current product candidates and any future product candidates and any products with which they are co-administered;</w:t>
      </w:r>
    </w:p>
    <w:p>
      <w:pPr>
        <w:spacing w:after="0" w:line="89" w:lineRule="exact"/>
        <w:rPr>
          <w:rFonts w:ascii="Arial" w:cs="Arial" w:eastAsia="Arial" w:hAnsi="Arial"/>
          <w:sz w:val="18"/>
          <w:szCs w:val="18"/>
          <w:color w:val="auto"/>
        </w:rPr>
      </w:pPr>
    </w:p>
    <w:p>
      <w:pPr>
        <w:ind w:left="1320" w:right="699" w:hanging="434"/>
        <w:spacing w:after="0" w:line="277" w:lineRule="auto"/>
        <w:tabs>
          <w:tab w:leader="none" w:pos="131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cost of treatment compared with the economic and clinical benefit of alternative treatments or therapies;</w:t>
      </w:r>
    </w:p>
    <w:p>
      <w:pPr>
        <w:spacing w:after="0" w:line="102" w:lineRule="exact"/>
        <w:rPr>
          <w:rFonts w:ascii="Arial" w:cs="Arial" w:eastAsia="Arial" w:hAnsi="Arial"/>
          <w:sz w:val="18"/>
          <w:szCs w:val="18"/>
          <w:color w:val="auto"/>
        </w:rPr>
      </w:pPr>
    </w:p>
    <w:p>
      <w:pPr>
        <w:ind w:left="1320" w:right="519" w:hanging="434"/>
        <w:spacing w:after="0" w:line="308" w:lineRule="auto"/>
        <w:tabs>
          <w:tab w:leader="none" w:pos="1311"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availability of adequate coverage or reimbursement by third party payors, including government healthcare programs such as Medicare and Medicaid and other healthcare payors;</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price concessions required by third-party payors to obtain coverage;</w:t>
      </w:r>
    </w:p>
    <w:p>
      <w:pPr>
        <w:spacing w:after="0" w:line="144" w:lineRule="exact"/>
        <w:rPr>
          <w:rFonts w:ascii="Arial" w:cs="Arial" w:eastAsia="Arial" w:hAnsi="Arial"/>
          <w:sz w:val="18"/>
          <w:szCs w:val="18"/>
          <w:color w:val="auto"/>
        </w:rPr>
      </w:pPr>
    </w:p>
    <w:p>
      <w:pPr>
        <w:ind w:left="1320" w:right="1379" w:hanging="434"/>
        <w:spacing w:after="0" w:line="277" w:lineRule="auto"/>
        <w:tabs>
          <w:tab w:leader="none" w:pos="131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adequate coverage and reimbursement;</w:t>
      </w:r>
    </w:p>
    <w:p>
      <w:pPr>
        <w:spacing w:after="0" w:line="102"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our current product candidates and any future product candidates;</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7" w:name="page58"/>
    <w:bookmarkEnd w:id="5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699" w:hanging="434"/>
        <w:spacing w:after="0" w:line="277" w:lineRule="auto"/>
        <w:tabs>
          <w:tab w:leader="none" w:pos="131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w:t>
      </w:r>
    </w:p>
    <w:p>
      <w:pPr>
        <w:spacing w:after="0" w:line="102" w:lineRule="exact"/>
        <w:rPr>
          <w:rFonts w:ascii="Arial" w:cs="Arial" w:eastAsia="Arial" w:hAnsi="Arial"/>
          <w:sz w:val="18"/>
          <w:szCs w:val="18"/>
          <w:color w:val="auto"/>
        </w:rPr>
      </w:pPr>
    </w:p>
    <w:p>
      <w:pPr>
        <w:ind w:left="1320" w:right="639" w:hanging="434"/>
        <w:spacing w:after="0" w:line="259" w:lineRule="auto"/>
        <w:tabs>
          <w:tab w:leader="none" w:pos="131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119" w:lineRule="exact"/>
        <w:rPr>
          <w:rFonts w:ascii="Arial" w:cs="Arial" w:eastAsia="Arial" w:hAnsi="Arial"/>
          <w:sz w:val="18"/>
          <w:szCs w:val="18"/>
          <w:color w:val="auto"/>
        </w:rPr>
      </w:pPr>
    </w:p>
    <w:p>
      <w:pPr>
        <w:ind w:left="1320" w:right="1199" w:hanging="434"/>
        <w:spacing w:after="0" w:line="277" w:lineRule="auto"/>
        <w:tabs>
          <w:tab w:leader="none" w:pos="131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timing of market introduction of our current product candidates and any future product candidates, as well as competitive products;</w:t>
      </w:r>
    </w:p>
    <w:p>
      <w:pPr>
        <w:spacing w:after="0" w:line="89" w:lineRule="exact"/>
        <w:rPr>
          <w:rFonts w:ascii="Arial" w:cs="Arial" w:eastAsia="Arial" w:hAnsi="Arial"/>
          <w:sz w:val="18"/>
          <w:szCs w:val="18"/>
          <w:color w:val="auto"/>
        </w:rPr>
      </w:pPr>
    </w:p>
    <w:p>
      <w:pPr>
        <w:ind w:left="1320" w:right="919" w:hanging="434"/>
        <w:spacing w:after="0" w:line="277" w:lineRule="auto"/>
        <w:tabs>
          <w:tab w:leader="none" w:pos="131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our ability to offer our current product candidates and any future product candidates for sale at competitive prices;</w:t>
      </w:r>
    </w:p>
    <w:p>
      <w:pPr>
        <w:spacing w:after="0" w:line="102" w:lineRule="exact"/>
        <w:rPr>
          <w:rFonts w:ascii="Arial" w:cs="Arial" w:eastAsia="Arial" w:hAnsi="Arial"/>
          <w:sz w:val="18"/>
          <w:szCs w:val="18"/>
          <w:color w:val="auto"/>
        </w:rPr>
      </w:pPr>
    </w:p>
    <w:p>
      <w:pPr>
        <w:ind w:left="1320" w:right="699" w:hanging="434"/>
        <w:spacing w:after="0" w:line="277" w:lineRule="auto"/>
        <w:tabs>
          <w:tab w:leader="none" w:pos="131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144" w:lineRule="exact"/>
        <w:rPr>
          <w:rFonts w:ascii="Arial" w:cs="Arial" w:eastAsia="Arial" w:hAnsi="Arial"/>
          <w:sz w:val="18"/>
          <w:szCs w:val="18"/>
          <w:color w:val="auto"/>
        </w:rPr>
      </w:pPr>
    </w:p>
    <w:p>
      <w:pPr>
        <w:ind w:left="1320" w:right="699" w:hanging="434"/>
        <w:spacing w:after="0" w:line="277" w:lineRule="auto"/>
        <w:tabs>
          <w:tab w:leader="none" w:pos="131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actions of companies that market any products with which our current product candidates and any future product candidates may be co-administered;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approval of other new products;</w:t>
      </w:r>
    </w:p>
    <w:p>
      <w:pPr>
        <w:spacing w:after="0" w:line="157" w:lineRule="exact"/>
        <w:rPr>
          <w:rFonts w:ascii="Arial" w:cs="Arial" w:eastAsia="Arial" w:hAnsi="Arial"/>
          <w:sz w:val="18"/>
          <w:szCs w:val="18"/>
          <w:color w:val="auto"/>
        </w:rPr>
      </w:pPr>
    </w:p>
    <w:p>
      <w:pPr>
        <w:ind w:left="1320" w:right="699" w:hanging="434"/>
        <w:spacing w:after="0" w:line="263" w:lineRule="auto"/>
        <w:tabs>
          <w:tab w:leader="none" w:pos="131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adverse publicity about our current product candidates and any future product candidates or any products with which they are co-administered, or favorable publicity about competitive products;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left="460" w:right="599"/>
        <w:spacing w:after="0" w:line="257" w:lineRule="auto"/>
        <w:rPr>
          <w:sz w:val="20"/>
          <w:szCs w:val="20"/>
          <w:color w:val="auto"/>
        </w:rPr>
      </w:pPr>
      <w:r>
        <w:rPr>
          <w:rFonts w:ascii="Arial" w:cs="Arial" w:eastAsia="Arial" w:hAnsi="Arial"/>
          <w:sz w:val="18"/>
          <w:szCs w:val="18"/>
          <w:b w:val="1"/>
          <w:bCs w:val="1"/>
          <w:i w:val="1"/>
          <w:iCs w:val="1"/>
          <w:color w:val="auto"/>
        </w:rPr>
        <w:t>We expect to rely on third parties to conduct our future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20"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We do not have the ability to independently conduct clinical trials. We expect to rely on medical institutions, clinical investigators, contract laboratories and other third parties, such as CROs, to conduct or otherwise support clinical trials for our product candidates, including our Phase 1/2 clinical trial of TNG908 and any other product candidates that emerge from our precision oncology programs. We may also rely on academic and private non-academic institutions to conduct and sponsor clinical trials relating to our product candidates. We will not control the design or conduct of the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w:t>
      </w:r>
    </w:p>
    <w:p>
      <w:pPr>
        <w:spacing w:after="0" w:line="113"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w:t>
      </w:r>
    </w:p>
    <w:p>
      <w:pPr>
        <w:spacing w:after="0" w:line="101" w:lineRule="exact"/>
        <w:rPr>
          <w:sz w:val="20"/>
          <w:szCs w:val="20"/>
          <w:color w:val="auto"/>
        </w:rPr>
      </w:pPr>
    </w:p>
    <w:p>
      <w:pPr>
        <w:jc w:val="both"/>
        <w:ind w:left="460" w:right="919" w:firstLine="432"/>
        <w:spacing w:after="0" w:line="259" w:lineRule="auto"/>
        <w:rPr>
          <w:sz w:val="20"/>
          <w:szCs w:val="20"/>
          <w:color w:val="auto"/>
        </w:rPr>
      </w:pPr>
      <w:r>
        <w:rPr>
          <w:rFonts w:ascii="Arial" w:cs="Arial" w:eastAsia="Arial" w:hAnsi="Arial"/>
          <w:sz w:val="18"/>
          <w:szCs w:val="18"/>
          <w:color w:val="auto"/>
        </w:rPr>
        <w:t>We rely and expect to continue to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8" w:name="page59"/>
    <w:bookmarkEnd w:id="5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81"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We, our principal investigators and our CROs are required to comply with regulations, including Good Clinical Practices, or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04"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Although we plan to design our Phase 1/2 clinical trial of TNG908 and intend to design the future clinical trials for our product candidates, these trials are conducted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11" w:lineRule="exact"/>
        <w:rPr>
          <w:sz w:val="20"/>
          <w:szCs w:val="20"/>
          <w:color w:val="auto"/>
        </w:rPr>
      </w:pPr>
    </w:p>
    <w:p>
      <w:pPr>
        <w:ind w:left="1300" w:hanging="41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58"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100"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If any of our relationships with these third-party principal investigators or CROs terminate, we may not be able to enter into arrangements with alternative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9" w:name="page60"/>
    <w:bookmarkEnd w:id="5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499"/>
        <w:spacing w:after="0" w:line="277" w:lineRule="auto"/>
        <w:rPr>
          <w:sz w:val="20"/>
          <w:szCs w:val="20"/>
          <w:color w:val="auto"/>
        </w:rPr>
      </w:pPr>
      <w:r>
        <w:rPr>
          <w:rFonts w:ascii="Arial" w:cs="Arial" w:eastAsia="Arial" w:hAnsi="Arial"/>
          <w:sz w:val="18"/>
          <w:szCs w:val="18"/>
          <w:b w:val="1"/>
          <w:bCs w:val="1"/>
          <w:i w:val="1"/>
          <w:iCs w:val="1"/>
          <w:color w:val="auto"/>
        </w:rPr>
        <w:t>We have entered into collaborations and may enter into additional collaborations in the future, and we might not realize the anticipated benefits of such collaborations.</w:t>
      </w:r>
    </w:p>
    <w:p>
      <w:pPr>
        <w:spacing w:after="0" w:line="89"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Research, development, commercialization and/or strategic collaborations, including the existing collaboration that we have with Gilead Sciences, Inc., or Gilead, are subject to numerous risks, which include the following:</w:t>
      </w:r>
    </w:p>
    <w:p>
      <w:pPr>
        <w:spacing w:after="0" w:line="116" w:lineRule="exact"/>
        <w:rPr>
          <w:sz w:val="20"/>
          <w:szCs w:val="20"/>
          <w:color w:val="auto"/>
        </w:rPr>
      </w:pPr>
    </w:p>
    <w:p>
      <w:pPr>
        <w:ind w:left="1320" w:right="499" w:hanging="434"/>
        <w:spacing w:after="0" w:line="263" w:lineRule="auto"/>
        <w:tabs>
          <w:tab w:leader="none" w:pos="131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116" w:lineRule="exact"/>
        <w:rPr>
          <w:rFonts w:ascii="Arial" w:cs="Arial" w:eastAsia="Arial" w:hAnsi="Arial"/>
          <w:sz w:val="18"/>
          <w:szCs w:val="18"/>
          <w:color w:val="auto"/>
        </w:rPr>
      </w:pPr>
    </w:p>
    <w:p>
      <w:pPr>
        <w:ind w:left="1320" w:right="659" w:hanging="434"/>
        <w:spacing w:after="0" w:line="263" w:lineRule="auto"/>
        <w:tabs>
          <w:tab w:leader="none" w:pos="131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102" w:lineRule="exact"/>
        <w:rPr>
          <w:rFonts w:ascii="Arial" w:cs="Arial" w:eastAsia="Arial" w:hAnsi="Arial"/>
          <w:sz w:val="18"/>
          <w:szCs w:val="18"/>
          <w:color w:val="auto"/>
        </w:rPr>
      </w:pPr>
    </w:p>
    <w:p>
      <w:pPr>
        <w:ind w:left="1320" w:right="619" w:hanging="434"/>
        <w:spacing w:after="0" w:line="257" w:lineRule="auto"/>
        <w:tabs>
          <w:tab w:leader="none" w:pos="131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collaborators might not pursue research, development and/or commercialization of collaboration product candidates or might elect not to continue or renew research, development and/or commercialization programs based on nonclinical and/or clinical trial results, changes in their strategic focus, availability of funding or other factors, such as a business combination that diverts resources or creates competing priorities;</w:t>
      </w:r>
    </w:p>
    <w:p>
      <w:pPr>
        <w:spacing w:after="0" w:line="120" w:lineRule="exact"/>
        <w:rPr>
          <w:rFonts w:ascii="Arial" w:cs="Arial" w:eastAsia="Arial" w:hAnsi="Arial"/>
          <w:sz w:val="18"/>
          <w:szCs w:val="18"/>
          <w:color w:val="auto"/>
        </w:rPr>
      </w:pPr>
    </w:p>
    <w:p>
      <w:pPr>
        <w:ind w:left="1320" w:right="719" w:hanging="434"/>
        <w:spacing w:after="0" w:line="263" w:lineRule="auto"/>
        <w:tabs>
          <w:tab w:leader="none" w:pos="131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116" w:lineRule="exact"/>
        <w:rPr>
          <w:rFonts w:ascii="Arial" w:cs="Arial" w:eastAsia="Arial" w:hAnsi="Arial"/>
          <w:sz w:val="18"/>
          <w:szCs w:val="18"/>
          <w:color w:val="auto"/>
        </w:rPr>
      </w:pPr>
    </w:p>
    <w:p>
      <w:pPr>
        <w:ind w:left="1320" w:right="599" w:hanging="434"/>
        <w:spacing w:after="0" w:line="263" w:lineRule="auto"/>
        <w:tabs>
          <w:tab w:leader="none" w:pos="131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102" w:lineRule="exact"/>
        <w:rPr>
          <w:rFonts w:ascii="Arial" w:cs="Arial" w:eastAsia="Arial" w:hAnsi="Arial"/>
          <w:sz w:val="18"/>
          <w:szCs w:val="18"/>
          <w:color w:val="auto"/>
        </w:rPr>
      </w:pPr>
    </w:p>
    <w:p>
      <w:pPr>
        <w:ind w:left="1320" w:right="499" w:hanging="434"/>
        <w:spacing w:after="0" w:line="263" w:lineRule="auto"/>
        <w:tabs>
          <w:tab w:leader="none" w:pos="131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might use our intellectual property improperly or in a way that jeopardizes our intellectual property or exposes us to potential liability;</w:t>
      </w:r>
    </w:p>
    <w:p>
      <w:pPr>
        <w:spacing w:after="0" w:line="116" w:lineRule="exact"/>
        <w:rPr>
          <w:rFonts w:ascii="Arial" w:cs="Arial" w:eastAsia="Arial" w:hAnsi="Arial"/>
          <w:sz w:val="18"/>
          <w:szCs w:val="18"/>
          <w:color w:val="auto"/>
        </w:rPr>
      </w:pPr>
    </w:p>
    <w:p>
      <w:pPr>
        <w:ind w:left="1320" w:right="659" w:hanging="434"/>
        <w:spacing w:after="0" w:line="263" w:lineRule="auto"/>
        <w:tabs>
          <w:tab w:leader="none" w:pos="131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116" w:lineRule="exact"/>
        <w:rPr>
          <w:rFonts w:ascii="Arial" w:cs="Arial" w:eastAsia="Arial" w:hAnsi="Arial"/>
          <w:sz w:val="18"/>
          <w:szCs w:val="18"/>
          <w:color w:val="auto"/>
        </w:rPr>
      </w:pPr>
    </w:p>
    <w:p>
      <w:pPr>
        <w:ind w:left="1320" w:right="1259" w:hanging="434"/>
        <w:spacing w:after="0" w:line="277" w:lineRule="auto"/>
        <w:tabs>
          <w:tab w:leader="none" w:pos="131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collaborators might not be in compliance with laws applicable to their activities under the collaboration, which could impact the collaboration and us;</w:t>
      </w:r>
    </w:p>
    <w:p>
      <w:pPr>
        <w:spacing w:after="0" w:line="89" w:lineRule="exact"/>
        <w:rPr>
          <w:rFonts w:ascii="Arial" w:cs="Arial" w:eastAsia="Arial" w:hAnsi="Arial"/>
          <w:sz w:val="18"/>
          <w:szCs w:val="18"/>
          <w:color w:val="auto"/>
        </w:rPr>
      </w:pPr>
    </w:p>
    <w:p>
      <w:pPr>
        <w:ind w:left="1320" w:right="779" w:hanging="434"/>
        <w:spacing w:after="0" w:line="342" w:lineRule="auto"/>
        <w:tabs>
          <w:tab w:leader="none" w:pos="131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disputes might arise between a collaborator and us that could cause a delay or termination of the collaboration or result in costly litigation that diverts management attention and resources; and</w:t>
      </w:r>
    </w:p>
    <w:p>
      <w:pPr>
        <w:spacing w:after="0" w:line="56" w:lineRule="exact"/>
        <w:rPr>
          <w:rFonts w:ascii="Arial" w:cs="Arial" w:eastAsia="Arial" w:hAnsi="Arial"/>
          <w:sz w:val="16"/>
          <w:szCs w:val="16"/>
          <w:color w:val="auto"/>
        </w:rPr>
      </w:pPr>
    </w:p>
    <w:p>
      <w:pPr>
        <w:ind w:left="1320" w:right="839" w:hanging="434"/>
        <w:spacing w:after="0" w:line="308" w:lineRule="auto"/>
        <w:tabs>
          <w:tab w:leader="none" w:pos="131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collaborations might be terminated, which could result in a need for additional capital to pursue further research, development and/or commercialization of our product candidates.</w:t>
      </w:r>
    </w:p>
    <w:p>
      <w:pPr>
        <w:spacing w:after="0" w:line="79"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In addition, funding provided by a collaborator might not be sufficient to advance product candidates under the collaboration. For example, although Gilead provided us with $175 million upfront payments and a $20 million equity investment in connection with certain collaboration agreements with Gilead, we might need additional funding to advance product candidates prior to the completion of the clinical milestones of the collaboration agreement with Gilead.</w:t>
      </w:r>
    </w:p>
    <w:p>
      <w:pPr>
        <w:spacing w:after="0" w:line="107" w:lineRule="exact"/>
        <w:rPr>
          <w:sz w:val="20"/>
          <w:szCs w:val="20"/>
          <w:color w:val="auto"/>
        </w:rPr>
      </w:pPr>
    </w:p>
    <w:p>
      <w:pPr>
        <w:ind w:left="460" w:right="619" w:firstLine="432"/>
        <w:spacing w:after="0" w:line="291" w:lineRule="auto"/>
        <w:rPr>
          <w:sz w:val="20"/>
          <w:szCs w:val="20"/>
          <w:color w:val="auto"/>
        </w:rPr>
      </w:pPr>
      <w:r>
        <w:rPr>
          <w:rFonts w:ascii="Arial" w:cs="Arial" w:eastAsia="Arial" w:hAnsi="Arial"/>
          <w:sz w:val="16"/>
          <w:szCs w:val="16"/>
          <w:color w:val="auto"/>
        </w:rPr>
        <w:t>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w:t>
      </w:r>
    </w:p>
    <w:p>
      <w:pPr>
        <w:spacing w:after="0" w:line="99" w:lineRule="exact"/>
        <w:rPr>
          <w:sz w:val="20"/>
          <w:szCs w:val="20"/>
          <w:color w:val="auto"/>
        </w:rPr>
      </w:pPr>
    </w:p>
    <w:p>
      <w:pPr>
        <w:jc w:val="both"/>
        <w:ind w:left="460" w:right="1099" w:firstLine="432"/>
        <w:spacing w:after="0" w:line="263" w:lineRule="auto"/>
        <w:rPr>
          <w:sz w:val="20"/>
          <w:szCs w:val="20"/>
          <w:color w:val="auto"/>
        </w:rPr>
      </w:pPr>
      <w:r>
        <w:rPr>
          <w:rFonts w:ascii="Arial" w:cs="Arial" w:eastAsia="Arial" w:hAnsi="Arial"/>
          <w:sz w:val="18"/>
          <w:szCs w:val="18"/>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0" w:name="page61"/>
    <w:bookmarkEnd w:id="6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327" w:lineRule="auto"/>
        <w:rPr>
          <w:sz w:val="20"/>
          <w:szCs w:val="20"/>
          <w:color w:val="auto"/>
        </w:rPr>
      </w:pPr>
      <w:r>
        <w:rPr>
          <w:rFonts w:ascii="Arial" w:cs="Arial" w:eastAsia="Arial" w:hAnsi="Arial"/>
          <w:sz w:val="15"/>
          <w:szCs w:val="15"/>
          <w:b w:val="1"/>
          <w:bCs w:val="1"/>
          <w:i w:val="1"/>
          <w:iCs w:val="1"/>
          <w:color w:val="auto"/>
        </w:rPr>
        <w:t>We contract with third parties for the manufacture of our product candidates for preclinical development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59"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We rely, and expect to continue to rely, on third parties for the manufacture of our product candidates for preclinical development and clinical testing, as well as for the commercial manufacture of our products if any of our product candidates receive regulatory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27"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The facilities used by our contract manufacturers to manufacture our product candidates must be inspected by the FDA pursuant to pre-approval inspections that will be conducted after we submit our marketing applications to the FDA.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119"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If any contract manufacturing organization, or CMO, with whom we contract fails to perform its obligations, we may be forced to enter into an agreement with a different CMO, which we may not be able to do on reasonable terms, if at all. In such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88"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120" w:lineRule="exact"/>
        <w:rPr>
          <w:sz w:val="20"/>
          <w:szCs w:val="20"/>
          <w:color w:val="auto"/>
        </w:rPr>
      </w:pPr>
    </w:p>
    <w:p>
      <w:pPr>
        <w:ind w:left="460" w:right="899" w:firstLine="432"/>
        <w:spacing w:after="0" w:line="308" w:lineRule="auto"/>
        <w:rPr>
          <w:sz w:val="20"/>
          <w:szCs w:val="20"/>
          <w:color w:val="auto"/>
        </w:rPr>
      </w:pPr>
      <w:r>
        <w:rPr>
          <w:rFonts w:ascii="Arial" w:cs="Arial" w:eastAsia="Arial" w:hAnsi="Arial"/>
          <w:sz w:val="17"/>
          <w:szCs w:val="17"/>
          <w:color w:val="auto"/>
        </w:rPr>
        <w:t>We may be unable to establish any additional agreements with third-party manufacturers or do so on acceptable terms. Reliance on third-party manufacturers entails additional risks, including:</w:t>
      </w:r>
    </w:p>
    <w:p>
      <w:pPr>
        <w:spacing w:after="0" w:line="79" w:lineRule="exact"/>
        <w:rPr>
          <w:sz w:val="20"/>
          <w:szCs w:val="20"/>
          <w:color w:val="auto"/>
        </w:rPr>
      </w:pPr>
    </w:p>
    <w:p>
      <w:pPr>
        <w:ind w:left="1300" w:hanging="414"/>
        <w:spacing w:after="0"/>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1" w:name="page62"/>
    <w:bookmarkEnd w:id="6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59" w:hanging="434"/>
        <w:spacing w:after="0" w:line="277" w:lineRule="auto"/>
        <w:tabs>
          <w:tab w:leader="none" w:pos="131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02" w:lineRule="exact"/>
        <w:rPr>
          <w:rFonts w:ascii="Arial" w:cs="Arial" w:eastAsia="Arial" w:hAnsi="Arial"/>
          <w:sz w:val="18"/>
          <w:szCs w:val="18"/>
          <w:color w:val="auto"/>
        </w:rPr>
      </w:pPr>
    </w:p>
    <w:p>
      <w:pPr>
        <w:ind w:left="1320" w:right="539" w:hanging="434"/>
        <w:spacing w:after="0" w:line="277" w:lineRule="auto"/>
        <w:tabs>
          <w:tab w:leader="none" w:pos="131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03" w:lineRule="exact"/>
        <w:rPr>
          <w:sz w:val="20"/>
          <w:szCs w:val="20"/>
          <w:color w:val="auto"/>
        </w:rPr>
      </w:pPr>
    </w:p>
    <w:p>
      <w:pPr>
        <w:jc w:val="both"/>
        <w:ind w:left="460" w:right="1139" w:firstLine="432"/>
        <w:spacing w:after="0" w:line="311" w:lineRule="auto"/>
        <w:rPr>
          <w:sz w:val="20"/>
          <w:szCs w:val="20"/>
          <w:color w:val="auto"/>
        </w:rPr>
      </w:pPr>
      <w:r>
        <w:rPr>
          <w:rFonts w:ascii="Arial" w:cs="Arial" w:eastAsia="Arial" w:hAnsi="Arial"/>
          <w:sz w:val="16"/>
          <w:szCs w:val="16"/>
          <w:color w:val="auto"/>
        </w:rPr>
        <w:t>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w:t>
      </w:r>
    </w:p>
    <w:p>
      <w:pPr>
        <w:spacing w:after="0" w:line="6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regulatory approval. If our current contract manufacturers cannot perform as agreed, we may be required to replace such manufacturers. We may incur added costs and delays in identifying and qualifying any such replacement.</w:t>
      </w:r>
    </w:p>
    <w:p>
      <w:pPr>
        <w:spacing w:after="0" w:line="119"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184" w:lineRule="exact"/>
        <w:rPr>
          <w:sz w:val="20"/>
          <w:szCs w:val="20"/>
          <w:color w:val="auto"/>
        </w:rPr>
      </w:pPr>
    </w:p>
    <w:p>
      <w:pPr>
        <w:jc w:val="both"/>
        <w:ind w:left="460" w:right="999"/>
        <w:spacing w:after="0" w:line="263"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116"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The active pharmaceutical ingredients, or API, and drug product we expect to use in all of our product candidates are supplied to us from single-source suppliers. Our ability to successfully develop our product candidates, and to ultimately supply our commercial products in quantities sufficient to meet the market demand, depends in part on our ability to obtain the API and drug product for these products in accordance with regulatory requirements and in sufficient quantities for clinical testing and commercialization. We are also unable to predict how changing global economic conditions or potential global health concerns such as the COVID-19 pandemic will affect our third-party suppliers and manufacturers. Any negative impact of such matters on our third-party suppliers and manufacturers may also have an adverse impact on our results of operations or financial condition.</w:t>
      </w:r>
    </w:p>
    <w:p>
      <w:pPr>
        <w:spacing w:after="0" w:line="100"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For all of our product candidates, we intend to identify and qualify additional manufacturers to provide such API and drug product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24" w:lineRule="exact"/>
        <w:rPr>
          <w:sz w:val="20"/>
          <w:szCs w:val="20"/>
          <w:color w:val="auto"/>
        </w:rPr>
      </w:pPr>
    </w:p>
    <w:p>
      <w:pPr>
        <w:ind w:left="460" w:right="599" w:firstLine="432"/>
        <w:spacing w:after="0" w:line="271" w:lineRule="auto"/>
        <w:rPr>
          <w:sz w:val="20"/>
          <w:szCs w:val="20"/>
          <w:color w:val="auto"/>
        </w:rPr>
      </w:pPr>
      <w:r>
        <w:rPr>
          <w:rFonts w:ascii="Arial" w:cs="Arial" w:eastAsia="Arial" w:hAnsi="Arial"/>
          <w:sz w:val="17"/>
          <w:szCs w:val="17"/>
          <w:color w:val="auto"/>
        </w:rPr>
        <w:t>Establishing additional or replacement suppliers for the API and drug product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and drug product used in our product candidates, any interruption or delay in the supply of components or materials, or our inability to obtain such API and drug product from alternate sources at acceptable prices in a timely manner could impede, delay, limit or prevent our development efforts, which could harm our business, results of operations, financial condition and prospects.</w:t>
      </w:r>
    </w:p>
    <w:p>
      <w:pPr>
        <w:spacing w:after="0" w:line="178" w:lineRule="exact"/>
        <w:rPr>
          <w:sz w:val="20"/>
          <w:szCs w:val="20"/>
          <w:color w:val="auto"/>
        </w:rPr>
      </w:pPr>
    </w:p>
    <w:p>
      <w:pPr>
        <w:ind w:left="460" w:right="519"/>
        <w:spacing w:after="0" w:line="381" w:lineRule="auto"/>
        <w:rPr>
          <w:sz w:val="20"/>
          <w:szCs w:val="20"/>
          <w:color w:val="auto"/>
        </w:rPr>
      </w:pPr>
      <w:r>
        <w:rPr>
          <w:rFonts w:ascii="Arial" w:cs="Arial" w:eastAsia="Arial" w:hAnsi="Arial"/>
          <w:sz w:val="15"/>
          <w:szCs w:val="15"/>
          <w:b w:val="1"/>
          <w:bCs w:val="1"/>
          <w:i w:val="1"/>
          <w:iCs w:val="1"/>
          <w:color w:val="auto"/>
        </w:rPr>
        <w:t>We may seek to establish additional collaborations, and, if we are not able to establish them on commercially reasonable terms, or at all, we may have to alter our development and commercialization plans.</w:t>
      </w:r>
    </w:p>
    <w:p>
      <w:pPr>
        <w:spacing w:after="0" w:line="33" w:lineRule="exact"/>
        <w:rPr>
          <w:sz w:val="20"/>
          <w:szCs w:val="20"/>
          <w:color w:val="auto"/>
        </w:rPr>
      </w:pPr>
    </w:p>
    <w:p>
      <w:pPr>
        <w:ind w:left="460" w:right="719" w:firstLine="432"/>
        <w:spacing w:after="0" w:line="259" w:lineRule="auto"/>
        <w:rPr>
          <w:sz w:val="20"/>
          <w:szCs w:val="20"/>
          <w:color w:val="auto"/>
        </w:rPr>
      </w:pPr>
      <w:r>
        <w:rPr>
          <w:rFonts w:ascii="Arial" w:cs="Arial" w:eastAsia="Arial" w:hAnsi="Arial"/>
          <w:sz w:val="18"/>
          <w:szCs w:val="18"/>
          <w:color w:val="auto"/>
        </w:rPr>
        <w:t>Our product development programs and the potential commercialization of our product candidates will require substantial additional cash to fund expenses. For some of our product candidates, we may decide to collaborate with additional pharmaceutical and biotechnology companies for the development and potential commercialization of those product candidates.</w:t>
      </w:r>
    </w:p>
    <w:p>
      <w:pPr>
        <w:spacing w:after="0" w:line="106"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Such factors a potential collaborator will use to evaluate a collaboration may include</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2" w:name="page63"/>
    <w:bookmarkEnd w:id="6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70" w:lineRule="auto"/>
        <w:rPr>
          <w:sz w:val="20"/>
          <w:szCs w:val="20"/>
          <w:color w:val="auto"/>
        </w:rPr>
      </w:pPr>
      <w:r>
        <w:rPr>
          <w:rFonts w:ascii="Arial" w:cs="Arial" w:eastAsia="Arial" w:hAnsi="Arial"/>
          <w:sz w:val="17"/>
          <w:szCs w:val="17"/>
          <w:color w:val="auto"/>
        </w:rPr>
        <w:t>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13"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We may also be restricted under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04"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00"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460" w:right="579"/>
        <w:spacing w:after="0" w:line="327" w:lineRule="auto"/>
        <w:rPr>
          <w:sz w:val="20"/>
          <w:szCs w:val="20"/>
          <w:color w:val="auto"/>
        </w:rPr>
      </w:pPr>
      <w:r>
        <w:rPr>
          <w:rFonts w:ascii="Arial" w:cs="Arial" w:eastAsia="Arial" w:hAnsi="Arial"/>
          <w:sz w:val="15"/>
          <w:szCs w:val="15"/>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w:t>
      </w:r>
    </w:p>
    <w:p>
      <w:pPr>
        <w:spacing w:after="0" w:line="72"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U.S. and other countries for our current or future product candidates, including our current lead product candidate, TNG908, and our other future product candidates,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w:t>
      </w:r>
    </w:p>
    <w:p>
      <w:pPr>
        <w:spacing w:after="0" w:line="111"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pending patent applications that mature</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3" w:name="page64"/>
    <w:bookmarkEnd w:id="6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619"/>
        <w:spacing w:after="0" w:line="279" w:lineRule="auto"/>
        <w:rPr>
          <w:sz w:val="20"/>
          <w:szCs w:val="20"/>
          <w:color w:val="auto"/>
        </w:rPr>
      </w:pPr>
      <w:r>
        <w:rPr>
          <w:rFonts w:ascii="Arial" w:cs="Arial" w:eastAsia="Arial" w:hAnsi="Arial"/>
          <w:sz w:val="17"/>
          <w:szCs w:val="17"/>
          <w:color w:val="auto"/>
        </w:rPr>
        <w:t>into issued patents will include claims with a scope sufficient to protect TNG908 or our other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p>
    <w:p>
      <w:pPr>
        <w:spacing w:after="0" w:line="104"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106"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01"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101"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post-grant proceedings such as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challenging our patent rights or the patent rights of others from whom we may in the future obtain licenses to such rights, in the U.S. Patent and Trademark Office (USPTO), the European Patent Office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4" w:name="page65"/>
    <w:bookmarkEnd w:id="6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99"/>
        <w:spacing w:after="0" w:line="263" w:lineRule="auto"/>
        <w:rPr>
          <w:sz w:val="20"/>
          <w:szCs w:val="20"/>
          <w:color w:val="auto"/>
        </w:rPr>
      </w:pPr>
      <w:r>
        <w:rPr>
          <w:rFonts w:ascii="Arial" w:cs="Arial" w:eastAsia="Arial" w:hAnsi="Arial"/>
          <w:sz w:val="18"/>
          <w:szCs w:val="18"/>
          <w:color w:val="auto"/>
        </w:rPr>
        <w:t>basis, enablement,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116"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11"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00" w:lineRule="exact"/>
        <w:rPr>
          <w:sz w:val="20"/>
          <w:szCs w:val="20"/>
          <w:color w:val="auto"/>
        </w:rPr>
      </w:pPr>
    </w:p>
    <w:p>
      <w:pPr>
        <w:ind w:left="460" w:right="579" w:firstLine="432"/>
        <w:spacing w:after="0" w:line="289" w:lineRule="auto"/>
        <w:rPr>
          <w:sz w:val="20"/>
          <w:szCs w:val="20"/>
          <w:color w:val="auto"/>
        </w:rPr>
      </w:pPr>
      <w:r>
        <w:rPr>
          <w:rFonts w:ascii="Arial" w:cs="Arial" w:eastAsia="Arial" w:hAnsi="Arial"/>
          <w:sz w:val="16"/>
          <w:szCs w:val="16"/>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third-party may develop a competitive drug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99"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p>
    <w:p>
      <w:pPr>
        <w:spacing w:after="0" w:line="188" w:lineRule="exact"/>
        <w:rPr>
          <w:sz w:val="20"/>
          <w:szCs w:val="20"/>
          <w:color w:val="auto"/>
        </w:rPr>
      </w:pPr>
    </w:p>
    <w:p>
      <w:pPr>
        <w:ind w:left="460" w:right="519"/>
        <w:spacing w:after="0" w:line="279"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104"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172" w:lineRule="exact"/>
        <w:rPr>
          <w:sz w:val="20"/>
          <w:szCs w:val="20"/>
          <w:color w:val="auto"/>
        </w:rPr>
      </w:pPr>
    </w:p>
    <w:p>
      <w:pPr>
        <w:ind w:left="460" w:right="1119"/>
        <w:spacing w:after="0" w:line="277" w:lineRule="auto"/>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89"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our U.S. patents or those of our future licensors may be eligible for limited patent term restoration under the Drug Price Competition and Patent Term Restoration Act of 1984 (Hatch-Waxman</w:t>
      </w:r>
    </w:p>
    <w:p>
      <w:pPr>
        <w:sectPr>
          <w:pgSz w:w="11900" w:h="16838" w:orient="portrait"/>
          <w:cols w:equalWidth="0" w:num="1">
            <w:col w:w="9019"/>
          </w:cols>
          <w:pgMar w:left="1440" w:top="274" w:right="1440"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5" w:name="page66"/>
    <w:bookmarkEnd w:id="6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86" w:lineRule="auto"/>
        <w:rPr>
          <w:sz w:val="20"/>
          <w:szCs w:val="20"/>
          <w:color w:val="auto"/>
        </w:rPr>
      </w:pPr>
      <w:r>
        <w:rPr>
          <w:rFonts w:ascii="Arial" w:cs="Arial" w:eastAsia="Arial" w:hAnsi="Arial"/>
          <w:sz w:val="16"/>
          <w:szCs w:val="16"/>
          <w:color w:val="auto"/>
        </w:rPr>
        <w:t>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67" w:lineRule="exact"/>
        <w:rPr>
          <w:sz w:val="20"/>
          <w:szCs w:val="20"/>
          <w:color w:val="auto"/>
        </w:rPr>
      </w:pPr>
    </w:p>
    <w:p>
      <w:pPr>
        <w:ind w:left="460" w:right="479"/>
        <w:spacing w:after="0" w:line="259" w:lineRule="auto"/>
        <w:rPr>
          <w:sz w:val="20"/>
          <w:szCs w:val="20"/>
          <w:color w:val="auto"/>
        </w:rPr>
      </w:pPr>
      <w:r>
        <w:rPr>
          <w:rFonts w:ascii="Arial" w:cs="Arial" w:eastAsia="Arial" w:hAnsi="Arial"/>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119"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establish name recognition based on our trademarks and trade names, we may not be able to compete effectively and our business may be adversely affected.</w:t>
      </w:r>
    </w:p>
    <w:p>
      <w:pPr>
        <w:spacing w:after="0" w:line="174" w:lineRule="exact"/>
        <w:rPr>
          <w:sz w:val="20"/>
          <w:szCs w:val="20"/>
          <w:color w:val="auto"/>
        </w:rPr>
      </w:pPr>
    </w:p>
    <w:p>
      <w:pPr>
        <w:ind w:left="460" w:right="699"/>
        <w:spacing w:after="0" w:line="277" w:lineRule="auto"/>
        <w:rPr>
          <w:sz w:val="20"/>
          <w:szCs w:val="20"/>
          <w:color w:val="auto"/>
        </w:rPr>
      </w:pPr>
      <w:r>
        <w:rPr>
          <w:rFonts w:ascii="Arial" w:cs="Arial" w:eastAsia="Arial" w:hAnsi="Arial"/>
          <w:sz w:val="18"/>
          <w:szCs w:val="18"/>
          <w:b w:val="1"/>
          <w:bCs w:val="1"/>
          <w:i w:val="1"/>
          <w:iCs w:val="1"/>
          <w:color w:val="auto"/>
        </w:rPr>
        <w:t>If we are unable to adequately protect and enforce our trade secrets, our business and competitive position would be harmed.</w:t>
      </w:r>
    </w:p>
    <w:p>
      <w:pPr>
        <w:spacing w:after="0" w:line="103"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87"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6" w:name="page67"/>
    <w:bookmarkEnd w:id="6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63" w:lineRule="auto"/>
        <w:rPr>
          <w:sz w:val="20"/>
          <w:szCs w:val="20"/>
          <w:color w:val="auto"/>
        </w:rPr>
      </w:pPr>
      <w:r>
        <w:rPr>
          <w:rFonts w:ascii="Arial" w:cs="Arial" w:eastAsia="Arial" w:hAnsi="Arial"/>
          <w:sz w:val="18"/>
          <w:szCs w:val="18"/>
          <w:color w:val="auto"/>
        </w:rPr>
        <w:t>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116"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Enforcing a claim that a party illegally disclosed or misappropriated a trade secret is difficult, expensive and time-consuming, and the outcome is unpredictable.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third-party, we would have no right to prevent them from using that technology or information to compete with us.</w:t>
      </w:r>
    </w:p>
    <w:p>
      <w:pPr>
        <w:spacing w:after="0" w:line="113"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91" w:lineRule="exact"/>
        <w:rPr>
          <w:sz w:val="20"/>
          <w:szCs w:val="20"/>
          <w:color w:val="auto"/>
        </w:rPr>
      </w:pPr>
    </w:p>
    <w:p>
      <w:pPr>
        <w:ind w:left="460" w:right="939"/>
        <w:spacing w:after="0" w:line="342" w:lineRule="auto"/>
        <w:rPr>
          <w:sz w:val="20"/>
          <w:szCs w:val="20"/>
          <w:color w:val="auto"/>
        </w:rPr>
      </w:pPr>
      <w:r>
        <w:rPr>
          <w:rFonts w:ascii="Arial" w:cs="Arial" w:eastAsia="Arial" w:hAnsi="Arial"/>
          <w:sz w:val="16"/>
          <w:szCs w:val="16"/>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43"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14"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Post-grant proceedings provoked by third-parties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and</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7" w:name="page68"/>
    <w:bookmarkEnd w:id="6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69" w:lineRule="auto"/>
        <w:rPr>
          <w:sz w:val="20"/>
          <w:szCs w:val="20"/>
          <w:color w:val="auto"/>
        </w:rPr>
      </w:pPr>
      <w:r>
        <w:rPr>
          <w:rFonts w:ascii="Arial" w:cs="Arial" w:eastAsia="Arial" w:hAnsi="Arial"/>
          <w:sz w:val="17"/>
          <w:szCs w:val="17"/>
          <w:color w:val="auto"/>
        </w:rPr>
        <w:t>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111"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09"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We may not be able to detect infringement against any patents we may own or in-license. Even if we detect infringement by a third-party of any patents we may own or in-license, we may choose not to pursue litigation against or settlement with the third-party. If we later sue such third-party for patent infringement, the third-party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third-party.</w:t>
      </w:r>
    </w:p>
    <w:p>
      <w:pPr>
        <w:spacing w:after="0" w:line="164" w:lineRule="exact"/>
        <w:rPr>
          <w:sz w:val="20"/>
          <w:szCs w:val="20"/>
          <w:color w:val="auto"/>
        </w:rPr>
      </w:pPr>
    </w:p>
    <w:p>
      <w:pPr>
        <w:ind w:left="460" w:right="879"/>
        <w:spacing w:after="0" w:line="263" w:lineRule="auto"/>
        <w:rPr>
          <w:sz w:val="20"/>
          <w:szCs w:val="20"/>
          <w:color w:val="auto"/>
        </w:rPr>
      </w:pPr>
      <w:r>
        <w:rPr>
          <w:rFonts w:ascii="Arial" w:cs="Arial" w:eastAsia="Arial" w:hAnsi="Arial"/>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103"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167" w:lineRule="exact"/>
        <w:rPr>
          <w:sz w:val="20"/>
          <w:szCs w:val="20"/>
          <w:color w:val="auto"/>
        </w:rPr>
      </w:pPr>
    </w:p>
    <w:p>
      <w:pPr>
        <w:ind w:left="460" w:right="539"/>
        <w:spacing w:after="0" w:line="316" w:lineRule="auto"/>
        <w:rPr>
          <w:sz w:val="20"/>
          <w:szCs w:val="20"/>
          <w:color w:val="auto"/>
        </w:rPr>
      </w:pPr>
      <w:r>
        <w:rPr>
          <w:rFonts w:ascii="Arial" w:cs="Arial" w:eastAsia="Arial" w:hAnsi="Arial"/>
          <w:sz w:val="15"/>
          <w:szCs w:val="15"/>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82"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8" w:name="page69"/>
    <w:bookmarkEnd w:id="6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spacing w:after="0" w:line="285" w:lineRule="auto"/>
        <w:rPr>
          <w:sz w:val="20"/>
          <w:szCs w:val="20"/>
          <w:color w:val="auto"/>
        </w:rPr>
      </w:pPr>
      <w:r>
        <w:rPr>
          <w:rFonts w:ascii="Arial" w:cs="Arial" w:eastAsia="Arial" w:hAnsi="Arial"/>
          <w:sz w:val="16"/>
          <w:szCs w:val="16"/>
          <w:color w:val="auto"/>
        </w:rPr>
        <w:t xml:space="preserve">involving patents and other intellectual property rights in the biotechnology and pharmaceutical industries, as well as administrative proceedings for challenging patents, including derivation, interference, reexamination,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and post grant review proceedings before the USPTO or oppositions and other comparable</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322"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While certain activities related to development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106"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If a third party claims that we infringe, misappropriate or otherwise violate its intellectual property rights, we may face a number of issues, including, but not limited to:</w:t>
      </w:r>
    </w:p>
    <w:p>
      <w:pPr>
        <w:spacing w:after="0" w:line="89" w:lineRule="exact"/>
        <w:rPr>
          <w:sz w:val="20"/>
          <w:szCs w:val="20"/>
          <w:color w:val="auto"/>
        </w:rPr>
      </w:pPr>
    </w:p>
    <w:p>
      <w:pPr>
        <w:ind w:left="1320" w:right="599" w:hanging="434"/>
        <w:spacing w:after="0" w:line="263" w:lineRule="auto"/>
        <w:tabs>
          <w:tab w:leader="none" w:pos="131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116" w:lineRule="exact"/>
        <w:rPr>
          <w:rFonts w:ascii="Arial" w:cs="Arial" w:eastAsia="Arial" w:hAnsi="Arial"/>
          <w:sz w:val="18"/>
          <w:szCs w:val="18"/>
          <w:color w:val="auto"/>
        </w:rPr>
      </w:pPr>
    </w:p>
    <w:p>
      <w:pPr>
        <w:ind w:left="1320" w:right="499" w:hanging="434"/>
        <w:spacing w:after="0" w:line="279" w:lineRule="auto"/>
        <w:tabs>
          <w:tab w:leader="none" w:pos="1311" w:val="left"/>
        </w:tabs>
        <w:numPr>
          <w:ilvl w:val="0"/>
          <w:numId w:val="125"/>
        </w:numPr>
        <w:rPr>
          <w:rFonts w:ascii="Arial" w:cs="Arial" w:eastAsia="Arial" w:hAnsi="Arial"/>
          <w:sz w:val="17"/>
          <w:szCs w:val="17"/>
          <w:color w:val="auto"/>
        </w:rPr>
      </w:pPr>
      <w:r>
        <w:rPr>
          <w:rFonts w:ascii="Arial" w:cs="Arial" w:eastAsia="Arial" w:hAnsi="Arial"/>
          <w:sz w:val="17"/>
          <w:szCs w:val="17"/>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103" w:lineRule="exact"/>
        <w:rPr>
          <w:rFonts w:ascii="Arial" w:cs="Arial" w:eastAsia="Arial" w:hAnsi="Arial"/>
          <w:sz w:val="17"/>
          <w:szCs w:val="17"/>
          <w:color w:val="auto"/>
        </w:rPr>
      </w:pPr>
    </w:p>
    <w:p>
      <w:pPr>
        <w:ind w:left="1320" w:right="459" w:hanging="434"/>
        <w:spacing w:after="0" w:line="259" w:lineRule="auto"/>
        <w:tabs>
          <w:tab w:leader="none" w:pos="131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current product candidate, including TNG908, or future product candidates, or from using our proprietary technologies, unless the third-party licenses its product rights to us, which it is not required to do, on commercially reasonable terms or at all;</w:t>
      </w:r>
    </w:p>
    <w:p>
      <w:pPr>
        <w:spacing w:after="0" w:line="105" w:lineRule="exact"/>
        <w:rPr>
          <w:rFonts w:ascii="Arial" w:cs="Arial" w:eastAsia="Arial" w:hAnsi="Arial"/>
          <w:sz w:val="18"/>
          <w:szCs w:val="18"/>
          <w:color w:val="auto"/>
        </w:rPr>
      </w:pPr>
    </w:p>
    <w:p>
      <w:pPr>
        <w:ind w:left="1320" w:right="499" w:hanging="434"/>
        <w:spacing w:after="0" w:line="259" w:lineRule="auto"/>
        <w:tabs>
          <w:tab w:leader="none" w:pos="131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119" w:lineRule="exact"/>
        <w:rPr>
          <w:rFonts w:ascii="Arial" w:cs="Arial" w:eastAsia="Arial" w:hAnsi="Arial"/>
          <w:sz w:val="18"/>
          <w:szCs w:val="18"/>
          <w:color w:val="auto"/>
        </w:rPr>
      </w:pPr>
    </w:p>
    <w:p>
      <w:pPr>
        <w:ind w:left="1320" w:right="559" w:hanging="434"/>
        <w:spacing w:after="0" w:line="263" w:lineRule="auto"/>
        <w:tabs>
          <w:tab w:leader="none" w:pos="131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9" w:name="page70"/>
    <w:bookmarkEnd w:id="6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19" w:hanging="434"/>
        <w:spacing w:after="0" w:line="269" w:lineRule="auto"/>
        <w:tabs>
          <w:tab w:leader="none" w:pos="1311"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18"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 xml:space="preserve">We may choose to challenge the patentability of claims in a third-party’s U.S. patent by requesting that the USPTO review the patent claims in an ex-parte re-exam,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proceedings. These proceedings are expensive and may consume our time or other resources. We may choose to challenge a third-party’s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current or future product candidates or proprietary technologies.</w:t>
      </w:r>
    </w:p>
    <w:p>
      <w:pPr>
        <w:spacing w:after="0" w:line="124" w:lineRule="exact"/>
        <w:rPr>
          <w:sz w:val="20"/>
          <w:szCs w:val="20"/>
          <w:color w:val="auto"/>
        </w:rPr>
      </w:pPr>
    </w:p>
    <w:p>
      <w:pPr>
        <w:ind w:left="460" w:right="459" w:firstLine="432"/>
        <w:spacing w:after="0" w:line="283" w:lineRule="auto"/>
        <w:rPr>
          <w:sz w:val="20"/>
          <w:szCs w:val="20"/>
          <w:color w:val="auto"/>
        </w:rPr>
      </w:pPr>
      <w:r>
        <w:rPr>
          <w:rFonts w:ascii="Arial" w:cs="Arial" w:eastAsia="Arial" w:hAnsi="Arial"/>
          <w:sz w:val="16"/>
          <w:szCs w:val="16"/>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321"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0" w:name="page71"/>
    <w:bookmarkEnd w:id="7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70" w:lineRule="auto"/>
        <w:rPr>
          <w:sz w:val="20"/>
          <w:szCs w:val="20"/>
          <w:color w:val="auto"/>
        </w:rPr>
      </w:pPr>
      <w:r>
        <w:rPr>
          <w:rFonts w:ascii="Arial" w:cs="Arial" w:eastAsia="Arial" w:hAnsi="Arial"/>
          <w:sz w:val="17"/>
          <w:szCs w:val="17"/>
          <w:color w:val="auto"/>
        </w:rPr>
        <w:t>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181" w:lineRule="exact"/>
        <w:rPr>
          <w:sz w:val="20"/>
          <w:szCs w:val="20"/>
          <w:color w:val="auto"/>
        </w:rPr>
      </w:pPr>
    </w:p>
    <w:p>
      <w:pPr>
        <w:jc w:val="both"/>
        <w:ind w:left="460" w:right="499"/>
        <w:spacing w:after="0" w:line="340" w:lineRule="auto"/>
        <w:rPr>
          <w:sz w:val="20"/>
          <w:szCs w:val="20"/>
          <w:color w:val="auto"/>
        </w:rPr>
      </w:pPr>
      <w:r>
        <w:rPr>
          <w:rFonts w:ascii="Arial" w:cs="Arial" w:eastAsia="Arial" w:hAnsi="Arial"/>
          <w:sz w:val="15"/>
          <w:szCs w:val="15"/>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63"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103"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05" w:lineRule="exact"/>
        <w:rPr>
          <w:sz w:val="20"/>
          <w:szCs w:val="20"/>
          <w:color w:val="auto"/>
        </w:rPr>
      </w:pPr>
    </w:p>
    <w:p>
      <w:pPr>
        <w:ind w:left="460" w:right="559" w:firstLine="432"/>
        <w:spacing w:after="0" w:line="293" w:lineRule="auto"/>
        <w:rPr>
          <w:sz w:val="20"/>
          <w:szCs w:val="20"/>
          <w:color w:val="auto"/>
        </w:rPr>
      </w:pPr>
      <w:r>
        <w:rPr>
          <w:rFonts w:ascii="Arial" w:cs="Arial" w:eastAsia="Arial" w:hAnsi="Arial"/>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64" w:lineRule="exact"/>
        <w:rPr>
          <w:sz w:val="20"/>
          <w:szCs w:val="20"/>
          <w:color w:val="auto"/>
        </w:rPr>
      </w:pPr>
    </w:p>
    <w:p>
      <w:pPr>
        <w:ind w:left="460" w:right="539"/>
        <w:spacing w:after="0" w:line="277" w:lineRule="auto"/>
        <w:rPr>
          <w:sz w:val="20"/>
          <w:szCs w:val="20"/>
          <w:color w:val="auto"/>
        </w:rPr>
      </w:pPr>
      <w:r>
        <w:rPr>
          <w:rFonts w:ascii="Arial" w:cs="Arial" w:eastAsia="Arial" w:hAnsi="Arial"/>
          <w:sz w:val="18"/>
          <w:szCs w:val="18"/>
          <w:b w:val="1"/>
          <w:bCs w:val="1"/>
          <w:i w:val="1"/>
          <w:iCs w:val="1"/>
          <w:color w:val="auto"/>
        </w:rPr>
        <w:t>We may not obtain or grant licenses or sublicenses to intellectual property rights in all markets on equally or sufficiently favorable terms with third parties.</w:t>
      </w:r>
    </w:p>
    <w:p>
      <w:pPr>
        <w:spacing w:after="0" w:line="103"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1" w:name="page72"/>
    <w:bookmarkEnd w:id="7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87" w:lineRule="auto"/>
        <w:rPr>
          <w:sz w:val="20"/>
          <w:szCs w:val="20"/>
          <w:color w:val="auto"/>
        </w:rPr>
      </w:pPr>
      <w:r>
        <w:rPr>
          <w:rFonts w:ascii="Arial" w:cs="Arial" w:eastAsia="Arial" w:hAnsi="Arial"/>
          <w:sz w:val="16"/>
          <w:szCs w:val="16"/>
          <w:color w:val="auto"/>
        </w:rPr>
        <w:t>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68" w:lineRule="exact"/>
        <w:rPr>
          <w:sz w:val="20"/>
          <w:szCs w:val="20"/>
          <w:color w:val="auto"/>
        </w:rPr>
      </w:pPr>
    </w:p>
    <w:p>
      <w:pPr>
        <w:jc w:val="both"/>
        <w:ind w:left="460" w:right="519"/>
        <w:spacing w:after="0" w:line="286" w:lineRule="auto"/>
        <w:rPr>
          <w:sz w:val="20"/>
          <w:szCs w:val="20"/>
          <w:color w:val="auto"/>
        </w:rPr>
      </w:pPr>
      <w:r>
        <w:rPr>
          <w:rFonts w:ascii="Arial" w:cs="Arial" w:eastAsia="Arial" w:hAnsi="Arial"/>
          <w:sz w:val="17"/>
          <w:szCs w:val="17"/>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9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We may from time to time be party to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13" w:lineRule="exact"/>
        <w:rPr>
          <w:sz w:val="20"/>
          <w:szCs w:val="20"/>
          <w:color w:val="auto"/>
        </w:rPr>
      </w:pPr>
    </w:p>
    <w:p>
      <w:pPr>
        <w:ind w:left="460" w:right="659" w:firstLine="432"/>
        <w:spacing w:after="0" w:line="254" w:lineRule="auto"/>
        <w:rPr>
          <w:sz w:val="20"/>
          <w:szCs w:val="20"/>
          <w:color w:val="auto"/>
        </w:rPr>
      </w:pPr>
      <w:r>
        <w:rPr>
          <w:rFonts w:ascii="Arial" w:cs="Arial" w:eastAsia="Arial" w:hAnsi="Arial"/>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14"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103" w:lineRule="exact"/>
        <w:rPr>
          <w:sz w:val="20"/>
          <w:szCs w:val="20"/>
          <w:color w:val="auto"/>
        </w:rPr>
      </w:pPr>
    </w:p>
    <w:p>
      <w:pPr>
        <w:ind w:left="1300" w:hanging="414"/>
        <w:spacing w:after="0"/>
        <w:tabs>
          <w:tab w:leader="none" w:pos="13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69" w:lineRule="exact"/>
        <w:rPr>
          <w:rFonts w:ascii="Arial" w:cs="Arial" w:eastAsia="Arial" w:hAnsi="Arial"/>
          <w:sz w:val="17"/>
          <w:szCs w:val="17"/>
          <w:color w:val="auto"/>
        </w:rPr>
      </w:pPr>
    </w:p>
    <w:p>
      <w:pPr>
        <w:ind w:left="1320" w:right="519" w:hanging="434"/>
        <w:spacing w:after="0" w:line="342" w:lineRule="auto"/>
        <w:tabs>
          <w:tab w:leader="none" w:pos="131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whether and the extent to which our technology and processes infringe, misappropriate or otherwise violate intellectual property rights of the licensor that is not subject to the licensing agreement;</w:t>
      </w:r>
    </w:p>
    <w:p>
      <w:pPr>
        <w:spacing w:after="0" w:line="42" w:lineRule="exact"/>
        <w:rPr>
          <w:rFonts w:ascii="Arial" w:cs="Arial" w:eastAsia="Arial" w:hAnsi="Arial"/>
          <w:sz w:val="16"/>
          <w:szCs w:val="16"/>
          <w:color w:val="auto"/>
        </w:rPr>
      </w:pPr>
    </w:p>
    <w:p>
      <w:pPr>
        <w:ind w:left="1320" w:right="939" w:hanging="434"/>
        <w:spacing w:after="0" w:line="277" w:lineRule="auto"/>
        <w:tabs>
          <w:tab w:leader="none" w:pos="131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02" w:lineRule="exact"/>
        <w:rPr>
          <w:rFonts w:ascii="Arial" w:cs="Arial" w:eastAsia="Arial" w:hAnsi="Arial"/>
          <w:sz w:val="18"/>
          <w:szCs w:val="18"/>
          <w:color w:val="auto"/>
        </w:rPr>
      </w:pPr>
    </w:p>
    <w:p>
      <w:pPr>
        <w:ind w:left="1320" w:right="539" w:hanging="434"/>
        <w:spacing w:after="0" w:line="263" w:lineRule="auto"/>
        <w:tabs>
          <w:tab w:leader="none" w:pos="131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priority of invention of any patented technology; and</w:t>
      </w:r>
    </w:p>
    <w:p>
      <w:pPr>
        <w:spacing w:after="0" w:line="144" w:lineRule="exact"/>
        <w:rPr>
          <w:rFonts w:ascii="Arial" w:cs="Arial" w:eastAsia="Arial" w:hAnsi="Arial"/>
          <w:sz w:val="18"/>
          <w:szCs w:val="18"/>
          <w:color w:val="auto"/>
        </w:rPr>
      </w:pPr>
    </w:p>
    <w:p>
      <w:pPr>
        <w:ind w:left="1320" w:right="739" w:hanging="434"/>
        <w:spacing w:after="0" w:line="277" w:lineRule="auto"/>
        <w:tabs>
          <w:tab w:leader="none" w:pos="131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future licensors and us and our partners.</w:t>
      </w:r>
    </w:p>
    <w:p>
      <w:pPr>
        <w:spacing w:after="0" w:line="103"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2" w:name="page73"/>
    <w:bookmarkEnd w:id="7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spacing w:after="0" w:line="259" w:lineRule="auto"/>
        <w:rPr>
          <w:sz w:val="20"/>
          <w:szCs w:val="20"/>
          <w:color w:val="auto"/>
        </w:rPr>
      </w:pPr>
      <w:r>
        <w:rPr>
          <w:rFonts w:ascii="Arial" w:cs="Arial" w:eastAsia="Arial" w:hAnsi="Arial"/>
          <w:sz w:val="18"/>
          <w:szCs w:val="18"/>
          <w:color w:val="auto"/>
        </w:rPr>
        <w:t>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187" w:lineRule="exact"/>
        <w:rPr>
          <w:sz w:val="20"/>
          <w:szCs w:val="20"/>
          <w:color w:val="auto"/>
        </w:rPr>
      </w:pPr>
    </w:p>
    <w:p>
      <w:pPr>
        <w:ind w:left="460" w:right="499"/>
        <w:spacing w:after="0" w:line="273" w:lineRule="auto"/>
        <w:rPr>
          <w:sz w:val="20"/>
          <w:szCs w:val="20"/>
          <w:color w:val="auto"/>
        </w:rPr>
      </w:pPr>
      <w:r>
        <w:rPr>
          <w:rFonts w:ascii="Arial" w:cs="Arial" w:eastAsia="Arial" w:hAnsi="Arial"/>
          <w:sz w:val="17"/>
          <w:szCs w:val="17"/>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110" w:lineRule="exact"/>
        <w:rPr>
          <w:sz w:val="20"/>
          <w:szCs w:val="20"/>
          <w:color w:val="auto"/>
        </w:rPr>
      </w:pPr>
    </w:p>
    <w:p>
      <w:pPr>
        <w:ind w:left="460" w:right="479" w:firstLine="432"/>
        <w:spacing w:after="0" w:line="283" w:lineRule="auto"/>
        <w:rPr>
          <w:sz w:val="20"/>
          <w:szCs w:val="20"/>
          <w:color w:val="auto"/>
        </w:rPr>
      </w:pPr>
      <w:r>
        <w:rPr>
          <w:rFonts w:ascii="Arial" w:cs="Arial" w:eastAsia="Arial" w:hAnsi="Arial"/>
          <w:sz w:val="16"/>
          <w:szCs w:val="16"/>
          <w:color w:val="auto"/>
        </w:rPr>
        <w:t xml:space="preserve">If we or our licensors or strategic partners initiate legal proceedings against a third-party to enforce a patent covering one of our current or future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or made a misleading statement, in the process of obtaining the patent during patent prosecution. Third parties may also raise similar claims before administrative bodies in the U.S. or abroad, even outside the context of litigation. Such mechanisms include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 grant review and equivalent proceedings in foreign jurisdictions (such as opposition proceedings). Such proceedings could result 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334" w:lineRule="exact"/>
        <w:rPr>
          <w:sz w:val="20"/>
          <w:szCs w:val="20"/>
          <w:color w:val="auto"/>
        </w:rPr>
      </w:pPr>
    </w:p>
    <w:p>
      <w:pPr>
        <w:ind w:left="460" w:right="559" w:firstLine="432"/>
        <w:spacing w:after="0" w:line="288" w:lineRule="auto"/>
        <w:rPr>
          <w:sz w:val="20"/>
          <w:szCs w:val="20"/>
          <w:color w:val="auto"/>
        </w:rPr>
      </w:pPr>
      <w:r>
        <w:rPr>
          <w:rFonts w:ascii="Arial" w:cs="Arial" w:eastAsia="Arial" w:hAnsi="Arial"/>
          <w:sz w:val="16"/>
          <w:szCs w:val="16"/>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3" w:name="page74"/>
    <w:bookmarkEnd w:id="7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499"/>
        <w:spacing w:after="0" w:line="277"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current or future product candidates.</w:t>
      </w:r>
    </w:p>
    <w:p>
      <w:pPr>
        <w:spacing w:after="0" w:line="89"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04"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27" w:lineRule="exact"/>
        <w:rPr>
          <w:sz w:val="20"/>
          <w:szCs w:val="20"/>
          <w:color w:val="auto"/>
        </w:rPr>
      </w:pPr>
    </w:p>
    <w:p>
      <w:pPr>
        <w:ind w:left="460" w:right="599" w:firstLine="432"/>
        <w:spacing w:after="0" w:line="290" w:lineRule="auto"/>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65" w:lineRule="exact"/>
        <w:rPr>
          <w:sz w:val="20"/>
          <w:szCs w:val="20"/>
          <w:color w:val="auto"/>
        </w:rPr>
      </w:pPr>
    </w:p>
    <w:p>
      <w:pPr>
        <w:ind w:left="460" w:right="899"/>
        <w:spacing w:after="0" w:line="286" w:lineRule="auto"/>
        <w:rPr>
          <w:sz w:val="20"/>
          <w:szCs w:val="20"/>
          <w:color w:val="auto"/>
        </w:rPr>
      </w:pPr>
      <w:r>
        <w:rPr>
          <w:rFonts w:ascii="Arial" w:cs="Arial" w:eastAsia="Arial" w:hAnsi="Arial"/>
          <w:sz w:val="17"/>
          <w:szCs w:val="17"/>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84"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identification of third-party patent rights that may be relevant to our operations is difficult because patent searching is imperfect due to, for example, differences in terminology among patents or incomplete databases.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4" w:name="page75"/>
    <w:bookmarkEnd w:id="7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93" w:lineRule="auto"/>
        <w:rPr>
          <w:sz w:val="20"/>
          <w:szCs w:val="20"/>
          <w:color w:val="auto"/>
        </w:rPr>
      </w:pPr>
      <w:r>
        <w:rPr>
          <w:rFonts w:ascii="Arial" w:cs="Arial" w:eastAsia="Arial" w:hAnsi="Arial"/>
          <w:sz w:val="16"/>
          <w:szCs w:val="16"/>
          <w:color w:val="auto"/>
        </w:rPr>
        <w:t>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97"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81" w:lineRule="exact"/>
        <w:rPr>
          <w:sz w:val="20"/>
          <w:szCs w:val="20"/>
          <w:color w:val="auto"/>
        </w:rPr>
      </w:pPr>
    </w:p>
    <w:p>
      <w:pPr>
        <w:ind w:left="460" w:right="599"/>
        <w:spacing w:after="0" w:line="263" w:lineRule="auto"/>
        <w:rPr>
          <w:sz w:val="20"/>
          <w:szCs w:val="20"/>
          <w:color w:val="auto"/>
        </w:rPr>
      </w:pPr>
      <w:r>
        <w:rPr>
          <w:rFonts w:ascii="Arial" w:cs="Arial" w:eastAsia="Arial" w:hAnsi="Arial"/>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116"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third-party has intellectual property rights that cover the practice of our technology, we may not be able to fully exercise or extract value from our intellectual property rights. The following examples are illustrative:</w:t>
      </w:r>
    </w:p>
    <w:p>
      <w:pPr>
        <w:spacing w:after="0" w:line="111" w:lineRule="exact"/>
        <w:rPr>
          <w:sz w:val="20"/>
          <w:szCs w:val="20"/>
          <w:color w:val="auto"/>
        </w:rPr>
      </w:pPr>
    </w:p>
    <w:p>
      <w:pPr>
        <w:ind w:left="1300" w:hanging="414"/>
        <w:spacing w:after="0"/>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patent applications that we own or may in-license may not lead to issued patents;</w:t>
      </w:r>
    </w:p>
    <w:p>
      <w:pPr>
        <w:spacing w:after="0" w:line="157" w:lineRule="exact"/>
        <w:rPr>
          <w:rFonts w:ascii="Arial" w:cs="Arial" w:eastAsia="Arial" w:hAnsi="Arial"/>
          <w:sz w:val="18"/>
          <w:szCs w:val="18"/>
          <w:color w:val="auto"/>
        </w:rPr>
      </w:pPr>
    </w:p>
    <w:p>
      <w:pPr>
        <w:ind w:left="1320" w:right="579" w:hanging="434"/>
        <w:spacing w:after="0" w:line="342" w:lineRule="auto"/>
        <w:tabs>
          <w:tab w:leader="none" w:pos="131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patents, should they issue, that we may own or in-license, may not provide us with any competitive advantages, may be narrowed in scope, or may be challenged and held invalid or unenforceable;</w:t>
      </w:r>
    </w:p>
    <w:p>
      <w:pPr>
        <w:spacing w:after="0" w:line="56" w:lineRule="exact"/>
        <w:rPr>
          <w:rFonts w:ascii="Arial" w:cs="Arial" w:eastAsia="Arial" w:hAnsi="Arial"/>
          <w:sz w:val="16"/>
          <w:szCs w:val="16"/>
          <w:color w:val="auto"/>
        </w:rPr>
      </w:pPr>
    </w:p>
    <w:p>
      <w:pPr>
        <w:ind w:left="1320" w:right="499" w:hanging="434"/>
        <w:spacing w:after="0" w:line="259" w:lineRule="auto"/>
        <w:tabs>
          <w:tab w:leader="none" w:pos="131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105" w:lineRule="exact"/>
        <w:rPr>
          <w:rFonts w:ascii="Arial" w:cs="Arial" w:eastAsia="Arial" w:hAnsi="Arial"/>
          <w:sz w:val="18"/>
          <w:szCs w:val="18"/>
          <w:color w:val="auto"/>
        </w:rPr>
      </w:pPr>
    </w:p>
    <w:p>
      <w:pPr>
        <w:ind w:left="1320" w:right="1099" w:hanging="434"/>
        <w:spacing w:after="0" w:line="277" w:lineRule="auto"/>
        <w:tabs>
          <w:tab w:leader="none" w:pos="131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102" w:lineRule="exact"/>
        <w:rPr>
          <w:rFonts w:ascii="Arial" w:cs="Arial" w:eastAsia="Arial" w:hAnsi="Arial"/>
          <w:sz w:val="18"/>
          <w:szCs w:val="18"/>
          <w:color w:val="auto"/>
        </w:rPr>
      </w:pPr>
    </w:p>
    <w:p>
      <w:pPr>
        <w:ind w:left="1320" w:right="799" w:hanging="434"/>
        <w:spacing w:after="0" w:line="277" w:lineRule="auto"/>
        <w:tabs>
          <w:tab w:leader="none" w:pos="131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we, or our future licensors or collaborators, might not have been the first to make the inventions covered by a patent application that we own or may in-license;</w:t>
      </w:r>
    </w:p>
    <w:p>
      <w:pPr>
        <w:spacing w:after="0" w:line="102" w:lineRule="exact"/>
        <w:rPr>
          <w:rFonts w:ascii="Arial" w:cs="Arial" w:eastAsia="Arial" w:hAnsi="Arial"/>
          <w:sz w:val="18"/>
          <w:szCs w:val="18"/>
          <w:color w:val="auto"/>
        </w:rPr>
      </w:pPr>
    </w:p>
    <w:p>
      <w:pPr>
        <w:ind w:left="1320" w:right="619" w:hanging="434"/>
        <w:spacing w:after="0" w:line="277" w:lineRule="auto"/>
        <w:tabs>
          <w:tab w:leader="none" w:pos="131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we, or our future licensors or collaborators, might not have been the first to file patent applications covering a particular invention;</w:t>
      </w:r>
    </w:p>
    <w:p>
      <w:pPr>
        <w:spacing w:after="0" w:line="89" w:lineRule="exact"/>
        <w:rPr>
          <w:rFonts w:ascii="Arial" w:cs="Arial" w:eastAsia="Arial" w:hAnsi="Arial"/>
          <w:sz w:val="18"/>
          <w:szCs w:val="18"/>
          <w:color w:val="auto"/>
        </w:rPr>
      </w:pPr>
    </w:p>
    <w:p>
      <w:pPr>
        <w:ind w:left="1320" w:right="1339" w:hanging="434"/>
        <w:spacing w:after="0" w:line="308" w:lineRule="auto"/>
        <w:tabs>
          <w:tab w:leader="none" w:pos="131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without infringing, misappropriating or otherwise violating our intellectual property rights;</w:t>
      </w:r>
    </w:p>
    <w:p>
      <w:pPr>
        <w:spacing w:after="0" w:line="78" w:lineRule="exact"/>
        <w:rPr>
          <w:rFonts w:ascii="Arial" w:cs="Arial" w:eastAsia="Arial" w:hAnsi="Arial"/>
          <w:sz w:val="17"/>
          <w:szCs w:val="17"/>
          <w:color w:val="auto"/>
        </w:rPr>
      </w:pPr>
    </w:p>
    <w:p>
      <w:pPr>
        <w:ind w:left="1320" w:right="639" w:hanging="434"/>
        <w:spacing w:after="0" w:line="257" w:lineRule="auto"/>
        <w:tabs>
          <w:tab w:leader="none" w:pos="131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120" w:lineRule="exact"/>
        <w:rPr>
          <w:rFonts w:ascii="Arial" w:cs="Arial" w:eastAsia="Arial" w:hAnsi="Arial"/>
          <w:sz w:val="18"/>
          <w:szCs w:val="18"/>
          <w:color w:val="auto"/>
        </w:rPr>
      </w:pPr>
    </w:p>
    <w:p>
      <w:pPr>
        <w:ind w:left="1300" w:hanging="414"/>
        <w:spacing w:after="0"/>
        <w:tabs>
          <w:tab w:leader="none" w:pos="13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we may not be able to obtain and/or maintain necessary licenses on reasonable terms or at all;</w:t>
      </w:r>
    </w:p>
    <w:p>
      <w:pPr>
        <w:spacing w:after="0" w:line="155" w:lineRule="exact"/>
        <w:rPr>
          <w:rFonts w:ascii="Arial" w:cs="Arial" w:eastAsia="Arial" w:hAnsi="Arial"/>
          <w:sz w:val="17"/>
          <w:szCs w:val="17"/>
          <w:color w:val="auto"/>
        </w:rPr>
      </w:pPr>
    </w:p>
    <w:p>
      <w:pPr>
        <w:ind w:left="1320" w:right="559" w:hanging="434"/>
        <w:spacing w:after="0" w:line="263" w:lineRule="auto"/>
        <w:tabs>
          <w:tab w:leader="none" w:pos="131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116" w:lineRule="exact"/>
        <w:rPr>
          <w:rFonts w:ascii="Arial" w:cs="Arial" w:eastAsia="Arial" w:hAnsi="Arial"/>
          <w:sz w:val="18"/>
          <w:szCs w:val="18"/>
          <w:color w:val="auto"/>
        </w:rPr>
      </w:pPr>
    </w:p>
    <w:p>
      <w:pPr>
        <w:ind w:left="1320" w:right="819" w:hanging="434"/>
        <w:spacing w:after="0" w:line="308" w:lineRule="auto"/>
        <w:tabs>
          <w:tab w:leader="none" w:pos="131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we may choose not to file a patent in order to maintain certain trade secrets or know-how, and a third-party may subsequently file a patent covering such trade secrets or know-how;</w:t>
      </w:r>
    </w:p>
    <w:p>
      <w:pPr>
        <w:sectPr>
          <w:pgSz w:w="11900" w:h="16838" w:orient="portrait"/>
          <w:cols w:equalWidth="0" w:num="1">
            <w:col w:w="9019"/>
          </w:cols>
          <w:pgMar w:left="1440" w:top="274" w:right="1440"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5" w:name="page76"/>
    <w:bookmarkEnd w:id="7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1219" w:hanging="434"/>
        <w:spacing w:after="0" w:line="277" w:lineRule="auto"/>
        <w:tabs>
          <w:tab w:leader="none" w:pos="131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we may not be able to maintain the confidentiality of our trade secrets or other proprietary information;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we may not develop or in-license additional proprietary technologies that are patentable;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44"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ind w:left="460" w:right="559"/>
        <w:spacing w:after="0" w:line="381" w:lineRule="auto"/>
        <w:rPr>
          <w:sz w:val="20"/>
          <w:szCs w:val="20"/>
          <w:color w:val="auto"/>
        </w:rPr>
      </w:pPr>
      <w:r>
        <w:rPr>
          <w:rFonts w:ascii="Arial" w:cs="Arial" w:eastAsia="Arial" w:hAnsi="Arial"/>
          <w:sz w:val="15"/>
          <w:szCs w:val="15"/>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33" w:lineRule="exact"/>
        <w:rPr>
          <w:sz w:val="20"/>
          <w:szCs w:val="20"/>
          <w:color w:val="auto"/>
        </w:rPr>
      </w:pPr>
    </w:p>
    <w:p>
      <w:pPr>
        <w:ind w:left="460" w:right="599" w:firstLine="432"/>
        <w:spacing w:after="0" w:line="291" w:lineRule="auto"/>
        <w:rPr>
          <w:sz w:val="20"/>
          <w:szCs w:val="20"/>
          <w:color w:val="auto"/>
        </w:rPr>
      </w:pPr>
      <w:r>
        <w:rPr>
          <w:rFonts w:ascii="Arial" w:cs="Arial" w:eastAsia="Arial" w:hAnsi="Arial"/>
          <w:sz w:val="16"/>
          <w:szCs w:val="16"/>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w:t>
      </w:r>
    </w:p>
    <w:p>
      <w:pPr>
        <w:spacing w:after="0" w:line="99" w:lineRule="exact"/>
        <w:rPr>
          <w:sz w:val="20"/>
          <w:szCs w:val="20"/>
          <w:color w:val="auto"/>
        </w:rPr>
      </w:pPr>
    </w:p>
    <w:p>
      <w:pPr>
        <w:ind w:left="460" w:right="499" w:firstLine="432"/>
        <w:spacing w:after="0" w:line="284"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w:t>
      </w:r>
    </w:p>
    <w:p>
      <w:pPr>
        <w:spacing w:after="0" w:line="2" w:lineRule="exact"/>
        <w:rPr>
          <w:sz w:val="20"/>
          <w:szCs w:val="20"/>
          <w:color w:val="auto"/>
        </w:rPr>
      </w:pPr>
    </w:p>
    <w:p>
      <w:pPr>
        <w:ind w:left="460" w:right="579"/>
        <w:spacing w:after="0" w:line="252" w:lineRule="auto"/>
        <w:rPr>
          <w:sz w:val="20"/>
          <w:szCs w:val="20"/>
          <w:color w:val="auto"/>
        </w:rPr>
      </w:pPr>
      <w:r>
        <w:rPr>
          <w:rFonts w:ascii="Arial" w:cs="Arial" w:eastAsia="Arial" w:hAnsi="Arial"/>
          <w:sz w:val="18"/>
          <w:szCs w:val="18"/>
          <w:color w:val="auto"/>
        </w:rPr>
        <w:t>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194" w:lineRule="exact"/>
        <w:rPr>
          <w:sz w:val="20"/>
          <w:szCs w:val="20"/>
          <w:color w:val="auto"/>
        </w:rPr>
      </w:pPr>
    </w:p>
    <w:p>
      <w:pPr>
        <w:jc w:val="both"/>
        <w:ind w:left="460" w:right="659"/>
        <w:spacing w:after="0" w:line="263" w:lineRule="auto"/>
        <w:rPr>
          <w:sz w:val="20"/>
          <w:szCs w:val="20"/>
          <w:color w:val="auto"/>
        </w:rPr>
      </w:pPr>
      <w:r>
        <w:rPr>
          <w:rFonts w:ascii="Arial" w:cs="Arial" w:eastAsia="Arial" w:hAnsi="Arial"/>
          <w:sz w:val="18"/>
          <w:szCs w:val="18"/>
          <w:b w:val="1"/>
          <w:bCs w:val="1"/>
          <w:i w:val="1"/>
          <w:iCs w:val="1"/>
          <w:color w:val="auto"/>
        </w:rPr>
        <w:t>We may seek priority review designation for one or more of our other product candidates, but we might not receive such designation, and even if we do, such designation may not lead to a faster regulatory review or approval process.</w:t>
      </w:r>
    </w:p>
    <w:p>
      <w:pPr>
        <w:spacing w:after="0" w:line="103"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68" w:lineRule="exact"/>
        <w:rPr>
          <w:sz w:val="20"/>
          <w:szCs w:val="20"/>
          <w:color w:val="auto"/>
        </w:rPr>
      </w:pPr>
    </w:p>
    <w:p>
      <w:pPr>
        <w:jc w:val="both"/>
        <w:ind w:left="460" w:right="559"/>
        <w:spacing w:after="0" w:line="263" w:lineRule="auto"/>
        <w:rPr>
          <w:sz w:val="20"/>
          <w:szCs w:val="20"/>
          <w:color w:val="auto"/>
        </w:rPr>
      </w:pPr>
      <w:r>
        <w:rPr>
          <w:rFonts w:ascii="Arial" w:cs="Arial" w:eastAsia="Arial" w:hAnsi="Arial"/>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116" w:lineRule="exact"/>
        <w:rPr>
          <w:sz w:val="20"/>
          <w:szCs w:val="20"/>
          <w:color w:val="auto"/>
        </w:rPr>
      </w:pPr>
    </w:p>
    <w:p>
      <w:pPr>
        <w:ind w:left="460" w:right="1199" w:firstLine="432"/>
        <w:spacing w:after="0" w:line="291" w:lineRule="auto"/>
        <w:rPr>
          <w:sz w:val="20"/>
          <w:szCs w:val="20"/>
          <w:color w:val="auto"/>
        </w:rPr>
      </w:pPr>
      <w:r>
        <w:rPr>
          <w:rFonts w:ascii="Arial" w:cs="Arial" w:eastAsia="Arial" w:hAnsi="Arial"/>
          <w:sz w:val="16"/>
          <w:szCs w:val="16"/>
          <w:color w:val="auto"/>
        </w:rPr>
        <w:t>As part of our business strategy, we may seek orphan drug designation for certain of our product candidates, and we may be unsuccessful. Regulatory authorities in some jurisdictions, including the</w:t>
      </w:r>
    </w:p>
    <w:p>
      <w:pPr>
        <w:ind w:left="460" w:right="579"/>
        <w:spacing w:after="0" w:line="253" w:lineRule="auto"/>
        <w:rPr>
          <w:sz w:val="20"/>
          <w:szCs w:val="20"/>
          <w:color w:val="auto"/>
        </w:rPr>
      </w:pPr>
      <w:r>
        <w:rPr>
          <w:rFonts w:ascii="Arial" w:cs="Arial" w:eastAsia="Arial" w:hAnsi="Arial"/>
          <w:sz w:val="18"/>
          <w:szCs w:val="18"/>
          <w:color w:val="auto"/>
        </w:rPr>
        <w:t>United States and Europe, may designate drugs for relatively small patient populations as orphan drugs. Under the Orphan Drug Act, the FDA may designate a drug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w:t>
      </w:r>
    </w:p>
    <w:p>
      <w:pPr>
        <w:sectPr>
          <w:pgSz w:w="11900" w:h="16838" w:orient="portrait"/>
          <w:cols w:equalWidth="0" w:num="1">
            <w:col w:w="9019"/>
          </w:cols>
          <w:pgMar w:left="1440" w:top="274" w:right="1440"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6" w:name="page77"/>
    <w:bookmarkEnd w:id="7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639"/>
        <w:spacing w:after="0" w:line="263" w:lineRule="auto"/>
        <w:rPr>
          <w:sz w:val="20"/>
          <w:szCs w:val="20"/>
          <w:color w:val="auto"/>
        </w:rPr>
      </w:pPr>
      <w:r>
        <w:rPr>
          <w:rFonts w:ascii="Arial" w:cs="Arial" w:eastAsia="Arial" w:hAnsi="Arial"/>
          <w:sz w:val="18"/>
          <w:szCs w:val="18"/>
          <w:color w:val="auto"/>
        </w:rPr>
        <w:t>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16" w:lineRule="exact"/>
        <w:rPr>
          <w:sz w:val="20"/>
          <w:szCs w:val="20"/>
          <w:color w:val="auto"/>
        </w:rPr>
      </w:pPr>
    </w:p>
    <w:p>
      <w:pPr>
        <w:ind w:left="460" w:right="599" w:firstLine="432"/>
        <w:spacing w:after="0" w:line="269" w:lineRule="auto"/>
        <w:rPr>
          <w:sz w:val="20"/>
          <w:szCs w:val="20"/>
          <w:color w:val="auto"/>
        </w:rPr>
      </w:pPr>
      <w:r>
        <w:rPr>
          <w:rFonts w:ascii="Arial" w:cs="Arial" w:eastAsia="Arial" w:hAnsi="Arial"/>
          <w:sz w:val="17"/>
          <w:szCs w:val="17"/>
          <w:color w:val="auto"/>
        </w:rPr>
        <w:t>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w:t>
      </w:r>
    </w:p>
    <w:p>
      <w:pPr>
        <w:spacing w:after="0" w:line="118"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Generally, if a product with an orphan drug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Europe. The European exclusivity period can be reduced to six years if a product no longer meets the criteria for orphan drug designation or if the product is sufficiently profitable so that market exclusivity is no longer justified.</w:t>
      </w:r>
    </w:p>
    <w:p>
      <w:pPr>
        <w:spacing w:after="0" w:line="96"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Even if we obtain orphan drug exclusivity for one of our product candidates, that exclusivity may not effectively protect our product candidate from competition because different products can be approved for the same condition. Even after an orphan drug is approved, the FDA can subsequently approve the same product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182" w:lineRule="exact"/>
        <w:rPr>
          <w:sz w:val="20"/>
          <w:szCs w:val="20"/>
          <w:color w:val="auto"/>
        </w:rPr>
      </w:pPr>
    </w:p>
    <w:p>
      <w:pPr>
        <w:ind w:left="460" w:right="719"/>
        <w:spacing w:after="0" w:line="259" w:lineRule="auto"/>
        <w:rPr>
          <w:sz w:val="20"/>
          <w:szCs w:val="20"/>
          <w:color w:val="auto"/>
        </w:rPr>
      </w:pPr>
      <w:r>
        <w:rPr>
          <w:rFonts w:ascii="Arial" w:cs="Arial" w:eastAsia="Arial" w:hAnsi="Arial"/>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119"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ectPr>
          <w:pgSz w:w="11900" w:h="16838" w:orient="portrait"/>
          <w:cols w:equalWidth="0" w:num="1">
            <w:col w:w="9019"/>
          </w:cols>
          <w:pgMar w:left="1440" w:top="274" w:right="1440"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7" w:name="page78"/>
    <w:bookmarkEnd w:id="7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We may seek fast track designation for some of our product candidates. If a drug is intended for the treatment of a serious or life-threatening condition and the drug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1" w:lineRule="exact"/>
        <w:rPr>
          <w:sz w:val="20"/>
          <w:szCs w:val="20"/>
          <w:color w:val="auto"/>
        </w:rPr>
      </w:pPr>
    </w:p>
    <w:p>
      <w:pPr>
        <w:jc w:val="both"/>
        <w:ind w:left="460" w:right="739"/>
        <w:spacing w:after="0" w:line="286" w:lineRule="auto"/>
        <w:rPr>
          <w:sz w:val="20"/>
          <w:szCs w:val="20"/>
          <w:color w:val="auto"/>
        </w:rPr>
      </w:pPr>
      <w:r>
        <w:rPr>
          <w:rFonts w:ascii="Arial" w:cs="Arial" w:eastAsia="Arial" w:hAnsi="Arial"/>
          <w:sz w:val="17"/>
          <w:szCs w:val="17"/>
          <w:b w:val="1"/>
          <w:bCs w:val="1"/>
          <w:i w:val="1"/>
          <w:iCs w:val="1"/>
          <w:color w:val="auto"/>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9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receiving accelerated approval perform adequate and well-controlled post-marketing clinical trials. These confirmatory trials must be completed with due diligence. In addition, the FDA currently requires as a condition for accelerated approval pre-approval of promotional materials,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168" w:lineRule="exact"/>
        <w:rPr>
          <w:sz w:val="20"/>
          <w:szCs w:val="20"/>
          <w:color w:val="auto"/>
        </w:rPr>
      </w:pPr>
    </w:p>
    <w:p>
      <w:pPr>
        <w:ind w:left="460" w:right="499"/>
        <w:spacing w:after="0" w:line="263" w:lineRule="auto"/>
        <w:rPr>
          <w:sz w:val="20"/>
          <w:szCs w:val="20"/>
          <w:color w:val="auto"/>
        </w:rPr>
      </w:pPr>
      <w:r>
        <w:rPr>
          <w:rFonts w:ascii="Arial" w:cs="Arial" w:eastAsia="Arial" w:hAnsi="Arial"/>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116"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174" w:lineRule="exact"/>
        <w:rPr>
          <w:sz w:val="20"/>
          <w:szCs w:val="20"/>
          <w:color w:val="auto"/>
        </w:rPr>
      </w:pPr>
    </w:p>
    <w:p>
      <w:pPr>
        <w:ind w:left="460" w:right="559"/>
        <w:spacing w:after="0" w:line="32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5" w:lineRule="exact"/>
        <w:rPr>
          <w:sz w:val="20"/>
          <w:szCs w:val="20"/>
          <w:color w:val="auto"/>
        </w:rPr>
      </w:pPr>
    </w:p>
    <w:p>
      <w:pPr>
        <w:ind w:left="460" w:right="459" w:firstLine="432"/>
        <w:spacing w:after="0" w:line="25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8" w:name="page79"/>
    <w:bookmarkEnd w:id="7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spacing w:after="0" w:line="263" w:lineRule="auto"/>
        <w:rPr>
          <w:sz w:val="20"/>
          <w:szCs w:val="20"/>
          <w:color w:val="auto"/>
        </w:rPr>
      </w:pPr>
      <w:r>
        <w:rPr>
          <w:rFonts w:ascii="Arial" w:cs="Arial" w:eastAsia="Arial" w:hAnsi="Arial"/>
          <w:sz w:val="18"/>
          <w:szCs w:val="18"/>
          <w:color w:val="auto"/>
        </w:rPr>
        <w:t>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16"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98" w:lineRule="exact"/>
        <w:rPr>
          <w:sz w:val="20"/>
          <w:szCs w:val="20"/>
          <w:color w:val="auto"/>
        </w:rPr>
      </w:pPr>
    </w:p>
    <w:p>
      <w:pPr>
        <w:ind w:left="460" w:right="459" w:firstLine="432"/>
        <w:spacing w:after="0" w:line="283" w:lineRule="auto"/>
        <w:rPr>
          <w:sz w:val="20"/>
          <w:szCs w:val="20"/>
          <w:color w:val="auto"/>
        </w:rPr>
      </w:pPr>
      <w:r>
        <w:rPr>
          <w:rFonts w:ascii="Arial" w:cs="Arial" w:eastAsia="Arial" w:hAnsi="Arial"/>
          <w:sz w:val="16"/>
          <w:szCs w:val="16"/>
          <w:color w:val="auto"/>
        </w:rPr>
        <w:t>Separately, in response to the COVID-19 pandemic, on March 10, 2020, the FDA announced its intention to postpone most inspections of foreign manufacturing facilities and products while local, national and international conditions warrant. On March 18, 2020, the FDA announced its intention to temporarily postpone routine surveillance inspections of domestic manufacturing facilities and provided guidance regarding the conduct of clinical trials which the FDA continues to update. As of June 23, 2020, the FDA noted it was continuing to ensure timely reviews of applications for medical products during the COVID-19 pandemic in line with its user fee performance goals and conducting mission critical domestic and foreign inspections to ensure compliance of manufacturing facilities with FDA quality standards. On July 16, 2020, the FDA noted that it was continuing to expedite oncology product development with its staff teleworking full-time. However, the FDA may not be able to continue its current pace and review timelines could be extended, including where a pre-approval inspection or an inspection of clinical sites is required and due to the COVID-19 pandemic and travel restrictions, the FDA is unable to complete such required inspections during the review period. As of July 2020, utilizing a rating system to assist in determining when and where it is safest to conduct such inspections based on data about the virus’ trajectory in a given state and locality and the rules and guidelines that are put in place by state and local governments, FDA is either continuing to, on a case-by-case basis, conduct only mission critical inspections, or, where possible to do so safely, resuming prioritized domestic inspections, which generally include pre-approval inspections. Foreign pre-approval inspections that are not deemed mission-critical remain postponed, while those deemed mission-critical will be considered for inspection on a case-by-case basis. FDA will use similar data to inform resumption of prioritized operations abroad as it becomes feasible and advisable to do so. The FDA may not be able to maintain this pace and delays or setbacks are possible in the future. Should FDA determine that an inspection is necessary for approval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Additionally, regulatory authorities outside the U.S. may adopt similar restrictions or other policy measures in response to the COVID-19 pandemic and may experience delays in their regulatory activities. 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186" w:lineRule="exact"/>
        <w:rPr>
          <w:sz w:val="20"/>
          <w:szCs w:val="20"/>
          <w:color w:val="auto"/>
        </w:rPr>
      </w:pPr>
    </w:p>
    <w:p>
      <w:pPr>
        <w:ind w:left="460" w:right="779"/>
        <w:spacing w:after="0" w:line="277" w:lineRule="auto"/>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89" w:lineRule="exact"/>
        <w:rPr>
          <w:sz w:val="20"/>
          <w:szCs w:val="20"/>
          <w:color w:val="auto"/>
        </w:rPr>
      </w:pPr>
    </w:p>
    <w:p>
      <w:pPr>
        <w:ind w:left="460" w:right="579" w:firstLine="432"/>
        <w:spacing w:after="0" w:line="269" w:lineRule="auto"/>
        <w:rPr>
          <w:sz w:val="20"/>
          <w:szCs w:val="20"/>
          <w:color w:val="auto"/>
        </w:rPr>
      </w:pPr>
      <w:r>
        <w:rPr>
          <w:rFonts w:ascii="Arial" w:cs="Arial" w:eastAsia="Arial" w:hAnsi="Arial"/>
          <w:sz w:val="17"/>
          <w:szCs w:val="17"/>
          <w:color w:val="auto"/>
        </w:rPr>
        <w:t>The U.S. and many foreign jurisdictions have enacted or proposed legislative and regulatory changes affecting the healthcare system that could prevent or delay regulatory approval of our current or future product candidates, restrict or regulate post-approval activities and affect our ability to profitably sell a product for which we obtain regulatory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U.S., there have been and continue to be a number of legislative initiatives to contain healthcare costs. For example, in March 2010, the Patient Protection and Affordable Care Act, or the ACA, was passed, which substantially changed the way healthcare is financed by both governmental and private insurers, and significantly</w:t>
      </w:r>
    </w:p>
    <w:p>
      <w:pPr>
        <w:sectPr>
          <w:pgSz w:w="11900" w:h="16838" w:orient="portrait"/>
          <w:cols w:equalWidth="0" w:num="1">
            <w:col w:w="9019"/>
          </w:cols>
          <w:pgMar w:left="1440" w:top="274"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9" w:name="page80"/>
    <w:bookmarkEnd w:id="7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spacing w:after="0" w:line="287" w:lineRule="auto"/>
        <w:rPr>
          <w:sz w:val="20"/>
          <w:szCs w:val="20"/>
          <w:color w:val="auto"/>
        </w:rPr>
      </w:pPr>
      <w:r>
        <w:rPr>
          <w:rFonts w:ascii="Arial" w:cs="Arial" w:eastAsia="Arial" w:hAnsi="Arial"/>
          <w:sz w:val="16"/>
          <w:szCs w:val="16"/>
          <w:color w:val="auto"/>
        </w:rPr>
        <w:t>impacted the U.S.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(increased to 70%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Since then, the ACA risk adjustment program payment parameters have been updated annually.</w:t>
      </w:r>
    </w:p>
    <w:p>
      <w:pPr>
        <w:spacing w:after="0" w:line="104"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Since its enactment, there have been numerous judicial, administrative, executive, and legislative challenges to certain aspects of the ACA, and we expect there will be additional challenges and amendments to the ACA in the future. For example, various portions of the ACA are currently undergoing legal and constitutional challenges in the United States Supreme Court. Additionally, the former Trump Administration issued various Executive Orders which eliminated cost sharing subsidies and various provisions that would impose a fiscal burden on states or a cost, fee, tax, penalty or regulatory burden on individuals, healthcare providers, health insurers, or manufacturers of pharmaceuticals or medical devices and Congress introduced several pieces of legislation aimed at significantly revising or repealing the ACA. Litigation and legislation over the ACA are likely to continue, with unpredictable and uncertain results. We cannot predict what affect further changes to the ACA would have on our business, especially given the new administration.</w:t>
      </w:r>
    </w:p>
    <w:p>
      <w:pPr>
        <w:spacing w:after="0" w:line="101"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Further, on December 20, 2019, the Further Consolidated Appropriations Act (H.R. 1865) was signed into law, which repeals the Cadillac tax, the health insurance provider tax, and the medical device excise tax. It is impossible to determine whether similar taxes could be instated in the future. 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In December 2018,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Since then, the ACA risk adjustment program payment parameters have been updated annually. In addition, CMS has published a final rule, as of 2020, provided states with greater flexibility in setting benchmarks for insurers in the individual and small group marketplaces, which may have the effect of relaxing the essential health benefits required under the ACA for plans sold through such marketplaces.</w:t>
      </w:r>
    </w:p>
    <w:p>
      <w:pPr>
        <w:spacing w:after="0" w:line="105"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Other legislative changes have been proposed and adopted in the U.S.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and, due to subsequent legislative amendments, will remain in effect through 2030 unless additional Congressional action is taken. Pursuant to the Coronavirus Aid, Relief, and Economic Security Act, also known as the CARES Act, as well as subsequent legislation, these reductions have been suspended from May 1, 2020 through December 31, 2021 due to the COVID-19 pandemic. The American Taxpayer Relief Act of 2012 among other things,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19"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former administration’s budget for fiscal year 2021 includes a $135 billion allowance to support legislative proposals seeking to reduce drug prices, increase competition, lower out-of-pocket drug costs for patients, and increase patient access to lower-cost generic and biosimilar drugs. On March 10, 2020, the former administration sent “principles” for drug pricing to</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0" w:name="page81"/>
    <w:bookmarkEnd w:id="8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69" w:lineRule="auto"/>
        <w:rPr>
          <w:sz w:val="20"/>
          <w:szCs w:val="20"/>
          <w:color w:val="auto"/>
        </w:rPr>
      </w:pPr>
      <w:r>
        <w:rPr>
          <w:rFonts w:ascii="Arial" w:cs="Arial" w:eastAsia="Arial" w:hAnsi="Arial"/>
          <w:sz w:val="17"/>
          <w:szCs w:val="17"/>
          <w:color w:val="auto"/>
        </w:rPr>
        <w:t>Congress, calling for legislation that would, among other things, cap Medicare Part D beneficiary out-of-pocket pharmacy expenses, provide an option to cap Medicare Part D beneficiary monthly out-of-pocket expenses, and place limits on pharmaceutical price increases. Additionally, the former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product candidates paid by consumers. HHS has already started the process of soliciting feedback on some of these measures and, at the same time has already begun implementing others under its existing authority. For example, in May 2019, CMS issued a final rule to allow Medicare Advantage Plans the option of using step therapy, a type of prior authorization, for Part B drugs beginning January 1, 2020. However, it is unclear whether the Biden administration will challenge, reverse, revoke or otherwise modify these executive and administrative actions after January 20, 2021.</w:t>
      </w:r>
    </w:p>
    <w:p>
      <w:pPr>
        <w:spacing w:after="0" w:line="111" w:lineRule="exact"/>
        <w:rPr>
          <w:sz w:val="20"/>
          <w:szCs w:val="20"/>
          <w:color w:val="auto"/>
        </w:rPr>
      </w:pPr>
    </w:p>
    <w:p>
      <w:pPr>
        <w:ind w:left="460" w:right="479" w:firstLine="432"/>
        <w:spacing w:after="0" w:line="283" w:lineRule="auto"/>
        <w:rPr>
          <w:sz w:val="20"/>
          <w:szCs w:val="20"/>
          <w:color w:val="auto"/>
        </w:rPr>
      </w:pPr>
      <w:r>
        <w:rPr>
          <w:rFonts w:ascii="Arial" w:cs="Arial" w:eastAsia="Arial" w:hAnsi="Arial"/>
          <w:sz w:val="16"/>
          <w:szCs w:val="16"/>
          <w:color w:val="auto"/>
        </w:rPr>
        <w:t>In 2020, former President Trump announced several executive orders related to prescription drug pricing that sought to implement several of the former administration’s proposals.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would have applied to all U.S. states and territories for a seven-year period beginning January 1, 2021, and ending December 31, 2027. However, in response to a lawsuit filed by several industry groups, on December 28, the U.S. District Court for the Northern District of California issued a nationwide preliminary injunction enjoining government defendants from implementing the MFN Rule pending completion of notice-and-comment procedures under the Administrative Procedure Act. On January 13, 2021, in a separate lawsuit brought by industry groups in the U.S. District of Maryland, the government defendants entered a joint motion to stay litigation on the condition that the government would not appeal the preliminary injunction granted in the U.S. District Court for the Northern District of California and that performance for any final regulation stemming from the MFN Interim Final Rule shall not commence earlier than 60 days after publication of that regulation in the Federal Register. Further, authorities in Canada have passed rules designed to safeguard the Canadian drug supply from shortages. If implemented, importation of drugs from Canada and the MFN Model may materially and adversely affect the price we receive for any of our product candidates. Additionally,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an order entered by the U.S. District Court for the District of Columbia, the portion of the rule eliminating safe harbor protection for certain rebates related to the sale or purchase of a pharmaceutical product from a manufacturer to a plan sponsor under Medicare Part D has been delayed to January 1, 2023. Further, implementation of this change and new safe harbors for point-of-sale reductions in price for prescription pharmaceutical products and pharmacy benefit manager service fees are currently under review by the Biden administration and may be amended or repealed.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w:t>
      </w:r>
    </w:p>
    <w:p>
      <w:pPr>
        <w:spacing w:after="0" w:line="334" w:lineRule="exact"/>
        <w:rPr>
          <w:sz w:val="20"/>
          <w:szCs w:val="20"/>
          <w:color w:val="auto"/>
        </w:rPr>
      </w:pPr>
    </w:p>
    <w:p>
      <w:pPr>
        <w:ind w:left="460" w:right="659" w:firstLine="432"/>
        <w:spacing w:after="0" w:line="293" w:lineRule="auto"/>
        <w:rPr>
          <w:sz w:val="20"/>
          <w:szCs w:val="20"/>
          <w:color w:val="auto"/>
        </w:rPr>
      </w:pPr>
      <w:r>
        <w:rPr>
          <w:rFonts w:ascii="Arial" w:cs="Arial" w:eastAsia="Arial" w:hAnsi="Arial"/>
          <w:sz w:val="16"/>
          <w:szCs w:val="16"/>
          <w:color w:val="auto"/>
        </w:rPr>
        <w:t>Further, on May 30, 2018,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product candidates available to eligible patients as a result of the Right to Try Act.</w:t>
      </w:r>
    </w:p>
    <w:p>
      <w:pPr>
        <w:spacing w:after="0" w:line="83" w:lineRule="exact"/>
        <w:rPr>
          <w:sz w:val="20"/>
          <w:szCs w:val="20"/>
          <w:color w:val="auto"/>
        </w:rPr>
      </w:pPr>
    </w:p>
    <w:p>
      <w:pPr>
        <w:ind w:left="460" w:right="659" w:firstLine="432"/>
        <w:spacing w:after="0" w:line="301" w:lineRule="auto"/>
        <w:rPr>
          <w:sz w:val="20"/>
          <w:szCs w:val="20"/>
          <w:color w:val="auto"/>
        </w:rPr>
      </w:pPr>
      <w:r>
        <w:rPr>
          <w:rFonts w:ascii="Arial" w:cs="Arial" w:eastAsia="Arial" w:hAnsi="Arial"/>
          <w:sz w:val="16"/>
          <w:szCs w:val="16"/>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1" w:name="page82"/>
    <w:bookmarkEnd w:id="8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59" w:lineRule="auto"/>
        <w:rPr>
          <w:sz w:val="20"/>
          <w:szCs w:val="20"/>
          <w:color w:val="auto"/>
        </w:rPr>
      </w:pPr>
      <w:r>
        <w:rPr>
          <w:rFonts w:ascii="Arial" w:cs="Arial" w:eastAsia="Arial" w:hAnsi="Arial"/>
          <w:sz w:val="18"/>
          <w:szCs w:val="18"/>
          <w:color w:val="auto"/>
        </w:rPr>
        <w:t>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119"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120"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07"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125" w:lineRule="exact"/>
        <w:rPr>
          <w:sz w:val="20"/>
          <w:szCs w:val="20"/>
          <w:color w:val="auto"/>
        </w:rPr>
      </w:pPr>
    </w:p>
    <w:p>
      <w:pPr>
        <w:ind w:left="1300" w:hanging="414"/>
        <w:spacing w:after="0"/>
        <w:tabs>
          <w:tab w:leader="none" w:pos="1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demand for our current or future product candidates, if we obtain regulatory approval;</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58" w:lineRule="exact"/>
        <w:rPr>
          <w:sz w:val="20"/>
          <w:szCs w:val="20"/>
          <w:color w:val="auto"/>
        </w:rPr>
      </w:pPr>
    </w:p>
    <w:p>
      <w:pPr>
        <w:ind w:left="460" w:right="779" w:firstLine="432"/>
        <w:spacing w:after="0" w:line="308" w:lineRule="auto"/>
        <w:rPr>
          <w:sz w:val="20"/>
          <w:szCs w:val="20"/>
          <w:color w:val="auto"/>
        </w:rPr>
      </w:pPr>
      <w:r>
        <w:rPr>
          <w:rFonts w:ascii="Arial" w:cs="Arial" w:eastAsia="Arial" w:hAnsi="Arial"/>
          <w:sz w:val="17"/>
          <w:szCs w:val="17"/>
          <w:color w:val="auto"/>
        </w:rPr>
        <w:t>Any reduction in reimbursement from Medicare or other government programs may result in a similar reduction in payments from private payors, which may adversely affect our future profitability.</w:t>
      </w:r>
    </w:p>
    <w:p>
      <w:pPr>
        <w:spacing w:after="0" w:line="146" w:lineRule="exact"/>
        <w:rPr>
          <w:sz w:val="20"/>
          <w:szCs w:val="20"/>
          <w:color w:val="auto"/>
        </w:rPr>
      </w:pPr>
    </w:p>
    <w:p>
      <w:pPr>
        <w:ind w:left="460" w:right="759"/>
        <w:spacing w:after="0" w:line="259" w:lineRule="auto"/>
        <w:rPr>
          <w:sz w:val="20"/>
          <w:szCs w:val="20"/>
          <w:color w:val="auto"/>
        </w:rPr>
      </w:pPr>
      <w:r>
        <w:rPr>
          <w:rFonts w:ascii="Arial" w:cs="Arial" w:eastAsia="Arial" w:hAnsi="Arial"/>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19"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w:t>
      </w:r>
    </w:p>
    <w:p>
      <w:pPr>
        <w:spacing w:after="0" w:line="85" w:lineRule="exact"/>
        <w:rPr>
          <w:sz w:val="20"/>
          <w:szCs w:val="20"/>
          <w:color w:val="auto"/>
        </w:rPr>
      </w:pPr>
    </w:p>
    <w:p>
      <w:pPr>
        <w:ind w:left="1320" w:right="459" w:hanging="434"/>
        <w:spacing w:after="0" w:line="271" w:lineRule="auto"/>
        <w:tabs>
          <w:tab w:leader="none" w:pos="131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2" w:name="page83"/>
    <w:bookmarkEnd w:id="8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39"/>
        <w:spacing w:after="0" w:line="257" w:lineRule="auto"/>
        <w:rPr>
          <w:sz w:val="20"/>
          <w:szCs w:val="20"/>
          <w:color w:val="auto"/>
        </w:rPr>
      </w:pPr>
      <w:r>
        <w:rPr>
          <w:rFonts w:ascii="Arial" w:cs="Arial" w:eastAsia="Arial" w:hAnsi="Arial"/>
          <w:sz w:val="18"/>
          <w:szCs w:val="18"/>
          <w:color w:val="auto"/>
        </w:rPr>
        <w:t>of up to ten years, and exclusion from government healthcare programs.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120" w:lineRule="exact"/>
        <w:rPr>
          <w:sz w:val="20"/>
          <w:szCs w:val="20"/>
          <w:color w:val="auto"/>
        </w:rPr>
      </w:pPr>
    </w:p>
    <w:p>
      <w:pPr>
        <w:ind w:left="1320" w:right="559" w:hanging="434"/>
        <w:spacing w:after="0" w:line="269" w:lineRule="auto"/>
        <w:tabs>
          <w:tab w:leader="none" w:pos="131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federal civil and criminal false claims and civil monetary penalties laws, including the federal False Claims Act, or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False Claims Act;</w:t>
      </w:r>
    </w:p>
    <w:p>
      <w:pPr>
        <w:spacing w:after="0" w:line="117" w:lineRule="exact"/>
        <w:rPr>
          <w:rFonts w:ascii="Arial" w:cs="Arial" w:eastAsia="Arial" w:hAnsi="Arial"/>
          <w:sz w:val="17"/>
          <w:szCs w:val="17"/>
          <w:color w:val="auto"/>
        </w:rPr>
      </w:pPr>
    </w:p>
    <w:p>
      <w:pPr>
        <w:ind w:left="1320" w:right="499" w:hanging="434"/>
        <w:spacing w:after="0" w:line="254" w:lineRule="auto"/>
        <w:tabs>
          <w:tab w:leader="none" w:pos="131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13" w:lineRule="exact"/>
        <w:rPr>
          <w:rFonts w:ascii="Arial" w:cs="Arial" w:eastAsia="Arial" w:hAnsi="Arial"/>
          <w:sz w:val="18"/>
          <w:szCs w:val="18"/>
          <w:color w:val="auto"/>
        </w:rPr>
      </w:pPr>
    </w:p>
    <w:p>
      <w:pPr>
        <w:ind w:left="1320" w:right="479" w:hanging="434"/>
        <w:spacing w:after="0" w:line="290" w:lineRule="auto"/>
        <w:tabs>
          <w:tab w:leader="none" w:pos="1311"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federal physician payment transparency requirements, sometimes referred to as the “Sunshine Act” under the ACA, require manufacturers of drugs, devices, biologics and medical supplies that are reimbursable under Medicare, Medicaid, or the Children’s Health Insurance Program to report to HHS information related to transfers of value made to physicians (currently defined to include doctors, dentists, optometrists, podiatrists and chiropractors) and teaching hospitals, as well as ownership and investment interests of such physicians and their immediate family members. Effective January 1, 2022, these reporting obligations will extend to include transfers of value made to certain non-physician providers such as physician assistants and nurse practitioners;</w:t>
      </w:r>
    </w:p>
    <w:p>
      <w:pPr>
        <w:spacing w:after="0" w:line="97" w:lineRule="exact"/>
        <w:rPr>
          <w:rFonts w:ascii="Arial" w:cs="Arial" w:eastAsia="Arial" w:hAnsi="Arial"/>
          <w:sz w:val="16"/>
          <w:szCs w:val="16"/>
          <w:color w:val="auto"/>
        </w:rPr>
      </w:pPr>
    </w:p>
    <w:p>
      <w:pPr>
        <w:ind w:left="1320" w:right="459" w:hanging="434"/>
        <w:spacing w:after="0" w:line="288" w:lineRule="auto"/>
        <w:tabs>
          <w:tab w:leader="none" w:pos="1311" w:val="left"/>
        </w:tabs>
        <w:numPr>
          <w:ilvl w:val="0"/>
          <w:numId w:val="132"/>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its implementing regulations, impose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00" w:lineRule="exact"/>
        <w:rPr>
          <w:rFonts w:ascii="Arial" w:cs="Arial" w:eastAsia="Arial" w:hAnsi="Arial"/>
          <w:sz w:val="16"/>
          <w:szCs w:val="16"/>
          <w:color w:val="auto"/>
        </w:rPr>
      </w:pPr>
    </w:p>
    <w:p>
      <w:pPr>
        <w:ind w:left="1320" w:right="959" w:hanging="434"/>
        <w:spacing w:after="0" w:line="277" w:lineRule="auto"/>
        <w:tabs>
          <w:tab w:leader="none" w:pos="131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89" w:lineRule="exact"/>
        <w:rPr>
          <w:rFonts w:ascii="Arial" w:cs="Arial" w:eastAsia="Arial" w:hAnsi="Arial"/>
          <w:sz w:val="18"/>
          <w:szCs w:val="18"/>
          <w:color w:val="auto"/>
        </w:rPr>
      </w:pPr>
    </w:p>
    <w:p>
      <w:pPr>
        <w:ind w:left="1320" w:right="699" w:hanging="434"/>
        <w:spacing w:after="0" w:line="263" w:lineRule="auto"/>
        <w:tabs>
          <w:tab w:leader="none" w:pos="131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 and</w:t>
      </w:r>
    </w:p>
    <w:p>
      <w:pPr>
        <w:spacing w:after="0" w:line="116" w:lineRule="exact"/>
        <w:rPr>
          <w:rFonts w:ascii="Arial" w:cs="Arial" w:eastAsia="Arial" w:hAnsi="Arial"/>
          <w:sz w:val="18"/>
          <w:szCs w:val="18"/>
          <w:color w:val="auto"/>
        </w:rPr>
      </w:pPr>
    </w:p>
    <w:p>
      <w:pPr>
        <w:ind w:left="1320" w:right="479" w:hanging="434"/>
        <w:spacing w:after="0" w:line="289" w:lineRule="auto"/>
        <w:tabs>
          <w:tab w:leader="none" w:pos="1311"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Further, many state laws governing the privacy and security of health information in certain circumstances, differ from each other in significant ways and often are not preempted by HIPAA, thus complicating compliance efforts.</w:t>
      </w:r>
    </w:p>
    <w:p>
      <w:pPr>
        <w:sectPr>
          <w:pgSz w:w="11900" w:h="16838" w:orient="portrait"/>
          <w:cols w:equalWidth="0" w:num="1">
            <w:col w:w="9019"/>
          </w:cols>
          <w:pgMar w:left="1440" w:top="274" w:right="1440"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3" w:name="page84"/>
    <w:bookmarkEnd w:id="8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82" w:lineRule="exact"/>
        <w:rPr>
          <w:sz w:val="20"/>
          <w:szCs w:val="20"/>
          <w:color w:val="auto"/>
        </w:rPr>
      </w:pPr>
    </w:p>
    <w:p>
      <w:pPr>
        <w:ind w:left="460" w:right="599"/>
        <w:spacing w:after="0" w:line="381" w:lineRule="auto"/>
        <w:rPr>
          <w:sz w:val="20"/>
          <w:szCs w:val="20"/>
          <w:color w:val="auto"/>
        </w:rPr>
      </w:pPr>
      <w:r>
        <w:rPr>
          <w:rFonts w:ascii="Arial" w:cs="Arial" w:eastAsia="Arial" w:hAnsi="Arial"/>
          <w:sz w:val="15"/>
          <w:szCs w:val="15"/>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33" w:lineRule="exact"/>
        <w:rPr>
          <w:sz w:val="20"/>
          <w:szCs w:val="20"/>
          <w:color w:val="auto"/>
        </w:rPr>
      </w:pPr>
    </w:p>
    <w:p>
      <w:pPr>
        <w:ind w:left="460" w:right="639" w:firstLine="432"/>
        <w:spacing w:after="0" w:line="290"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98"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8" w:lineRule="exact"/>
        <w:rPr>
          <w:sz w:val="20"/>
          <w:szCs w:val="20"/>
          <w:color w:val="auto"/>
        </w:rPr>
      </w:pPr>
    </w:p>
    <w:p>
      <w:pPr>
        <w:ind w:left="460" w:right="599"/>
        <w:spacing w:after="0" w:line="293" w:lineRule="auto"/>
        <w:rPr>
          <w:sz w:val="20"/>
          <w:szCs w:val="20"/>
          <w:color w:val="auto"/>
        </w:rPr>
      </w:pPr>
      <w:r>
        <w:rPr>
          <w:rFonts w:ascii="Arial" w:cs="Arial" w:eastAsia="Arial" w:hAnsi="Arial"/>
          <w:sz w:val="16"/>
          <w:szCs w:val="16"/>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83"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14" w:lineRule="exact"/>
        <w:rPr>
          <w:sz w:val="20"/>
          <w:szCs w:val="20"/>
          <w:color w:val="auto"/>
        </w:rPr>
      </w:pPr>
    </w:p>
    <w:p>
      <w:pPr>
        <w:ind w:left="1320" w:right="699" w:hanging="434"/>
        <w:spacing w:after="0" w:line="277" w:lineRule="auto"/>
        <w:tabs>
          <w:tab w:leader="none" w:pos="131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02"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4" w:name="page85"/>
    <w:bookmarkEnd w:id="8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1119" w:hanging="434"/>
        <w:spacing w:after="0" w:line="342" w:lineRule="auto"/>
        <w:tabs>
          <w:tab w:leader="none" w:pos="1311" w:val="left"/>
        </w:tabs>
        <w:numPr>
          <w:ilvl w:val="0"/>
          <w:numId w:val="134"/>
        </w:numPr>
        <w:rPr>
          <w:rFonts w:ascii="Arial" w:cs="Arial" w:eastAsia="Arial" w:hAnsi="Arial"/>
          <w:sz w:val="16"/>
          <w:szCs w:val="16"/>
          <w:color w:val="auto"/>
        </w:rPr>
      </w:pPr>
      <w:r>
        <w:rPr>
          <w:rFonts w:ascii="Arial" w:cs="Arial" w:eastAsia="Arial" w:hAnsi="Arial"/>
          <w:sz w:val="16"/>
          <w:szCs w:val="16"/>
          <w:color w:val="auto"/>
        </w:rPr>
        <w:t>revisions to the labeling, including limitation on approved uses or the addition of additional warnings, contraindications or other safety information, including boxed warnings;</w:t>
      </w:r>
    </w:p>
    <w:p>
      <w:pPr>
        <w:spacing w:after="0" w:line="56" w:lineRule="exact"/>
        <w:rPr>
          <w:rFonts w:ascii="Arial" w:cs="Arial" w:eastAsia="Arial" w:hAnsi="Arial"/>
          <w:sz w:val="16"/>
          <w:szCs w:val="16"/>
          <w:color w:val="auto"/>
        </w:rPr>
      </w:pPr>
    </w:p>
    <w:p>
      <w:pPr>
        <w:ind w:left="1300" w:hanging="41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requirements to conduct additional post-market clinical trials to assess the safety of the product;</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clinical trial holds;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fines, warning letters or other regulatory enforcement action;</w:t>
      </w:r>
    </w:p>
    <w:p>
      <w:pPr>
        <w:spacing w:after="0" w:line="157" w:lineRule="exact"/>
        <w:rPr>
          <w:rFonts w:ascii="Arial" w:cs="Arial" w:eastAsia="Arial" w:hAnsi="Arial"/>
          <w:sz w:val="18"/>
          <w:szCs w:val="18"/>
          <w:color w:val="auto"/>
        </w:rPr>
      </w:pPr>
    </w:p>
    <w:p>
      <w:pPr>
        <w:ind w:left="1320" w:right="659" w:hanging="434"/>
        <w:spacing w:after="0" w:line="277" w:lineRule="auto"/>
        <w:tabs>
          <w:tab w:leader="none" w:pos="131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58"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61" w:lineRule="exact"/>
        <w:rPr>
          <w:sz w:val="20"/>
          <w:szCs w:val="20"/>
          <w:color w:val="auto"/>
        </w:rPr>
      </w:pPr>
    </w:p>
    <w:p>
      <w:pPr>
        <w:ind w:left="460" w:right="879"/>
        <w:spacing w:after="0" w:line="277" w:lineRule="auto"/>
        <w:rPr>
          <w:sz w:val="20"/>
          <w:szCs w:val="20"/>
          <w:color w:val="auto"/>
        </w:rPr>
      </w:pPr>
      <w:r>
        <w:rPr>
          <w:rFonts w:ascii="Arial" w:cs="Arial" w:eastAsia="Arial" w:hAnsi="Arial"/>
          <w:sz w:val="18"/>
          <w:szCs w:val="18"/>
          <w:b w:val="1"/>
          <w:bCs w:val="1"/>
          <w:i w:val="1"/>
          <w:iCs w:val="1"/>
          <w:color w:val="auto"/>
        </w:rPr>
        <w:t>European data collection is governed by restrictive regulations governing the use, processing and cross-border transfer of personal information.</w:t>
      </w:r>
    </w:p>
    <w:p>
      <w:pPr>
        <w:spacing w:after="0" w:line="89" w:lineRule="exact"/>
        <w:rPr>
          <w:sz w:val="20"/>
          <w:szCs w:val="20"/>
          <w:color w:val="auto"/>
        </w:rPr>
      </w:pPr>
    </w:p>
    <w:p>
      <w:pPr>
        <w:ind w:left="460" w:right="579" w:firstLine="432"/>
        <w:spacing w:after="0" w:line="269" w:lineRule="auto"/>
        <w:rPr>
          <w:sz w:val="20"/>
          <w:szCs w:val="20"/>
          <w:color w:val="auto"/>
        </w:rPr>
      </w:pPr>
      <w:r>
        <w:rPr>
          <w:rFonts w:ascii="Arial" w:cs="Arial" w:eastAsia="Arial" w:hAnsi="Arial"/>
          <w:sz w:val="17"/>
          <w:szCs w:val="17"/>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EU,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79" w:lineRule="exact"/>
        <w:rPr>
          <w:sz w:val="20"/>
          <w:szCs w:val="20"/>
          <w:color w:val="auto"/>
        </w:rPr>
      </w:pPr>
    </w:p>
    <w:p>
      <w:pPr>
        <w:ind w:left="460" w:right="659"/>
        <w:spacing w:after="0" w:line="263"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116"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w:t>
      </w:r>
    </w:p>
    <w:p>
      <w:pPr>
        <w:spacing w:after="0" w:line="4" w:lineRule="exact"/>
        <w:rPr>
          <w:sz w:val="20"/>
          <w:szCs w:val="20"/>
          <w:color w:val="auto"/>
        </w:rPr>
      </w:pPr>
    </w:p>
    <w:p>
      <w:pPr>
        <w:ind w:left="460" w:right="559"/>
        <w:spacing w:after="0" w:line="302" w:lineRule="auto"/>
        <w:rPr>
          <w:sz w:val="20"/>
          <w:szCs w:val="20"/>
          <w:color w:val="auto"/>
        </w:rPr>
      </w:pPr>
      <w:r>
        <w:rPr>
          <w:rFonts w:ascii="Arial" w:cs="Arial" w:eastAsia="Arial" w:hAnsi="Arial"/>
          <w:sz w:val="16"/>
          <w:szCs w:val="16"/>
          <w:color w:val="auto"/>
        </w:rPr>
        <w:t>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88"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5" w:name="page86"/>
    <w:bookmarkEnd w:id="8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firstLine="432"/>
        <w:spacing w:after="0" w:line="293" w:lineRule="auto"/>
        <w:rPr>
          <w:sz w:val="20"/>
          <w:szCs w:val="20"/>
          <w:color w:val="auto"/>
        </w:rPr>
      </w:pPr>
      <w:r>
        <w:rPr>
          <w:rFonts w:ascii="Arial" w:cs="Arial" w:eastAsia="Arial" w:hAnsi="Arial"/>
          <w:sz w:val="16"/>
          <w:szCs w:val="16"/>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97"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Employee Matters and Managing Growth</w:t>
      </w:r>
    </w:p>
    <w:p>
      <w:pPr>
        <w:spacing w:after="0" w:line="229" w:lineRule="exact"/>
        <w:rPr>
          <w:sz w:val="20"/>
          <w:szCs w:val="20"/>
          <w:color w:val="auto"/>
        </w:rPr>
      </w:pPr>
    </w:p>
    <w:p>
      <w:pPr>
        <w:ind w:left="460" w:right="659"/>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executives and experienced scientists and to attract, retain and motivate qualified personnel.</w:t>
      </w:r>
    </w:p>
    <w:p>
      <w:pPr>
        <w:spacing w:after="0" w:line="103"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We are highly dependent on many of our key employees and members of our executive management team as well as the other principal members of our management, scientific and clinical team.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85"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00"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In particular, we have experienced a very competitive hiring environment in Cambridge,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166" w:lineRule="exact"/>
        <w:rPr>
          <w:sz w:val="20"/>
          <w:szCs w:val="20"/>
          <w:color w:val="auto"/>
        </w:rPr>
      </w:pPr>
    </w:p>
    <w:p>
      <w:pPr>
        <w:ind w:left="460" w:right="479"/>
        <w:spacing w:after="0" w:line="263" w:lineRule="auto"/>
        <w:rPr>
          <w:sz w:val="20"/>
          <w:szCs w:val="20"/>
          <w:color w:val="auto"/>
        </w:rPr>
      </w:pPr>
      <w:r>
        <w:rPr>
          <w:rFonts w:ascii="Arial" w:cs="Arial" w:eastAsia="Arial" w:hAnsi="Arial"/>
          <w:sz w:val="18"/>
          <w:szCs w:val="18"/>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116"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A successful cyberattack could result in the theft or destruction of intellectual property, data, or other misappropriation of assets, or otherwise compromise our confidential or proprietary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6" w:name="page87"/>
    <w:bookmarkEnd w:id="8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86" w:lineRule="auto"/>
        <w:rPr>
          <w:sz w:val="20"/>
          <w:szCs w:val="20"/>
          <w:color w:val="auto"/>
        </w:rPr>
      </w:pPr>
      <w:r>
        <w:rPr>
          <w:rFonts w:ascii="Arial" w:cs="Arial" w:eastAsia="Arial" w:hAnsi="Arial"/>
          <w:sz w:val="16"/>
          <w:szCs w:val="16"/>
          <w:color w:val="auto"/>
        </w:rPr>
        <w:t>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100"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 By way of example, the California Consumer Privacy Act, or CCPA, which went into effect on January 1,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By way of example regarding foreign laws and regulations with respect to data privacy and security, the GDPR went into effect in the EU in May 2018 and introduces strict requirements for processing the personal data of EU data subjects. Companies that must comply with the GDPR face increased compliance obligations and risk, including more robust regulatory enforcement of data protection requirements and potential fines for noncompliance of up to €20 million or 4% of the annual global revenue of the noncompliant company, whichever is greater.</w:t>
      </w:r>
    </w:p>
    <w:p>
      <w:pPr>
        <w:spacing w:after="0" w:line="327" w:lineRule="exact"/>
        <w:rPr>
          <w:sz w:val="20"/>
          <w:szCs w:val="20"/>
          <w:color w:val="auto"/>
        </w:rPr>
      </w:pPr>
    </w:p>
    <w:p>
      <w:pPr>
        <w:ind w:left="460" w:right="519" w:firstLine="432"/>
        <w:spacing w:after="0" w:line="253" w:lineRule="auto"/>
        <w:rPr>
          <w:sz w:val="20"/>
          <w:szCs w:val="20"/>
          <w:color w:val="auto"/>
        </w:rPr>
      </w:pPr>
      <w:r>
        <w:rPr>
          <w:rFonts w:ascii="Arial" w:cs="Arial" w:eastAsia="Arial" w:hAnsi="Arial"/>
          <w:sz w:val="18"/>
          <w:szCs w:val="18"/>
          <w:color w:val="auto"/>
        </w:rPr>
        <w:t>If we or third-party CMOs,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96" w:lineRule="exact"/>
        <w:rPr>
          <w:sz w:val="20"/>
          <w:szCs w:val="20"/>
          <w:color w:val="auto"/>
        </w:rPr>
      </w:pPr>
    </w:p>
    <w:p>
      <w:pPr>
        <w:ind w:left="460" w:right="519"/>
        <w:spacing w:after="0" w:line="263"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03" w:lineRule="exact"/>
        <w:rPr>
          <w:sz w:val="20"/>
          <w:szCs w:val="20"/>
          <w:color w:val="auto"/>
        </w:rPr>
      </w:pPr>
    </w:p>
    <w:p>
      <w:pPr>
        <w:jc w:val="both"/>
        <w:ind w:left="460" w:right="539" w:firstLine="432"/>
        <w:spacing w:after="0" w:line="301" w:lineRule="auto"/>
        <w:rPr>
          <w:sz w:val="20"/>
          <w:szCs w:val="20"/>
          <w:color w:val="auto"/>
        </w:rPr>
      </w:pPr>
      <w:r>
        <w:rPr>
          <w:rFonts w:ascii="Arial" w:cs="Arial" w:eastAsia="Arial" w:hAnsi="Arial"/>
          <w:sz w:val="16"/>
          <w:szCs w:val="16"/>
          <w:color w:val="auto"/>
        </w:rPr>
        <w:t>As of March 30, 2021, we had 77 full-time employees. We expect to experience significant growth in the number of our employees and the scope of our operations, particularly as we function as a public company and in the areas of product development, regulatory affairs and, if any of our product candidates receives regulatory approval, sales, marketing and distribution. To manage our anticipated future growth, we must continue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7" w:name="page88"/>
    <w:bookmarkEnd w:id="8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55" w:lineRule="auto"/>
        <w:rPr>
          <w:sz w:val="20"/>
          <w:szCs w:val="20"/>
          <w:color w:val="auto"/>
        </w:rPr>
      </w:pPr>
      <w:r>
        <w:rPr>
          <w:rFonts w:ascii="Arial" w:cs="Arial" w:eastAsia="Arial" w:hAnsi="Arial"/>
          <w:sz w:val="18"/>
          <w:szCs w:val="18"/>
          <w:color w:val="auto"/>
        </w:rPr>
        <w:t>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25"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left="460" w:right="839"/>
        <w:spacing w:after="0" w:line="263" w:lineRule="auto"/>
        <w:rPr>
          <w:sz w:val="20"/>
          <w:szCs w:val="20"/>
          <w:color w:val="auto"/>
        </w:rPr>
      </w:pPr>
      <w:r>
        <w:rPr>
          <w:rFonts w:ascii="Arial" w:cs="Arial" w:eastAsia="Arial" w:hAnsi="Arial"/>
          <w:sz w:val="18"/>
          <w:szCs w:val="18"/>
          <w:b w:val="1"/>
          <w:bCs w:val="1"/>
          <w:i w:val="1"/>
          <w:iCs w:val="1"/>
          <w:color w:val="auto"/>
        </w:rPr>
        <w:t>The opinion of Canaccord Genuity, BCTG’s financial advisor, does not reflect changes in circumstances between April 13, 2021, the date Canaccord Genuity issued the opinion, and the closing of the Business Combination.</w:t>
      </w:r>
    </w:p>
    <w:p>
      <w:pPr>
        <w:spacing w:after="0" w:line="116"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BCTG’s financial advisor, Canaccord Genuity, rendered an opinion dated April 13, 2021, to BCTG’s Board that, as of such date, and subject to and based on the considerations referred to in its opinion the Base Purchase Price, as defined in and pursuant to the Merger Agreement, was fair, from a financial point of view, to Parent. The opinion was based on economic, market and other conditions in effect on, and the information made available to it as of, the date thereof.</w:t>
      </w:r>
    </w:p>
    <w:p>
      <w:pPr>
        <w:spacing w:after="0" w:line="107"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Changes in the operations and prospects of Tango, general market and economic conditions and other factors on which Canaccord Genuity’s opinion was based, may significantly alter the value of Tango at the time the Business Combination is completed. The opinion does not speak as of the time the Business Combination will be completed or as of any date other than the date of such opinion. For a description of the opinion issued by Canaccord Genuity to the Board, please see “</w:t>
      </w:r>
      <w:r>
        <w:rPr>
          <w:rFonts w:ascii="Arial" w:cs="Arial" w:eastAsia="Arial" w:hAnsi="Arial"/>
          <w:sz w:val="18"/>
          <w:szCs w:val="18"/>
          <w:i w:val="1"/>
          <w:iCs w:val="1"/>
          <w:color w:val="auto"/>
        </w:rPr>
        <w:t>Proposal No. 1: The Business Combination Proposal —</w:t>
      </w:r>
      <w:r>
        <w:rPr>
          <w:rFonts w:ascii="Arial" w:cs="Arial" w:eastAsia="Arial" w:hAnsi="Arial"/>
          <w:sz w:val="18"/>
          <w:szCs w:val="18"/>
          <w:color w:val="auto"/>
        </w:rPr>
        <w:t xml:space="preserve"> </w:t>
      </w:r>
      <w:r>
        <w:rPr>
          <w:rFonts w:ascii="Arial" w:cs="Arial" w:eastAsia="Arial" w:hAnsi="Arial"/>
          <w:sz w:val="18"/>
          <w:szCs w:val="18"/>
          <w:i w:val="1"/>
          <w:iCs w:val="1"/>
          <w:color w:val="auto"/>
        </w:rPr>
        <w:t>Opinion of BCTG’s Financial Advisor.</w:t>
      </w:r>
      <w:r>
        <w:rPr>
          <w:rFonts w:ascii="Arial" w:cs="Arial" w:eastAsia="Arial" w:hAnsi="Arial"/>
          <w:sz w:val="18"/>
          <w:szCs w:val="18"/>
          <w:color w:val="auto"/>
        </w:rPr>
        <w:t>”</w:t>
      </w:r>
    </w:p>
    <w:p>
      <w:pPr>
        <w:spacing w:after="0" w:line="192" w:lineRule="exact"/>
        <w:rPr>
          <w:sz w:val="20"/>
          <w:szCs w:val="20"/>
          <w:color w:val="auto"/>
        </w:rPr>
      </w:pPr>
    </w:p>
    <w:p>
      <w:pPr>
        <w:ind w:left="460" w:right="499"/>
        <w:spacing w:after="0" w:line="286" w:lineRule="auto"/>
        <w:rPr>
          <w:sz w:val="20"/>
          <w:szCs w:val="20"/>
          <w:color w:val="auto"/>
        </w:rPr>
      </w:pPr>
      <w:r>
        <w:rPr>
          <w:rFonts w:ascii="Arial" w:cs="Arial" w:eastAsia="Arial" w:hAnsi="Arial"/>
          <w:sz w:val="17"/>
          <w:szCs w:val="17"/>
          <w:b w:val="1"/>
          <w:bCs w:val="1"/>
          <w:i w:val="1"/>
          <w:iCs w:val="1"/>
          <w:color w:val="auto"/>
        </w:rPr>
        <w:t>Tango’s executive officers, directors, principal stockholders and their affiliates will continue to exercise significant control over New Tango after the Business Combination, which will limit your ability to influence corporate matters and could delay or prevent a change in corporate control.</w:t>
      </w:r>
    </w:p>
    <w:p>
      <w:pPr>
        <w:spacing w:after="0" w:line="98"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Immediately following the Business Combination, the existing holdings of Tango’s executive officers, directors, principal stockholders and their affiliates, including entities affiliated with Third Rock Ventures, Boxer Capital, Casdin Partners, Cormorant and Gilead, will represent beneficial ownership, in the aggregate, of approximately 57.9% of New Tango’s outstanding common stock. As a result, these stockholders, if they act together, will be able to influence our management and affairs and control the outcome of matters submitted to our stockholders for approval, including the election of directors and any sale, merger, consolidation, or sale of all or substantially all of our assets. These stockholders may have interests, with respect to their common stock, that are different from those of other investors and the concentration of voting power among these stockholders may have an adverse effect on the price of our common stock. In addition, this concentration of ownership might adversely affect the market price of our common stock by:</w:t>
      </w:r>
    </w:p>
    <w:p>
      <w:pPr>
        <w:spacing w:after="0" w:line="101" w:lineRule="exact"/>
        <w:rPr>
          <w:sz w:val="20"/>
          <w:szCs w:val="20"/>
          <w:color w:val="auto"/>
        </w:rPr>
      </w:pPr>
    </w:p>
    <w:p>
      <w:pPr>
        <w:ind w:left="1300" w:hanging="414"/>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57" w:lineRule="exact"/>
        <w:rPr>
          <w:rFonts w:ascii="Arial" w:cs="Arial" w:eastAsia="Arial" w:hAnsi="Arial"/>
          <w:sz w:val="18"/>
          <w:szCs w:val="18"/>
          <w:color w:val="auto"/>
        </w:rPr>
      </w:pPr>
    </w:p>
    <w:p>
      <w:pPr>
        <w:ind w:left="1320" w:right="919" w:hanging="434"/>
        <w:spacing w:after="0" w:line="277" w:lineRule="auto"/>
        <w:tabs>
          <w:tab w:leader="none" w:pos="131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8" w:name="page89"/>
    <w:bookmarkEnd w:id="8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99" w:firstLine="432"/>
        <w:spacing w:after="0" w:line="263" w:lineRule="auto"/>
        <w:rPr>
          <w:sz w:val="20"/>
          <w:szCs w:val="20"/>
          <w:color w:val="auto"/>
        </w:rPr>
      </w:pPr>
      <w:r>
        <w:rPr>
          <w:rFonts w:ascii="Arial" w:cs="Arial" w:eastAsia="Arial" w:hAnsi="Arial"/>
          <w:sz w:val="18"/>
          <w:szCs w:val="18"/>
          <w:color w:val="auto"/>
        </w:rPr>
        <w:t>See “Principal Stockholders” in this proxy statement/prospectus for more information regarding the ownership of our outstanding common stock by our executive officers, directors, principal stockholders and their affiliates.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ability to utilize our net operating loss carryforwards and certain other tax attributes may be limited.</w:t>
      </w:r>
    </w:p>
    <w:p>
      <w:pPr>
        <w:spacing w:after="0" w:line="181"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Under Section 382 of the Internal Revenue Code of 1986, as amended, or the Code, if a corporation undergoes an “ownership change” (generally defined as a greater than 50 percentage point change (by value) in the ownership of its equity over a three-year period), the corporation’s ability to use its pre-change net operating loss carryforwards and certain other pre-change tax attributes to offset its post-change income may be limited.</w:t>
      </w:r>
    </w:p>
    <w:p>
      <w:pPr>
        <w:spacing w:after="0" w:line="1" w:lineRule="exact"/>
        <w:rPr>
          <w:sz w:val="20"/>
          <w:szCs w:val="20"/>
          <w:color w:val="auto"/>
        </w:rPr>
      </w:pPr>
    </w:p>
    <w:p>
      <w:pPr>
        <w:ind w:left="460" w:right="459"/>
        <w:spacing w:after="0" w:line="267" w:lineRule="auto"/>
        <w:rPr>
          <w:sz w:val="20"/>
          <w:szCs w:val="20"/>
          <w:color w:val="auto"/>
        </w:rPr>
      </w:pPr>
      <w:r>
        <w:rPr>
          <w:rFonts w:ascii="Arial" w:cs="Arial" w:eastAsia="Arial" w:hAnsi="Arial"/>
          <w:sz w:val="17"/>
          <w:szCs w:val="17"/>
          <w:color w:val="auto"/>
        </w:rPr>
        <w:t>We have experienced such ownership changes in the past, and we may experience ownership changes in the future as a result of the Business Combination or subsequent shifts in our stock ownership, some of which are outside our control. As of December 31, 2020, we had federal net operating loss carryforwards of approximately $41.0 million, and our ability to utilize those net operating loss carryforwards could be limited by an “ownership change” as described above, which could result in increased tax liability to us. Furthermore, our ability to utilize our NOLs or credits is conditioned upon our attaining profitability and generating U.S. federal and state taxable income. As a result, the amount of the net operating loss and tax credit carryforwards presented in our consolidated financial statements could be limited and may expire unutilized. Federal net operating loss carryforwards generated in taxable years beginning after December 31, 2017 will not be subject to expiration. However, any such net operating loss carryforwards may only offset 80% of our annual taxable income in taxable years beginning after December 31, 2020.</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Comprehensive tax reform legislation could adversely affect our business and financial condition.</w:t>
      </w:r>
    </w:p>
    <w:p>
      <w:pPr>
        <w:spacing w:after="0" w:line="169"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For example, the TCJA was enacted in 2017 and made significant changes to corporate taxation, including the reduction of the corporate tax rate from a top marginal rate of 35% to a flat rate of 21%, the limitation of the tax deduction for net interest expense to 30% of adjusted taxable income (except for certain small businesses), the limitation of the deduction for net operating losses from taxable years beginning after December 31, 2017 to 80% of current year taxable income and the elimination of net operating loss carrybacks generated in taxable years ending after December 31, 2017 (though any such net operating losses may be carried forward indefinitely), and the modification or repeal of many business deductions and credits.</w:t>
      </w:r>
    </w:p>
    <w:p>
      <w:pPr>
        <w:spacing w:after="0" w:line="98"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Additionally, on March 27, 2020, former President Trump signed into law the Coronavirus Aid, Relief, and Economic Security Act, which, among other things, suspends the 80% limitation on the deduction for net operating losses in taxable years beginning before January 1, 2021, permits a 5-year carryback of net operating losses arising in taxable years beginning after December 31, 2017 and before January 1, 2021, and generally caps the limitation on the deduction for net interest expense at 50% of adjusted taxable income for taxable years beginning in 2019 and 2020.</w:t>
      </w:r>
    </w:p>
    <w:p>
      <w:pPr>
        <w:spacing w:after="0" w:line="125"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It cannot be predicted whether, when, in what form, or with what effective dates, new tax laws may be enacted, or regulations and rulings may be promulgated or issued under existing or new tax laws, which could result in an increase in our or our shareholders’ tax liability or require changes in the manner in which we operate in order to minimize or mitigate any adverse effects of changes in tax law or in the interpretation thereof.</w:t>
      </w:r>
    </w:p>
    <w:p>
      <w:pPr>
        <w:spacing w:after="0" w:line="188" w:lineRule="exact"/>
        <w:rPr>
          <w:sz w:val="20"/>
          <w:szCs w:val="20"/>
          <w:color w:val="auto"/>
        </w:rPr>
      </w:pPr>
    </w:p>
    <w:p>
      <w:pPr>
        <w:jc w:val="both"/>
        <w:ind w:left="460" w:right="499"/>
        <w:spacing w:after="0" w:line="263"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16" w:lineRule="exact"/>
        <w:rPr>
          <w:sz w:val="20"/>
          <w:szCs w:val="20"/>
          <w:color w:val="auto"/>
        </w:rPr>
      </w:pPr>
    </w:p>
    <w:p>
      <w:pPr>
        <w:ind w:left="460" w:right="779" w:firstLine="432"/>
        <w:spacing w:after="0" w:line="263" w:lineRule="auto"/>
        <w:rPr>
          <w:sz w:val="20"/>
          <w:szCs w:val="20"/>
          <w:color w:val="auto"/>
        </w:rPr>
      </w:pPr>
      <w:r>
        <w:rPr>
          <w:rFonts w:ascii="Arial" w:cs="Arial" w:eastAsia="Arial" w:hAnsi="Arial"/>
          <w:sz w:val="18"/>
          <w:szCs w:val="18"/>
          <w:color w:val="auto"/>
        </w:rPr>
        <w:t>The Proposed Charter and the amended and restated bylaws, contain provisions that could delay or prevent a change of control of our company or changes in our board of directors that our stockholders might consider favorable. Some of these provisions include:</w:t>
      </w:r>
    </w:p>
    <w:p>
      <w:pPr>
        <w:spacing w:after="0" w:line="103" w:lineRule="exact"/>
        <w:rPr>
          <w:sz w:val="20"/>
          <w:szCs w:val="20"/>
          <w:color w:val="auto"/>
        </w:rPr>
      </w:pPr>
    </w:p>
    <w:p>
      <w:pPr>
        <w:ind w:left="1320" w:right="679" w:hanging="434"/>
        <w:spacing w:after="0" w:line="277" w:lineRule="auto"/>
        <w:tabs>
          <w:tab w:leader="none" w:pos="131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9" w:name="page90"/>
    <w:bookmarkEnd w:id="8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859" w:hanging="434"/>
        <w:spacing w:after="0" w:line="277" w:lineRule="auto"/>
        <w:tabs>
          <w:tab w:leader="none" w:pos="131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102" w:lineRule="exact"/>
        <w:rPr>
          <w:rFonts w:ascii="Arial" w:cs="Arial" w:eastAsia="Arial" w:hAnsi="Arial"/>
          <w:sz w:val="18"/>
          <w:szCs w:val="18"/>
          <w:color w:val="auto"/>
        </w:rPr>
      </w:pPr>
    </w:p>
    <w:p>
      <w:pPr>
        <w:jc w:val="both"/>
        <w:ind w:left="1320" w:right="479" w:hanging="434"/>
        <w:spacing w:after="0" w:line="311" w:lineRule="auto"/>
        <w:tabs>
          <w:tab w:leader="none" w:pos="1311"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 requirement that special meetings of the stockholders may be called only by the board of directors acting pursuant to a resolution approved by the affirmative vote of a majority of the directors then in office, and special meetings of stockholders may not be called by any other person or persons;</w:t>
      </w:r>
    </w:p>
    <w:p>
      <w:pPr>
        <w:spacing w:after="0" w:line="81" w:lineRule="exact"/>
        <w:rPr>
          <w:rFonts w:ascii="Arial" w:cs="Arial" w:eastAsia="Arial" w:hAnsi="Arial"/>
          <w:sz w:val="16"/>
          <w:szCs w:val="16"/>
          <w:color w:val="auto"/>
        </w:rPr>
      </w:pPr>
    </w:p>
    <w:p>
      <w:pPr>
        <w:ind w:left="1320" w:right="559" w:hanging="434"/>
        <w:spacing w:after="0" w:line="277" w:lineRule="auto"/>
        <w:tabs>
          <w:tab w:leader="none" w:pos="131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89" w:lineRule="exact"/>
        <w:rPr>
          <w:rFonts w:ascii="Arial" w:cs="Arial" w:eastAsia="Arial" w:hAnsi="Arial"/>
          <w:sz w:val="18"/>
          <w:szCs w:val="18"/>
          <w:color w:val="auto"/>
        </w:rPr>
      </w:pPr>
    </w:p>
    <w:p>
      <w:pPr>
        <w:ind w:left="1320" w:right="599" w:hanging="434"/>
        <w:spacing w:after="0" w:line="259" w:lineRule="auto"/>
        <w:tabs>
          <w:tab w:leader="none" w:pos="131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66 2/3% of all outstanding shares of our voting stock then entitled to vote in the election of directors;</w:t>
      </w:r>
    </w:p>
    <w:p>
      <w:pPr>
        <w:spacing w:after="0" w:line="119" w:lineRule="exact"/>
        <w:rPr>
          <w:rFonts w:ascii="Arial" w:cs="Arial" w:eastAsia="Arial" w:hAnsi="Arial"/>
          <w:sz w:val="18"/>
          <w:szCs w:val="18"/>
          <w:color w:val="auto"/>
        </w:rPr>
      </w:pPr>
    </w:p>
    <w:p>
      <w:pPr>
        <w:jc w:val="both"/>
        <w:ind w:left="1320" w:right="539" w:hanging="434"/>
        <w:spacing w:after="0" w:line="286" w:lineRule="auto"/>
        <w:tabs>
          <w:tab w:leader="none" w:pos="1311"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 requirement of approval of not less than a majority of all outstanding shares of our voting stock to amend any bylaws by stockholder action and not less than 66 2/3% of all outstanding shares of our voting stock to amend specific provisions of our certificate of incorporation; and</w:t>
      </w:r>
    </w:p>
    <w:p>
      <w:pPr>
        <w:spacing w:after="0" w:line="97" w:lineRule="exact"/>
        <w:rPr>
          <w:rFonts w:ascii="Arial" w:cs="Arial" w:eastAsia="Arial" w:hAnsi="Arial"/>
          <w:sz w:val="17"/>
          <w:szCs w:val="17"/>
          <w:color w:val="auto"/>
        </w:rPr>
      </w:pPr>
    </w:p>
    <w:p>
      <w:pPr>
        <w:ind w:left="1320" w:right="639" w:hanging="434"/>
        <w:spacing w:after="0" w:line="263" w:lineRule="auto"/>
        <w:tabs>
          <w:tab w:leader="none" w:pos="131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which preferred stock may include rights superior to the rights of the holders of common stock.</w:t>
      </w:r>
    </w:p>
    <w:p>
      <w:pPr>
        <w:spacing w:after="0" w:line="103"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These anti-takeover provisions and other provisions in the Proposed Charter and the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66" w:lineRule="exact"/>
        <w:rPr>
          <w:sz w:val="20"/>
          <w:szCs w:val="20"/>
          <w:color w:val="auto"/>
        </w:rPr>
      </w:pPr>
    </w:p>
    <w:p>
      <w:pPr>
        <w:jc w:val="both"/>
        <w:ind w:left="460" w:right="579"/>
        <w:spacing w:after="0" w:line="263" w:lineRule="auto"/>
        <w:rPr>
          <w:sz w:val="20"/>
          <w:szCs w:val="20"/>
          <w:color w:val="auto"/>
        </w:rPr>
      </w:pPr>
      <w:r>
        <w:rPr>
          <w:rFonts w:ascii="Arial" w:cs="Arial" w:eastAsia="Arial" w:hAnsi="Arial"/>
          <w:sz w:val="18"/>
          <w:szCs w:val="18"/>
          <w:b w:val="1"/>
          <w:bCs w:val="1"/>
          <w:i w:val="1"/>
          <w:iCs w:val="1"/>
          <w:color w:val="auto"/>
        </w:rPr>
        <w:t>Our bylaws designate specific courts in as the exclusive forum for certain litigation that may be initiated by the Company’s stockholders, which could limit our stockholders’ ability to obtain a favorable judicial forum for disputes with us.</w:t>
      </w:r>
    </w:p>
    <w:p>
      <w:pPr>
        <w:spacing w:after="0" w:line="116"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Pursuant to our bylaws, unless we consent in writing to the selection of an alternative forum, the Court of Chancery of the State of Delaware is the sole and exclusive forum for state law claims for (1) any derivative action or proceeding brought on our behalf; (2) any action asserting a claim of breach of a fiduciary duty owed by any of our directors, officers, or other employees to us or our stockholders; (3) any action asserting a claim arising pursuant to any provision of the DGCL or our certificate of incorporation or bylaws (including the interpretation, validity or enforceability thereof); or (4) any action asserting a claim governed by the internal affairs doctrine (the “</w:t>
      </w:r>
      <w:r>
        <w:rPr>
          <w:rFonts w:ascii="Arial" w:cs="Arial" w:eastAsia="Arial" w:hAnsi="Arial"/>
          <w:sz w:val="16"/>
          <w:szCs w:val="16"/>
          <w:b w:val="1"/>
          <w:bCs w:val="1"/>
          <w:color w:val="auto"/>
        </w:rPr>
        <w:t>Delaware Forum Provision</w:t>
      </w:r>
      <w:r>
        <w:rPr>
          <w:rFonts w:ascii="Arial" w:cs="Arial" w:eastAsia="Arial" w:hAnsi="Arial"/>
          <w:sz w:val="16"/>
          <w:szCs w:val="16"/>
          <w:color w:val="auto"/>
        </w:rPr>
        <w:t>”). The Delaware Forum Provision will not apply to any causes of action arising under the Securities Act or the Exchange Act. The amended and restated bylaws further provide that unless we consent in writing to the selection of an alternative forum, the federal district courts of the United States shall be the sole and exclusive forum for resolving any complaint asserting a cause of action arising under the Securities Act (the “</w:t>
      </w:r>
      <w:r>
        <w:rPr>
          <w:rFonts w:ascii="Arial" w:cs="Arial" w:eastAsia="Arial" w:hAnsi="Arial"/>
          <w:sz w:val="16"/>
          <w:szCs w:val="16"/>
          <w:b w:val="1"/>
          <w:bCs w:val="1"/>
          <w:color w:val="auto"/>
        </w:rPr>
        <w:t>Federal Forum Provision</w:t>
      </w:r>
      <w:r>
        <w:rPr>
          <w:rFonts w:ascii="Arial" w:cs="Arial" w:eastAsia="Arial" w:hAnsi="Arial"/>
          <w:sz w:val="16"/>
          <w:szCs w:val="16"/>
          <w:color w:val="auto"/>
        </w:rPr>
        <w:t>”). In addition, the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00"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The Delaware Forum Provision and the Federal Forum Provision in our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0" w:name="page91"/>
    <w:bookmarkEnd w:id="9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71" w:lineRule="auto"/>
        <w:rPr>
          <w:sz w:val="20"/>
          <w:szCs w:val="20"/>
          <w:color w:val="auto"/>
        </w:rPr>
      </w:pPr>
      <w:r>
        <w:rPr>
          <w:rFonts w:ascii="Arial" w:cs="Arial" w:eastAsia="Arial" w:hAnsi="Arial"/>
          <w:sz w:val="17"/>
          <w:szCs w:val="17"/>
          <w:color w:val="auto"/>
        </w:rPr>
        <w:t>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78" w:lineRule="exact"/>
        <w:rPr>
          <w:sz w:val="20"/>
          <w:szCs w:val="20"/>
          <w:color w:val="auto"/>
        </w:rPr>
      </w:pPr>
    </w:p>
    <w:p>
      <w:pPr>
        <w:ind w:left="460" w:right="519"/>
        <w:spacing w:after="0" w:line="308" w:lineRule="auto"/>
        <w:rPr>
          <w:sz w:val="20"/>
          <w:szCs w:val="20"/>
          <w:color w:val="auto"/>
        </w:rPr>
      </w:pPr>
      <w:r>
        <w:rPr>
          <w:rFonts w:ascii="Arial" w:cs="Arial" w:eastAsia="Arial" w:hAnsi="Arial"/>
          <w:sz w:val="17"/>
          <w:szCs w:val="17"/>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79"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86" w:lineRule="exact"/>
        <w:rPr>
          <w:sz w:val="20"/>
          <w:szCs w:val="20"/>
          <w:color w:val="auto"/>
        </w:rPr>
      </w:pPr>
    </w:p>
    <w:p>
      <w:pPr>
        <w:ind w:left="460" w:right="499"/>
        <w:spacing w:after="0" w:line="277" w:lineRule="auto"/>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03"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 xml:space="preserve">Our results of operations could be adversely affected by general conditions in the global economy and in the global financial markets. For example, in 2008, the global financial crisis caused extreme volatility and disruptions in the capital and credit markets and the current COVID-19 pandemic has caused significant volatility and uncertainty in U.S. and international markets. See “Risks Related to the Development of our Targeted Oncology and Other Programs and Product Candidates </w:t>
      </w:r>
      <w:r>
        <w:rPr>
          <w:rFonts w:ascii="Arial" w:cs="Arial" w:eastAsia="Arial" w:hAnsi="Arial"/>
          <w:sz w:val="17"/>
          <w:szCs w:val="17"/>
          <w:i w:val="1"/>
          <w:iCs w:val="1"/>
          <w:color w:val="auto"/>
        </w:rPr>
        <w:t>—</w:t>
      </w:r>
      <w:r>
        <w:rPr>
          <w:rFonts w:ascii="Arial" w:cs="Arial" w:eastAsia="Arial" w:hAnsi="Arial"/>
          <w:sz w:val="17"/>
          <w:szCs w:val="17"/>
          <w:color w:val="auto"/>
        </w:rPr>
        <w:t xml:space="preserve"> The COVID-19 pandemic, or a similar pandemic, epidemic, or outbreak of an infectious disease may materially and adversely affect our business and our financial results and could cause a disruption to the development of our product candidates.”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86" w:lineRule="exact"/>
        <w:rPr>
          <w:sz w:val="20"/>
          <w:szCs w:val="20"/>
          <w:color w:val="auto"/>
        </w:rPr>
      </w:pPr>
    </w:p>
    <w:p>
      <w:pPr>
        <w:ind w:left="460" w:right="579"/>
        <w:spacing w:after="0" w:line="381" w:lineRule="auto"/>
        <w:rPr>
          <w:sz w:val="20"/>
          <w:szCs w:val="20"/>
          <w:color w:val="auto"/>
        </w:rPr>
      </w:pPr>
      <w:r>
        <w:rPr>
          <w:rFonts w:ascii="Arial" w:cs="Arial" w:eastAsia="Arial" w:hAnsi="Arial"/>
          <w:sz w:val="15"/>
          <w:szCs w:val="15"/>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9"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1" w:name="page92"/>
    <w:bookmarkEnd w:id="9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spacing w:after="0" w:line="268" w:lineRule="auto"/>
        <w:rPr>
          <w:sz w:val="20"/>
          <w:szCs w:val="20"/>
          <w:color w:val="auto"/>
        </w:rPr>
      </w:pPr>
      <w:r>
        <w:rPr>
          <w:rFonts w:ascii="Arial" w:cs="Arial" w:eastAsia="Arial" w:hAnsi="Arial"/>
          <w:sz w:val="17"/>
          <w:szCs w:val="17"/>
          <w:color w:val="auto"/>
        </w:rPr>
        <w:t>trials, which could result in regulatory sanctions and cause serious harm to our reputation. We intend to adopt, prior to the completion of the Business Combination,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6" w:lineRule="exact"/>
        <w:rPr>
          <w:sz w:val="20"/>
          <w:szCs w:val="20"/>
          <w:color w:val="auto"/>
        </w:rPr>
      </w:pPr>
    </w:p>
    <w:p>
      <w:pPr>
        <w:ind w:left="460" w:right="879"/>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develop, and you may not be able to resell your shares at the price you paid.</w:t>
      </w:r>
    </w:p>
    <w:p>
      <w:pPr>
        <w:spacing w:after="0" w:line="103"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Prior to the Business Combination, there has been no public market for shares of Tango common stock. Although we anticipate that our common stock will be approved for listing on The Nasdaq Global Market, or Nasdaq, an active trading market for our shares may never develop or be sustained following the Closing. In the absence of an active trading market for our common stock, investors may be unable to sell their shares.</w:t>
      </w:r>
    </w:p>
    <w:p>
      <w:pPr>
        <w:spacing w:after="0" w:line="157"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03" w:lineRule="exact"/>
        <w:rPr>
          <w:sz w:val="20"/>
          <w:szCs w:val="20"/>
          <w:color w:val="auto"/>
        </w:rPr>
      </w:pPr>
    </w:p>
    <w:p>
      <w:pPr>
        <w:ind w:left="460" w:right="539" w:firstLine="432"/>
        <w:spacing w:after="0" w:line="279"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71" w:lineRule="exact"/>
        <w:rPr>
          <w:sz w:val="20"/>
          <w:szCs w:val="20"/>
          <w:color w:val="auto"/>
        </w:rPr>
      </w:pPr>
    </w:p>
    <w:p>
      <w:pPr>
        <w:ind w:left="460" w:right="579"/>
        <w:spacing w:after="0" w:line="277"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w:t>
      </w:r>
    </w:p>
    <w:p>
      <w:pPr>
        <w:spacing w:after="0" w:line="89"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Our stock price is likely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The market price for our common stock may be influenced by many factors, including:</w:t>
      </w:r>
    </w:p>
    <w:p>
      <w:pPr>
        <w:spacing w:after="0" w:line="90" w:lineRule="exact"/>
        <w:rPr>
          <w:sz w:val="20"/>
          <w:szCs w:val="20"/>
          <w:color w:val="auto"/>
        </w:rPr>
      </w:pPr>
    </w:p>
    <w:p>
      <w:pPr>
        <w:ind w:left="1300" w:hanging="414"/>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57" w:lineRule="exact"/>
        <w:rPr>
          <w:rFonts w:ascii="Arial" w:cs="Arial" w:eastAsia="Arial" w:hAnsi="Arial"/>
          <w:sz w:val="18"/>
          <w:szCs w:val="18"/>
          <w:color w:val="auto"/>
        </w:rPr>
      </w:pPr>
    </w:p>
    <w:p>
      <w:pPr>
        <w:ind w:left="1320" w:right="839" w:hanging="434"/>
        <w:spacing w:after="0" w:line="277" w:lineRule="auto"/>
        <w:tabs>
          <w:tab w:leader="none" w:pos="131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advancement of our preclinical programs, such as our targeted oncology programs, into clinical testing;</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developments or disputes concerning patent applications, issued patents or other proprietary rights;</w:t>
      </w:r>
    </w:p>
    <w:p>
      <w:pPr>
        <w:spacing w:after="0" w:line="167" w:lineRule="exact"/>
        <w:rPr>
          <w:rFonts w:ascii="Arial" w:cs="Arial" w:eastAsia="Arial" w:hAnsi="Arial"/>
          <w:sz w:val="16"/>
          <w:szCs w:val="16"/>
          <w:color w:val="auto"/>
        </w:rPr>
      </w:pPr>
    </w:p>
    <w:p>
      <w:pPr>
        <w:ind w:left="1300" w:hanging="414"/>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57" w:lineRule="exact"/>
        <w:rPr>
          <w:rFonts w:ascii="Arial" w:cs="Arial" w:eastAsia="Arial" w:hAnsi="Arial"/>
          <w:sz w:val="18"/>
          <w:szCs w:val="18"/>
          <w:color w:val="auto"/>
        </w:rPr>
      </w:pPr>
    </w:p>
    <w:p>
      <w:pPr>
        <w:ind w:left="1320" w:right="979" w:hanging="434"/>
        <w:spacing w:after="0" w:line="277" w:lineRule="auto"/>
        <w:tabs>
          <w:tab w:leader="none" w:pos="131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level of expenses related to any of our programs and product candidates or preclinical and clinical development programs;</w:t>
      </w:r>
    </w:p>
    <w:p>
      <w:pPr>
        <w:spacing w:after="0" w:line="102" w:lineRule="exact"/>
        <w:rPr>
          <w:rFonts w:ascii="Arial" w:cs="Arial" w:eastAsia="Arial" w:hAnsi="Arial"/>
          <w:sz w:val="18"/>
          <w:szCs w:val="18"/>
          <w:color w:val="auto"/>
        </w:rPr>
      </w:pPr>
    </w:p>
    <w:p>
      <w:pPr>
        <w:ind w:left="1320" w:right="579" w:hanging="434"/>
        <w:spacing w:after="0" w:line="277" w:lineRule="auto"/>
        <w:tabs>
          <w:tab w:leader="none" w:pos="131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2" w:name="page93"/>
    <w:bookmarkEnd w:id="9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1239" w:hanging="434"/>
        <w:spacing w:after="0" w:line="277" w:lineRule="auto"/>
        <w:tabs>
          <w:tab w:leader="none" w:pos="131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left="460" w:right="899"/>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89"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13"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58" w:lineRule="exact"/>
        <w:rPr>
          <w:sz w:val="20"/>
          <w:szCs w:val="20"/>
          <w:color w:val="auto"/>
        </w:rPr>
      </w:pPr>
    </w:p>
    <w:p>
      <w:pPr>
        <w:ind w:left="460" w:right="559" w:firstLine="432"/>
        <w:spacing w:after="0" w:line="287" w:lineRule="auto"/>
        <w:rPr>
          <w:sz w:val="20"/>
          <w:szCs w:val="20"/>
          <w:color w:val="auto"/>
        </w:rPr>
      </w:pPr>
      <w:r>
        <w:rPr>
          <w:rFonts w:ascii="Arial" w:cs="Arial" w:eastAsia="Arial" w:hAnsi="Arial"/>
          <w:sz w:val="16"/>
          <w:szCs w:val="16"/>
          <w:color w:val="auto"/>
        </w:rPr>
        <w:t>We are subject to the periodic reporting requirements of the Securities Exchange Act of 1934, or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3" w:name="page94"/>
    <w:bookmarkEnd w:id="9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1059"/>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89"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subject to securities litigation, which is expensive and could divert management attention.</w:t>
      </w:r>
    </w:p>
    <w:p>
      <w:pPr>
        <w:spacing w:after="0" w:line="181"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BCTG and the Business Combination</w:t>
      </w:r>
    </w:p>
    <w:p>
      <w:pPr>
        <w:spacing w:after="0" w:line="229" w:lineRule="exact"/>
        <w:rPr>
          <w:sz w:val="20"/>
          <w:szCs w:val="20"/>
          <w:color w:val="auto"/>
        </w:rPr>
      </w:pPr>
    </w:p>
    <w:p>
      <w:pPr>
        <w:ind w:left="460" w:right="1099"/>
        <w:spacing w:after="0" w:line="279" w:lineRule="auto"/>
        <w:rPr>
          <w:sz w:val="20"/>
          <w:szCs w:val="20"/>
          <w:color w:val="auto"/>
        </w:rPr>
      </w:pPr>
      <w:r>
        <w:rPr>
          <w:rFonts w:ascii="Arial" w:cs="Arial" w:eastAsia="Arial" w:hAnsi="Arial"/>
          <w:sz w:val="17"/>
          <w:szCs w:val="17"/>
          <w:b w:val="1"/>
          <w:bCs w:val="1"/>
          <w:i w:val="1"/>
          <w:iCs w:val="1"/>
          <w:color w:val="auto"/>
        </w:rPr>
        <w:t>BCTG has no operating history and is subject to a mandatory liquidation and subsequent dissolution requirement. If BCTG is unable to consummate a business combination, including the Business Combination, its public stockholders may be forced to wait more than 24 months before receiving distributions from the Trust Account.</w:t>
      </w:r>
    </w:p>
    <w:p>
      <w:pPr>
        <w:spacing w:after="0" w:line="104"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BCTG is a blank check company, and it has no operating history and is subject to a mandatory liquidation and subsequent dissolution requirement. BCTG has until September 8, 2022 to complete a business combination. BCTG has no obligation to return funds to investors prior to such date unless (i) it consummates a business combination prior thereto or (ii) it seeks to amend its Current Charter prior to consummation of a business combination, and only then in cases where investors have sought to convert or sell their shares to BCTG. Only after the expiration of this full time period will public stockholders be entitled to distributions from the Trust Account if BCTG is unable to complete a business combination. Accordingly, investors’ funds may be unavailable to them until after such date and to liquidate their investment, public security holders may be forced to sell their Public Shares, potentially at a loss. In addition, if BCTG fails to complete an initial business combination by September 8, 2022, there will be no redemption unless BCTG amends its Current Charter to extend its life and certain other agreements it has entered into.</w:t>
      </w:r>
    </w:p>
    <w:p>
      <w:pPr>
        <w:spacing w:after="0" w:line="172" w:lineRule="exact"/>
        <w:rPr>
          <w:sz w:val="20"/>
          <w:szCs w:val="20"/>
          <w:color w:val="auto"/>
        </w:rPr>
      </w:pPr>
    </w:p>
    <w:p>
      <w:pPr>
        <w:ind w:left="460" w:right="579"/>
        <w:spacing w:after="0" w:line="259" w:lineRule="auto"/>
        <w:rPr>
          <w:sz w:val="20"/>
          <w:szCs w:val="20"/>
          <w:color w:val="auto"/>
        </w:rPr>
      </w:pPr>
      <w:r>
        <w:rPr>
          <w:rFonts w:ascii="Arial" w:cs="Arial" w:eastAsia="Arial" w:hAnsi="Arial"/>
          <w:sz w:val="18"/>
          <w:szCs w:val="18"/>
          <w:b w:val="1"/>
          <w:bCs w:val="1"/>
          <w:i w:val="1"/>
          <w:iCs w:val="1"/>
          <w:color w:val="auto"/>
        </w:rPr>
        <w:t>Subsequent to the consummation of the Business Combination, BCTG may be required to take write-downs or write-offs, restructuring and impairment or other charges that could have a significant negative effect on its financial condition, results of operations and stock price, which could cause you to lose some or all of your investment.</w:t>
      </w:r>
    </w:p>
    <w:p>
      <w:pPr>
        <w:spacing w:after="0" w:line="106"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Although BCTG has conducted due diligence on Tango, BCTG cannot assure you that this diligence revealed all material issues that may be present in Tango’s business, that it would be possible to uncover all material issues through a customary amount of due diligence, or that factors outside of BCTG’s and Tango’s control will not later arise. As a result, BCTG may be forced to later write-down or write-off assets, restructure its operations, or incur impairment or other charges that could result in losses. Even if BCTG’s due diligence successfully identifies certain risks, unexpected risks may arise and previously known risks may materialize in a manner not consistent with BCTG’s preliminary risk analysis. Even though these charges may be non-cash items and may not have an immediate impact on BCTG’s liquidity, the fact that BCTG reports charges of this nature could contribute to negative market perceptions about New Tango’s securities. In addition, charges of this nature may cause BCTG to be unable to obtain future financing on favorable terms or at all.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4" w:name="page95"/>
    <w:bookmarkEnd w:id="9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839"/>
        <w:spacing w:after="0" w:line="277" w:lineRule="auto"/>
        <w:rPr>
          <w:sz w:val="20"/>
          <w:szCs w:val="20"/>
          <w:color w:val="auto"/>
        </w:rPr>
      </w:pPr>
      <w:r>
        <w:rPr>
          <w:rFonts w:ascii="Arial" w:cs="Arial" w:eastAsia="Arial" w:hAnsi="Arial"/>
          <w:sz w:val="18"/>
          <w:szCs w:val="18"/>
          <w:b w:val="1"/>
          <w:bCs w:val="1"/>
          <w:i w:val="1"/>
          <w:iCs w:val="1"/>
          <w:color w:val="auto"/>
        </w:rPr>
        <w:t>The Sponsor has agreed to vote in favor of such initial business combination, regardless of how BCTG’s public stockholders vote.</w:t>
      </w:r>
    </w:p>
    <w:p>
      <w:pPr>
        <w:spacing w:after="0" w:line="89"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Unlike some other blank check companies in which the initial stockholders agree to vote their founders shares in accordance with the majority of the votes cast by the public stockholders in connection with an initial business combination, the holders of the Founders Shares have agreed (i) to vote any such shares in favor of any proposed business combination, including the Business Combination and (ii) to waive redemption rights with respect to any shares of Common Stock owned or to be owned by such holder, and that such holder will not seek redemption with respect to or otherwise sell, such shares in connection with any vote to approve a business combination, amend the provisions of the Charter, or a tender offer by BCTG prior to a business combination. As a result, BCTG would need only 734,064, or approximately 4.4%, of the 16,767,000 public shares outstanding to be voted in favor of the Business Combination in order to have such transaction approved (assuming that only a quorum was present at the meeting). Accordingly, it is more likely that the necessary stockholder approval will be received than would be the case if the Sponsor agreed to vote its Founders Shares in accordance with the majority of the votes cast by BCTG’s public stockholders.</w:t>
      </w:r>
    </w:p>
    <w:p>
      <w:pPr>
        <w:spacing w:after="0" w:line="168" w:lineRule="exact"/>
        <w:rPr>
          <w:sz w:val="20"/>
          <w:szCs w:val="20"/>
          <w:color w:val="auto"/>
        </w:rPr>
      </w:pPr>
    </w:p>
    <w:p>
      <w:pPr>
        <w:ind w:left="460" w:right="539"/>
        <w:spacing w:after="0" w:line="263" w:lineRule="auto"/>
        <w:rPr>
          <w:sz w:val="20"/>
          <w:szCs w:val="20"/>
          <w:color w:val="auto"/>
        </w:rPr>
      </w:pPr>
      <w:r>
        <w:rPr>
          <w:rFonts w:ascii="Arial" w:cs="Arial" w:eastAsia="Arial" w:hAnsi="Arial"/>
          <w:sz w:val="18"/>
          <w:szCs w:val="18"/>
          <w:b w:val="1"/>
          <w:bCs w:val="1"/>
          <w:i w:val="1"/>
          <w:iCs w:val="1"/>
          <w:color w:val="auto"/>
        </w:rPr>
        <w:t>The unaudited pro forma condensed combined financial information included in this proxy statement/prospectus may not be indicative of what BCTG’s actual financial position or results of operations would have been.</w:t>
      </w:r>
    </w:p>
    <w:p>
      <w:pPr>
        <w:spacing w:after="0" w:line="116"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unaudited pro forma condensed combined financial information in this proxy statement/ prospectus is presented for illustrative purposes only and is not necessarily indicative of what BCTG’s actual financial position or results of operations would have been had the Business Combination been completed on the dates indicated. See the section titled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for more information.</w:t>
      </w:r>
    </w:p>
    <w:p>
      <w:pPr>
        <w:spacing w:after="0" w:line="188" w:lineRule="exact"/>
        <w:rPr>
          <w:sz w:val="20"/>
          <w:szCs w:val="20"/>
          <w:color w:val="auto"/>
        </w:rPr>
      </w:pPr>
    </w:p>
    <w:p>
      <w:pPr>
        <w:ind w:left="460" w:right="779"/>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BCTG, the proceeds held in trust could be reduced and the per-share redemption price received by stockholders may be less than $10.00.</w:t>
      </w:r>
    </w:p>
    <w:p>
      <w:pPr>
        <w:spacing w:after="0" w:line="103"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BCTG’s placing of funds in trust may not protect those funds from third party claims against BCTG. Although BCTG will seek to have all vendors and service providers BCTG engages and prospective target businesses BCTG negotiates with execute agreements with BCTG waiving any right, title, interest or claim of any kind in or to any monies held in the Trust Account for the benefit of BCTG’s public stockholders, they may not execute such agreements. Furthermore, even if such entities execute such agreements with BCTG, they may seek recourse against the Trust Account. A court may not uphold the validity of such agreements. Accordingly, the proceeds held in trust could be subject to claims which could take priority over those of BCTG’s public stockholders.</w:t>
      </w:r>
    </w:p>
    <w:p>
      <w:pPr>
        <w:spacing w:after="0" w:line="111" w:lineRule="exact"/>
        <w:rPr>
          <w:sz w:val="20"/>
          <w:szCs w:val="20"/>
          <w:color w:val="auto"/>
        </w:rPr>
      </w:pPr>
    </w:p>
    <w:p>
      <w:pPr>
        <w:ind w:left="460" w:right="599" w:firstLine="432"/>
        <w:spacing w:after="0" w:line="254" w:lineRule="auto"/>
        <w:rPr>
          <w:sz w:val="20"/>
          <w:szCs w:val="20"/>
          <w:color w:val="auto"/>
        </w:rPr>
      </w:pPr>
      <w:r>
        <w:rPr>
          <w:rFonts w:ascii="Arial" w:cs="Arial" w:eastAsia="Arial" w:hAnsi="Arial"/>
          <w:sz w:val="18"/>
          <w:szCs w:val="18"/>
          <w:color w:val="auto"/>
        </w:rPr>
        <w:t>Additionally, if BCTG is forced to file a bankruptcy case or an involuntary bankruptcy case is filed against BCTG’s which is not dismissed, the proceeds held in the Trust Account could be subject to applicable bankruptcy law, and may be included in BCTG’s bankruptcy estate and subject to the claims of third parties with priority over the claims of BCTG’s stockholders. To the extent any bankruptcy claims deplete the Trust Account, BCTG may not be able to return to BCTG’s public stockholders at least $10.00. As a result, if any such claims were successfully made against the Trust Account, the funds available for BCTG’s initial business combination, including the Business Combination, and redemptions could be reduced to less than $10.00 per Public Share.</w:t>
      </w:r>
    </w:p>
    <w:p>
      <w:pPr>
        <w:spacing w:after="0" w:line="192" w:lineRule="exact"/>
        <w:rPr>
          <w:sz w:val="20"/>
          <w:szCs w:val="20"/>
          <w:color w:val="auto"/>
        </w:rPr>
      </w:pPr>
    </w:p>
    <w:p>
      <w:pPr>
        <w:ind w:left="460" w:right="1399"/>
        <w:spacing w:after="0" w:line="277" w:lineRule="auto"/>
        <w:rPr>
          <w:sz w:val="20"/>
          <w:szCs w:val="20"/>
          <w:color w:val="auto"/>
        </w:rPr>
      </w:pPr>
      <w:r>
        <w:rPr>
          <w:rFonts w:ascii="Arial" w:cs="Arial" w:eastAsia="Arial" w:hAnsi="Arial"/>
          <w:sz w:val="18"/>
          <w:szCs w:val="18"/>
          <w:b w:val="1"/>
          <w:bCs w:val="1"/>
          <w:i w:val="1"/>
          <w:iCs w:val="1"/>
          <w:color w:val="auto"/>
        </w:rPr>
        <w:t>BCTG’s stockholders may be held liable for claims by third parties against BCTG to the extent of distributions received by them.</w:t>
      </w:r>
    </w:p>
    <w:p>
      <w:pPr>
        <w:spacing w:after="0" w:line="103"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The Current Charter provides that BCTG will continue in existence only until September 8, 2022. If BCTG has not completed a business combination by such date, BCTG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earned on the funds held in the Trust Account net of interest that may be used by BCTG to pay its franchise and income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5" w:name="page96"/>
    <w:bookmarkEnd w:id="9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559"/>
        <w:spacing w:after="0" w:line="263" w:lineRule="auto"/>
        <w:rPr>
          <w:sz w:val="20"/>
          <w:szCs w:val="20"/>
          <w:color w:val="auto"/>
        </w:rPr>
      </w:pPr>
      <w:r>
        <w:rPr>
          <w:rFonts w:ascii="Arial" w:cs="Arial" w:eastAsia="Arial" w:hAnsi="Arial"/>
          <w:sz w:val="18"/>
          <w:szCs w:val="18"/>
          <w:color w:val="auto"/>
        </w:rPr>
        <w:t>possible following such redemption, subject to the approval of BCTG’s remaining stockholders and the Board, dissolve and liquidate, subject (in the case of (ii) and (iii) above) to BCTG’s obligations under Delaware law to provide for claims of creditors and the requirements of other applicable law.</w:t>
      </w:r>
    </w:p>
    <w:p>
      <w:pPr>
        <w:spacing w:after="0" w:line="116"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If BCTG is forced to file a bankruptcy case or an involuntary bankruptcy case is filed against BCTG which is not dismissed, any distributions received by stockholders could be viewed under applicable debtor/ creditor and/or bankruptcy laws as either a “preferential transfer” or a “fraudulent conveyance.” As a result, a bankruptcy court could seek to recover all amounts received by BCTG’s stockholders. Furthermore, because BCTG intends to distribute the proceeds held in the Public Shares to BCTG’s public stockholders promptly after expiration of the time BCTG has to complete an initial business combination, this may be viewed or interpreted as giving preference to BCTG’s public stockholders over any potential creditors with respect to access to or distributions from BCTG’s assets. Furthermore, the Board may be viewed as having breached their fiduciary duties to BCTG’s creditors and/or may have acted in bad faith, and thereby exposing itself and BCTG to claims of punitive damages, by paying public stockholders from the Trust Account prior to addressing the claims of creditors. BCTG cannot assure you that claims will not be brought against it for these reasons.</w:t>
      </w:r>
    </w:p>
    <w:p>
      <w:pPr>
        <w:spacing w:after="0" w:line="172" w:lineRule="exact"/>
        <w:rPr>
          <w:sz w:val="20"/>
          <w:szCs w:val="20"/>
          <w:color w:val="auto"/>
        </w:rPr>
      </w:pPr>
    </w:p>
    <w:p>
      <w:pPr>
        <w:ind w:left="460" w:right="559"/>
        <w:spacing w:after="0" w:line="259" w:lineRule="auto"/>
        <w:rPr>
          <w:sz w:val="20"/>
          <w:szCs w:val="20"/>
          <w:color w:val="auto"/>
        </w:rPr>
      </w:pPr>
      <w:r>
        <w:rPr>
          <w:rFonts w:ascii="Arial" w:cs="Arial" w:eastAsia="Arial" w:hAnsi="Arial"/>
          <w:sz w:val="18"/>
          <w:szCs w:val="18"/>
          <w:b w:val="1"/>
          <w:bCs w:val="1"/>
          <w:i w:val="1"/>
          <w:iCs w:val="1"/>
          <w:color w:val="auto"/>
        </w:rPr>
        <w:t>Neither BCTG nor its stockholders will have the protection of any indemnification, escrow, price adjustment or other provisions that allow for a post-closing adjustment to be made to the total merger consideration in the event that any of the representations and warranties made by Tango in the Merger Agreement ultimately proves to be inaccurate or incorrect.</w:t>
      </w:r>
    </w:p>
    <w:p>
      <w:pPr>
        <w:spacing w:after="0" w:line="119" w:lineRule="exact"/>
        <w:rPr>
          <w:sz w:val="20"/>
          <w:szCs w:val="20"/>
          <w:color w:val="auto"/>
        </w:rPr>
      </w:pPr>
    </w:p>
    <w:p>
      <w:pPr>
        <w:ind w:left="460" w:right="459" w:firstLine="432"/>
        <w:spacing w:after="0" w:line="291" w:lineRule="auto"/>
        <w:rPr>
          <w:sz w:val="20"/>
          <w:szCs w:val="20"/>
          <w:color w:val="auto"/>
        </w:rPr>
      </w:pPr>
      <w:r>
        <w:rPr>
          <w:rFonts w:ascii="Arial" w:cs="Arial" w:eastAsia="Arial" w:hAnsi="Arial"/>
          <w:sz w:val="16"/>
          <w:szCs w:val="16"/>
          <w:color w:val="auto"/>
        </w:rPr>
        <w:t>The representations and warranties made by Tango and BCTG to each other in the Merger Agreement will not survive the consummation of the Business Combination. As a result, BCTG and its stockholders will not have the protection of any indemnification, escrow, price adjustment or other provisions that allow for a post-closing adjustment to be made to the total merger consideration if any representation or warranty made by Tango in the Merger Agreement proves to be inaccurate or incorrect. Accordingly, to the extent such representations or warranties are incorrect, BCTG would have no indemnification claim with respect thereto and its financial condition or results of operations could be adversely affected.</w:t>
      </w:r>
    </w:p>
    <w:p>
      <w:pPr>
        <w:spacing w:after="0" w:line="166" w:lineRule="exact"/>
        <w:rPr>
          <w:sz w:val="20"/>
          <w:szCs w:val="20"/>
          <w:color w:val="auto"/>
        </w:rPr>
      </w:pPr>
    </w:p>
    <w:p>
      <w:pPr>
        <w:ind w:left="460" w:right="479"/>
        <w:spacing w:after="0" w:line="275" w:lineRule="auto"/>
        <w:rPr>
          <w:sz w:val="20"/>
          <w:szCs w:val="20"/>
          <w:color w:val="auto"/>
        </w:rPr>
      </w:pPr>
      <w:r>
        <w:rPr>
          <w:rFonts w:ascii="Arial" w:cs="Arial" w:eastAsia="Arial" w:hAnsi="Arial"/>
          <w:sz w:val="17"/>
          <w:szCs w:val="17"/>
          <w:b w:val="1"/>
          <w:bCs w:val="1"/>
          <w:i w:val="1"/>
          <w:iCs w:val="1"/>
          <w:color w:val="auto"/>
        </w:rPr>
        <w:t>BCTG’s ability to successfully effect the Business Combination and to be successful thereafter will be totally dependent upon the efforts of its key personnel, including Tango’s key personnel, all of whom are expected to remain with the Combined Entity following the Business Combination. While BCTG intends to closely scrutinize any individuals it engages after the Business Combination, it cannot assure you that its assessment of these individuals will prove to be correct.</w:t>
      </w:r>
    </w:p>
    <w:p>
      <w:pPr>
        <w:spacing w:after="0" w:line="95"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BCTG’s ability to successfully effect the Business Combination is dependent upon the efforts of BCTG’s key personnel, including key personnel of Tango. Although BCTG expects all of such key personnel to remain with the Combined Entity following the Business Combination, it is possible that BCTG will lose some key personnel, the loss of which could negatively impact the operations and profitability of New Tango. While BCTG intends to closely scrutinize any individuals it engages after the Business Combination, it cannot assure you that its assessment of these individuals will prove to be correct. These individuals may be unfamiliar with the requirements of operating a public company which could cause BCTG to have to expend time and resources helping them become familiar with such requirements. This could be expensive and time-consuming and could lead to various regulatory issues which may adversely affect its operations.</w:t>
      </w:r>
    </w:p>
    <w:p>
      <w:pPr>
        <w:spacing w:after="0" w:line="166" w:lineRule="exact"/>
        <w:rPr>
          <w:sz w:val="20"/>
          <w:szCs w:val="20"/>
          <w:color w:val="auto"/>
        </w:rPr>
      </w:pPr>
    </w:p>
    <w:p>
      <w:pPr>
        <w:ind w:left="460" w:right="639"/>
        <w:spacing w:after="0" w:line="342" w:lineRule="auto"/>
        <w:rPr>
          <w:sz w:val="20"/>
          <w:szCs w:val="20"/>
          <w:color w:val="auto"/>
        </w:rPr>
      </w:pPr>
      <w:r>
        <w:rPr>
          <w:rFonts w:ascii="Arial" w:cs="Arial" w:eastAsia="Arial" w:hAnsi="Arial"/>
          <w:sz w:val="16"/>
          <w:szCs w:val="16"/>
          <w:b w:val="1"/>
          <w:bCs w:val="1"/>
          <w:i w:val="1"/>
          <w:iCs w:val="1"/>
          <w:color w:val="auto"/>
        </w:rPr>
        <w:t>BCTG’s Sponsor, directors, officers and advisors have interests in the Business Combination which may be different from or in addition to (and which may conflict with) the interests of its stockholders.</w:t>
      </w:r>
    </w:p>
    <w:p>
      <w:pPr>
        <w:spacing w:after="0" w:line="56"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BCTG’s Sponsor, directors, officers, advisors and their respective affiliates and associates have interests in and arising from the Business Combination that are different from or in addition to (and which may conflict with) the interests of BCTG’s public stockholders, which may result in a conflict of interest. These interests include:</w:t>
      </w:r>
    </w:p>
    <w:p>
      <w:pPr>
        <w:spacing w:after="0" w:line="119" w:lineRule="exact"/>
        <w:rPr>
          <w:sz w:val="20"/>
          <w:szCs w:val="20"/>
          <w:color w:val="auto"/>
        </w:rPr>
      </w:pPr>
    </w:p>
    <w:p>
      <w:pPr>
        <w:ind w:left="1320" w:right="519" w:hanging="434"/>
        <w:spacing w:after="0" w:line="259" w:lineRule="auto"/>
        <w:tabs>
          <w:tab w:leader="none" w:pos="131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unless BCTG consummates an initial business combination, BCTG’s officers, directors and sponsor will not receive reimbursement for any out-of-pocket expenses incurred by them to the extent that such expenses exceed the amount of available proceeds not deposited in the Trust Account from the BCTG IPO and Private Placement;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6" w:name="page97"/>
    <w:bookmarkEnd w:id="9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99" w:hanging="434"/>
        <w:spacing w:after="0" w:line="289" w:lineRule="auto"/>
        <w:tabs>
          <w:tab w:leader="none" w:pos="1311" w:val="left"/>
        </w:tabs>
        <w:numPr>
          <w:ilvl w:val="0"/>
          <w:numId w:val="141"/>
        </w:numPr>
        <w:rPr>
          <w:rFonts w:ascii="Arial" w:cs="Arial" w:eastAsia="Arial" w:hAnsi="Arial"/>
          <w:sz w:val="16"/>
          <w:szCs w:val="16"/>
          <w:color w:val="auto"/>
        </w:rPr>
      </w:pPr>
      <w:r>
        <w:rPr>
          <w:rFonts w:ascii="Arial" w:cs="Arial" w:eastAsia="Arial" w:hAnsi="Arial"/>
          <w:sz w:val="16"/>
          <w:szCs w:val="16"/>
          <w:color w:val="auto"/>
        </w:rPr>
        <w:t>with certain limited exceptions, the Founders Shares will not be transferable, assignable by our Sponsor or our directors and executive officers until the earlier of: (A) one year after the completion of our initial business combination or (B) subsequent to our initial business combination, (x) if the last reported sale price of our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we complete a liquidation, merger, capital stock exchange, reorganization or other similar transaction that results in all of our stockholders having the right to exchange their shares of common stock for cash, securities or other property;</w:t>
      </w:r>
    </w:p>
    <w:p>
      <w:pPr>
        <w:spacing w:after="0" w:line="98" w:lineRule="exact"/>
        <w:rPr>
          <w:rFonts w:ascii="Arial" w:cs="Arial" w:eastAsia="Arial" w:hAnsi="Arial"/>
          <w:sz w:val="16"/>
          <w:szCs w:val="16"/>
          <w:color w:val="auto"/>
        </w:rPr>
      </w:pPr>
    </w:p>
    <w:p>
      <w:pPr>
        <w:ind w:left="1320" w:right="919" w:hanging="434"/>
        <w:spacing w:after="0" w:line="277" w:lineRule="auto"/>
        <w:tabs>
          <w:tab w:leader="none" w:pos="131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Private Shares purchased by the Sponsor will be worthless if a business combination is not consummated;</w:t>
      </w:r>
    </w:p>
    <w:p>
      <w:pPr>
        <w:spacing w:after="0" w:line="102" w:lineRule="exact"/>
        <w:rPr>
          <w:rFonts w:ascii="Arial" w:cs="Arial" w:eastAsia="Arial" w:hAnsi="Arial"/>
          <w:sz w:val="18"/>
          <w:szCs w:val="18"/>
          <w:color w:val="auto"/>
        </w:rPr>
      </w:pPr>
    </w:p>
    <w:p>
      <w:pPr>
        <w:ind w:left="1320" w:right="719" w:hanging="434"/>
        <w:spacing w:after="0" w:line="308" w:lineRule="auto"/>
        <w:tabs>
          <w:tab w:leader="none" w:pos="1311"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fact that the Sponsor paid an aggregate of $25,000 for its Founders Shares and such securities will have a significantly higher value at the time of the Business Combination;</w:t>
      </w:r>
    </w:p>
    <w:p>
      <w:pPr>
        <w:spacing w:after="0" w:line="65" w:lineRule="exact"/>
        <w:rPr>
          <w:rFonts w:ascii="Arial" w:cs="Arial" w:eastAsia="Arial" w:hAnsi="Arial"/>
          <w:sz w:val="17"/>
          <w:szCs w:val="17"/>
          <w:color w:val="auto"/>
        </w:rPr>
      </w:pPr>
    </w:p>
    <w:p>
      <w:pPr>
        <w:ind w:left="1320" w:right="599" w:hanging="434"/>
        <w:spacing w:after="0" w:line="308" w:lineRule="auto"/>
        <w:tabs>
          <w:tab w:leader="none" w:pos="1311"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fact that the Sponsor has agreed not to redeem any of the Founders Shares in connection with a stockholder vote to approve a proposed initial business combination; and</w:t>
      </w:r>
    </w:p>
    <w:p>
      <w:pPr>
        <w:spacing w:after="0" w:line="78" w:lineRule="exact"/>
        <w:rPr>
          <w:rFonts w:ascii="Arial" w:cs="Arial" w:eastAsia="Arial" w:hAnsi="Arial"/>
          <w:sz w:val="17"/>
          <w:szCs w:val="17"/>
          <w:color w:val="auto"/>
        </w:rPr>
      </w:pPr>
    </w:p>
    <w:p>
      <w:pPr>
        <w:ind w:left="1320" w:right="599" w:hanging="434"/>
        <w:spacing w:after="0" w:line="263" w:lineRule="auto"/>
        <w:tabs>
          <w:tab w:leader="none" w:pos="131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Boxer Capital, an affiliate of the Sponsor, has a seat on the Tango board of directors (occupied by Aaron Davis) and owns approximately 15% of Tango’s outstanding securities prior to the Business Combination.</w:t>
      </w:r>
    </w:p>
    <w:p>
      <w:pPr>
        <w:spacing w:after="0" w:line="184" w:lineRule="exact"/>
        <w:rPr>
          <w:sz w:val="20"/>
          <w:szCs w:val="20"/>
          <w:color w:val="auto"/>
        </w:rPr>
      </w:pPr>
    </w:p>
    <w:p>
      <w:pPr>
        <w:ind w:left="460" w:right="579"/>
        <w:spacing w:after="0" w:line="277" w:lineRule="auto"/>
        <w:rPr>
          <w:sz w:val="20"/>
          <w:szCs w:val="20"/>
          <w:color w:val="auto"/>
        </w:rPr>
      </w:pPr>
      <w:r>
        <w:rPr>
          <w:rFonts w:ascii="Arial" w:cs="Arial" w:eastAsia="Arial" w:hAnsi="Arial"/>
          <w:sz w:val="18"/>
          <w:szCs w:val="18"/>
          <w:b w:val="1"/>
          <w:bCs w:val="1"/>
          <w:i w:val="1"/>
          <w:iCs w:val="1"/>
          <w:color w:val="auto"/>
        </w:rPr>
        <w:t>A market for BCTG’s securities may not continue, which would adversely affect the liquidity and price of its securities.</w:t>
      </w:r>
    </w:p>
    <w:p>
      <w:pPr>
        <w:spacing w:after="0" w:line="103"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Following the Business Combination, the price of BCTG’s securities may fluctuate significantly due to the market’s reaction to the Business Combination and general market and economic conditions. An active trading market for BCTG’s securities following the Business Combination may never develop or, if developed, it may not be sustained. In addition, the price of BCTG’s securities after the Business Combination can vary due to general economic conditions and forecasts, BCTG’s general business condition and the release of BCTG’s financial reports. Additionally, if BCTG’s securities are not listed on, or become delisted from Nasdaq for any reason, and are quoted on the OTC Bulletin Board, an inter-dealer automated quotation system for equity securities that is not a national securities exchange, the liquidity and price of BCTG’s securities may be more limited than if BCTG were quoted or listed on Nasdaq or another national securities exchange. You may be unable to sell your securities unless a market can be established or sustained.</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There can be no assurance that BCTG will be able to comply with the continued listing standards of Nasdaq.</w:t>
      </w:r>
    </w:p>
    <w:p>
      <w:pPr>
        <w:spacing w:after="0" w:line="179"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BCTG’s continued eligibility for listing may depend on the number of its shares that are redeemed. If, after the Business Combination, Nasdaq delists BCTG’s securities from trading on its exchange for failure to meet the listing standards, BCTG and its stockholders could face significant material adverse consequences including:</w:t>
      </w:r>
    </w:p>
    <w:p>
      <w:pPr>
        <w:spacing w:after="0" w:line="119" w:lineRule="exact"/>
        <w:rPr>
          <w:sz w:val="20"/>
          <w:szCs w:val="20"/>
          <w:color w:val="auto"/>
        </w:rPr>
      </w:pPr>
    </w:p>
    <w:p>
      <w:pPr>
        <w:ind w:left="1300" w:hanging="41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limited availability of market quotations for BCTG’s securities;</w:t>
      </w:r>
    </w:p>
    <w:p>
      <w:pPr>
        <w:spacing w:after="0" w:line="157" w:lineRule="exact"/>
        <w:rPr>
          <w:rFonts w:ascii="Arial" w:cs="Arial" w:eastAsia="Arial" w:hAnsi="Arial"/>
          <w:sz w:val="18"/>
          <w:szCs w:val="18"/>
          <w:color w:val="auto"/>
        </w:rPr>
      </w:pPr>
    </w:p>
    <w:p>
      <w:pPr>
        <w:jc w:val="both"/>
        <w:ind w:left="1320" w:right="539" w:hanging="434"/>
        <w:spacing w:after="0" w:line="286" w:lineRule="auto"/>
        <w:tabs>
          <w:tab w:leader="none" w:pos="1311"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 determination that BCTG Common Stock is a “penny stock” which will require brokers trading in its Common Stock to adhere to more stringent rules, possibly resulting in a reduced level of trading activity in the secondary trading market for BCTG Common Stock;</w:t>
      </w:r>
    </w:p>
    <w:p>
      <w:pPr>
        <w:spacing w:after="0" w:line="84" w:lineRule="exact"/>
        <w:rPr>
          <w:rFonts w:ascii="Arial" w:cs="Arial" w:eastAsia="Arial" w:hAnsi="Arial"/>
          <w:sz w:val="17"/>
          <w:szCs w:val="17"/>
          <w:color w:val="auto"/>
        </w:rPr>
      </w:pPr>
    </w:p>
    <w:p>
      <w:pPr>
        <w:ind w:left="1300" w:hanging="41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limited amount of analyst coverage;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left="460" w:right="719"/>
        <w:spacing w:after="0" w:line="277" w:lineRule="auto"/>
        <w:rPr>
          <w:sz w:val="20"/>
          <w:szCs w:val="20"/>
          <w:color w:val="auto"/>
        </w:rPr>
      </w:pPr>
      <w:r>
        <w:rPr>
          <w:rFonts w:ascii="Arial" w:cs="Arial" w:eastAsia="Arial" w:hAnsi="Arial"/>
          <w:sz w:val="18"/>
          <w:szCs w:val="18"/>
          <w:b w:val="1"/>
          <w:bCs w:val="1"/>
          <w:i w:val="1"/>
          <w:iCs w:val="1"/>
          <w:color w:val="auto"/>
        </w:rPr>
        <w:t>If the Business Combination’s benefits do not meet the expectations of investors, stockholders or financial analysts, the market price of BCTG’s securities may decline.</w:t>
      </w:r>
    </w:p>
    <w:p>
      <w:pPr>
        <w:spacing w:after="0" w:line="103"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If the benefits of the Business Combination do not meet the expectations of investors or securities analysts, the market price of BCTG’s securities may decline. The market values of BCTG’s securities at the time of the consummation of the Business Combination may vary significantly from their prices on the date the Merger Agreement was executed, the date of this proxy statement/prospectus, or the date on which BCTG’s stockholders vote on the Business Combination.</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7" w:name="page98"/>
    <w:bookmarkEnd w:id="9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In addition, following the Business Combination, fluctuations in the price of BCTG’s securities could contribute to the loss of all or part of your investment. Prior to the Business Combination, there has not been a public market for Tango’s stock and trading in the shares of BCTG Common Stock has not been active. Accordingly, the valuation ascribed to Tango and BCTG Common Stock in the Business Combination may not be indicative of the price that will prevail in the trading market following the Business Combination. If an active market for BCTG’s securities develops and continues, the trading price of BCTG’s securities following the Business Combination could be volatile and subject to wide fluctuations in response to various factors, some of which are beyond BCTG’s control. Any of the factors listed below could have a material adverse effect on your investment in BCTG’s securities and BCTG’s securities may trade at prices significantly below the price you paid for them. In such circumstances, the trading price of BCTG’s securities may not recover and may experience a further decline.</w:t>
      </w:r>
    </w:p>
    <w:p>
      <w:pPr>
        <w:spacing w:after="0" w:line="114"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Factors affecting the trading price of New Tango’s securities following the Business Combination may include:</w:t>
      </w:r>
    </w:p>
    <w:p>
      <w:pPr>
        <w:spacing w:after="0" w:line="103" w:lineRule="exact"/>
        <w:rPr>
          <w:sz w:val="20"/>
          <w:szCs w:val="20"/>
          <w:color w:val="auto"/>
        </w:rPr>
      </w:pPr>
    </w:p>
    <w:p>
      <w:pPr>
        <w:ind w:left="1320" w:right="1139" w:hanging="434"/>
        <w:spacing w:after="0" w:line="277" w:lineRule="auto"/>
        <w:tabs>
          <w:tab w:leader="none" w:pos="131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actual or anticipated fluctuations in New Tango’s quarterly financial results or the quarterly financial results of companies perceived to be similar to New Tango;</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changes in the market’s expectations about New Tango’s operating results;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157" w:lineRule="exact"/>
        <w:rPr>
          <w:rFonts w:ascii="Arial" w:cs="Arial" w:eastAsia="Arial" w:hAnsi="Arial"/>
          <w:sz w:val="18"/>
          <w:szCs w:val="18"/>
          <w:color w:val="auto"/>
        </w:rPr>
      </w:pPr>
    </w:p>
    <w:p>
      <w:pPr>
        <w:ind w:left="1320" w:right="539" w:hanging="434"/>
        <w:spacing w:after="0" w:line="277" w:lineRule="auto"/>
        <w:tabs>
          <w:tab w:leader="none" w:pos="131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New Tango’s operating results failing to meet the expectation of securities analysts or investors in a particular period;</w:t>
      </w:r>
    </w:p>
    <w:p>
      <w:pPr>
        <w:spacing w:after="0" w:line="89"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New Tango or the market in general;</w:t>
      </w:r>
    </w:p>
    <w:p>
      <w:pPr>
        <w:spacing w:after="0" w:line="102" w:lineRule="exact"/>
        <w:rPr>
          <w:rFonts w:ascii="Arial" w:cs="Arial" w:eastAsia="Arial" w:hAnsi="Arial"/>
          <w:sz w:val="18"/>
          <w:szCs w:val="18"/>
          <w:color w:val="auto"/>
        </w:rPr>
      </w:pPr>
    </w:p>
    <w:p>
      <w:pPr>
        <w:ind w:left="1320" w:right="619" w:hanging="434"/>
        <w:spacing w:after="0" w:line="277" w:lineRule="auto"/>
        <w:tabs>
          <w:tab w:leader="none" w:pos="131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New Tango;</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New Tango’s ability to develop product candidates;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changes in laws and regulations affecting New Tango’s business;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New Tango;</w:t>
      </w:r>
    </w:p>
    <w:p>
      <w:pPr>
        <w:spacing w:after="0" w:line="157" w:lineRule="exact"/>
        <w:rPr>
          <w:rFonts w:ascii="Arial" w:cs="Arial" w:eastAsia="Arial" w:hAnsi="Arial"/>
          <w:sz w:val="18"/>
          <w:szCs w:val="18"/>
          <w:color w:val="auto"/>
        </w:rPr>
      </w:pPr>
    </w:p>
    <w:p>
      <w:pPr>
        <w:ind w:left="1320" w:right="559" w:hanging="434"/>
        <w:spacing w:after="0" w:line="277" w:lineRule="auto"/>
        <w:tabs>
          <w:tab w:leader="none" w:pos="131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changes in New Tango’s capital structure, such as future issuances of securities or the incurrence of additional debt;</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volume of shares of New Tango’s securities available for public sale;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major change in New Tango’s Board or management;</w:t>
      </w:r>
    </w:p>
    <w:p>
      <w:pPr>
        <w:spacing w:after="0" w:line="157" w:lineRule="exact"/>
        <w:rPr>
          <w:rFonts w:ascii="Arial" w:cs="Arial" w:eastAsia="Arial" w:hAnsi="Arial"/>
          <w:sz w:val="18"/>
          <w:szCs w:val="18"/>
          <w:color w:val="auto"/>
        </w:rPr>
      </w:pPr>
    </w:p>
    <w:p>
      <w:pPr>
        <w:ind w:left="1320" w:right="1219" w:hanging="434"/>
        <w:spacing w:after="0" w:line="308" w:lineRule="auto"/>
        <w:tabs>
          <w:tab w:leader="none" w:pos="1311" w:val="left"/>
        </w:tabs>
        <w:numPr>
          <w:ilvl w:val="0"/>
          <w:numId w:val="143"/>
        </w:numPr>
        <w:rPr>
          <w:rFonts w:ascii="Arial" w:cs="Arial" w:eastAsia="Arial" w:hAnsi="Arial"/>
          <w:sz w:val="17"/>
          <w:szCs w:val="17"/>
          <w:color w:val="auto"/>
        </w:rPr>
      </w:pPr>
      <w:r>
        <w:rPr>
          <w:rFonts w:ascii="Arial" w:cs="Arial" w:eastAsia="Arial" w:hAnsi="Arial"/>
          <w:sz w:val="17"/>
          <w:szCs w:val="17"/>
          <w:color w:val="auto"/>
        </w:rPr>
        <w:t>sales of substantial amounts of Common Stock by BCTG’s directors, executive officers or significant stockholders or the perception that such sales could occur; and</w:t>
      </w:r>
    </w:p>
    <w:p>
      <w:pPr>
        <w:spacing w:after="0" w:line="65" w:lineRule="exact"/>
        <w:rPr>
          <w:rFonts w:ascii="Arial" w:cs="Arial" w:eastAsia="Arial" w:hAnsi="Arial"/>
          <w:sz w:val="17"/>
          <w:szCs w:val="17"/>
          <w:color w:val="auto"/>
        </w:rPr>
      </w:pPr>
    </w:p>
    <w:p>
      <w:pPr>
        <w:ind w:left="1320" w:right="499" w:hanging="434"/>
        <w:spacing w:after="0" w:line="277" w:lineRule="auto"/>
        <w:tabs>
          <w:tab w:leader="none" w:pos="131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103"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Broad market and industry factors may materially harm the market price of New Tango’s securities irrespective of its operating performance. The stock market in general and Nasdaq in particular have experienced price and volume fluctuations that have often been unrelated or disproportionate to the operating performance of the particular companies affected. The trading prices and valuations of these stocks, and of New Tango’s securities, may not be predictable. A loss of investor confidence in the market for battery company stocks or the stocks of other companies which investors perceive to be similar to New Tango could depress New Tango’s stock price regardless of New Tango’s business, prospects, financial conditions or results of operations. A decline in the market price of New Tango’s securities also could adversely affect New Tango’s ability to issue additional securities and New Tango’s ability to obtain additional financing in the future.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8" w:name="page99"/>
    <w:bookmarkEnd w:id="9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559"/>
        <w:spacing w:after="0" w:line="259" w:lineRule="auto"/>
        <w:rPr>
          <w:sz w:val="20"/>
          <w:szCs w:val="20"/>
          <w:color w:val="auto"/>
        </w:rPr>
      </w:pPr>
      <w:r>
        <w:rPr>
          <w:rFonts w:ascii="Arial" w:cs="Arial" w:eastAsia="Arial" w:hAnsi="Arial"/>
          <w:sz w:val="18"/>
          <w:szCs w:val="18"/>
          <w:b w:val="1"/>
          <w:bCs w:val="1"/>
          <w:i w:val="1"/>
          <w:iCs w:val="1"/>
          <w:color w:val="auto"/>
        </w:rPr>
        <w:t>Following the Business Combination, if securities or industry analysts do not publish or cease publishing research or reports about New Tango, its business, or its market, or if they change their recommendations regarding the Combined Entity’s securities adversely, the price and trading volume of the Combined Entity’s securities could decline.</w:t>
      </w:r>
    </w:p>
    <w:p>
      <w:pPr>
        <w:spacing w:after="0" w:line="106"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The trading market for New Tango’s securities will be influenced by the research and reports that industry or securities analysts may publish about BCTG, its business, its market, or its competitors. Securities and industry analysts do not currently, and may never, publish research on BCTG or New Tango. If no securities or industry analysts commence coverage of New Tango, BCTG’s stock price and trading volume would likely be negatively impacted. If any of the analysts who may cover New Tango change their recommendation regarding BCTG’s stock adversely, or provide more favorable relative recommendations about BCTG’s competitors, the price of New Tango’s securities would likely decline. If any analyst who may cover New Tango were to cease coverage of New Tango or fail to regularly publish reports on it, BCTG could lose visibility in the financial markets, which could cause its stock price or trading volume to decline.</w:t>
      </w:r>
    </w:p>
    <w:p>
      <w:pPr>
        <w:spacing w:after="0" w:line="166" w:lineRule="exact"/>
        <w:rPr>
          <w:sz w:val="20"/>
          <w:szCs w:val="20"/>
          <w:color w:val="auto"/>
        </w:rPr>
      </w:pPr>
    </w:p>
    <w:p>
      <w:pPr>
        <w:ind w:left="460" w:right="699"/>
        <w:spacing w:after="0" w:line="277" w:lineRule="auto"/>
        <w:rPr>
          <w:sz w:val="20"/>
          <w:szCs w:val="20"/>
          <w:color w:val="auto"/>
        </w:rPr>
      </w:pPr>
      <w:r>
        <w:rPr>
          <w:rFonts w:ascii="Arial" w:cs="Arial" w:eastAsia="Arial" w:hAnsi="Arial"/>
          <w:sz w:val="18"/>
          <w:szCs w:val="18"/>
          <w:b w:val="1"/>
          <w:bCs w:val="1"/>
          <w:i w:val="1"/>
          <w:iCs w:val="1"/>
          <w:color w:val="auto"/>
        </w:rPr>
        <w:t>The future sales of shares by existing stockholders and future exercise of registration rights may adversely affect the market price of New Tango’s common stock.</w:t>
      </w:r>
    </w:p>
    <w:p>
      <w:pPr>
        <w:spacing w:after="0" w:line="103"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Sales of a substantial number of shares of New Tango’s common stock in the public market could occur at any time. If New Tango’s stockholders sell, or the market perceives that New Tango’s stockholders intend to sell, substantial amounts of New Tango’s common stock in the public market, the market price of New Tango’s common stock could decline.</w:t>
      </w:r>
    </w:p>
    <w:p>
      <w:pPr>
        <w:spacing w:after="0" w:line="119"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 holders of the Founders Shares and Private Shares are entitled to registration rights pursuant to a registration rights agreement entered into in connection with the BCTG IPO. The holders of the majority of these securities are entitled to make up to three demands that BCTG register such securities. The holders of the majority of the Founders Shares can elect to exercise these registration rights at any time commencing three months prior to the date on which these shares of Common Stock are to be released from escrow. The holders of a majority of the Private Shares can elect to exercise these registration rights at any time after BCTG consummates a business combination. In addition, the holders have certain “piggy- back” registration rights with respect to registration statements filed subsequent to BCTG’s consummation of a business combination. The presence of these additional shares of Common Stock trading in the public market may have an adverse effect on the market price of New Tango’s securities.</w:t>
      </w:r>
    </w:p>
    <w:p>
      <w:pPr>
        <w:spacing w:after="0" w:line="185" w:lineRule="exact"/>
        <w:rPr>
          <w:sz w:val="20"/>
          <w:szCs w:val="20"/>
          <w:color w:val="auto"/>
        </w:rPr>
      </w:pPr>
    </w:p>
    <w:p>
      <w:pPr>
        <w:ind w:left="460" w:right="579"/>
        <w:spacing w:after="0" w:line="259" w:lineRule="auto"/>
        <w:rPr>
          <w:sz w:val="20"/>
          <w:szCs w:val="20"/>
          <w:color w:val="auto"/>
        </w:rPr>
      </w:pPr>
      <w:r>
        <w:rPr>
          <w:rFonts w:ascii="Arial" w:cs="Arial" w:eastAsia="Arial" w:hAnsi="Arial"/>
          <w:sz w:val="18"/>
          <w:szCs w:val="18"/>
          <w:b w:val="1"/>
          <w:bCs w:val="1"/>
          <w:i w:val="1"/>
          <w:iCs w:val="1"/>
          <w:color w:val="auto"/>
        </w:rPr>
        <w:t>BCTG’s public stockholders may experience dilution as a consequence of, among other transactions, the issuance of Common Stock as consideration in the Business Combination and the PIPE Financing. Having a minority share position may reduce the influence that BCTG’s current stockholders have on the management of New Tango.</w:t>
      </w:r>
    </w:p>
    <w:p>
      <w:pPr>
        <w:spacing w:after="0" w:line="106"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It is anticipated that, upon the Closing, BCTG’s public stockholders (other than the PIPE Financing investors) will retain an ownership interest of approximately 17.7% in the Combined Entity, the PIPE Financing investors will own approximately 19.6% of the Combined Entity (such that public stockholders, including PIPE Financing investors, will own approximately 37.3% of the Combined Entity), the Sponsor will retain an ownership interest of approximately 4.8% in the Combined Entity and the Tango Equityholders will own approximately 57.9% of the outstanding common stock of the Combined Entity.</w:t>
      </w:r>
    </w:p>
    <w:p>
      <w:pPr>
        <w:spacing w:after="0" w:line="110" w:lineRule="exact"/>
        <w:rPr>
          <w:sz w:val="20"/>
          <w:szCs w:val="20"/>
          <w:color w:val="auto"/>
        </w:rPr>
      </w:pPr>
    </w:p>
    <w:p>
      <w:pPr>
        <w:ind w:left="460" w:right="539" w:firstLine="432"/>
        <w:spacing w:after="0" w:line="279" w:lineRule="auto"/>
        <w:rPr>
          <w:sz w:val="20"/>
          <w:szCs w:val="20"/>
          <w:color w:val="auto"/>
        </w:rPr>
      </w:pPr>
      <w:r>
        <w:rPr>
          <w:rFonts w:ascii="Arial" w:cs="Arial" w:eastAsia="Arial" w:hAnsi="Arial"/>
          <w:sz w:val="17"/>
          <w:szCs w:val="17"/>
          <w:color w:val="auto"/>
        </w:rPr>
        <w:t>The ownership percentage with respect to the Combined Entity following the Business Combination does not take into account (i) the redemption of any shares by BCTG’s public stockholders. If the actual facts are different than these assumptions (which they are likely to be), the percentage ownership retained by BCTG’s existing stockholders in the Combined Entity will be different.</w:t>
      </w:r>
    </w:p>
    <w:p>
      <w:pPr>
        <w:spacing w:after="0" w:line="104" w:lineRule="exact"/>
        <w:rPr>
          <w:sz w:val="20"/>
          <w:szCs w:val="20"/>
          <w:color w:val="auto"/>
        </w:rPr>
      </w:pPr>
    </w:p>
    <w:p>
      <w:pPr>
        <w:ind w:left="460" w:right="539" w:firstLine="432"/>
        <w:spacing w:after="0" w:line="279" w:lineRule="auto"/>
        <w:rPr>
          <w:sz w:val="20"/>
          <w:szCs w:val="20"/>
          <w:color w:val="auto"/>
        </w:rPr>
      </w:pPr>
      <w:r>
        <w:rPr>
          <w:rFonts w:ascii="Arial" w:cs="Arial" w:eastAsia="Arial" w:hAnsi="Arial"/>
          <w:sz w:val="17"/>
          <w:szCs w:val="17"/>
          <w:color w:val="auto"/>
        </w:rPr>
        <w:t>In addition, Tango employees and consultants hold equity awards, and after Business Combination, are expected to be granted, equity awards under the Equity Incentive Plan and purchase rights under the ESPP. You will experience additional dilution when those equity awards and purchase rights become vested and settled or exercisable, as applicable, for shares of New Tango’s common stock.</w:t>
      </w:r>
    </w:p>
    <w:p>
      <w:pPr>
        <w:spacing w:after="0" w:line="90"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The issuance of additional common stock will significantly dilute the equity interests of existing holders of BCTG securities and may adversely affect prevailing market prices for our public shares.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9" w:name="page100"/>
    <w:bookmarkEnd w:id="9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639"/>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the Proposed Charter and proposed amended and restated bylaws, as well as provisions of Delaware law, could impair a takeover attempt.</w:t>
      </w:r>
    </w:p>
    <w:p>
      <w:pPr>
        <w:spacing w:after="0" w:line="89"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Proposed Charter will contain provisions that may discourage unsolicited takeover proposals that stockholders may consider to be in their best interests. These provisions may make more difficult the removal of management and may discourage transactions that otherwise could involve payment of a premium over prevailing market prices for BCTG’s securities. These provisions are described in the section titled “</w:t>
      </w:r>
      <w:r>
        <w:rPr>
          <w:rFonts w:ascii="Arial" w:cs="Arial" w:eastAsia="Arial" w:hAnsi="Arial"/>
          <w:sz w:val="18"/>
          <w:szCs w:val="18"/>
          <w:i w:val="1"/>
          <w:iCs w:val="1"/>
          <w:color w:val="auto"/>
        </w:rPr>
        <w:t>Charter</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 Proposal</w:t>
      </w:r>
      <w:r>
        <w:rPr>
          <w:rFonts w:ascii="Arial" w:cs="Arial" w:eastAsia="Arial" w:hAnsi="Arial"/>
          <w:sz w:val="18"/>
          <w:szCs w:val="18"/>
          <w:color w:val="auto"/>
        </w:rPr>
        <w:t>.”</w:t>
      </w:r>
    </w:p>
    <w:p>
      <w:pPr>
        <w:spacing w:after="0" w:line="188" w:lineRule="exact"/>
        <w:rPr>
          <w:sz w:val="20"/>
          <w:szCs w:val="20"/>
          <w:color w:val="auto"/>
        </w:rPr>
      </w:pPr>
    </w:p>
    <w:p>
      <w:pPr>
        <w:ind w:left="460" w:right="819"/>
        <w:spacing w:after="0" w:line="263" w:lineRule="auto"/>
        <w:rPr>
          <w:sz w:val="20"/>
          <w:szCs w:val="20"/>
          <w:color w:val="auto"/>
        </w:rPr>
      </w:pPr>
      <w:r>
        <w:rPr>
          <w:rFonts w:ascii="Arial" w:cs="Arial" w:eastAsia="Arial" w:hAnsi="Arial"/>
          <w:sz w:val="18"/>
          <w:szCs w:val="18"/>
          <w:b w:val="1"/>
          <w:bCs w:val="1"/>
          <w:i w:val="1"/>
          <w:iCs w:val="1"/>
          <w:color w:val="auto"/>
        </w:rPr>
        <w:t>Activities taken by BCTG’s affiliates to purchase, directly or indirectly, Public Shares will increase the likelihood of approval of the Business Combination Proposal and the other Proposals and may affect the market price of the BCTG’s securities.</w:t>
      </w:r>
    </w:p>
    <w:p>
      <w:pPr>
        <w:spacing w:after="0" w:line="116" w:lineRule="exact"/>
        <w:rPr>
          <w:sz w:val="20"/>
          <w:szCs w:val="20"/>
          <w:color w:val="auto"/>
        </w:rPr>
      </w:pPr>
    </w:p>
    <w:p>
      <w:pPr>
        <w:ind w:left="460" w:right="459" w:firstLine="432"/>
        <w:spacing w:after="0" w:line="289" w:lineRule="auto"/>
        <w:rPr>
          <w:sz w:val="20"/>
          <w:szCs w:val="20"/>
          <w:color w:val="auto"/>
        </w:rPr>
      </w:pPr>
      <w:r>
        <w:rPr>
          <w:rFonts w:ascii="Arial" w:cs="Arial" w:eastAsia="Arial" w:hAnsi="Arial"/>
          <w:sz w:val="16"/>
          <w:szCs w:val="16"/>
          <w:color w:val="auto"/>
        </w:rPr>
        <w:t>BCTG’s Sponsor, directors, officers, advisors or their affiliates may purchase shares in privately negotiated transactions either prior to or following the consummation of the Business Combination. None of BCTG’s Sponsor, directors, officers, advisors or their affiliates will make any such purchases when such parties are in possession of any material non-public information not disclosed to the seller or during a restricted period under Regulation M under the Exchange Act. Although none of BCTG’s Sponsor, directors, officers, advisors or their affiliates currently anticipate paying any premium purchase price for such Public Shares, in the event such parties do, the payment of a premium may not be in the best interest of those stockholders not receiving any such additional consideration. There is no limit on the number of shares that could be acquired by BCTG’s Sponsor, directors, officers, advisors or their affiliates, or the price such parties may pay.</w:t>
      </w:r>
    </w:p>
    <w:p>
      <w:pPr>
        <w:spacing w:after="0" w:line="99"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If such transactions are effected, the consequence could be to cause the Business Combination to be approved in circumstances where such approval could not otherwise be obtained. Purchases of shares by the persons described above would allow them to exert more influence over the approval of the Business Combination Proposal and other proposals and would likely increase the chances that such Proposals would be approved. If the market does not view the Business Combination positively, purchases of Public Shares may have the effect of counteracting the market’s view, which would otherwise be reflected in a decline in the market price of BCTG’s securities. In addition, the termination of the support provided by these purchases may materially adversely affect the market price of BCTG’s securities.</w:t>
      </w:r>
    </w:p>
    <w:p>
      <w:pPr>
        <w:spacing w:after="0" w:line="84"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As of the date of this proxy statement/prospectus, no agreements with respect to the private purchase of Public Shares by BCTG or the persons described above have been entered into with any such investor or holder. BCTG will file a Current Report on Form 8-K with the SEC to disclose private arrangements entered into or significant private purchases made by any of the aforementioned persons that would affect the vote on the Business Combination Proposal or other proposals.</w:t>
      </w:r>
    </w:p>
    <w:p>
      <w:pPr>
        <w:spacing w:after="0" w:line="176" w:lineRule="exact"/>
        <w:rPr>
          <w:sz w:val="20"/>
          <w:szCs w:val="20"/>
          <w:color w:val="auto"/>
        </w:rPr>
      </w:pPr>
    </w:p>
    <w:p>
      <w:pPr>
        <w:ind w:left="460" w:right="699"/>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BCTG’s business, investments and results of operations.</w:t>
      </w:r>
    </w:p>
    <w:p>
      <w:pPr>
        <w:spacing w:after="0" w:line="103"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BCTG is subject to laws, regulations and rules enacted by national, regional and local governments. In particular, BCTG is required to comply with certain SEC, Nasdaq and other legal or regulatory requirements. Compliance with, and monitoring of, applicable laws, regulations and rules may be difficult, time consuming and costly. Those laws, regulations and rules and their interpretation and application may also change from time to time and those changes could have a material adverse effect on BCTG’s business, investments and results of operations. In addition, a failure to comply with applicable laws, regulations and rules, as interpreted and applied, could have a material adverse effect on BCTG’s business and results of operations.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0" w:name="page101"/>
    <w:bookmarkEnd w:id="10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the Redemption</w:t>
      </w:r>
    </w:p>
    <w:p>
      <w:pPr>
        <w:spacing w:after="0" w:line="229" w:lineRule="exact"/>
        <w:rPr>
          <w:sz w:val="20"/>
          <w:szCs w:val="20"/>
          <w:color w:val="auto"/>
        </w:rPr>
      </w:pPr>
    </w:p>
    <w:p>
      <w:pPr>
        <w:ind w:left="460" w:right="639"/>
        <w:spacing w:after="0" w:line="259" w:lineRule="auto"/>
        <w:rPr>
          <w:sz w:val="20"/>
          <w:szCs w:val="20"/>
          <w:color w:val="auto"/>
        </w:rPr>
      </w:pPr>
      <w:r>
        <w:rPr>
          <w:rFonts w:ascii="Arial" w:cs="Arial" w:eastAsia="Arial" w:hAnsi="Arial"/>
          <w:sz w:val="18"/>
          <w:szCs w:val="18"/>
          <w:b w:val="1"/>
          <w:bCs w:val="1"/>
          <w:i w:val="1"/>
          <w:iCs w:val="1"/>
          <w:color w:val="auto"/>
        </w:rPr>
        <w:t>If you or a “group” of stockholders of which you are a part are deemed to hold an aggregate of 20.0% or more of BCTG Common Stock issued in the BCTG IPO, you (or, if a member of such a group, all of the members of such group in the aggregate) will lose the ability to redeem all such shares of 20.0% or more of BCTG Common Stock issued in the BCTG IPO.</w:t>
      </w:r>
    </w:p>
    <w:p>
      <w:pPr>
        <w:spacing w:after="0" w:line="106" w:lineRule="exact"/>
        <w:rPr>
          <w:sz w:val="20"/>
          <w:szCs w:val="20"/>
          <w:color w:val="auto"/>
        </w:rPr>
      </w:pPr>
    </w:p>
    <w:p>
      <w:pPr>
        <w:ind w:left="460" w:right="499" w:firstLine="432"/>
        <w:spacing w:after="0" w:line="267" w:lineRule="auto"/>
        <w:rPr>
          <w:sz w:val="20"/>
          <w:szCs w:val="20"/>
          <w:color w:val="auto"/>
        </w:rPr>
      </w:pPr>
      <w:r>
        <w:rPr>
          <w:rFonts w:ascii="Arial" w:cs="Arial" w:eastAsia="Arial" w:hAnsi="Arial"/>
          <w:sz w:val="17"/>
          <w:szCs w:val="17"/>
          <w:color w:val="auto"/>
        </w:rPr>
        <w:t>A public stockholder, together with any of his, her or its affiliates or any other person with whom it is acting in concert or as a “group” (as defined under Section 13 of the Exchange Act), will be restricted from redeeming in the aggregate his, her or its shares or, if part of such a group, the group’s shares, of 15% or more of the shares of Common Stock sold in the BCTG IPO. BCTG refers to such shares in excess of an aggregation of 15% or more of the shares sold in the BCTG IPO as “</w:t>
      </w:r>
      <w:r>
        <w:rPr>
          <w:rFonts w:ascii="Arial" w:cs="Arial" w:eastAsia="Arial" w:hAnsi="Arial"/>
          <w:sz w:val="17"/>
          <w:szCs w:val="17"/>
          <w:b w:val="1"/>
          <w:bCs w:val="1"/>
          <w:color w:val="auto"/>
        </w:rPr>
        <w:t>Unredeemable Shares</w:t>
      </w:r>
      <w:r>
        <w:rPr>
          <w:rFonts w:ascii="Arial" w:cs="Arial" w:eastAsia="Arial" w:hAnsi="Arial"/>
          <w:sz w:val="17"/>
          <w:szCs w:val="17"/>
          <w:color w:val="auto"/>
        </w:rPr>
        <w:t>.” In order to determine whether a stockholder is acting in concert or as a group with another stockholder, BCTG will require each public stockholder seeking to exercise redemption rights to certify to BCTG whether such stockholder is acting in concert or as a group with any other stockholder. Such certifications, together with other public information relating to stock ownership available to BCTG at that time, such as Section 13D, Section 13G and Section 16 filings under the Exchange Act, will be the sole basis on which BCTG makes the above-referenced determination. Your inability to redeem any Unredeemable Shares will reduce your influence over BCTG’s ability to consummate the Business Combination and you could suffer a material loss on your investment in BCTG if you sell Unredeemable Shares in open market transactions. Additionally, you will not receive redemption distributions with respect to the Unredeemable Shares if BCTG consummates the Business Combination. As a result, in order to dispose of such shares, you would be required to sell your stock in open market transactions, potentially at a loss. Notwithstanding the foregoing, stockholders may challenge BCTG’s determination as to whether a stockholder is acting in concert or as a group with another stockholder in a court of competent jurisdiction.</w:t>
      </w:r>
    </w:p>
    <w:p>
      <w:pPr>
        <w:spacing w:after="0" w:line="190" w:lineRule="exact"/>
        <w:rPr>
          <w:sz w:val="20"/>
          <w:szCs w:val="20"/>
          <w:color w:val="auto"/>
        </w:rPr>
      </w:pPr>
    </w:p>
    <w:p>
      <w:pPr>
        <w:ind w:left="460" w:right="619"/>
        <w:spacing w:after="0" w:line="308" w:lineRule="auto"/>
        <w:rPr>
          <w:sz w:val="20"/>
          <w:szCs w:val="20"/>
          <w:color w:val="auto"/>
        </w:rPr>
      </w:pPr>
      <w:r>
        <w:rPr>
          <w:rFonts w:ascii="Arial" w:cs="Arial" w:eastAsia="Arial" w:hAnsi="Arial"/>
          <w:sz w:val="17"/>
          <w:szCs w:val="17"/>
          <w:b w:val="1"/>
          <w:bCs w:val="1"/>
          <w:i w:val="1"/>
          <w:iCs w:val="1"/>
          <w:color w:val="auto"/>
        </w:rPr>
        <w:t>There is no guarantee that a stockholder’s decision whether to redeem their shares for a pro rata portion of the Trust Account will put the stockholder in a better future economic position.</w:t>
      </w:r>
    </w:p>
    <w:p>
      <w:pPr>
        <w:spacing w:after="0" w:line="79"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BCTG can give no assurance as to the price at which a stockholder may be able to sell its Public Shares in the future following the completion of the Business Combination or any alternative business combination. Certain events following the consummation of any initial business combination, including this Business Combination, may cause an increase in BCTG’s share price, and may result in a lower value realized now for a stockholder redeeming their shares than a stockholder of BCTG might realize in the future. Similarly, if a stockholder does not redeem their shares, the stockholder will bear the risk of ownership of the Public Shares after the consummation of any initial business combination, and there can be no assurance that a stockholder can sell its shares in the future for a greater amount than the redemption price set forth in this proxy statement/prospectus. A stockholder should consult the stockholder’s own tax and/or financial advisor for assistance on how this may affect his, her or its individual situation.</w:t>
      </w:r>
    </w:p>
    <w:p>
      <w:pPr>
        <w:spacing w:after="0" w:line="168" w:lineRule="exact"/>
        <w:rPr>
          <w:sz w:val="20"/>
          <w:szCs w:val="20"/>
          <w:color w:val="auto"/>
        </w:rPr>
      </w:pPr>
    </w:p>
    <w:p>
      <w:pPr>
        <w:ind w:left="460" w:right="559"/>
        <w:spacing w:after="0" w:line="263" w:lineRule="auto"/>
        <w:rPr>
          <w:sz w:val="20"/>
          <w:szCs w:val="20"/>
          <w:color w:val="auto"/>
        </w:rPr>
      </w:pPr>
      <w:r>
        <w:rPr>
          <w:rFonts w:ascii="Arial" w:cs="Arial" w:eastAsia="Arial" w:hAnsi="Arial"/>
          <w:sz w:val="18"/>
          <w:szCs w:val="18"/>
          <w:b w:val="1"/>
          <w:bCs w:val="1"/>
          <w:i w:val="1"/>
          <w:iCs w:val="1"/>
          <w:color w:val="auto"/>
        </w:rPr>
        <w:t>If BCTG’s stockholders fail to comply with the redemption requirements specified in this proxy statement/ prospectus, they will not be entitled to redeem their shares of BCTG Common Stock for a pro rata portion of the funds held in the Trust Account.</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Holders of Public Shares are required to affirmatively vote either for or against the Business Combination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Proposal in order to exercise their rights to redeem their shares for a pro rata portion of the Trust Account. In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 in order to exercise their redemption rights, they are required to submit a request in writing and deliver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their stock (either physically or electronically) to BCTG’s transfer agent at least two (2) business days prior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Special Meeting. Stockholders electing to redeem their shares will receive their pro rata portion of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aggregate amount then on deposit in the Trust Account, including interest earned on the funds held in the Trust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 and not previously released to it to pay BCTG’s franchise and income taxes, calculated as of two (2)</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business days prior to the anticipated consummation of the Business Combination. See the section titled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Special Meeting of BCTG Stockholders — Redemption Rights</w:t>
      </w:r>
      <w:r>
        <w:rPr>
          <w:rFonts w:ascii="Arial" w:cs="Arial" w:eastAsia="Arial" w:hAnsi="Arial"/>
          <w:sz w:val="16"/>
          <w:szCs w:val="16"/>
          <w:color w:val="auto"/>
        </w:rPr>
        <w:t>” for additional information on how to exercise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redemption rights.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1" w:name="page102"/>
    <w:bookmarkEnd w:id="10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639"/>
        <w:spacing w:after="0" w:line="263" w:lineRule="auto"/>
        <w:rPr>
          <w:sz w:val="20"/>
          <w:szCs w:val="20"/>
          <w:color w:val="auto"/>
        </w:rPr>
      </w:pPr>
      <w:r>
        <w:rPr>
          <w:rFonts w:ascii="Arial" w:cs="Arial" w:eastAsia="Arial" w:hAnsi="Arial"/>
          <w:sz w:val="18"/>
          <w:szCs w:val="18"/>
          <w:b w:val="1"/>
          <w:bCs w:val="1"/>
          <w:i w:val="1"/>
          <w:iCs w:val="1"/>
          <w:color w:val="auto"/>
        </w:rPr>
        <w:t>BCTG’s public stockholders who wish to redeem their shares for a pro rata portion of the Trust Account must comply with specific requirements for redemption that may make it more difficult for them to exercise their redemption rights prior to the deadline.</w:t>
      </w:r>
    </w:p>
    <w:p>
      <w:pPr>
        <w:spacing w:after="0" w:line="103" w:lineRule="exact"/>
        <w:rPr>
          <w:sz w:val="20"/>
          <w:szCs w:val="20"/>
          <w:color w:val="auto"/>
        </w:rPr>
      </w:pPr>
    </w:p>
    <w:p>
      <w:pPr>
        <w:ind w:left="460" w:right="559" w:firstLine="432"/>
        <w:spacing w:after="0" w:line="287" w:lineRule="auto"/>
        <w:rPr>
          <w:sz w:val="20"/>
          <w:szCs w:val="20"/>
          <w:color w:val="auto"/>
        </w:rPr>
      </w:pPr>
      <w:r>
        <w:rPr>
          <w:rFonts w:ascii="Arial" w:cs="Arial" w:eastAsia="Arial" w:hAnsi="Arial"/>
          <w:sz w:val="16"/>
          <w:szCs w:val="16"/>
          <w:color w:val="auto"/>
        </w:rPr>
        <w:t>BCTG’s public stockholders who wish to redeem their shares for a pro rata portion of the Trust Account must, among other things as fully described in the section titled “</w:t>
      </w:r>
      <w:r>
        <w:rPr>
          <w:rFonts w:ascii="Arial" w:cs="Arial" w:eastAsia="Arial" w:hAnsi="Arial"/>
          <w:sz w:val="16"/>
          <w:szCs w:val="16"/>
          <w:i w:val="1"/>
          <w:iCs w:val="1"/>
          <w:color w:val="auto"/>
        </w:rPr>
        <w:t>Special Meeting of BCTG Stockholders —</w:t>
      </w:r>
      <w:r>
        <w:rPr>
          <w:rFonts w:ascii="Arial" w:cs="Arial" w:eastAsia="Arial" w:hAnsi="Arial"/>
          <w:sz w:val="16"/>
          <w:szCs w:val="16"/>
          <w:color w:val="auto"/>
        </w:rPr>
        <w:t xml:space="preserve"> </w:t>
      </w:r>
      <w:r>
        <w:rPr>
          <w:rFonts w:ascii="Arial" w:cs="Arial" w:eastAsia="Arial" w:hAnsi="Arial"/>
          <w:sz w:val="16"/>
          <w:szCs w:val="16"/>
          <w:i w:val="1"/>
          <w:iCs w:val="1"/>
          <w:color w:val="auto"/>
        </w:rPr>
        <w:t>Redemption Rights,</w:t>
      </w:r>
      <w:r>
        <w:rPr>
          <w:rFonts w:ascii="Arial" w:cs="Arial" w:eastAsia="Arial" w:hAnsi="Arial"/>
          <w:sz w:val="16"/>
          <w:szCs w:val="16"/>
          <w:color w:val="auto"/>
        </w:rPr>
        <w:t>” tender their certificates to BCTG’s transfer agent or deliver their shares to the transfer</w:t>
      </w:r>
      <w:r>
        <w:rPr>
          <w:rFonts w:ascii="Arial" w:cs="Arial" w:eastAsia="Arial" w:hAnsi="Arial"/>
          <w:sz w:val="16"/>
          <w:szCs w:val="16"/>
          <w:i w:val="1"/>
          <w:iCs w:val="1"/>
          <w:color w:val="auto"/>
        </w:rPr>
        <w:t xml:space="preserve"> </w:t>
      </w:r>
      <w:r>
        <w:rPr>
          <w:rFonts w:ascii="Arial" w:cs="Arial" w:eastAsia="Arial" w:hAnsi="Arial"/>
          <w:sz w:val="16"/>
          <w:szCs w:val="16"/>
          <w:color w:val="auto"/>
        </w:rPr>
        <w:t>agent electronically through the DTC at least two business days prior to the Special Meeting. In order to obtain a physical stock certificate, a stockholder’s broker and/or clearing broker, DTC and BCTG’s transfer agent will need to act to facilitate this request. It is BCTG’s understanding that stockholders should generally allot at least two weeks to obtain physical certificates from the transfer agent. However, because BCTG does not have any control over this process or over the brokers, which BCTG refers to as “</w:t>
      </w:r>
      <w:r>
        <w:rPr>
          <w:rFonts w:ascii="Arial" w:cs="Arial" w:eastAsia="Arial" w:hAnsi="Arial"/>
          <w:sz w:val="16"/>
          <w:szCs w:val="16"/>
          <w:b w:val="1"/>
          <w:bCs w:val="1"/>
          <w:color w:val="auto"/>
        </w:rPr>
        <w:t>DTC</w:t>
      </w:r>
      <w:r>
        <w:rPr>
          <w:rFonts w:ascii="Arial" w:cs="Arial" w:eastAsia="Arial" w:hAnsi="Arial"/>
          <w:sz w:val="16"/>
          <w:szCs w:val="16"/>
          <w:color w:val="auto"/>
        </w:rPr>
        <w:t>,” it may take significantly longer than two weeks to obtain a physical stock certificate. If it takes longer than anticipated to obtain a physical certificate, stockholders who wish to redeem their shares may be unable to obtain physical certificates by the deadline for exercising their redemption rights and thus will be unable to redeem their shares.</w:t>
      </w:r>
    </w:p>
    <w:p>
      <w:pPr>
        <w:spacing w:after="0" w:line="172" w:lineRule="exact"/>
        <w:rPr>
          <w:sz w:val="20"/>
          <w:szCs w:val="20"/>
          <w:color w:val="auto"/>
        </w:rPr>
      </w:pPr>
    </w:p>
    <w:p>
      <w:pPr>
        <w:ind w:left="460" w:right="559"/>
        <w:spacing w:after="0" w:line="342" w:lineRule="auto"/>
        <w:rPr>
          <w:sz w:val="20"/>
          <w:szCs w:val="20"/>
          <w:color w:val="auto"/>
        </w:rPr>
      </w:pPr>
      <w:r>
        <w:rPr>
          <w:rFonts w:ascii="Arial" w:cs="Arial" w:eastAsia="Arial" w:hAnsi="Arial"/>
          <w:sz w:val="16"/>
          <w:szCs w:val="16"/>
          <w:b w:val="1"/>
          <w:bCs w:val="1"/>
          <w:i w:val="1"/>
          <w:iCs w:val="1"/>
          <w:color w:val="auto"/>
        </w:rPr>
        <w:t>The ability to execute BCTG’s strategic plan could be negatively impacted to the extent a significant number of stockholders choose to redeem their shares in connection with the Business Combination.</w:t>
      </w:r>
    </w:p>
    <w:p>
      <w:pPr>
        <w:spacing w:after="0" w:line="56"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In the event the aggregate cash consideration BCTG would be required to pay for all shares of Common Stock that are validly submitted for redemption plus any amount required to satisfy cash conditions pursuant to the terms of the Merger Agreement exceeds the aggregate amount of cash available to BCTG, BCTG may be required to increase the financial leverage BCTG’s business would have to support. This may negatively impact BCTG’s ability to execute on its own future strategic plan.</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the Combined Entity and the Business Combination</w:t>
      </w:r>
    </w:p>
    <w:p>
      <w:pPr>
        <w:spacing w:after="0" w:line="229" w:lineRule="exact"/>
        <w:rPr>
          <w:sz w:val="20"/>
          <w:szCs w:val="20"/>
          <w:color w:val="auto"/>
        </w:rPr>
      </w:pPr>
    </w:p>
    <w:p>
      <w:pPr>
        <w:jc w:val="both"/>
        <w:ind w:left="460" w:right="919"/>
        <w:spacing w:after="0" w:line="263" w:lineRule="auto"/>
        <w:rPr>
          <w:sz w:val="20"/>
          <w:szCs w:val="20"/>
          <w:color w:val="auto"/>
        </w:rPr>
      </w:pPr>
      <w:r>
        <w:rPr>
          <w:rFonts w:ascii="Arial" w:cs="Arial" w:eastAsia="Arial" w:hAnsi="Arial"/>
          <w:sz w:val="18"/>
          <w:szCs w:val="18"/>
          <w:b w:val="1"/>
          <w:bCs w:val="1"/>
          <w:i w:val="1"/>
          <w:iCs w:val="1"/>
          <w:color w:val="auto"/>
        </w:rPr>
        <w:t>Following the consummation of the Business Combination, New Tango will incur significant increased expenses and administrative burdens as a public company, which could negatively impact its business, financial condition and results of operations.</w:t>
      </w:r>
    </w:p>
    <w:p>
      <w:pPr>
        <w:spacing w:after="0" w:line="103" w:lineRule="exact"/>
        <w:rPr>
          <w:sz w:val="20"/>
          <w:szCs w:val="20"/>
          <w:color w:val="auto"/>
        </w:rPr>
      </w:pPr>
    </w:p>
    <w:p>
      <w:pPr>
        <w:ind w:left="460" w:right="499" w:firstLine="432"/>
        <w:spacing w:after="0" w:line="284" w:lineRule="auto"/>
        <w:rPr>
          <w:sz w:val="20"/>
          <w:szCs w:val="20"/>
          <w:color w:val="auto"/>
        </w:rPr>
      </w:pPr>
      <w:r>
        <w:rPr>
          <w:rFonts w:ascii="Arial" w:cs="Arial" w:eastAsia="Arial" w:hAnsi="Arial"/>
          <w:sz w:val="16"/>
          <w:szCs w:val="16"/>
          <w:color w:val="auto"/>
        </w:rPr>
        <w:t>Following the consummation of the Business Combination, New Tango will face increased legal, accounting, administrative and other costs and expenses as a public company that Tango does not incur as a private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more time consuming. A number of those requirements will require New Tango to carry out activities Tango has not done previously. For example, New Tango will create new board committees and adopt new internal controls and disclosure controls and procedures. In addition, expenses associated with SEC reporting requirements will be incurred. Furthermore, if any issues in complying with those requirements are identified (for example, if management or the auditors identify a material weakness or significant deficiency in the internal control over financial reporting), New Tango could incur additional costs rectifying those issues, and the existence of those issues could adversely affect New Tango’s reputation or investor perceptions of it. It may also be more expensive to obtain director and officer liability insurance. Risks associated with New Tango’s status as a public company may make it more difficult to attract and retain qualified persons to serve on New Tango’s board of directors or as executive officers. The additional reporting and other obligations imposed by these rules and regulations will increase legal and financial compliance costs and the costs of related legal, accounting and administrative activities. These increased costs will require New Tango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New Tango’s failure to timely and effectively implement controls and procedures required by</w:t>
      </w:r>
    </w:p>
    <w:p>
      <w:pPr>
        <w:spacing w:after="0" w:line="23" w:lineRule="exact"/>
        <w:rPr>
          <w:sz w:val="20"/>
          <w:szCs w:val="20"/>
          <w:color w:val="auto"/>
        </w:rPr>
      </w:pPr>
    </w:p>
    <w:p>
      <w:pPr>
        <w:ind w:left="460" w:right="999"/>
        <w:spacing w:after="0" w:line="260" w:lineRule="auto"/>
        <w:rPr>
          <w:sz w:val="20"/>
          <w:szCs w:val="20"/>
          <w:color w:val="auto"/>
        </w:rPr>
      </w:pPr>
      <w:r>
        <w:rPr>
          <w:rFonts w:ascii="Arial" w:cs="Arial" w:eastAsia="Arial" w:hAnsi="Arial"/>
          <w:sz w:val="18"/>
          <w:szCs w:val="18"/>
          <w:b w:val="1"/>
          <w:bCs w:val="1"/>
          <w:i w:val="1"/>
          <w:iCs w:val="1"/>
          <w:color w:val="auto"/>
        </w:rPr>
        <w:t>Section 404(a)of the Sarbanes-Oxley Act that will be applicable to it after the Business Combination is consummated could negatively impact its business.</w:t>
      </w:r>
    </w:p>
    <w:p>
      <w:pPr>
        <w:spacing w:after="0" w:line="118" w:lineRule="exact"/>
        <w:rPr>
          <w:sz w:val="20"/>
          <w:szCs w:val="20"/>
          <w:color w:val="auto"/>
        </w:rPr>
      </w:pPr>
    </w:p>
    <w:p>
      <w:pPr>
        <w:ind w:left="460" w:right="619" w:firstLine="432"/>
        <w:spacing w:after="0" w:line="269" w:lineRule="auto"/>
        <w:rPr>
          <w:sz w:val="20"/>
          <w:szCs w:val="20"/>
          <w:color w:val="auto"/>
        </w:rPr>
      </w:pPr>
      <w:r>
        <w:rPr>
          <w:rFonts w:ascii="Arial" w:cs="Arial" w:eastAsia="Arial" w:hAnsi="Arial"/>
          <w:sz w:val="17"/>
          <w:szCs w:val="17"/>
          <w:color w:val="auto"/>
        </w:rPr>
        <w:t>Tango is currently not subject to Section 404 of the Sarbanes-Oxley Act. However, following the consummation of the Business Combination, New Tango will be required to provide management’s attestation on internal controls. The standards required for a public company under Section 404(a) of the Sarbanes-Oxley Act are significantly more stringent than those required of Tango as a privately held company. Management may not be able to effectively and timely implement controls and procedures that adequately respond to the increased regulatory compliance and reporting requirements that will be applicable after the Business Combination. If New Tango is not able to implement the additional requirements of Section 404(a) in a timely manner or with adequate compliance, it may not be able to assess whether its internal controls over financial reporting are effective, which may subject it to adverse regulatory consequences and could harm investor confidence and the market price of its securities.</w:t>
      </w:r>
    </w:p>
    <w:p>
      <w:pPr>
        <w:spacing w:after="0" w:line="172" w:lineRule="exact"/>
        <w:rPr>
          <w:sz w:val="20"/>
          <w:szCs w:val="20"/>
          <w:color w:val="auto"/>
        </w:rPr>
      </w:pPr>
    </w:p>
    <w:p>
      <w:pPr>
        <w:ind w:left="460" w:right="499"/>
        <w:spacing w:after="0" w:line="301" w:lineRule="auto"/>
        <w:rPr>
          <w:sz w:val="20"/>
          <w:szCs w:val="20"/>
          <w:color w:val="auto"/>
        </w:rPr>
      </w:pPr>
      <w:r>
        <w:rPr>
          <w:rFonts w:ascii="Arial" w:cs="Arial" w:eastAsia="Arial" w:hAnsi="Arial"/>
          <w:sz w:val="16"/>
          <w:szCs w:val="16"/>
          <w:b w:val="1"/>
          <w:bCs w:val="1"/>
          <w:i w:val="1"/>
          <w:iCs w:val="1"/>
          <w:color w:val="auto"/>
        </w:rPr>
        <w:t>New Tango will qualify as an “emerging growth company” within the meaning of the Securities Act, and if it takes advantage of certain exemptions from disclosure requirements available to emerging growth companies, it could make New Tango’s securities less attractive to investors and may make it more difficult to compare New Tango’s performance to the performance of other public companies.</w:t>
      </w:r>
    </w:p>
    <w:p>
      <w:pPr>
        <w:spacing w:after="0" w:line="76"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New Tango will qualify as an “emerging growth company” as defined in Section 2(a)(19) of the Securities Act, as modified by the JOBS Act. As such, New Tango will be eligible for and intends to take advantage of certain exemptions from various reporting requirements applicable to other public companies that are not emerging growth companies for as long as it continues to be an emerging growth company, including (a) the exemption from the auditor attestation requirements with respect to internal control over financial reporting under Section 404(b) of the Sarbanes-Oxley Act, (b) the exemptions from say- on-pay, say-on-frequency and say-on-golden parachute voting requirements and (c) reduced disclosure obligations regarding executive compensation in its periodic reports and proxy statements. New Tango will remain an emerging growth company until the earliest of (i) the last day of the fiscal year in which the market value of BCTG Common Stock that is held by non-affiliates exceeds $700 million as of June 30 of that fiscal year, (ii) the last day of the fiscal year in which it has total annual gross revenue of $1.07 billion or more during such fiscal year (as indexed for inflation), (iii) the date on which it has issued more than $1 billion in non-convertible debt in the prior three-year period or (iv) the last day of the fiscal year following the fifth anniversary of the date of the first sale of BCTG Common Stock in the BCTG IPO. In addition, Section 107 of the JOBS Act also provides that an emerging growth company can take advantage of the exemption from complying with new or revised accounting standards provided in Section 7(a)(2)(B) of the Securities Act as long as New Tango is an emerging growth company. An emerging growth company can therefore delay the adoption of certain accounting standards until those standards would otherwise apply to private companies. We have elected not to opt out of such extended transition period and, therefore, New Tango may not be subject to the same new or revised accounting standards as other public companies that are not emerging growth companies. Investors may find BCTG Common Stock less attractive because New Tango will rely on these exemptions, which may result in a less active trading market for the BCTG Common Stock and its price may be more volatile.</w:t>
      </w:r>
    </w:p>
    <w:p>
      <w:pPr>
        <w:spacing w:after="0" w:line="178" w:lineRule="exact"/>
        <w:rPr>
          <w:sz w:val="20"/>
          <w:szCs w:val="20"/>
          <w:color w:val="auto"/>
        </w:rPr>
      </w:pPr>
    </w:p>
    <w:p>
      <w:pPr>
        <w:ind w:left="460" w:right="479"/>
        <w:spacing w:after="0" w:line="257" w:lineRule="auto"/>
        <w:rPr>
          <w:sz w:val="20"/>
          <w:szCs w:val="20"/>
          <w:color w:val="auto"/>
        </w:rPr>
      </w:pPr>
      <w:r>
        <w:rPr>
          <w:rFonts w:ascii="Arial" w:cs="Arial" w:eastAsia="Arial" w:hAnsi="Arial"/>
          <w:sz w:val="18"/>
          <w:szCs w:val="18"/>
          <w:b w:val="1"/>
          <w:bCs w:val="1"/>
          <w:i w:val="1"/>
          <w:iCs w:val="1"/>
          <w:color w:val="auto"/>
        </w:rPr>
        <w:t>New Tango’s amended and restated certificate of incorporation will provide that the Court of Chancery of the State of Delaware and the federal district courts of the United States of America will be the exclusive forums for substantially all disputes between New Tango and its stockholders, which could limit New Tango’s stockholders’ ability to obtain a favorable judicial forum for disputes with New Tango or its directors, officers, or employees.</w:t>
      </w:r>
    </w:p>
    <w:p>
      <w:pPr>
        <w:spacing w:after="0" w:line="120"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New Tango’s amended and restated certificate of incorporation will provide that the Court of Chancery of the State of Delaware is the exclusive forum for:</w:t>
      </w:r>
    </w:p>
    <w:p>
      <w:pPr>
        <w:spacing w:after="0" w:line="103" w:lineRule="exact"/>
        <w:rPr>
          <w:sz w:val="20"/>
          <w:szCs w:val="20"/>
          <w:color w:val="auto"/>
        </w:rPr>
      </w:pPr>
    </w:p>
    <w:p>
      <w:pPr>
        <w:ind w:left="1300" w:hanging="414"/>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derivative action or proceeding brought on its behalf;</w:t>
      </w:r>
    </w:p>
    <w:p>
      <w:pPr>
        <w:spacing w:after="0" w:line="144" w:lineRule="exact"/>
        <w:rPr>
          <w:rFonts w:ascii="Arial" w:cs="Arial" w:eastAsia="Arial" w:hAnsi="Arial"/>
          <w:sz w:val="18"/>
          <w:szCs w:val="18"/>
          <w:color w:val="auto"/>
        </w:rPr>
      </w:pPr>
    </w:p>
    <w:p>
      <w:pPr>
        <w:ind w:left="1320" w:right="939" w:hanging="434"/>
        <w:spacing w:after="0" w:line="277" w:lineRule="auto"/>
        <w:tabs>
          <w:tab w:leader="none" w:pos="131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action asserting a breach of fiduciary duty owed by any of New Tango’s current or former directors, officers, or other employees to New Tango or its stockholders;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3" w:name="page104"/>
    <w:bookmarkEnd w:id="10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699" w:hanging="434"/>
        <w:spacing w:after="0" w:line="259" w:lineRule="auto"/>
        <w:tabs>
          <w:tab w:leader="none" w:pos="131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action asserting a claim against New Tango owed by any of New Tango’s current or former directors, officers, or other employees to New Tango or its stockholders arising under the DGCL, New Tango’s amended and restated certificate of incorporation, or New Tango’s amended and restated bylaws;</w:t>
      </w:r>
    </w:p>
    <w:p>
      <w:pPr>
        <w:spacing w:after="0" w:line="119" w:lineRule="exact"/>
        <w:rPr>
          <w:rFonts w:ascii="Arial" w:cs="Arial" w:eastAsia="Arial" w:hAnsi="Arial"/>
          <w:sz w:val="18"/>
          <w:szCs w:val="18"/>
          <w:color w:val="auto"/>
        </w:rPr>
      </w:pPr>
    </w:p>
    <w:p>
      <w:pPr>
        <w:ind w:left="1320" w:right="699" w:hanging="434"/>
        <w:spacing w:after="0" w:line="263" w:lineRule="auto"/>
        <w:tabs>
          <w:tab w:leader="none" w:pos="131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action or proceeding to interpret, apply, enforce or determine the validity of the amended and restated certificate of incorporation or the amended or restated bylaws (including any right, obligation, or remedy thereunder);</w:t>
      </w:r>
    </w:p>
    <w:p>
      <w:pPr>
        <w:spacing w:after="0" w:line="116" w:lineRule="exact"/>
        <w:rPr>
          <w:rFonts w:ascii="Arial" w:cs="Arial" w:eastAsia="Arial" w:hAnsi="Arial"/>
          <w:sz w:val="18"/>
          <w:szCs w:val="18"/>
          <w:color w:val="auto"/>
        </w:rPr>
      </w:pPr>
    </w:p>
    <w:p>
      <w:pPr>
        <w:ind w:left="1320" w:right="539" w:hanging="434"/>
        <w:spacing w:after="0" w:line="277" w:lineRule="auto"/>
        <w:tabs>
          <w:tab w:leader="none" w:pos="131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action or proceeding as to which the DGCL confers jurisdiction to the Court of Chancery of the State of Delaware;</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action asserting a claim against New Tango;</w:t>
      </w:r>
    </w:p>
    <w:p>
      <w:pPr>
        <w:spacing w:after="0" w:line="157" w:lineRule="exact"/>
        <w:rPr>
          <w:rFonts w:ascii="Arial" w:cs="Arial" w:eastAsia="Arial" w:hAnsi="Arial"/>
          <w:sz w:val="18"/>
          <w:szCs w:val="18"/>
          <w:color w:val="auto"/>
        </w:rPr>
      </w:pPr>
    </w:p>
    <w:p>
      <w:pPr>
        <w:ind w:left="1320" w:right="699" w:hanging="434"/>
        <w:spacing w:after="0" w:line="263" w:lineRule="auto"/>
        <w:tabs>
          <w:tab w:leader="none" w:pos="131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action or proceeding to interpret, apply, enforce or determine the validity of the amended and restated certificate of incorporation or the amended or restated bylaws (including any right, obligation, or remedy thereunder); and</w:t>
      </w:r>
    </w:p>
    <w:p>
      <w:pPr>
        <w:spacing w:after="0" w:line="116" w:lineRule="exact"/>
        <w:rPr>
          <w:rFonts w:ascii="Arial" w:cs="Arial" w:eastAsia="Arial" w:hAnsi="Arial"/>
          <w:sz w:val="18"/>
          <w:szCs w:val="18"/>
          <w:color w:val="auto"/>
        </w:rPr>
      </w:pPr>
    </w:p>
    <w:p>
      <w:pPr>
        <w:ind w:left="1320" w:right="539" w:hanging="434"/>
        <w:spacing w:after="0" w:line="277" w:lineRule="auto"/>
        <w:tabs>
          <w:tab w:leader="none" w:pos="131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action or proceeding as to which the DGCL confers jurisdiction to the Court of Chancery of the State of Delaware; and that is governed by the internal-affairs doctrine.</w:t>
      </w:r>
    </w:p>
    <w:p>
      <w:pPr>
        <w:spacing w:after="0" w:line="89"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This exclusive-forum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Proposed Charter provides that the federal district courts of the United States of America will be the exclusive forum for resolving any complaint asserting a cause of action arising under the Securities Act.</w:t>
      </w:r>
    </w:p>
    <w:p>
      <w:pPr>
        <w:spacing w:after="0" w:line="110" w:lineRule="exact"/>
        <w:rPr>
          <w:sz w:val="20"/>
          <w:szCs w:val="20"/>
          <w:color w:val="auto"/>
        </w:rPr>
      </w:pPr>
    </w:p>
    <w:p>
      <w:pPr>
        <w:ind w:left="460" w:right="639" w:firstLine="432"/>
        <w:spacing w:after="0" w:line="255"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New Tango or its directors, officers, or other employees, which may discourage lawsuits against New Tango and its directors, officers, and other employees. If a court were to find either exclusive-forum provision in the Proposed Charter to be inapplicable or unenforceable in an action, it may incur additional costs associated with resolving the dispute in other jurisdictions, which could harm New Tango’s business.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4" w:name="page105"/>
    <w:bookmarkEnd w:id="10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This proxy statement/prospectus contains forward-looking statements. Forward-looking statements provide BCTG’s and Tango’s current expectations or forecasts of future events. Forward-looking statements include statements about BCTG’s and Tango’s expectations, beliefs, plans, objectives, intentions, assumptions and other statements that are not historical facts.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 Forward-looking statements relating to BCTG in this proxy statement/prospectus include, but are not limited to, statements about BCTG’s:</w:t>
      </w:r>
    </w:p>
    <w:p>
      <w:pPr>
        <w:spacing w:after="0" w:line="98" w:lineRule="exact"/>
        <w:rPr>
          <w:sz w:val="20"/>
          <w:szCs w:val="20"/>
          <w:color w:val="auto"/>
        </w:rPr>
      </w:pPr>
    </w:p>
    <w:p>
      <w:pPr>
        <w:ind w:left="1300" w:hanging="414"/>
        <w:spacing w:after="0"/>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benefits from the Business Combination;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ability to complete an initial business combination, including the Business Combination;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future financial performance following the Business Combination;</w:t>
      </w:r>
    </w:p>
    <w:p>
      <w:pPr>
        <w:spacing w:after="0" w:line="157" w:lineRule="exact"/>
        <w:rPr>
          <w:rFonts w:ascii="Arial" w:cs="Arial" w:eastAsia="Arial" w:hAnsi="Arial"/>
          <w:sz w:val="18"/>
          <w:szCs w:val="18"/>
          <w:color w:val="auto"/>
        </w:rPr>
      </w:pPr>
    </w:p>
    <w:p>
      <w:pPr>
        <w:ind w:left="1320" w:right="719" w:hanging="434"/>
        <w:spacing w:after="0" w:line="277" w:lineRule="auto"/>
        <w:tabs>
          <w:tab w:leader="none" w:pos="131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success in retaining or recruiting, or changes required in, our officers, key employees or directors following an initial business combination;</w:t>
      </w:r>
    </w:p>
    <w:p>
      <w:pPr>
        <w:spacing w:after="0" w:line="102" w:lineRule="exact"/>
        <w:rPr>
          <w:rFonts w:ascii="Arial" w:cs="Arial" w:eastAsia="Arial" w:hAnsi="Arial"/>
          <w:sz w:val="18"/>
          <w:szCs w:val="18"/>
          <w:color w:val="auto"/>
        </w:rPr>
      </w:pPr>
    </w:p>
    <w:p>
      <w:pPr>
        <w:ind w:left="1320" w:right="539" w:hanging="434"/>
        <w:spacing w:after="0" w:line="263" w:lineRule="auto"/>
        <w:tabs>
          <w:tab w:leader="none" w:pos="131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officers and directors allocating their time to other businesses and potentially having conflicts of interest with Tango’s business or in approving our initial business combination, as a result of which they would then receive expense reimbursements;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public securities’ potential liquidity and trading;</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use of proceeds not held in the Trust Account;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impact from the outcome of any known and unknown litigation.</w:t>
      </w:r>
    </w:p>
    <w:p>
      <w:pPr>
        <w:spacing w:after="0" w:line="144" w:lineRule="exact"/>
        <w:rPr>
          <w:sz w:val="20"/>
          <w:szCs w:val="20"/>
          <w:color w:val="auto"/>
        </w:rPr>
      </w:pPr>
    </w:p>
    <w:p>
      <w:pPr>
        <w:ind w:left="460" w:right="899" w:firstLine="432"/>
        <w:spacing w:after="0" w:line="277" w:lineRule="auto"/>
        <w:rPr>
          <w:sz w:val="20"/>
          <w:szCs w:val="20"/>
          <w:color w:val="auto"/>
        </w:rPr>
      </w:pPr>
      <w:r>
        <w:rPr>
          <w:rFonts w:ascii="Arial" w:cs="Arial" w:eastAsia="Arial" w:hAnsi="Arial"/>
          <w:sz w:val="18"/>
          <w:szCs w:val="18"/>
          <w:color w:val="auto"/>
        </w:rPr>
        <w:t>Forward-looking statements relating to Tango in this proxy statement/prospectus include, but are not limited to, statements about:</w:t>
      </w:r>
    </w:p>
    <w:p>
      <w:pPr>
        <w:spacing w:after="0" w:line="103" w:lineRule="exact"/>
        <w:rPr>
          <w:sz w:val="20"/>
          <w:szCs w:val="20"/>
          <w:color w:val="auto"/>
        </w:rPr>
      </w:pPr>
    </w:p>
    <w:p>
      <w:pPr>
        <w:ind w:left="1320" w:right="479" w:hanging="434"/>
        <w:spacing w:after="0" w:line="301" w:lineRule="auto"/>
        <w:tabs>
          <w:tab w:leader="none" w:pos="1311"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initiation, timing, progress, results, and cost of Tango’s research and development programs and its current and future preclinical studies and clinical trials, including statements regarding the timing of initiation and completion of studies or trials and related preparatory work, the period during which the results of the trials will become available, and its research and development programs;</w:t>
      </w:r>
    </w:p>
    <w:p>
      <w:pPr>
        <w:spacing w:after="0" w:line="89" w:lineRule="exact"/>
        <w:rPr>
          <w:rFonts w:ascii="Arial" w:cs="Arial" w:eastAsia="Arial" w:hAnsi="Arial"/>
          <w:sz w:val="16"/>
          <w:szCs w:val="16"/>
          <w:color w:val="auto"/>
        </w:rPr>
      </w:pPr>
    </w:p>
    <w:p>
      <w:pPr>
        <w:ind w:left="1300" w:hanging="414"/>
        <w:spacing w:after="0"/>
        <w:tabs>
          <w:tab w:leader="none" w:pos="13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Tango’s ability to discover and develop product candidates efficiently;</w:t>
      </w:r>
    </w:p>
    <w:p>
      <w:pPr>
        <w:spacing w:after="0" w:line="144" w:lineRule="exact"/>
        <w:rPr>
          <w:rFonts w:ascii="Arial" w:cs="Arial" w:eastAsia="Arial" w:hAnsi="Arial"/>
          <w:sz w:val="18"/>
          <w:szCs w:val="18"/>
          <w:color w:val="auto"/>
        </w:rPr>
      </w:pPr>
    </w:p>
    <w:p>
      <w:pPr>
        <w:ind w:left="1320" w:right="1039" w:hanging="434"/>
        <w:spacing w:after="0" w:line="263" w:lineRule="auto"/>
        <w:tabs>
          <w:tab w:leader="none" w:pos="131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Tango’s ability and the potential to manufacture its drug substances and product candidates successfully for preclinical use, for clinical trials and on a larger scale for commercial use, if approved;</w:t>
      </w:r>
    </w:p>
    <w:p>
      <w:pPr>
        <w:spacing w:after="0" w:line="116" w:lineRule="exact"/>
        <w:rPr>
          <w:rFonts w:ascii="Arial" w:cs="Arial" w:eastAsia="Arial" w:hAnsi="Arial"/>
          <w:sz w:val="18"/>
          <w:szCs w:val="18"/>
          <w:color w:val="auto"/>
        </w:rPr>
      </w:pPr>
    </w:p>
    <w:p>
      <w:pPr>
        <w:ind w:left="1320" w:right="759" w:hanging="434"/>
        <w:spacing w:after="0" w:line="308" w:lineRule="auto"/>
        <w:tabs>
          <w:tab w:leader="none" w:pos="1311"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ability and willingness of Tango’s third-party strategic collaborators to continue research and development activities relating to its development candidates and product candidates;</w:t>
      </w:r>
    </w:p>
    <w:p>
      <w:pPr>
        <w:spacing w:after="0" w:line="78" w:lineRule="exact"/>
        <w:rPr>
          <w:rFonts w:ascii="Arial" w:cs="Arial" w:eastAsia="Arial" w:hAnsi="Arial"/>
          <w:sz w:val="17"/>
          <w:szCs w:val="17"/>
          <w:color w:val="auto"/>
        </w:rPr>
      </w:pPr>
    </w:p>
    <w:p>
      <w:pPr>
        <w:ind w:left="1320" w:right="639" w:hanging="434"/>
        <w:spacing w:after="0" w:line="277" w:lineRule="auto"/>
        <w:tabs>
          <w:tab w:leader="none" w:pos="131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Tango’s ability to obtain funding for its operations necessary to complete further development and commercialization of its product candidates;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Tango’s ability to obtain and maintain regulatory approval of its product candidates;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Tango’s ability to commercialize its products, if approved;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pricing and reimbursement of Tango’s product candidates, if approved;</w:t>
      </w:r>
    </w:p>
    <w:p>
      <w:pPr>
        <w:spacing w:after="0" w:line="157" w:lineRule="exact"/>
        <w:rPr>
          <w:rFonts w:ascii="Arial" w:cs="Arial" w:eastAsia="Arial" w:hAnsi="Arial"/>
          <w:sz w:val="18"/>
          <w:szCs w:val="18"/>
          <w:color w:val="auto"/>
        </w:rPr>
      </w:pPr>
    </w:p>
    <w:p>
      <w:pPr>
        <w:ind w:left="1320" w:right="899" w:hanging="434"/>
        <w:spacing w:after="0" w:line="277" w:lineRule="auto"/>
        <w:tabs>
          <w:tab w:leader="none" w:pos="131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implementation of Tango’s business model, and strategic plans for its business and product candidates;</w:t>
      </w:r>
    </w:p>
    <w:p>
      <w:pPr>
        <w:spacing w:after="0" w:line="102" w:lineRule="exact"/>
        <w:rPr>
          <w:rFonts w:ascii="Arial" w:cs="Arial" w:eastAsia="Arial" w:hAnsi="Arial"/>
          <w:sz w:val="18"/>
          <w:szCs w:val="18"/>
          <w:color w:val="auto"/>
        </w:rPr>
      </w:pPr>
    </w:p>
    <w:p>
      <w:pPr>
        <w:ind w:left="1320" w:right="1019" w:hanging="434"/>
        <w:spacing w:after="0" w:line="277" w:lineRule="auto"/>
        <w:tabs>
          <w:tab w:leader="none" w:pos="131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scope of protection Tango is able to establish and maintain for intellectual property rights covering its product candidates;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estimates of Tango’s future expenses, capital requirements, and its needs for additional financing;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5" w:name="page106"/>
    <w:bookmarkEnd w:id="10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79" w:hanging="434"/>
        <w:spacing w:after="0" w:line="263" w:lineRule="auto"/>
        <w:tabs>
          <w:tab w:leader="none" w:pos="131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Tango’s ability to enter into strategic collaborations or arrangements, and its ability to attract collaborators with development, regulatory and commercialization expertise;</w:t>
      </w:r>
    </w:p>
    <w:p>
      <w:pPr>
        <w:spacing w:after="0" w:line="116" w:lineRule="exact"/>
        <w:rPr>
          <w:rFonts w:ascii="Arial" w:cs="Arial" w:eastAsia="Arial" w:hAnsi="Arial"/>
          <w:sz w:val="18"/>
          <w:szCs w:val="18"/>
          <w:color w:val="auto"/>
        </w:rPr>
      </w:pPr>
    </w:p>
    <w:p>
      <w:pPr>
        <w:ind w:left="1320" w:right="519" w:hanging="434"/>
        <w:spacing w:after="0" w:line="277" w:lineRule="auto"/>
        <w:tabs>
          <w:tab w:leader="none" w:pos="131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product candidates and any other approved products;</w:t>
      </w:r>
    </w:p>
    <w:p>
      <w:pPr>
        <w:spacing w:after="0" w:line="102" w:lineRule="exact"/>
        <w:rPr>
          <w:rFonts w:ascii="Arial" w:cs="Arial" w:eastAsia="Arial" w:hAnsi="Arial"/>
          <w:sz w:val="18"/>
          <w:szCs w:val="18"/>
          <w:color w:val="auto"/>
        </w:rPr>
      </w:pPr>
    </w:p>
    <w:p>
      <w:pPr>
        <w:ind w:left="1320" w:right="619" w:hanging="434"/>
        <w:spacing w:after="0" w:line="277" w:lineRule="auto"/>
        <w:tabs>
          <w:tab w:leader="none" w:pos="131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size and growth potential of the markets for Tango’s product candidates, and its ability to serve those markets;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Tango’s financial performance;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rate and degree of market acceptance of Tango’s product candidates;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44" w:lineRule="exact"/>
        <w:rPr>
          <w:rFonts w:ascii="Arial" w:cs="Arial" w:eastAsia="Arial" w:hAnsi="Arial"/>
          <w:sz w:val="18"/>
          <w:szCs w:val="18"/>
          <w:color w:val="auto"/>
        </w:rPr>
      </w:pPr>
    </w:p>
    <w:p>
      <w:pPr>
        <w:ind w:left="1320" w:right="579" w:hanging="434"/>
        <w:spacing w:after="0" w:line="277" w:lineRule="auto"/>
        <w:tabs>
          <w:tab w:leader="none" w:pos="131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Tango’s ability to contract with third-party suppliers and manufacturers and their ability to perform adequately;</w:t>
      </w:r>
    </w:p>
    <w:p>
      <w:pPr>
        <w:spacing w:after="0" w:line="102"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Tango’s ability to produce its products or product candidates with advantages in turnaround times or manufacturing cost;</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Tango’s ability to attract and retain key scientific or management personnel;</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Tango’s use of the proceeds from the Business Combination;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developments relating to Tango’s competitors and its industry;</w:t>
      </w:r>
    </w:p>
    <w:p>
      <w:pPr>
        <w:spacing w:after="0" w:line="157" w:lineRule="exact"/>
        <w:rPr>
          <w:rFonts w:ascii="Arial" w:cs="Arial" w:eastAsia="Arial" w:hAnsi="Arial"/>
          <w:sz w:val="18"/>
          <w:szCs w:val="18"/>
          <w:color w:val="auto"/>
        </w:rPr>
      </w:pPr>
    </w:p>
    <w:p>
      <w:pPr>
        <w:ind w:left="1320" w:right="579" w:hanging="434"/>
        <w:spacing w:after="0" w:line="263" w:lineRule="auto"/>
        <w:tabs>
          <w:tab w:leader="none" w:pos="131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effect of the COVID-19 pandemic, including mitigation efforts and economic effects, on any of the foregoing or other aspects of Tango’s business operations, including but not limited to its preclinical studies and clinical trials and any future studies or trials; and</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44"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These forward-looking statements are based on information available as of the date of this proxy statement/prospectus, and current expectations, forecasts and assumptions, and involve a number of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10"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In addition, statements that BCTG or Tango “believes” and similar statements reflect such party’s beliefs and opinions on the relevant subject. These statements are based upon information available to such party as of the date of this proxy statement/prospectus, and while such party believes such information forms a reasonable basis for such statements, such information may be limited or incomplete, and these statements should not be read to indicate that either BCTG or Tango has conducted an exhaustive inquiry into, or review of, all potentially available relevant information. These statements are inherently uncertain and investors are cautioned not to rely unduly upon these statements.</w:t>
      </w:r>
    </w:p>
    <w:p>
      <w:pPr>
        <w:spacing w:after="0" w:line="96"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You should not place undue reliance on these forward-looking statements in deciding how to grant your proxy or instruct how your vote should be cast or vote your shares on the proposals set forth in this proxy statement/prospectus. As a result of a number of known and unknown risks and uncertainties, our actual results or performance may be materially different from those expressed or implied by these forward- looking statements. Some factors that could cause the Combined Entity’s actual results to differ include:</w:t>
      </w:r>
    </w:p>
    <w:p>
      <w:pPr>
        <w:spacing w:after="0" w:line="94" w:lineRule="exact"/>
        <w:rPr>
          <w:sz w:val="20"/>
          <w:szCs w:val="20"/>
          <w:color w:val="auto"/>
        </w:rPr>
      </w:pPr>
    </w:p>
    <w:p>
      <w:pPr>
        <w:ind w:left="1320" w:right="519" w:hanging="434"/>
        <w:spacing w:after="0" w:line="277" w:lineRule="auto"/>
        <w:tabs>
          <w:tab w:leader="none" w:pos="131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circumstances that could give rise to the termination of the Business Combination;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6" w:name="page107"/>
    <w:bookmarkEnd w:id="10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699" w:hanging="434"/>
        <w:spacing w:after="0" w:line="342" w:lineRule="auto"/>
        <w:tabs>
          <w:tab w:leader="none" w:pos="1311"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outcome of any legal proceedings that may be instituted against BCTG, Tango or others following announcement of the Business Combination and the transactions contemplated therein;</w:t>
      </w:r>
    </w:p>
    <w:p>
      <w:pPr>
        <w:spacing w:after="0" w:line="56" w:lineRule="exact"/>
        <w:rPr>
          <w:rFonts w:ascii="Arial" w:cs="Arial" w:eastAsia="Arial" w:hAnsi="Arial"/>
          <w:sz w:val="16"/>
          <w:szCs w:val="16"/>
          <w:color w:val="auto"/>
        </w:rPr>
      </w:pPr>
    </w:p>
    <w:p>
      <w:pPr>
        <w:ind w:left="1320" w:right="719" w:hanging="434"/>
        <w:spacing w:after="0" w:line="263" w:lineRule="auto"/>
        <w:tabs>
          <w:tab w:leader="none" w:pos="131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inability to complete the transactions contemplated by the Business Combination due to the failure to obtain approval of the stockholders of BCTG or Tango or other conditions to closing in the Business Combination;</w:t>
      </w:r>
    </w:p>
    <w:p>
      <w:pPr>
        <w:spacing w:after="0" w:line="116" w:lineRule="exact"/>
        <w:rPr>
          <w:rFonts w:ascii="Arial" w:cs="Arial" w:eastAsia="Arial" w:hAnsi="Arial"/>
          <w:sz w:val="18"/>
          <w:szCs w:val="18"/>
          <w:color w:val="auto"/>
        </w:rPr>
      </w:pPr>
    </w:p>
    <w:p>
      <w:pPr>
        <w:ind w:left="1320" w:right="1139" w:hanging="434"/>
        <w:spacing w:after="0" w:line="277" w:lineRule="auto"/>
        <w:tabs>
          <w:tab w:leader="none" w:pos="131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risk that the proposed transaction disrupts current plans and operations as a result of the announcement and consummation of the Business Combination;</w:t>
      </w:r>
    </w:p>
    <w:p>
      <w:pPr>
        <w:spacing w:after="0" w:line="89" w:lineRule="exact"/>
        <w:rPr>
          <w:rFonts w:ascii="Arial" w:cs="Arial" w:eastAsia="Arial" w:hAnsi="Arial"/>
          <w:sz w:val="18"/>
          <w:szCs w:val="18"/>
          <w:color w:val="auto"/>
        </w:rPr>
      </w:pPr>
    </w:p>
    <w:p>
      <w:pPr>
        <w:ind w:left="1320" w:right="499" w:hanging="434"/>
        <w:spacing w:after="0" w:line="311" w:lineRule="auto"/>
        <w:tabs>
          <w:tab w:leader="none" w:pos="1311"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ability to recognize the anticipated benefits of the Business Combination, which may be affected by, among other things, the ability of the Combined Entity to grow and manage growth profitably, maintain relationships with customers, compete within its industry and retain its key employees;</w:t>
      </w:r>
    </w:p>
    <w:p>
      <w:pPr>
        <w:spacing w:after="0" w:line="81" w:lineRule="exact"/>
        <w:rPr>
          <w:rFonts w:ascii="Arial" w:cs="Arial" w:eastAsia="Arial" w:hAnsi="Arial"/>
          <w:sz w:val="16"/>
          <w:szCs w:val="16"/>
          <w:color w:val="auto"/>
        </w:rPr>
      </w:pPr>
    </w:p>
    <w:p>
      <w:pPr>
        <w:ind w:left="1300" w:hanging="414"/>
        <w:spacing w:after="0"/>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costs related to the proposed Business Combination;</w:t>
      </w:r>
    </w:p>
    <w:p>
      <w:pPr>
        <w:spacing w:after="0" w:line="157" w:lineRule="exact"/>
        <w:rPr>
          <w:rFonts w:ascii="Arial" w:cs="Arial" w:eastAsia="Arial" w:hAnsi="Arial"/>
          <w:sz w:val="18"/>
          <w:szCs w:val="18"/>
          <w:color w:val="auto"/>
        </w:rPr>
      </w:pPr>
    </w:p>
    <w:p>
      <w:pPr>
        <w:ind w:left="1320" w:right="519" w:hanging="434"/>
        <w:spacing w:after="0" w:line="277" w:lineRule="auto"/>
        <w:tabs>
          <w:tab w:leader="none" w:pos="131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possibility that BCTG or Tango may be adversely impacted by other economic, business, and/or competitive factors;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future exchange and interest rates; and</w:t>
      </w:r>
    </w:p>
    <w:p>
      <w:pPr>
        <w:spacing w:after="0" w:line="157" w:lineRule="exact"/>
        <w:rPr>
          <w:rFonts w:ascii="Arial" w:cs="Arial" w:eastAsia="Arial" w:hAnsi="Arial"/>
          <w:sz w:val="18"/>
          <w:szCs w:val="18"/>
          <w:color w:val="auto"/>
        </w:rPr>
      </w:pPr>
    </w:p>
    <w:p>
      <w:pPr>
        <w:jc w:val="both"/>
        <w:ind w:left="1320" w:right="559" w:hanging="434"/>
        <w:spacing w:after="0" w:line="263" w:lineRule="auto"/>
        <w:tabs>
          <w:tab w:leader="none" w:pos="131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other risks and uncertainties indicated in this proxy statement/prospectus, including those under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herein, and other filings that have been made or will be made with the SEC.</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7" w:name="page108"/>
    <w:bookmarkEnd w:id="10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OF BCTG STOCKHOLDERS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BCTG is furnishing this proxy statement/prospectus to its stockholders as part of the solicitation of proxies by the board of directors for use at the Special Meeting to be held on [•], 2021 and at any adjournment or postponement thereof. This proxy statement/prospectus provides BCTG’s stockholders with information they need to know to be able to vote or direct their vote to be cast at the Special Meeting.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Date, Time and Place</w:t>
      </w:r>
    </w:p>
    <w:p>
      <w:pPr>
        <w:sectPr>
          <w:pgSz w:w="11900" w:h="16838" w:orient="portrait"/>
          <w:cols w:equalWidth="0" w:num="1">
            <w:col w:w="9019"/>
          </w:cols>
          <w:pgMar w:left="1440" w:top="274" w:right="1440" w:bottom="1440" w:gutter="0" w:footer="0" w:header="0"/>
        </w:sectPr>
      </w:pPr>
    </w:p>
    <w:p>
      <w:pPr>
        <w:spacing w:after="0" w:line="162" w:lineRule="exact"/>
        <w:rPr>
          <w:sz w:val="20"/>
          <w:szCs w:val="20"/>
          <w:color w:val="auto"/>
        </w:rPr>
      </w:pPr>
    </w:p>
    <w:p>
      <w:pPr>
        <w:ind w:left="460" w:firstLine="432"/>
        <w:spacing w:after="0" w:line="277" w:lineRule="auto"/>
        <w:rPr>
          <w:sz w:val="20"/>
          <w:szCs w:val="20"/>
          <w:color w:val="auto"/>
        </w:rPr>
      </w:pPr>
      <w:r>
        <w:rPr>
          <w:rFonts w:ascii="Arial" w:cs="Arial" w:eastAsia="Arial" w:hAnsi="Arial"/>
          <w:sz w:val="18"/>
          <w:szCs w:val="18"/>
          <w:color w:val="auto"/>
        </w:rPr>
        <w:t>The Special Meeting will be held on [•], 2021, at [ address: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 Eastern Time, via live webcast at the following</w:t>
      </w:r>
    </w:p>
    <w:p>
      <w:pPr>
        <w:spacing w:after="0" w:line="459" w:lineRule="exact"/>
        <w:rPr>
          <w:sz w:val="20"/>
          <w:szCs w:val="20"/>
          <w:color w:val="auto"/>
        </w:rPr>
      </w:pPr>
    </w:p>
    <w:p>
      <w:pPr>
        <w:sectPr>
          <w:pgSz w:w="11900" w:h="16838" w:orient="portrait"/>
          <w:cols w:equalWidth="0" w:num="2">
            <w:col w:w="4500" w:space="540"/>
            <w:col w:w="3979"/>
          </w:cols>
          <w:pgMar w:left="1440" w:top="274" w:right="1440"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Voting Power; Record Date</w:t>
      </w:r>
    </w:p>
    <w:p>
      <w:pPr>
        <w:sectPr>
          <w:pgSz w:w="11900" w:h="16838" w:orient="portrait"/>
          <w:cols w:equalWidth="0" w:num="1">
            <w:col w:w="9019"/>
          </w:cols>
          <w:pgMar w:left="1440" w:top="274" w:right="1440" w:bottom="1440" w:gutter="0" w:footer="0" w:header="0"/>
          <w:type w:val="continuous"/>
        </w:sectPr>
      </w:pPr>
    </w:p>
    <w:p>
      <w:pPr>
        <w:spacing w:after="0" w:line="185"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You will be entitled to vote or direct votes to be cast at the Special Meeting if you owned shares of BCTG Common Stock at the close of business on [•], 2021 which is the Record Date. You are entitled to one vote for each share of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21,377,250 shares of Common Stock outstanding, of which 16,767,000 are Public Shares and 4,610,250 are Founders Shares held by the Sponsor and our directors.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of the Sponsor, Directors and Officers</w:t>
      </w:r>
    </w:p>
    <w:p>
      <w:pPr>
        <w:spacing w:after="0" w:line="148"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7"/>
          <w:szCs w:val="17"/>
          <w:color w:val="auto"/>
        </w:rPr>
        <w:t>In connection with the BCTG IPO, BCTG entered into agreements with each of its Sponsor, directors and officers pursuant to which each agreed to vote any shares of Common Stock owned by it in favor of the Business Combination Proposal and for all other proposals presented at the Special Meeting.</w:t>
      </w:r>
    </w:p>
    <w:p>
      <w:pPr>
        <w:spacing w:after="0" w:line="98" w:lineRule="exact"/>
        <w:rPr>
          <w:sz w:val="20"/>
          <w:szCs w:val="20"/>
          <w:color w:val="auto"/>
        </w:rPr>
      </w:pPr>
    </w:p>
    <w:p>
      <w:pPr>
        <w:ind w:left="460" w:right="739" w:firstLine="432"/>
        <w:spacing w:after="0" w:line="257" w:lineRule="auto"/>
        <w:rPr>
          <w:sz w:val="20"/>
          <w:szCs w:val="20"/>
          <w:color w:val="auto"/>
        </w:rPr>
      </w:pPr>
      <w:r>
        <w:rPr>
          <w:rFonts w:ascii="Arial" w:cs="Arial" w:eastAsia="Arial" w:hAnsi="Arial"/>
          <w:sz w:val="18"/>
          <w:szCs w:val="18"/>
          <w:color w:val="auto"/>
        </w:rPr>
        <w:t>BCTG’s Sponsor, directors and officers have waived any redemption rights, including with respect to shares of Common Stock issued or purchased in the BCTG IPO or in the aftermarket, in connection with Business Combination. The Founders Shares and the Private Shares held by the Sponsor have no redemption rights upon BCTG’s liquidation and will be worthless if no business combination is effected by BCTG by September 8, 2022.</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Quorum and Required Vote for Proposals</w:t>
      </w:r>
    </w:p>
    <w:p>
      <w:pPr>
        <w:spacing w:after="0" w:line="162" w:lineRule="exact"/>
        <w:rPr>
          <w:sz w:val="20"/>
          <w:szCs w:val="20"/>
          <w:color w:val="auto"/>
        </w:rPr>
      </w:pPr>
    </w:p>
    <w:p>
      <w:pPr>
        <w:jc w:val="both"/>
        <w:ind w:left="460" w:right="699" w:firstLine="432"/>
        <w:spacing w:after="0" w:line="263" w:lineRule="auto"/>
        <w:rPr>
          <w:sz w:val="20"/>
          <w:szCs w:val="20"/>
          <w:color w:val="auto"/>
        </w:rPr>
      </w:pPr>
      <w:r>
        <w:rPr>
          <w:rFonts w:ascii="Arial" w:cs="Arial" w:eastAsia="Arial" w:hAnsi="Arial"/>
          <w:sz w:val="18"/>
          <w:szCs w:val="18"/>
          <w:color w:val="auto"/>
        </w:rPr>
        <w:t>A quorum of BCTG stockholders is necessary to hold a valid meeting. A quorum will be present at the Special Meeting if a majority of the Common Stock outstanding and entitled to vote at the Special Meeting is represented by virtual attendance or by proxy at the Special Meeting.</w:t>
      </w:r>
    </w:p>
    <w:p>
      <w:pPr>
        <w:spacing w:after="0" w:line="103"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The approval of the Charter Amendment Proposal requires the affirmative vote of a majority of the issued and outstanding BCTG Common Stock as of the Record Date for the Special Meeting. The approval of the Business Combination Proposal, the Nasdaq Proposal, the Incentive Plan Proposals and the Adjournment Proposal each require the affirmative vote of the holders of a majority of the shares of BCTG Common Stock present or represented at the Special Meeting, by ballot, proxy or electronic ballot and entitled to vote thereon at the Special Meeting. Approval of the Directors Proposal will require the vote by a plurality of the shares of the Common Stock present by virtual attendance or represented by proxy and entitled to vote at the Special Meeting. The approval of the Advisory Charter Proposals is a non-binding advisory vote, and requires the affirmative vote of the holders of a majority of the shares of BCTG Common Stock present or represented at the Special Meeting, by ballot, proxy or electronic ballot and entitled to vote thereon at the Special Meeting.</w:t>
      </w:r>
    </w:p>
    <w:p>
      <w:pPr>
        <w:spacing w:after="0" w:line="101"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If the Business Combination Proposal is not approved, the Nasdaq Proposal, the Directors Proposal, the Charter Amendment Proposal, the Advisory Charter Proposals and the Incentive Plan Proposals will not be presented to the BCTG stockholders for a vote. The approval of the Business Combination Proposal, the Nasdaq Proposal, the Directors Proposal, the Charter Amendment Proposal and the Incentive Plan Proposals are preconditions to the consummation of the Business Combination. The Nasdaq Proposal, the Directors Proposal, the Charter Amendment Proposal, the Advisory Charter Proposals and the Incentive Plan Proposals are subject to and conditioned 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8" w:name="page109"/>
    <w:bookmarkEnd w:id="10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559"/>
        <w:spacing w:after="0" w:line="279" w:lineRule="auto"/>
        <w:rPr>
          <w:sz w:val="20"/>
          <w:szCs w:val="20"/>
          <w:color w:val="auto"/>
        </w:rPr>
      </w:pPr>
      <w:r>
        <w:rPr>
          <w:rFonts w:ascii="Arial" w:cs="Arial" w:eastAsia="Arial" w:hAnsi="Arial"/>
          <w:sz w:val="17"/>
          <w:szCs w:val="17"/>
          <w:color w:val="auto"/>
        </w:rPr>
        <w:t>the approval of the Business Combination Proposal (and the Business Combination Proposal is subject to and conditioned on the approval of the Nasdaq Proposal, the Directors Proposal, the Charter Amendment Proposal and the Incentive Plan Proposals). The Adjournment Proposal is not subject to and conditioned on the approval of any other Proposal set forth in this proxy statement/prospectus.</w:t>
      </w:r>
    </w:p>
    <w:p>
      <w:pPr>
        <w:spacing w:after="0" w:line="104"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It is important for you to note that in the event the Business Combination Proposal does not receive the requisite vote for approval, then BCTG will not consummate the Business Combination. If BCTG does not consummate the Business Combination and fails to complete an initial business combination by September 8, 2022 BCTG will be required to dissolve and liquidate its Trust Account by returning the then remaining funds in such account to the public stockholders.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Abstentions and Broker Non-Votes</w:t>
      </w:r>
    </w:p>
    <w:p>
      <w:pPr>
        <w:spacing w:after="0" w:line="162" w:lineRule="exact"/>
        <w:rPr>
          <w:sz w:val="20"/>
          <w:szCs w:val="20"/>
          <w:color w:val="auto"/>
        </w:rPr>
      </w:pPr>
    </w:p>
    <w:p>
      <w:pPr>
        <w:ind w:left="460" w:right="599" w:firstLine="432"/>
        <w:spacing w:after="0" w:line="254" w:lineRule="auto"/>
        <w:rPr>
          <w:sz w:val="20"/>
          <w:szCs w:val="20"/>
          <w:color w:val="auto"/>
        </w:rPr>
      </w:pPr>
      <w:r>
        <w:rPr>
          <w:rFonts w:ascii="Arial" w:cs="Arial" w:eastAsia="Arial" w:hAnsi="Arial"/>
          <w:sz w:val="18"/>
          <w:szCs w:val="18"/>
          <w:color w:val="auto"/>
        </w:rPr>
        <w:t>Abstentions will be counted in connection with the determination of whether a valid quorum is established and will have the same effect as a vote “AGAINST” the Proposals. A failure to vote by proxy or to vote online or an abstention from voting with regard to the Proposals will have the same effect as a vote “AGAINST” the Charter Amendment Proposal and if a valid quorum is otherwise established, it will have no effect on the outcome of the vote on the Business Combination Proposal, the Nasdaq Proposal, the Directors Proposal, the Advisory Charter Proposals, the Incentive Plan Proposals and the Adjournment Proposal. Broker non-votes will not be counted as present for the purposes of establishing a quorum and will have no effect on any of the Proposals.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Recommendation of BCTG’s Board of Directors</w:t>
      </w:r>
    </w:p>
    <w:p>
      <w:pPr>
        <w:spacing w:after="0" w:line="148" w:lineRule="exact"/>
        <w:rPr>
          <w:sz w:val="20"/>
          <w:szCs w:val="20"/>
          <w:color w:val="auto"/>
        </w:rPr>
      </w:pPr>
    </w:p>
    <w:p>
      <w:pPr>
        <w:ind w:left="460" w:right="779" w:firstLine="432"/>
        <w:spacing w:after="0" w:line="263" w:lineRule="auto"/>
        <w:rPr>
          <w:sz w:val="20"/>
          <w:szCs w:val="20"/>
          <w:color w:val="auto"/>
        </w:rPr>
      </w:pPr>
      <w:r>
        <w:rPr>
          <w:rFonts w:ascii="Arial" w:cs="Arial" w:eastAsia="Arial" w:hAnsi="Arial"/>
          <w:sz w:val="18"/>
          <w:szCs w:val="18"/>
          <w:color w:val="auto"/>
        </w:rPr>
        <w:t>The Board has unanimously determined that each of the Proposals is fair to and in the best interests of BCTG and its stockholders, and has unanimously approved such Proposals. The Board unanimously recommends that stockholders:</w:t>
      </w:r>
    </w:p>
    <w:p>
      <w:pPr>
        <w:spacing w:after="0" w:line="116" w:lineRule="exact"/>
        <w:rPr>
          <w:sz w:val="20"/>
          <w:szCs w:val="20"/>
          <w:color w:val="auto"/>
        </w:rPr>
      </w:pPr>
    </w:p>
    <w:p>
      <w:pPr>
        <w:ind w:left="1300" w:hanging="414"/>
        <w:spacing w:after="0"/>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vote “FOR” the Business Combination Proposal;</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vote “FOR” the Nasdaq Proposal;</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vote “FOR” the Directors Proposal;</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vote “FOR” the Charter Amendment Proposal;</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vote “FOR” the Advisory Charter Proposals;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vote “FOR” the Equity Incentive Plan Proposal;</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vote “FOR” the ESPP Proposal;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vote “FOR” the Adjournment Proposal, if it is presented at the Special Meeting.</w:t>
      </w:r>
    </w:p>
    <w:p>
      <w:pPr>
        <w:spacing w:after="0" w:line="144"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When you consider the recommendation of the Board in favor of approval of the Proposals, you should keep in mind that the Sponsor, members of BCTG’s Board and officers and advisors have interests in the Business Combination that are different from or in addition to (or which may conflict with) your interests as a stockholder. These interests include, among other things:</w:t>
      </w:r>
    </w:p>
    <w:p>
      <w:pPr>
        <w:spacing w:after="0" w:line="119" w:lineRule="exact"/>
        <w:rPr>
          <w:sz w:val="20"/>
          <w:szCs w:val="20"/>
          <w:color w:val="auto"/>
        </w:rPr>
      </w:pPr>
    </w:p>
    <w:p>
      <w:pPr>
        <w:ind w:left="1320" w:right="519" w:hanging="434"/>
        <w:spacing w:after="0" w:line="311" w:lineRule="auto"/>
        <w:tabs>
          <w:tab w:leader="none" w:pos="131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unless BCTG consummates an initial business combination, BCTG’s officers, directors and sponsor will not receive reimbursement for any out-of-pocket expenses incurred by them to the extent that such expenses exceed the amount of available proceeds not deposited in the Trust Account;</w:t>
      </w:r>
    </w:p>
    <w:p>
      <w:pPr>
        <w:spacing w:after="0" w:line="81" w:lineRule="exact"/>
        <w:rPr>
          <w:rFonts w:ascii="Arial" w:cs="Arial" w:eastAsia="Arial" w:hAnsi="Arial"/>
          <w:sz w:val="16"/>
          <w:szCs w:val="16"/>
          <w:color w:val="auto"/>
        </w:rPr>
      </w:pPr>
    </w:p>
    <w:p>
      <w:pPr>
        <w:ind w:left="1320" w:right="699" w:hanging="434"/>
        <w:spacing w:after="0" w:line="289" w:lineRule="auto"/>
        <w:tabs>
          <w:tab w:leader="none" w:pos="131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with certain limited exceptions, the Founders Shares will not be transferable, assignable by our Sponsor, or our directors and executive officers until the earlier of: (A) one year after the completion of our initial business combination or (B) subsequent to our initial business combination, (x) if the last reported sale price of our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we complete a liquidation, merger, capital stock exchange, reorganization or other similar transaction that results in all of our stockholders having the right to exchange their shares of common stock for cash, securities or other property;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9" w:name="page110"/>
    <w:bookmarkEnd w:id="10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719" w:hanging="434"/>
        <w:spacing w:after="0" w:line="308" w:lineRule="auto"/>
        <w:tabs>
          <w:tab w:leader="none" w:pos="1311"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fact that the Sponsor paid an aggregate of $25,000 for its Founders Shares and such securities will have a significantly higher value at the time of the Business Combination;</w:t>
      </w:r>
    </w:p>
    <w:p>
      <w:pPr>
        <w:spacing w:after="0" w:line="78" w:lineRule="exact"/>
        <w:rPr>
          <w:rFonts w:ascii="Arial" w:cs="Arial" w:eastAsia="Arial" w:hAnsi="Arial"/>
          <w:sz w:val="17"/>
          <w:szCs w:val="17"/>
          <w:color w:val="auto"/>
        </w:rPr>
      </w:pPr>
    </w:p>
    <w:p>
      <w:pPr>
        <w:ind w:left="1320" w:right="599" w:hanging="434"/>
        <w:spacing w:after="0" w:line="308" w:lineRule="auto"/>
        <w:tabs>
          <w:tab w:leader="none" w:pos="1311"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fact that the Sponsor has agreed not to redeem any of the Founders Shares in connection with a stockholder vote to approve a proposed initial business combination; and</w:t>
      </w:r>
    </w:p>
    <w:p>
      <w:pPr>
        <w:spacing w:after="0" w:line="78" w:lineRule="exact"/>
        <w:rPr>
          <w:rFonts w:ascii="Arial" w:cs="Arial" w:eastAsia="Arial" w:hAnsi="Arial"/>
          <w:sz w:val="17"/>
          <w:szCs w:val="17"/>
          <w:color w:val="auto"/>
        </w:rPr>
      </w:pPr>
    </w:p>
    <w:p>
      <w:pPr>
        <w:ind w:left="1320" w:right="599" w:hanging="434"/>
        <w:spacing w:after="0" w:line="263" w:lineRule="auto"/>
        <w:tabs>
          <w:tab w:leader="none" w:pos="131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Boxer Capital, an affiliate of the Sponsor, has a seat on the Tango board of directors (occupied by Aaron Davis) and owns approximately 15% of Tango’s outstanding securities prior to the Business Combination.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Voting Your Shares</w:t>
      </w:r>
    </w:p>
    <w:p>
      <w:pPr>
        <w:spacing w:after="0" w:line="148" w:lineRule="exact"/>
        <w:rPr>
          <w:sz w:val="20"/>
          <w:szCs w:val="20"/>
          <w:color w:val="auto"/>
        </w:rPr>
      </w:pPr>
    </w:p>
    <w:p>
      <w:pPr>
        <w:jc w:val="both"/>
        <w:ind w:left="460" w:right="799" w:firstLine="432"/>
        <w:spacing w:after="0" w:line="263" w:lineRule="auto"/>
        <w:rPr>
          <w:sz w:val="20"/>
          <w:szCs w:val="20"/>
          <w:color w:val="auto"/>
        </w:rPr>
      </w:pPr>
      <w:r>
        <w:rPr>
          <w:rFonts w:ascii="Arial" w:cs="Arial" w:eastAsia="Arial" w:hAnsi="Arial"/>
          <w:sz w:val="18"/>
          <w:szCs w:val="18"/>
          <w:color w:val="auto"/>
        </w:rPr>
        <w:t>Each share of BCTG Common Stock that you own in your name entitles you to one vote. If you are a record owner of your shares, there are two ways to vote your shares of BCTG Common Stock at the Special Meeting:</w:t>
      </w:r>
    </w:p>
    <w:p>
      <w:pPr>
        <w:spacing w:after="0" w:line="116" w:lineRule="exact"/>
        <w:rPr>
          <w:sz w:val="20"/>
          <w:szCs w:val="20"/>
          <w:color w:val="auto"/>
        </w:rPr>
      </w:pPr>
    </w:p>
    <w:p>
      <w:pPr>
        <w:ind w:left="1320" w:right="519" w:hanging="434"/>
        <w:spacing w:after="0" w:line="254" w:lineRule="auto"/>
        <w:tabs>
          <w:tab w:leader="none" w:pos="1311"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You Can Vote By Signing and Returning the Enclosed Proxy Card</w:t>
      </w:r>
      <w:r>
        <w:rPr>
          <w:rFonts w:ascii="Arial" w:cs="Arial" w:eastAsia="Arial" w:hAnsi="Arial"/>
          <w:sz w:val="18"/>
          <w:szCs w:val="18"/>
          <w:color w:val="auto"/>
        </w:rPr>
        <w:t>. If you vote by proxy card, your</w:t>
      </w:r>
      <w:r>
        <w:rPr>
          <w:rFonts w:ascii="Arial" w:cs="Arial" w:eastAsia="Arial" w:hAnsi="Arial"/>
          <w:sz w:val="18"/>
          <w:szCs w:val="18"/>
          <w:i w:val="1"/>
          <w:iCs w:val="1"/>
          <w:color w:val="auto"/>
        </w:rPr>
        <w:t xml:space="preserve"> </w:t>
      </w:r>
      <w:r>
        <w:rPr>
          <w:rFonts w:ascii="Arial" w:cs="Arial" w:eastAsia="Arial" w:hAnsi="Arial"/>
          <w:sz w:val="18"/>
          <w:szCs w:val="18"/>
          <w:color w:val="auto"/>
        </w:rPr>
        <w:t>“proxy,” whose name is listed on the proxy card, will vote your shares as you instruct on the proxy card. If you sign and return the proxy card but do not give instructions on how to vote your shares, your shares will be voted as recommended by the Board “FOR” the Business Combination Proposal, the Nasdaq Proposal, the Directors Proposal, the Charter Amendment Proposal, the Advisory Charter Proposals, the Incentive Plan Proposals and the Adjournment Proposal (if presented). Votes received after a matter has been voted upon at the Special Meeting will not be counted.</w:t>
      </w:r>
    </w:p>
    <w:p>
      <w:pPr>
        <w:spacing w:after="0" w:line="124" w:lineRule="exact"/>
        <w:rPr>
          <w:rFonts w:ascii="Arial" w:cs="Arial" w:eastAsia="Arial" w:hAnsi="Arial"/>
          <w:sz w:val="18"/>
          <w:szCs w:val="18"/>
          <w:color w:val="auto"/>
        </w:rPr>
      </w:pPr>
    </w:p>
    <w:p>
      <w:pPr>
        <w:ind w:left="1320" w:right="579" w:hanging="434"/>
        <w:spacing w:after="0" w:line="259" w:lineRule="auto"/>
        <w:tabs>
          <w:tab w:leader="none" w:pos="1311"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You Can Attend the Special Meeting and Vote Through the Internet</w:t>
      </w:r>
      <w:r>
        <w:rPr>
          <w:rFonts w:ascii="Arial" w:cs="Arial" w:eastAsia="Arial" w:hAnsi="Arial"/>
          <w:sz w:val="18"/>
          <w:szCs w:val="18"/>
          <w:color w:val="auto"/>
        </w:rPr>
        <w:t>. You will be able to attend the</w:t>
      </w:r>
      <w:r>
        <w:rPr>
          <w:rFonts w:ascii="Arial" w:cs="Arial" w:eastAsia="Arial" w:hAnsi="Arial"/>
          <w:sz w:val="18"/>
          <w:szCs w:val="18"/>
          <w:i w:val="1"/>
          <w:iCs w:val="1"/>
          <w:color w:val="auto"/>
        </w:rPr>
        <w:t xml:space="preserve"> </w:t>
      </w:r>
      <w:r>
        <w:rPr>
          <w:rFonts w:ascii="Arial" w:cs="Arial" w:eastAsia="Arial" w:hAnsi="Arial"/>
          <w:sz w:val="18"/>
          <w:szCs w:val="18"/>
          <w:color w:val="auto"/>
        </w:rPr>
        <w:t>Special Meeting online and vote during the meeting by visiting [•] and entering the control number included on your proxy card or on the instructions that accompanied your proxy materials, as applicable.</w:t>
      </w:r>
    </w:p>
    <w:p>
      <w:pPr>
        <w:spacing w:after="0" w:line="106"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If your shares are held in “street name” or are in a margin or similar account, you should contact your broker to ensure that votes related to the shares you beneficially own are properly counted. If you wish to attend the meeting and vote online and your shares are held in “street name,” you must obtain a legal proxy from your broker, bank or nominee. That is the only way BCTG can be sure that the broker, bank or nominee has not already voted your shares.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Revoking Your Proxy</w:t>
      </w:r>
    </w:p>
    <w:p>
      <w:pPr>
        <w:spacing w:after="0" w:line="162"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If you are a record owner of your shares and you give a proxy, you may change or revoke it at any time before it is exercised by doing any one of the following:</w:t>
      </w:r>
    </w:p>
    <w:p>
      <w:pPr>
        <w:spacing w:after="0" w:line="103" w:lineRule="exact"/>
        <w:rPr>
          <w:sz w:val="20"/>
          <w:szCs w:val="20"/>
          <w:color w:val="auto"/>
        </w:rPr>
      </w:pPr>
    </w:p>
    <w:p>
      <w:pPr>
        <w:ind w:left="1300" w:hanging="414"/>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you may send another proxy card with a later date;</w:t>
      </w:r>
    </w:p>
    <w:p>
      <w:pPr>
        <w:spacing w:after="0" w:line="144" w:lineRule="exact"/>
        <w:rPr>
          <w:rFonts w:ascii="Arial" w:cs="Arial" w:eastAsia="Arial" w:hAnsi="Arial"/>
          <w:sz w:val="18"/>
          <w:szCs w:val="18"/>
          <w:color w:val="auto"/>
        </w:rPr>
      </w:pPr>
    </w:p>
    <w:p>
      <w:pPr>
        <w:ind w:left="1320" w:right="519" w:hanging="434"/>
        <w:spacing w:after="0" w:line="277" w:lineRule="auto"/>
        <w:tabs>
          <w:tab w:leader="none" w:pos="131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you may notify BCTG’s secretary in writing before the Special Meeting that you have revoked your proxy; or</w:t>
      </w:r>
    </w:p>
    <w:p>
      <w:pPr>
        <w:spacing w:after="0" w:line="102" w:lineRule="exact"/>
        <w:rPr>
          <w:rFonts w:ascii="Arial" w:cs="Arial" w:eastAsia="Arial" w:hAnsi="Arial"/>
          <w:sz w:val="18"/>
          <w:szCs w:val="18"/>
          <w:color w:val="auto"/>
        </w:rPr>
      </w:pPr>
    </w:p>
    <w:p>
      <w:pPr>
        <w:ind w:left="1320" w:right="619" w:hanging="434"/>
        <w:spacing w:after="0" w:line="277" w:lineRule="auto"/>
        <w:tabs>
          <w:tab w:leader="none" w:pos="131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you may attend the Special Meeting, revoke your proxy, and vote through the internet as described above.</w:t>
      </w:r>
    </w:p>
    <w:p>
      <w:pPr>
        <w:spacing w:after="0" w:line="103"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If your shares are held in “street name” or are in a margin or similar account, you should contact your broker for information on how to change or revoke your voting instructions.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Who Can Answer Your Questions About Voting Your Shares</w:t>
      </w:r>
    </w:p>
    <w:p>
      <w:pPr>
        <w:spacing w:after="0" w:line="148" w:lineRule="exact"/>
        <w:rPr>
          <w:sz w:val="20"/>
          <w:szCs w:val="20"/>
          <w:color w:val="auto"/>
        </w:rPr>
      </w:pPr>
    </w:p>
    <w:p>
      <w:pPr>
        <w:ind w:left="460" w:right="919" w:firstLine="432"/>
        <w:spacing w:after="0" w:line="308" w:lineRule="auto"/>
        <w:rPr>
          <w:sz w:val="20"/>
          <w:szCs w:val="20"/>
          <w:color w:val="auto"/>
        </w:rPr>
      </w:pPr>
      <w:r>
        <w:rPr>
          <w:rFonts w:ascii="Arial" w:cs="Arial" w:eastAsia="Arial" w:hAnsi="Arial"/>
          <w:sz w:val="17"/>
          <w:szCs w:val="17"/>
          <w:color w:val="auto"/>
        </w:rPr>
        <w:t>If you are a stockholder and have any questions about how to vote or direct a vote in respect of your BCTG Common Stock, you may call [•], BCTG’s proxy solicitor, at [•], or email them at [•].</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 Additional Matters May Be Presented at the Special Meeting</w:t>
      </w:r>
    </w:p>
    <w:p>
      <w:pPr>
        <w:spacing w:after="0" w:line="162"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Special Meeting has been called only to consider the approval of the Business Combination Proposal, the Charter Amendment Proposal, the Advisory Charter Proposals, the Nasdaq Proposal, the Directors Proposal, the Incentive Plan Proposals and the Adjournment Proposal. Under BCTG’s bylaws, other than procedural matters incident to the conduct of the Special Meeting, no other matters may be considered at the Special Meeting if they are not included in this proxy statement/prospectus, which serves as the notice of the Special Meeting.</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0" w:name="page111"/>
    <w:bookmarkEnd w:id="11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Redemption Rights</w:t>
      </w:r>
    </w:p>
    <w:p>
      <w:pPr>
        <w:spacing w:after="0" w:line="148"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Pursuant to the Current Charter, any holders of Public Shares may demand that such shares be redeemed in exchange for a pro rata share of the aggregate amount on deposit in the Trust Account, including interest not previously released to BCTG to pay its taxes. If demand is properly made and the Business Combination is consummated, these shares, immediately prior to the Business Combination, will cease to be outstanding and will represent only the right to receive a pro rata share of the aggregate amount on deposit in the Trust Account which holds the proceeds of the BCTG IPO (including interest earned on the funds held in the Trust Account and not previously released to it to pay BCTG’s franchise and income taxes). For illustrative purposes, based on funds in the Trust Account of approximately $[•] million on [•], 2021, the estimated per share redemption price would have been approximately $[•].</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order to exercise your redemption rights, you must:</w:t>
      </w:r>
    </w:p>
    <w:p>
      <w:pPr>
        <w:spacing w:after="0" w:line="158" w:lineRule="exact"/>
        <w:rPr>
          <w:sz w:val="20"/>
          <w:szCs w:val="20"/>
          <w:color w:val="auto"/>
        </w:rPr>
      </w:pPr>
    </w:p>
    <w:p>
      <w:pPr>
        <w:ind w:left="1300" w:hanging="414"/>
        <w:spacing w:after="0"/>
        <w:tabs>
          <w:tab w:leader="none" w:pos="13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check the box on the enclosed proxy card to elect redemption;</w:t>
      </w:r>
    </w:p>
    <w:p>
      <w:pPr>
        <w:spacing w:after="0" w:line="144" w:lineRule="exact"/>
        <w:rPr>
          <w:rFonts w:ascii="Arial" w:cs="Arial" w:eastAsia="Arial" w:hAnsi="Arial"/>
          <w:sz w:val="18"/>
          <w:szCs w:val="18"/>
          <w:color w:val="auto"/>
        </w:rPr>
      </w:pPr>
    </w:p>
    <w:p>
      <w:pPr>
        <w:ind w:left="1320" w:right="619" w:hanging="434"/>
        <w:spacing w:after="0" w:line="263" w:lineRule="auto"/>
        <w:tabs>
          <w:tab w:leader="none" w:pos="131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check the box on the enclosed proxy card marked “Stockholder Certification” if you are not acting in concert or as a “group” (as defined in Section 13d-3 of the Exchange Act) with any other stockholder with respect to shares of Common Stock;</w:t>
      </w:r>
    </w:p>
    <w:p>
      <w:pPr>
        <w:spacing w:after="0" w:line="116" w:lineRule="exact"/>
        <w:rPr>
          <w:rFonts w:ascii="Arial" w:cs="Arial" w:eastAsia="Arial" w:hAnsi="Arial"/>
          <w:sz w:val="18"/>
          <w:szCs w:val="18"/>
          <w:color w:val="auto"/>
        </w:rPr>
      </w:pPr>
    </w:p>
    <w:p>
      <w:pPr>
        <w:ind w:left="1320" w:right="579" w:hanging="434"/>
        <w:spacing w:after="0" w:line="259" w:lineRule="auto"/>
        <w:tabs>
          <w:tab w:leader="none" w:pos="131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prior to 5:00 PM Eastern time on [•], 2021 (two (2) business days before the Special Meeting), tender your shares physically or electronically and submit a request in writing that we redeem your public shares for cash to Continental Stock Transfer &amp; Trust Company, BCTG’s transfer agent, at the following address: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Continental Stock Transfer &amp; Trust Company</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State Street Plaza, 30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Floor</w:t>
      </w:r>
    </w:p>
    <w:p>
      <w:pPr>
        <w:jc w:val="center"/>
        <w:ind w:right="19"/>
        <w:spacing w:after="0"/>
        <w:rPr>
          <w:sz w:val="20"/>
          <w:szCs w:val="20"/>
          <w:color w:val="auto"/>
        </w:rPr>
      </w:pPr>
      <w:r>
        <w:rPr>
          <w:rFonts w:ascii="Arial" w:cs="Arial" w:eastAsia="Arial" w:hAnsi="Arial"/>
          <w:sz w:val="18"/>
          <w:szCs w:val="18"/>
          <w:color w:val="auto"/>
        </w:rPr>
        <w:t>New York, New York 10004 Attn: [•]</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left="1320" w:right="479" w:hanging="434"/>
        <w:spacing w:after="0" w:line="269" w:lineRule="auto"/>
        <w:tabs>
          <w:tab w:leader="none" w:pos="1311" w:val="left"/>
        </w:tabs>
        <w:numPr>
          <w:ilvl w:val="0"/>
          <w:numId w:val="157"/>
        </w:numPr>
        <w:rPr>
          <w:rFonts w:ascii="Arial" w:cs="Arial" w:eastAsia="Arial" w:hAnsi="Arial"/>
          <w:sz w:val="17"/>
          <w:szCs w:val="17"/>
          <w:color w:val="auto"/>
        </w:rPr>
      </w:pPr>
      <w:r>
        <w:rPr>
          <w:rFonts w:ascii="Arial" w:cs="Arial" w:eastAsia="Arial" w:hAnsi="Arial"/>
          <w:sz w:val="17"/>
          <w:szCs w:val="17"/>
          <w:color w:val="auto"/>
        </w:rPr>
        <w:t>deliver your Public Shares either physically or electronically through DTC to BCTG’s transfer agent at least two (2) business days before the Special Meeting. Stockholders seeking to exercise their redemption rights and opting to deliver physical certificates should allot sufficient time to obtain physical certificates from the transfer agent and time to effect delivery. It is BCTG’s understanding that stockholders should generally allot at least two weeks to obtain physical certificates from the transfer agent. However, BCTG does not have any control over this process and it may take longer than two weeks. Stockholders who hold their shares in street name will have to coordinate with their bank, broker or other nominee to have the shares certificated or delivered electronically. If you do not submit a written request and deliver your public shares as described above, your shares will not be redeemed.</w:t>
      </w:r>
    </w:p>
    <w:p>
      <w:pPr>
        <w:spacing w:after="0" w:line="118"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Any demand for redemption, once made, may be withdrawn at any time until the deadline for exercising redemption requests (and submitting shares to the transfer agent) and thereafter, with BCTG’s consent, until the vote is taken with respect to the Business Combination. If you delivered your shares for redemption to BCTG’s transfer agent and decide within the required timeframe not to exercise your redemption rights, you may request that BCTG’s transfer agent return the shares (physically or electronically). You may make such request by contacting BCTG’s transfer agent at the phone number or address listed above.</w:t>
      </w:r>
    </w:p>
    <w:p>
      <w:pPr>
        <w:spacing w:after="0" w:line="83"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Prior to exercising redemption rights, stockholders should verify the market price of BCTG Common Stock as they may receive higher proceeds from the sale of their Common Stock in the public market than from exercising their redemption rights if the market price per share is higher than the redemption price. We cannot assure you that you will be able to sell your shares of BCTG Common Stock in the open market, even if the market price per share is higher than the redemption price stated above, as there may not be sufficient liquidity in BCTG Common Stock when you wish to sell your shares.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1" w:name="page112"/>
    <w:bookmarkEnd w:id="11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If you exercise your redemption rights, your shares of BCTG Common Stock will cease to be outstanding immediately prior to the Business Combination and will only represent the right to receive a pro rata share of the aggregate amount on deposit in the Trust Account. You will no longer own those shares and will have no right to participate in, or have any interest in, the future growth of the Combined Entity, if any. You will be entitled to receive cash for these shares only if you properly and timely demand redemption.</w:t>
      </w:r>
    </w:p>
    <w:p>
      <w:pPr>
        <w:spacing w:after="0" w:line="94" w:lineRule="exact"/>
        <w:rPr>
          <w:sz w:val="20"/>
          <w:szCs w:val="20"/>
          <w:color w:val="auto"/>
        </w:rPr>
      </w:pPr>
    </w:p>
    <w:p>
      <w:pPr>
        <w:ind w:left="460" w:right="979" w:firstLine="432"/>
        <w:spacing w:after="0" w:line="286" w:lineRule="auto"/>
        <w:rPr>
          <w:sz w:val="20"/>
          <w:szCs w:val="20"/>
          <w:color w:val="auto"/>
        </w:rPr>
      </w:pPr>
      <w:r>
        <w:rPr>
          <w:rFonts w:ascii="Arial" w:cs="Arial" w:eastAsia="Arial" w:hAnsi="Arial"/>
          <w:sz w:val="17"/>
          <w:szCs w:val="17"/>
          <w:color w:val="auto"/>
        </w:rPr>
        <w:t>If the Business Combination is not approved and BCTG does not consummate an initial business combination by September 8, 2022, BCTG will be required to dissolve and liquidate its Trust Account by returning the then remaining funds in such account to the public stockholders.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Dissenter Rights</w:t>
      </w:r>
    </w:p>
    <w:p>
      <w:pPr>
        <w:spacing w:after="0" w:line="162"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BCTG stockholders do not have dissenter rights in connection with the Business Combination or the other proposals.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Proxy Solicitation</w:t>
      </w:r>
    </w:p>
    <w:p>
      <w:pPr>
        <w:spacing w:after="0" w:line="148"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BCTG is soliciting proxies on behalf of its Board. This solicitation is being made by mail but also may be made by telephone, by facsimile, on the Internet or in person. BCTG and its directors, officers and employees may also solicit proxies in person. BCTG will file with the SEC all scripts and other electronic communications as proxy soliciting materials. BCTG will bear the cost of the solicitation.</w:t>
      </w:r>
    </w:p>
    <w:p>
      <w:pPr>
        <w:spacing w:after="0" w:line="104"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BCTG has hired [•] to assist in the proxy solicitation process. BCTG will pay that firm a fee of $[•], plus disbursements.</w:t>
      </w:r>
    </w:p>
    <w:p>
      <w:pPr>
        <w:spacing w:after="0" w:line="103"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BCTG will ask banks, brokers and other institutions, nominees and fiduciaries to forward the proxy materials to their principals and to obtain their authority to execute proxies and voting instructions. BCTG will reimburse them for their reasonable expenses.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2" w:name="page113"/>
    <w:bookmarkEnd w:id="11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48" w:lineRule="exact"/>
        <w:rPr>
          <w:sz w:val="20"/>
          <w:szCs w:val="20"/>
          <w:color w:val="auto"/>
        </w:rPr>
      </w:pPr>
    </w:p>
    <w:p>
      <w:pPr>
        <w:ind w:left="460" w:right="539"/>
        <w:spacing w:after="0" w:line="277" w:lineRule="auto"/>
        <w:rPr>
          <w:sz w:val="20"/>
          <w:szCs w:val="20"/>
          <w:color w:val="auto"/>
        </w:rPr>
      </w:pPr>
      <w:r>
        <w:rPr>
          <w:rFonts w:ascii="Arial" w:cs="Arial" w:eastAsia="Arial" w:hAnsi="Arial"/>
          <w:sz w:val="18"/>
          <w:szCs w:val="18"/>
          <w:i w:val="1"/>
          <w:iCs w:val="1"/>
          <w:color w:val="auto"/>
        </w:rPr>
        <w:t>Defined terms included below shall have the same meaning as terms defined and included elsewhere in this this proxy statement/prospectus.</w:t>
      </w:r>
    </w:p>
    <w:p>
      <w:pPr>
        <w:spacing w:after="0" w:line="103"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The following unaudited pro forma condensed combined balance sheet of the Combined Entity as of December 31, 2020 and the unaudited pro forma condensed combined statement of operations of the Combined Entity for the year ended December 31, 2020 present the combination of the financial information of BCTG and Tango after giving effect to the Business Combination, PIPE Investment and related adjustments described in the accompanying notes. BCTG and Tango are collectively referred to herein as the “Companies”, and the Companies, subsequent to the Business Combination and PIPE Investment, are referred to herein as the “Combined Entity.” The Business Combination will be accounted for as a reverse recapitalization, pursuant to which the Business Combination will be treated as the equivalent of Tango issuing stock for the net assets of BCTG, accompanied by a recapitalization. The net assets of BCTG will be stated at historical cost, with no goodwill or other intangible assets recorded. Historical operations of the Combined Entity will be those of Tango.</w:t>
      </w:r>
    </w:p>
    <w:p>
      <w:pPr>
        <w:spacing w:after="0" w:line="114"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The unaudited pro forma condensed combined balance sheet as of December 31, 2020 gives pro forma effect to the March 2021 Series B redeemable convertible preferred stock issuance (“</w:t>
      </w:r>
      <w:r>
        <w:rPr>
          <w:rFonts w:ascii="Arial" w:cs="Arial" w:eastAsia="Arial" w:hAnsi="Arial"/>
          <w:sz w:val="16"/>
          <w:szCs w:val="16"/>
          <w:b w:val="1"/>
          <w:bCs w:val="1"/>
          <w:color w:val="auto"/>
        </w:rPr>
        <w:t>2021 Series B Issuance</w:t>
      </w:r>
      <w:r>
        <w:rPr>
          <w:rFonts w:ascii="Arial" w:cs="Arial" w:eastAsia="Arial" w:hAnsi="Arial"/>
          <w:sz w:val="16"/>
          <w:szCs w:val="16"/>
          <w:color w:val="auto"/>
        </w:rPr>
        <w:t>”), the Business Combination and PIPE Investment as if they had occurred on December 31, 2020. The unaudited pro forma condensed combined statement of operations for the year ended December 31, 2020 gives pro forma effect to the Business Combination and PIPE Investment as if they had occurred as of January 1, 2020.</w:t>
      </w:r>
    </w:p>
    <w:p>
      <w:pPr>
        <w:spacing w:after="0" w:line="80"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unaudited pro forma condensed combined financial information is based on and should be read in conjunction with:</w:t>
      </w:r>
    </w:p>
    <w:p>
      <w:pPr>
        <w:spacing w:after="0" w:line="103" w:lineRule="exact"/>
        <w:rPr>
          <w:sz w:val="20"/>
          <w:szCs w:val="20"/>
          <w:color w:val="auto"/>
        </w:rPr>
      </w:pPr>
    </w:p>
    <w:p>
      <w:pPr>
        <w:ind w:left="1300" w:hanging="414"/>
        <w:spacing w:after="0"/>
        <w:tabs>
          <w:tab w:leader="none" w:pos="13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accompanying notes to the unaudited pro forma condensed combined financial information;</w:t>
      </w:r>
    </w:p>
    <w:p>
      <w:pPr>
        <w:spacing w:after="0" w:line="169" w:lineRule="exact"/>
        <w:rPr>
          <w:rFonts w:ascii="Arial" w:cs="Arial" w:eastAsia="Arial" w:hAnsi="Arial"/>
          <w:sz w:val="17"/>
          <w:szCs w:val="17"/>
          <w:color w:val="auto"/>
        </w:rPr>
      </w:pPr>
    </w:p>
    <w:p>
      <w:pPr>
        <w:ind w:left="1320" w:right="579" w:hanging="434"/>
        <w:spacing w:after="0" w:line="263" w:lineRule="auto"/>
        <w:tabs>
          <w:tab w:leader="none" w:pos="131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audited historical financial statements of BCTG as of December 31, 2020 and for the period from May 21, 2020 (inception) through December 31, 2020, and the related notes thereto, included elsewhere in this proxy statement/prospectus;</w:t>
      </w:r>
    </w:p>
    <w:p>
      <w:pPr>
        <w:spacing w:after="0" w:line="102" w:lineRule="exact"/>
        <w:rPr>
          <w:rFonts w:ascii="Arial" w:cs="Arial" w:eastAsia="Arial" w:hAnsi="Arial"/>
          <w:sz w:val="18"/>
          <w:szCs w:val="18"/>
          <w:color w:val="auto"/>
        </w:rPr>
      </w:pPr>
    </w:p>
    <w:p>
      <w:pPr>
        <w:ind w:left="1320" w:right="1039" w:hanging="434"/>
        <w:spacing w:after="0" w:line="263" w:lineRule="auto"/>
        <w:tabs>
          <w:tab w:leader="none" w:pos="131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audited historical consolidated financial statements of Tango as of and for the year ended December 31, 2020, and the related notes thereto, included elsewhere in this proxy statement/prospectus; and</w:t>
      </w:r>
    </w:p>
    <w:p>
      <w:pPr>
        <w:spacing w:after="0" w:line="116" w:lineRule="exact"/>
        <w:rPr>
          <w:rFonts w:ascii="Arial" w:cs="Arial" w:eastAsia="Arial" w:hAnsi="Arial"/>
          <w:sz w:val="18"/>
          <w:szCs w:val="18"/>
          <w:color w:val="auto"/>
        </w:rPr>
      </w:pPr>
    </w:p>
    <w:p>
      <w:pPr>
        <w:ind w:left="1320" w:right="499" w:hanging="434"/>
        <w:spacing w:after="0" w:line="263" w:lineRule="auto"/>
        <w:tabs>
          <w:tab w:leader="none" w:pos="131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disclosures contained in the sections titled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of BCTG</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 Results of Operations of Tango</w:t>
      </w:r>
      <w:r>
        <w:rPr>
          <w:rFonts w:ascii="Arial" w:cs="Arial" w:eastAsia="Arial" w:hAnsi="Arial"/>
          <w:sz w:val="18"/>
          <w:szCs w:val="18"/>
          <w:color w:val="auto"/>
        </w:rPr>
        <w:t>”.</w:t>
      </w:r>
    </w:p>
    <w:p>
      <w:pPr>
        <w:spacing w:after="0" w:line="116"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The unaudited pro forma condensed combined financial information has been presented for illustrative purposes only and does not necessarily reflect what the Combined Entity’s financial condition or results of operations would have been had the 2021 Series B Issuance, Business Combination and PIPE Investment occurred on the dates indicated. Further, the unaudited pro forma condensed combined financial information also may not be useful in predicting the future financial condition and results of operations of the Combined Entity. The actual financial position and results of operations may differ significantly from the pro forma amounts reflected herein due to a variety of factors. The unaudited transaction accounting adjustments represent management’s estimates based on information available as of the date of this unaudited pro forma condensed combined financial information and are subject to change as additional information becomes available and analyses are performed. The Combined Entity believes that its assumptions and methodologies provide a reasonable basis for presenting all of the significant effects of the Business Combination, the PIPE Investment, and 2021 Series B Issuance based on information available to management at this time and that the transaction accounting adjustments give appropriate effect to those assumptions and are properly applied in the unaudited pro forma condensed combined financial information.</w:t>
      </w:r>
    </w:p>
    <w:p>
      <w:pPr>
        <w:spacing w:after="0" w:line="90"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On April 13, 2021, BCTG entered into the Merger Agreement with Merger Sub and Tango, pursuant to which Merger Sub will merge with and into Tango, with Tango as the surviving company in the Merger. Upon the closing of the Business Combination, BCTG will change its name to “Tango Therapeutics, Inc.” The aggregate consideration to be paid to Tango Equity holders pursuant to the Merger Agreement (subject to certain adjustments as provided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3" w:name="page114"/>
    <w:bookmarkEnd w:id="11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39"/>
        <w:spacing w:after="0" w:line="286" w:lineRule="auto"/>
        <w:rPr>
          <w:sz w:val="20"/>
          <w:szCs w:val="20"/>
          <w:color w:val="auto"/>
        </w:rPr>
      </w:pPr>
      <w:r>
        <w:rPr>
          <w:rFonts w:ascii="Arial" w:cs="Arial" w:eastAsia="Arial" w:hAnsi="Arial"/>
          <w:sz w:val="17"/>
          <w:szCs w:val="17"/>
          <w:color w:val="auto"/>
        </w:rPr>
        <w:t>therein) will be 55,000,000 shares of common stock. In connection with the Business Combination, BCTG expects to consummate the private placement of 18,610,000 shares of common stock at $10.00 per share, for aggregate gross proceeds of $186.1 million, under the PIPE Investment.</w:t>
      </w:r>
    </w:p>
    <w:p>
      <w:pPr>
        <w:spacing w:after="0" w:line="98"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The unaudited pro forma condensed combined information contained herein assumes that BCTG stockholders approve the Business Combination. BCTG’s public stockholders may elect to redeem their Public Shares for cash even if they approve the Business Combination. BCTG cannot predict how many of its public stockholders will exercise their right to have their Public Shares redeemed for cash. As a result, the Combined Entity has elected to provide the unaudited pro forma condensed combined financial information under two alternative levels of redemption scenarios into cash:</w:t>
      </w:r>
    </w:p>
    <w:p>
      <w:pPr>
        <w:spacing w:after="0" w:line="110" w:lineRule="exact"/>
        <w:rPr>
          <w:sz w:val="20"/>
          <w:szCs w:val="20"/>
          <w:color w:val="auto"/>
        </w:rPr>
      </w:pPr>
    </w:p>
    <w:p>
      <w:pPr>
        <w:ind w:left="1320" w:right="1019" w:hanging="434"/>
        <w:spacing w:after="0" w:line="277" w:lineRule="auto"/>
        <w:tabs>
          <w:tab w:leader="none" w:pos="131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Assuming No Redemptions: This assumes that none of BCTG’s public stockholders exercise redemption rights with respect to their public shares.</w:t>
      </w:r>
    </w:p>
    <w:p>
      <w:pPr>
        <w:spacing w:after="0" w:line="89" w:lineRule="exact"/>
        <w:rPr>
          <w:rFonts w:ascii="Arial" w:cs="Arial" w:eastAsia="Arial" w:hAnsi="Arial"/>
          <w:sz w:val="18"/>
          <w:szCs w:val="18"/>
          <w:color w:val="auto"/>
        </w:rPr>
      </w:pPr>
    </w:p>
    <w:p>
      <w:pPr>
        <w:ind w:left="1320" w:right="479" w:hanging="434"/>
        <w:spacing w:after="0" w:line="290" w:lineRule="auto"/>
        <w:tabs>
          <w:tab w:leader="none" w:pos="1311"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Assuming Maximum Redemptions: This presentation assumes that all of BCTG’s public stockholders, without giving effect to the Subscription Agreements entered into by certain BCTG public stockholders participating in the PIPE Investment, exercise redemption rights with respect to their public shares up to the minimum BCTG cash required at closing discussed below. This scenario assumes that 3,652,074 shares are redeemed for an aggregate redemption value of approximately $36.5 million. This maximum redemption scenario is based on the maximum number of redemptions which may occur, but which would still provide BCTG with cash at closing of the Business Combination of no less than $300.0 million pursuant to the Merger Agreement.</w:t>
      </w:r>
    </w:p>
    <w:p>
      <w:pPr>
        <w:spacing w:after="0" w:line="98"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 xml:space="preserve">The public stockholder redemptions are expected to be within the parameters described by the above two scenarios. However, there can be no assurance regarding which scenario will be closest to the actual results. Under both scenarios, Tango is considered the accounting acquirer, as further discussed in Note 2, </w:t>
      </w:r>
      <w:r>
        <w:rPr>
          <w:rFonts w:ascii="Arial" w:cs="Arial" w:eastAsia="Arial" w:hAnsi="Arial"/>
          <w:sz w:val="17"/>
          <w:szCs w:val="17"/>
          <w:i w:val="1"/>
          <w:iCs w:val="1"/>
          <w:color w:val="auto"/>
        </w:rPr>
        <w:t>Basis of</w:t>
      </w:r>
      <w:r>
        <w:rPr>
          <w:rFonts w:ascii="Arial" w:cs="Arial" w:eastAsia="Arial" w:hAnsi="Arial"/>
          <w:sz w:val="17"/>
          <w:szCs w:val="17"/>
          <w:color w:val="auto"/>
        </w:rPr>
        <w:t xml:space="preserve"> </w:t>
      </w:r>
      <w:r>
        <w:rPr>
          <w:rFonts w:ascii="Arial" w:cs="Arial" w:eastAsia="Arial" w:hAnsi="Arial"/>
          <w:sz w:val="17"/>
          <w:szCs w:val="17"/>
          <w:i w:val="1"/>
          <w:iCs w:val="1"/>
          <w:color w:val="auto"/>
        </w:rPr>
        <w:t>Presentation</w:t>
      </w:r>
      <w:r>
        <w:rPr>
          <w:rFonts w:ascii="Arial" w:cs="Arial" w:eastAsia="Arial" w:hAnsi="Arial"/>
          <w:sz w:val="17"/>
          <w:szCs w:val="17"/>
          <w:color w:val="auto"/>
        </w:rPr>
        <w:t>, of the unaudited pro forma condensed combined financial information.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4" w:name="page115"/>
    <w:bookmarkEnd w:id="11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4"/>
          </w:tcPr>
          <w:p>
            <w:pPr>
              <w:jc w:val="center"/>
              <w:ind w:right="57"/>
              <w:spacing w:after="0"/>
              <w:rPr>
                <w:sz w:val="20"/>
                <w:szCs w:val="20"/>
                <w:color w:val="auto"/>
              </w:rPr>
            </w:pPr>
            <w:r>
              <w:rPr>
                <w:rFonts w:ascii="Arial" w:cs="Arial" w:eastAsia="Arial" w:hAnsi="Arial"/>
                <w:sz w:val="13"/>
                <w:szCs w:val="13"/>
                <w:b w:val="1"/>
                <w:bCs w:val="1"/>
                <w:color w:val="auto"/>
                <w:w w:val="86"/>
              </w:rPr>
              <w:t>Scenario 2 (Assuming</w:t>
            </w: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60" w:type="dxa"/>
            <w:vAlign w:val="bottom"/>
            <w:gridSpan w:val="4"/>
          </w:tcPr>
          <w:p>
            <w:pPr>
              <w:jc w:val="center"/>
              <w:ind w:right="57"/>
              <w:spacing w:after="0" w:line="135" w:lineRule="exact"/>
              <w:rPr>
                <w:sz w:val="20"/>
                <w:szCs w:val="20"/>
                <w:color w:val="auto"/>
              </w:rPr>
            </w:pPr>
            <w:r>
              <w:rPr>
                <w:rFonts w:ascii="Arial" w:cs="Arial" w:eastAsia="Arial" w:hAnsi="Arial"/>
                <w:sz w:val="13"/>
                <w:szCs w:val="13"/>
                <w:b w:val="1"/>
                <w:bCs w:val="1"/>
                <w:color w:val="auto"/>
                <w:w w:val="84"/>
              </w:rPr>
              <w:t>Scenario 1 (Assuming</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4"/>
          </w:tcPr>
          <w:p>
            <w:pPr>
              <w:jc w:val="center"/>
              <w:ind w:right="57"/>
              <w:spacing w:after="0" w:line="135" w:lineRule="exact"/>
              <w:rPr>
                <w:sz w:val="20"/>
                <w:szCs w:val="20"/>
                <w:color w:val="auto"/>
              </w:rPr>
            </w:pPr>
            <w:r>
              <w:rPr>
                <w:rFonts w:ascii="Arial" w:cs="Arial" w:eastAsia="Arial" w:hAnsi="Arial"/>
                <w:sz w:val="13"/>
                <w:szCs w:val="13"/>
                <w:b w:val="1"/>
                <w:bCs w:val="1"/>
                <w:color w:val="auto"/>
                <w:w w:val="89"/>
              </w:rPr>
              <w:t>Maximum Redemptions</w:t>
            </w:r>
          </w:p>
        </w:tc>
        <w:tc>
          <w:tcPr>
            <w:tcW w:w="0" w:type="dxa"/>
            <w:vAlign w:val="bottom"/>
          </w:tcPr>
          <w:p>
            <w:pPr>
              <w:spacing w:after="0"/>
              <w:rPr>
                <w:sz w:val="1"/>
                <w:szCs w:val="1"/>
                <w:color w:val="auto"/>
              </w:rPr>
            </w:pPr>
          </w:p>
        </w:tc>
      </w:tr>
      <w:tr>
        <w:trPr>
          <w:trHeight w:val="164"/>
        </w:trPr>
        <w:tc>
          <w:tcPr>
            <w:tcW w:w="128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1"/>
              </w:rPr>
              <w:t>Historical</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3"/>
                <w:szCs w:val="13"/>
                <w:b w:val="1"/>
                <w:bCs w:val="1"/>
                <w:color w:val="auto"/>
                <w:w w:val="84"/>
              </w:rPr>
              <w:t>Historical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center"/>
              <w:ind w:left="297"/>
              <w:spacing w:after="0"/>
              <w:rPr>
                <w:sz w:val="20"/>
                <w:szCs w:val="20"/>
                <w:color w:val="auto"/>
              </w:rPr>
            </w:pPr>
            <w:r>
              <w:rPr>
                <w:rFonts w:ascii="Arial" w:cs="Arial" w:eastAsia="Arial" w:hAnsi="Arial"/>
                <w:sz w:val="13"/>
                <w:szCs w:val="13"/>
                <w:b w:val="1"/>
                <w:bCs w:val="1"/>
                <w:color w:val="auto"/>
                <w:w w:val="86"/>
              </w:rPr>
              <w:t>No Redemptions into Cash)</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left="317"/>
              <w:spacing w:after="0"/>
              <w:rPr>
                <w:sz w:val="20"/>
                <w:szCs w:val="20"/>
                <w:color w:val="auto"/>
              </w:rPr>
            </w:pPr>
            <w:r>
              <w:rPr>
                <w:rFonts w:ascii="Arial" w:cs="Arial" w:eastAsia="Arial" w:hAnsi="Arial"/>
                <w:sz w:val="13"/>
                <w:szCs w:val="13"/>
                <w:b w:val="1"/>
                <w:bCs w:val="1"/>
                <w:color w:val="auto"/>
                <w:w w:val="88"/>
              </w:rPr>
              <w:t>into Cash)</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2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gridSpan w:val="2"/>
            <w:vMerge w:val="restart"/>
          </w:tcPr>
          <w:p>
            <w:pPr>
              <w:jc w:val="center"/>
              <w:ind w:right="140"/>
              <w:spacing w:after="0" w:line="146" w:lineRule="exact"/>
              <w:rPr>
                <w:sz w:val="20"/>
                <w:szCs w:val="20"/>
                <w:color w:val="auto"/>
              </w:rPr>
            </w:pPr>
            <w:r>
              <w:rPr>
                <w:rFonts w:ascii="Arial" w:cs="Arial" w:eastAsia="Arial" w:hAnsi="Arial"/>
                <w:sz w:val="13"/>
                <w:szCs w:val="13"/>
                <w:b w:val="1"/>
                <w:bCs w:val="1"/>
                <w:color w:val="auto"/>
                <w:w w:val="87"/>
              </w:rPr>
              <w:t>Tango</w:t>
            </w: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6"/>
              </w:rPr>
              <w:t>Adjusted</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w w:val="89"/>
              </w:rPr>
              <w:t>2021</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for 2021</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Transaction</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PIPE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6"/>
              </w:rPr>
              <w:t>Transaction</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9"/>
              </w:rPr>
              <w:t>(A)</w:t>
            </w:r>
          </w:p>
        </w:tc>
        <w:tc>
          <w:tcPr>
            <w:tcW w:w="4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80"/>
              </w:rPr>
              <w:t>Series B</w:t>
            </w:r>
          </w:p>
        </w:tc>
        <w:tc>
          <w:tcPr>
            <w:tcW w:w="320" w:type="dxa"/>
            <w:vAlign w:val="bottom"/>
          </w:tcPr>
          <w:p>
            <w:pPr>
              <w:spacing w:after="0"/>
              <w:rPr>
                <w:sz w:val="11"/>
                <w:szCs w:val="11"/>
                <w:color w:val="auto"/>
              </w:rPr>
            </w:pPr>
          </w:p>
        </w:tc>
        <w:tc>
          <w:tcPr>
            <w:tcW w:w="6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0"/>
              </w:rPr>
              <w:t>Series B</w:t>
            </w:r>
          </w:p>
        </w:tc>
        <w:tc>
          <w:tcPr>
            <w:tcW w:w="80" w:type="dxa"/>
            <w:vAlign w:val="bottom"/>
          </w:tcPr>
          <w:p>
            <w:pPr>
              <w:spacing w:after="0"/>
              <w:rPr>
                <w:sz w:val="11"/>
                <w:szCs w:val="11"/>
                <w:color w:val="auto"/>
              </w:rPr>
            </w:pPr>
          </w:p>
        </w:tc>
        <w:tc>
          <w:tcPr>
            <w:tcW w:w="4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(B)</w:t>
            </w:r>
          </w:p>
        </w:tc>
        <w:tc>
          <w:tcPr>
            <w:tcW w:w="4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Accounting</w:t>
            </w:r>
          </w:p>
        </w:tc>
        <w:tc>
          <w:tcPr>
            <w:tcW w:w="34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6"/>
              </w:rPr>
              <w:t>Transaction</w:t>
            </w:r>
          </w:p>
        </w:tc>
        <w:tc>
          <w:tcPr>
            <w:tcW w:w="34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2"/>
              </w:rPr>
              <w:t>Pro Forma</w:t>
            </w: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86"/>
              </w:rPr>
              <w:t>Accounting</w:t>
            </w:r>
          </w:p>
        </w:tc>
        <w:tc>
          <w:tcPr>
            <w:tcW w:w="34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86"/>
              </w:rPr>
              <w:t>Pro Forma</w:t>
            </w:r>
          </w:p>
        </w:tc>
        <w:tc>
          <w:tcPr>
            <w:tcW w:w="0" w:type="dxa"/>
            <w:vAlign w:val="bottom"/>
          </w:tcPr>
          <w:p>
            <w:pPr>
              <w:spacing w:after="0"/>
              <w:rPr>
                <w:sz w:val="1"/>
                <w:szCs w:val="1"/>
                <w:color w:val="auto"/>
              </w:rPr>
            </w:pPr>
          </w:p>
        </w:tc>
      </w:tr>
      <w:tr>
        <w:trPr>
          <w:trHeight w:val="164"/>
        </w:trPr>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Tango</w:t>
            </w:r>
          </w:p>
        </w:tc>
        <w:tc>
          <w:tcPr>
            <w:tcW w:w="480" w:type="dxa"/>
            <w:vAlign w:val="bottom"/>
            <w:gridSpan w:val="2"/>
          </w:tcPr>
          <w:p>
            <w:pPr>
              <w:spacing w:after="0"/>
              <w:rPr>
                <w:sz w:val="20"/>
                <w:szCs w:val="20"/>
                <w:color w:val="auto"/>
              </w:rPr>
            </w:pPr>
            <w:r>
              <w:rPr>
                <w:rFonts w:ascii="Arial" w:cs="Arial" w:eastAsia="Arial" w:hAnsi="Arial"/>
                <w:sz w:val="13"/>
                <w:szCs w:val="13"/>
                <w:b w:val="1"/>
                <w:bCs w:val="1"/>
                <w:color w:val="auto"/>
                <w:w w:val="78"/>
              </w:rPr>
              <w:t>Issuance</w:t>
            </w:r>
          </w:p>
        </w:tc>
        <w:tc>
          <w:tcPr>
            <w:tcW w:w="320" w:type="dxa"/>
            <w:vAlign w:val="bottom"/>
          </w:tcPr>
          <w:p>
            <w:pPr>
              <w:spacing w:after="0"/>
              <w:rPr>
                <w:sz w:val="14"/>
                <w:szCs w:val="14"/>
                <w:color w:val="auto"/>
              </w:rPr>
            </w:pPr>
          </w:p>
        </w:tc>
        <w:tc>
          <w:tcPr>
            <w:tcW w:w="62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2"/>
              </w:rPr>
              <w:t>Issuance</w:t>
            </w:r>
          </w:p>
        </w:tc>
        <w:tc>
          <w:tcPr>
            <w:tcW w:w="80" w:type="dxa"/>
            <w:vAlign w:val="bottom"/>
          </w:tcPr>
          <w:p>
            <w:pPr>
              <w:spacing w:after="0"/>
              <w:rPr>
                <w:sz w:val="14"/>
                <w:szCs w:val="14"/>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b w:val="1"/>
                <w:bCs w:val="1"/>
                <w:color w:val="auto"/>
                <w:w w:val="97"/>
              </w:rPr>
              <w:t>BCTG</w:t>
            </w:r>
          </w:p>
        </w:tc>
        <w:tc>
          <w:tcPr>
            <w:tcW w:w="7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Adjustments</w:t>
            </w:r>
          </w:p>
        </w:tc>
        <w:tc>
          <w:tcPr>
            <w:tcW w:w="3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w w:val="81"/>
              </w:rPr>
              <w:t>Adjustments</w:t>
            </w:r>
          </w:p>
        </w:tc>
        <w:tc>
          <w:tcPr>
            <w:tcW w:w="3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b w:val="1"/>
                <w:bCs w:val="1"/>
                <w:color w:val="auto"/>
                <w:w w:val="81"/>
              </w:rPr>
              <w:t>Combined</w:t>
            </w:r>
          </w:p>
        </w:tc>
        <w:tc>
          <w:tcPr>
            <w:tcW w:w="740" w:type="dxa"/>
            <w:vAlign w:val="bottom"/>
            <w:gridSpan w:val="3"/>
          </w:tcPr>
          <w:p>
            <w:pPr>
              <w:ind w:left="60"/>
              <w:spacing w:after="0"/>
              <w:rPr>
                <w:sz w:val="20"/>
                <w:szCs w:val="20"/>
                <w:color w:val="auto"/>
              </w:rPr>
            </w:pPr>
            <w:r>
              <w:rPr>
                <w:rFonts w:ascii="Arial" w:cs="Arial" w:eastAsia="Arial" w:hAnsi="Arial"/>
                <w:sz w:val="13"/>
                <w:szCs w:val="13"/>
                <w:b w:val="1"/>
                <w:bCs w:val="1"/>
                <w:color w:val="auto"/>
                <w:w w:val="81"/>
              </w:rPr>
              <w:t>Adjustments</w:t>
            </w:r>
          </w:p>
        </w:tc>
        <w:tc>
          <w:tcPr>
            <w:tcW w:w="3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b w:val="1"/>
                <w:bCs w:val="1"/>
                <w:color w:val="auto"/>
                <w:w w:val="88"/>
              </w:rPr>
              <w:t>Combined</w:t>
            </w:r>
          </w:p>
        </w:tc>
        <w:tc>
          <w:tcPr>
            <w:tcW w:w="0" w:type="dxa"/>
            <w:vAlign w:val="bottom"/>
          </w:tcPr>
          <w:p>
            <w:pPr>
              <w:spacing w:after="0"/>
              <w:rPr>
                <w:sz w:val="1"/>
                <w:szCs w:val="1"/>
                <w:color w:val="auto"/>
              </w:rPr>
            </w:pPr>
          </w:p>
        </w:tc>
      </w:tr>
      <w:tr>
        <w:trPr>
          <w:trHeight w:val="29"/>
        </w:trPr>
        <w:tc>
          <w:tcPr>
            <w:tcW w:w="12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2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left w:val="single" w:sz="8" w:color="CCEEFF"/>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left w:val="single" w:sz="8" w:color="CCEEFF"/>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left w:val="single" w:sz="8" w:color="CCEEFF"/>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left w:val="single" w:sz="8" w:color="CCEEFF"/>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left w:val="single" w:sz="8" w:color="CCEEFF"/>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left w:val="single" w:sz="8" w:color="CCEEFF"/>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left w:val="single" w:sz="8" w:color="CCEEFF"/>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280" w:type="dxa"/>
            <w:vAlign w:val="bottom"/>
          </w:tcPr>
          <w:p>
            <w:pPr>
              <w:spacing w:after="0"/>
              <w:rPr>
                <w:sz w:val="20"/>
                <w:szCs w:val="20"/>
                <w:color w:val="auto"/>
              </w:rPr>
            </w:pPr>
            <w:r>
              <w:rPr>
                <w:rFonts w:ascii="Arial" w:cs="Arial" w:eastAsia="Arial" w:hAnsi="Arial"/>
                <w:sz w:val="13"/>
                <w:szCs w:val="13"/>
                <w:color w:val="auto"/>
              </w:rPr>
              <w:t>Current assets:</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280" w:type="dxa"/>
            <w:vAlign w:val="bottom"/>
            <w:tcBorders>
              <w:right w:val="single" w:sz="8" w:color="CCEEFF"/>
            </w:tcBorders>
            <w:shd w:val="clear" w:color="auto" w:fill="CCEEFF"/>
          </w:tcPr>
          <w:p>
            <w:pPr>
              <w:ind w:left="180"/>
              <w:spacing w:after="0" w:line="121" w:lineRule="exact"/>
              <w:rPr>
                <w:sz w:val="20"/>
                <w:szCs w:val="20"/>
                <w:color w:val="auto"/>
              </w:rPr>
            </w:pPr>
            <w:r>
              <w:rPr>
                <w:rFonts w:ascii="Arial" w:cs="Arial" w:eastAsia="Arial" w:hAnsi="Arial"/>
                <w:sz w:val="13"/>
                <w:szCs w:val="13"/>
                <w:color w:val="auto"/>
              </w:rPr>
              <w:t>Cash and cash</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20" w:type="dxa"/>
            <w:vAlign w:val="bottom"/>
            <w:tcBorders>
              <w:left w:val="single" w:sz="8" w:color="CCEEFF"/>
            </w:tcBorders>
            <w:vMerge w:val="restart"/>
            <w:shd w:val="clear" w:color="auto" w:fill="CCEEFF"/>
          </w:tcPr>
          <w:p>
            <w:pPr>
              <w:ind w:left="60"/>
              <w:spacing w:after="0"/>
              <w:rPr>
                <w:sz w:val="20"/>
                <w:szCs w:val="20"/>
                <w:color w:val="auto"/>
              </w:rPr>
            </w:pPr>
            <w:r>
              <w:rPr>
                <w:rFonts w:ascii="Arial" w:cs="Arial" w:eastAsia="Arial" w:hAnsi="Arial"/>
                <w:sz w:val="13"/>
                <w:szCs w:val="13"/>
                <w:b w:val="1"/>
                <w:bCs w:val="1"/>
                <w:color w:val="auto"/>
              </w:rPr>
              <w:t>3(a)</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tcBorders>
              <w:lef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0"/>
                <w:szCs w:val="10"/>
                <w:color w:val="auto"/>
              </w:rPr>
            </w:pPr>
          </w:p>
        </w:tc>
        <w:tc>
          <w:tcPr>
            <w:tcW w:w="34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3(b)</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40" w:type="dxa"/>
            <w:vAlign w:val="bottom"/>
            <w:tcBorders>
              <w:left w:val="single" w:sz="8" w:color="CCEEFF"/>
              <w:right w:val="single" w:sz="8" w:color="CCEEFF"/>
            </w:tcBorders>
            <w:vMerge w:val="restart"/>
            <w:shd w:val="clear" w:color="auto" w:fill="CCEEFF"/>
          </w:tcPr>
          <w:p>
            <w:pPr>
              <w:ind w:left="60"/>
              <w:spacing w:after="0"/>
              <w:rPr>
                <w:sz w:val="20"/>
                <w:szCs w:val="20"/>
                <w:color w:val="auto"/>
              </w:rPr>
            </w:pPr>
            <w:r>
              <w:rPr>
                <w:rFonts w:ascii="Arial" w:cs="Arial" w:eastAsia="Arial" w:hAnsi="Arial"/>
                <w:sz w:val="13"/>
                <w:szCs w:val="13"/>
                <w:b w:val="1"/>
                <w:bCs w:val="1"/>
                <w:color w:val="auto"/>
              </w:rPr>
              <w:t>3(b)</w:t>
            </w: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10"/>
                <w:szCs w:val="10"/>
                <w:color w:val="auto"/>
              </w:rPr>
            </w:pPr>
          </w:p>
        </w:tc>
        <w:tc>
          <w:tcPr>
            <w:tcW w:w="6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40" w:type="dxa"/>
            <w:vAlign w:val="bottom"/>
            <w:tcBorders>
              <w:left w:val="single" w:sz="8" w:color="CCEEFF"/>
            </w:tcBorders>
            <w:vMerge w:val="restart"/>
            <w:shd w:val="clear" w:color="auto" w:fill="CCEEFF"/>
          </w:tcPr>
          <w:p>
            <w:pPr>
              <w:ind w:left="60"/>
              <w:spacing w:after="0"/>
              <w:rPr>
                <w:sz w:val="20"/>
                <w:szCs w:val="20"/>
                <w:color w:val="auto"/>
              </w:rPr>
            </w:pPr>
            <w:r>
              <w:rPr>
                <w:rFonts w:ascii="Arial" w:cs="Arial" w:eastAsia="Arial" w:hAnsi="Arial"/>
                <w:sz w:val="13"/>
                <w:szCs w:val="13"/>
                <w:b w:val="1"/>
                <w:bCs w:val="1"/>
                <w:color w:val="auto"/>
              </w:rPr>
              <w:t>3(b)</w:t>
            </w: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28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equivalents</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28,381</w:t>
            </w:r>
          </w:p>
        </w:tc>
        <w:tc>
          <w:tcPr>
            <w:tcW w:w="120" w:type="dxa"/>
            <w:vAlign w:val="bottom"/>
            <w:tcBorders>
              <w:left w:val="single" w:sz="8" w:color="CCEEFF"/>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5"/>
              </w:rPr>
              <w:t>30,000</w:t>
            </w:r>
          </w:p>
        </w:tc>
        <w:tc>
          <w:tcPr>
            <w:tcW w:w="320" w:type="dxa"/>
            <w:vAlign w:val="bottom"/>
            <w:tcBorders>
              <w:left w:val="single" w:sz="8" w:color="CCEEFF"/>
              <w:bottom w:val="single" w:sz="8" w:color="CCEEFF"/>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58,381</w:t>
            </w: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1,314</w:t>
            </w:r>
          </w:p>
        </w:tc>
        <w:tc>
          <w:tcPr>
            <w:tcW w:w="180" w:type="dxa"/>
            <w:vAlign w:val="bottom"/>
            <w:tcBorders>
              <w:left w:val="single" w:sz="8" w:color="CCEEFF"/>
              <w:bottom w:val="single" w:sz="8" w:color="CCEEFF"/>
            </w:tcBorders>
            <w:gridSpan w:val="2"/>
            <w:vMerge w:val="continue"/>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156,865</w:t>
            </w:r>
          </w:p>
        </w:tc>
        <w:tc>
          <w:tcPr>
            <w:tcW w:w="340" w:type="dxa"/>
            <w:vAlign w:val="bottom"/>
            <w:tcBorders>
              <w:left w:val="single" w:sz="8" w:color="CCEEFF"/>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179,656</w:t>
            </w:r>
          </w:p>
        </w:tc>
        <w:tc>
          <w:tcPr>
            <w:tcW w:w="340" w:type="dxa"/>
            <w:vAlign w:val="bottom"/>
            <w:tcBorders>
              <w:left w:val="single" w:sz="8" w:color="CCEEFF"/>
              <w:bottom w:val="single" w:sz="8" w:color="CCEEFF"/>
              <w:right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396,216</w:t>
            </w:r>
          </w:p>
        </w:tc>
        <w:tc>
          <w:tcPr>
            <w:tcW w:w="160" w:type="dxa"/>
            <w:vAlign w:val="bottom"/>
            <w:tcBorders>
              <w:left w:val="single" w:sz="8" w:color="CCEEFF"/>
              <w:bottom w:val="single" w:sz="8" w:color="CCEEFF"/>
            </w:tcBorders>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(36,521)</w:t>
            </w:r>
          </w:p>
        </w:tc>
        <w:tc>
          <w:tcPr>
            <w:tcW w:w="340" w:type="dxa"/>
            <w:vAlign w:val="bottom"/>
            <w:tcBorders>
              <w:left w:val="single" w:sz="8" w:color="CCEEFF"/>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359,695</w:t>
            </w:r>
          </w:p>
        </w:tc>
        <w:tc>
          <w:tcPr>
            <w:tcW w:w="0" w:type="dxa"/>
            <w:vAlign w:val="bottom"/>
          </w:tcPr>
          <w:p>
            <w:pPr>
              <w:spacing w:after="0"/>
              <w:rPr>
                <w:sz w:val="1"/>
                <w:szCs w:val="1"/>
                <w:color w:val="auto"/>
              </w:rPr>
            </w:pPr>
          </w:p>
        </w:tc>
      </w:tr>
      <w:tr>
        <w:trPr>
          <w:trHeight w:val="121"/>
        </w:trPr>
        <w:tc>
          <w:tcPr>
            <w:tcW w:w="1280" w:type="dxa"/>
            <w:vAlign w:val="bottom"/>
          </w:tcPr>
          <w:p>
            <w:pPr>
              <w:ind w:left="180"/>
              <w:spacing w:after="0" w:line="121" w:lineRule="exact"/>
              <w:rPr>
                <w:sz w:val="20"/>
                <w:szCs w:val="20"/>
                <w:color w:val="auto"/>
              </w:rPr>
            </w:pPr>
            <w:r>
              <w:rPr>
                <w:rFonts w:ascii="Arial" w:cs="Arial" w:eastAsia="Arial" w:hAnsi="Arial"/>
                <w:sz w:val="13"/>
                <w:szCs w:val="13"/>
                <w:color w:val="auto"/>
              </w:rPr>
              <w:t>Marketable</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280" w:type="dxa"/>
            <w:vAlign w:val="bottom"/>
          </w:tcPr>
          <w:p>
            <w:pPr>
              <w:ind w:left="360"/>
              <w:spacing w:after="0"/>
              <w:rPr>
                <w:sz w:val="20"/>
                <w:szCs w:val="20"/>
                <w:color w:val="auto"/>
              </w:rPr>
            </w:pPr>
            <w:r>
              <w:rPr>
                <w:rFonts w:ascii="Arial" w:cs="Arial" w:eastAsia="Arial" w:hAnsi="Arial"/>
                <w:sz w:val="13"/>
                <w:szCs w:val="13"/>
                <w:color w:val="auto"/>
              </w:rPr>
              <w:t>securities</w:t>
            </w: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161,939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161,939</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161,939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161,939</w:t>
            </w:r>
          </w:p>
        </w:tc>
        <w:tc>
          <w:tcPr>
            <w:tcW w:w="0" w:type="dxa"/>
            <w:vAlign w:val="bottom"/>
          </w:tcPr>
          <w:p>
            <w:pPr>
              <w:spacing w:after="0"/>
              <w:rPr>
                <w:sz w:val="1"/>
                <w:szCs w:val="1"/>
                <w:color w:val="auto"/>
              </w:rPr>
            </w:pPr>
          </w:p>
        </w:tc>
      </w:tr>
      <w:tr>
        <w:trPr>
          <w:trHeight w:val="29"/>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28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w w:val="91"/>
              </w:rPr>
              <w:t>Accounts receivable</w:t>
            </w: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120" w:type="dxa"/>
            <w:vAlign w:val="bottom"/>
            <w:tcBorders>
              <w:left w:val="single" w:sz="8" w:color="CCEEFF"/>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left w:val="single" w:sz="8" w:color="CCEEFF"/>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2,000</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left w:val="single" w:sz="8" w:color="CCEEFF"/>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60" w:type="dxa"/>
            <w:vAlign w:val="bottom"/>
            <w:tcBorders>
              <w:left w:val="single" w:sz="8" w:color="CCEEFF"/>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0" w:type="dxa"/>
            <w:vAlign w:val="bottom"/>
          </w:tcPr>
          <w:p>
            <w:pPr>
              <w:spacing w:after="0"/>
              <w:rPr>
                <w:sz w:val="1"/>
                <w:szCs w:val="1"/>
                <w:color w:val="auto"/>
              </w:rPr>
            </w:pPr>
          </w:p>
        </w:tc>
      </w:tr>
      <w:tr>
        <w:trPr>
          <w:trHeight w:val="121"/>
        </w:trPr>
        <w:tc>
          <w:tcPr>
            <w:tcW w:w="1280" w:type="dxa"/>
            <w:vAlign w:val="bottom"/>
          </w:tcPr>
          <w:p>
            <w:pPr>
              <w:ind w:left="180"/>
              <w:spacing w:after="0" w:line="121" w:lineRule="exact"/>
              <w:rPr>
                <w:sz w:val="20"/>
                <w:szCs w:val="20"/>
                <w:color w:val="auto"/>
              </w:rPr>
            </w:pPr>
            <w:r>
              <w:rPr>
                <w:rFonts w:ascii="Arial" w:cs="Arial" w:eastAsia="Arial" w:hAnsi="Arial"/>
                <w:sz w:val="13"/>
                <w:szCs w:val="13"/>
                <w:color w:val="auto"/>
              </w:rPr>
              <w:t>Prepaid expenses</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360"/>
              <w:spacing w:after="0" w:line="135" w:lineRule="exact"/>
              <w:rPr>
                <w:sz w:val="20"/>
                <w:szCs w:val="20"/>
                <w:color w:val="auto"/>
              </w:rPr>
            </w:pPr>
            <w:r>
              <w:rPr>
                <w:rFonts w:ascii="Arial" w:cs="Arial" w:eastAsia="Arial" w:hAnsi="Arial"/>
                <w:sz w:val="13"/>
                <w:szCs w:val="13"/>
                <w:color w:val="auto"/>
                <w:w w:val="88"/>
              </w:rPr>
              <w:t>and other current</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280" w:type="dxa"/>
            <w:vAlign w:val="bottom"/>
          </w:tcPr>
          <w:p>
            <w:pPr>
              <w:ind w:left="360"/>
              <w:spacing w:after="0"/>
              <w:rPr>
                <w:sz w:val="20"/>
                <w:szCs w:val="20"/>
                <w:color w:val="auto"/>
              </w:rPr>
            </w:pPr>
            <w:r>
              <w:rPr>
                <w:rFonts w:ascii="Arial" w:cs="Arial" w:eastAsia="Arial" w:hAnsi="Arial"/>
                <w:sz w:val="13"/>
                <w:szCs w:val="13"/>
                <w:color w:val="auto"/>
              </w:rPr>
              <w:t>assets</w:t>
            </w: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1,312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1,312</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1,496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1,496</w:t>
            </w:r>
          </w:p>
        </w:tc>
        <w:tc>
          <w:tcPr>
            <w:tcW w:w="0" w:type="dxa"/>
            <w:vAlign w:val="bottom"/>
          </w:tcPr>
          <w:p>
            <w:pPr>
              <w:spacing w:after="0"/>
              <w:rPr>
                <w:sz w:val="1"/>
                <w:szCs w:val="1"/>
                <w:color w:val="auto"/>
              </w:rPr>
            </w:pPr>
          </w:p>
        </w:tc>
      </w:tr>
      <w:tr>
        <w:trPr>
          <w:trHeight w:val="107"/>
        </w:trPr>
        <w:tc>
          <w:tcPr>
            <w:tcW w:w="1280" w:type="dxa"/>
            <w:vAlign w:val="bottom"/>
            <w:tcBorders>
              <w:top w:val="single" w:sz="8" w:color="CCEEFF"/>
              <w:right w:val="single" w:sz="8" w:color="CCEEFF"/>
            </w:tcBorders>
            <w:shd w:val="clear" w:color="auto" w:fill="CCEEFF"/>
          </w:tcPr>
          <w:p>
            <w:pPr>
              <w:ind w:left="360"/>
              <w:spacing w:after="0" w:line="107" w:lineRule="exact"/>
              <w:rPr>
                <w:sz w:val="20"/>
                <w:szCs w:val="20"/>
                <w:color w:val="auto"/>
              </w:rPr>
            </w:pPr>
            <w:r>
              <w:rPr>
                <w:rFonts w:ascii="Arial" w:cs="Arial" w:eastAsia="Arial" w:hAnsi="Arial"/>
                <w:sz w:val="12"/>
                <w:szCs w:val="12"/>
                <w:color w:val="auto"/>
              </w:rPr>
              <w:t>Total current</w:t>
            </w:r>
          </w:p>
        </w:tc>
        <w:tc>
          <w:tcPr>
            <w:tcW w:w="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left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lef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left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left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lef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lef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280" w:type="dxa"/>
            <w:vAlign w:val="bottom"/>
            <w:tcBorders>
              <w:bottom w:val="single" w:sz="8" w:color="CCEEFF"/>
              <w:right w:val="single" w:sz="8" w:color="CCEEFF"/>
            </w:tcBorders>
            <w:shd w:val="clear" w:color="auto" w:fill="CCEEFF"/>
          </w:tcPr>
          <w:p>
            <w:pPr>
              <w:ind w:left="540"/>
              <w:spacing w:after="0"/>
              <w:rPr>
                <w:sz w:val="20"/>
                <w:szCs w:val="20"/>
                <w:color w:val="auto"/>
              </w:rPr>
            </w:pPr>
            <w:r>
              <w:rPr>
                <w:rFonts w:ascii="Arial" w:cs="Arial" w:eastAsia="Arial" w:hAnsi="Arial"/>
                <w:sz w:val="13"/>
                <w:szCs w:val="13"/>
                <w:color w:val="auto"/>
              </w:rPr>
              <w:t>assets</w:t>
            </w:r>
          </w:p>
        </w:tc>
        <w:tc>
          <w:tcPr>
            <w:tcW w:w="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193,632</w:t>
            </w:r>
          </w:p>
        </w:tc>
        <w:tc>
          <w:tcPr>
            <w:tcW w:w="120" w:type="dxa"/>
            <w:vAlign w:val="bottom"/>
            <w:tcBorders>
              <w:left w:val="single" w:sz="8" w:color="CCEEFF"/>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5"/>
              </w:rPr>
              <w:t>30,000</w:t>
            </w:r>
          </w:p>
        </w:tc>
        <w:tc>
          <w:tcPr>
            <w:tcW w:w="320" w:type="dxa"/>
            <w:vAlign w:val="bottom"/>
            <w:tcBorders>
              <w:left w:val="single" w:sz="8" w:color="CCEEFF"/>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223,632</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1,498</w:t>
            </w:r>
          </w:p>
        </w:tc>
        <w:tc>
          <w:tcPr>
            <w:tcW w:w="40" w:type="dxa"/>
            <w:vAlign w:val="bottom"/>
            <w:tcBorders>
              <w:left w:val="single" w:sz="8" w:color="CCEEFF"/>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156,865</w:t>
            </w:r>
          </w:p>
        </w:tc>
        <w:tc>
          <w:tcPr>
            <w:tcW w:w="340" w:type="dxa"/>
            <w:vAlign w:val="bottom"/>
            <w:tcBorders>
              <w:left w:val="single" w:sz="8" w:color="CCEEFF"/>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179,656</w:t>
            </w:r>
          </w:p>
        </w:tc>
        <w:tc>
          <w:tcPr>
            <w:tcW w:w="340" w:type="dxa"/>
            <w:vAlign w:val="bottom"/>
            <w:tcBorders>
              <w:left w:val="single" w:sz="8" w:color="CCEEFF"/>
              <w:bottom w:val="single" w:sz="8" w:color="CCEEFF"/>
              <w:right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561,651</w:t>
            </w:r>
          </w:p>
        </w:tc>
        <w:tc>
          <w:tcPr>
            <w:tcW w:w="6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(36,521)</w:t>
            </w:r>
          </w:p>
        </w:tc>
        <w:tc>
          <w:tcPr>
            <w:tcW w:w="34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525,130</w:t>
            </w:r>
          </w:p>
        </w:tc>
        <w:tc>
          <w:tcPr>
            <w:tcW w:w="0" w:type="dxa"/>
            <w:vAlign w:val="bottom"/>
          </w:tcPr>
          <w:p>
            <w:pPr>
              <w:spacing w:after="0"/>
              <w:rPr>
                <w:sz w:val="1"/>
                <w:szCs w:val="1"/>
                <w:color w:val="auto"/>
              </w:rPr>
            </w:pPr>
          </w:p>
        </w:tc>
      </w:tr>
      <w:tr>
        <w:trPr>
          <w:trHeight w:val="121"/>
        </w:trPr>
        <w:tc>
          <w:tcPr>
            <w:tcW w:w="1280" w:type="dxa"/>
            <w:vAlign w:val="bottom"/>
          </w:tcPr>
          <w:p>
            <w:pPr>
              <w:spacing w:after="0" w:line="121" w:lineRule="exact"/>
              <w:rPr>
                <w:sz w:val="20"/>
                <w:szCs w:val="20"/>
                <w:color w:val="auto"/>
              </w:rPr>
            </w:pPr>
            <w:r>
              <w:rPr>
                <w:rFonts w:ascii="Arial" w:cs="Arial" w:eastAsia="Arial" w:hAnsi="Arial"/>
                <w:sz w:val="13"/>
                <w:szCs w:val="13"/>
                <w:color w:val="auto"/>
              </w:rPr>
              <w:t>Property and</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280" w:type="dxa"/>
            <w:vAlign w:val="bottom"/>
          </w:tcPr>
          <w:p>
            <w:pPr>
              <w:ind w:left="180"/>
              <w:spacing w:after="0"/>
              <w:rPr>
                <w:sz w:val="20"/>
                <w:szCs w:val="20"/>
                <w:color w:val="auto"/>
              </w:rPr>
            </w:pPr>
            <w:r>
              <w:rPr>
                <w:rFonts w:ascii="Arial" w:cs="Arial" w:eastAsia="Arial" w:hAnsi="Arial"/>
                <w:sz w:val="13"/>
                <w:szCs w:val="13"/>
                <w:color w:val="auto"/>
              </w:rPr>
              <w:t>equipment, net</w:t>
            </w: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3,823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3,823</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3,823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3,823</w:t>
            </w:r>
          </w:p>
        </w:tc>
        <w:tc>
          <w:tcPr>
            <w:tcW w:w="0" w:type="dxa"/>
            <w:vAlign w:val="bottom"/>
          </w:tcPr>
          <w:p>
            <w:pPr>
              <w:spacing w:after="0"/>
              <w:rPr>
                <w:sz w:val="1"/>
                <w:szCs w:val="1"/>
                <w:color w:val="auto"/>
              </w:rPr>
            </w:pPr>
          </w:p>
        </w:tc>
      </w:tr>
      <w:tr>
        <w:trPr>
          <w:trHeight w:val="29"/>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280" w:type="dxa"/>
            <w:vAlign w:val="bottom"/>
            <w:tcBorders>
              <w:right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w w:val="99"/>
              </w:rPr>
              <w:t>Operating lease right-</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2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4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40" w:type="dxa"/>
            <w:vAlign w:val="bottom"/>
            <w:tcBorders>
              <w:left w:val="single" w:sz="8" w:color="CCEEFF"/>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4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28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of-use assets, net</w:t>
            </w:r>
          </w:p>
        </w:tc>
        <w:tc>
          <w:tcPr>
            <w:tcW w:w="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7,480</w:t>
            </w:r>
          </w:p>
        </w:tc>
        <w:tc>
          <w:tcPr>
            <w:tcW w:w="120" w:type="dxa"/>
            <w:vAlign w:val="bottom"/>
            <w:tcBorders>
              <w:left w:val="single" w:sz="8" w:color="CCEEFF"/>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left w:val="single" w:sz="8" w:color="CCEEFF"/>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7,480</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left w:val="single" w:sz="8" w:color="CCEEFF"/>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right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7,480</w:t>
            </w:r>
          </w:p>
        </w:tc>
        <w:tc>
          <w:tcPr>
            <w:tcW w:w="6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7,480</w:t>
            </w:r>
          </w:p>
        </w:tc>
        <w:tc>
          <w:tcPr>
            <w:tcW w:w="0" w:type="dxa"/>
            <w:vAlign w:val="bottom"/>
          </w:tcPr>
          <w:p>
            <w:pPr>
              <w:spacing w:after="0"/>
              <w:rPr>
                <w:sz w:val="1"/>
                <w:szCs w:val="1"/>
                <w:color w:val="auto"/>
              </w:rPr>
            </w:pPr>
          </w:p>
        </w:tc>
      </w:tr>
      <w:tr>
        <w:trPr>
          <w:trHeight w:val="254"/>
        </w:trPr>
        <w:tc>
          <w:tcPr>
            <w:tcW w:w="1280" w:type="dxa"/>
            <w:vAlign w:val="bottom"/>
          </w:tcPr>
          <w:p>
            <w:pPr>
              <w:spacing w:after="0"/>
              <w:rPr>
                <w:sz w:val="20"/>
                <w:szCs w:val="20"/>
                <w:color w:val="auto"/>
              </w:rPr>
            </w:pPr>
            <w:r>
              <w:rPr>
                <w:rFonts w:ascii="Arial" w:cs="Arial" w:eastAsia="Arial" w:hAnsi="Arial"/>
                <w:sz w:val="13"/>
                <w:szCs w:val="13"/>
                <w:color w:val="auto"/>
              </w:rPr>
              <w:t>Restricted cash</w:t>
            </w:r>
          </w:p>
        </w:tc>
        <w:tc>
          <w:tcPr>
            <w:tcW w:w="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2,279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2,279</w:t>
            </w:r>
          </w:p>
        </w:tc>
        <w:tc>
          <w:tcPr>
            <w:tcW w:w="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2,279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2,279</w:t>
            </w:r>
          </w:p>
        </w:tc>
        <w:tc>
          <w:tcPr>
            <w:tcW w:w="0" w:type="dxa"/>
            <w:vAlign w:val="bottom"/>
          </w:tcPr>
          <w:p>
            <w:pPr>
              <w:spacing w:after="0"/>
              <w:rPr>
                <w:sz w:val="1"/>
                <w:szCs w:val="1"/>
                <w:color w:val="auto"/>
              </w:rPr>
            </w:pPr>
          </w:p>
        </w:tc>
      </w:tr>
      <w:tr>
        <w:trPr>
          <w:trHeight w:val="29"/>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280" w:type="dxa"/>
            <w:vAlign w:val="bottom"/>
            <w:tcBorders>
              <w:right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w w:val="96"/>
              </w:rPr>
              <w:t>Cash and investments</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2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4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3(c)</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40" w:type="dxa"/>
            <w:vAlign w:val="bottom"/>
            <w:tcBorders>
              <w:left w:val="single" w:sz="8" w:color="CCEEFF"/>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4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28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w w:val="91"/>
              </w:rPr>
              <w:t>held in trust account</w:t>
            </w:r>
          </w:p>
        </w:tc>
        <w:tc>
          <w:tcPr>
            <w:tcW w:w="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left w:val="single" w:sz="8" w:color="CCEEFF"/>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166,815</w:t>
            </w:r>
          </w:p>
        </w:tc>
        <w:tc>
          <w:tcPr>
            <w:tcW w:w="40" w:type="dxa"/>
            <w:vAlign w:val="bottom"/>
            <w:tcBorders>
              <w:left w:val="single" w:sz="8" w:color="CCEEFF"/>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(166,815)</w:t>
            </w:r>
          </w:p>
        </w:tc>
        <w:tc>
          <w:tcPr>
            <w:tcW w:w="340" w:type="dxa"/>
            <w:vAlign w:val="bottom"/>
            <w:tcBorders>
              <w:left w:val="single" w:sz="8" w:color="CCEEFF"/>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right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6"/>
        </w:trPr>
        <w:tc>
          <w:tcPr>
            <w:tcW w:w="1280" w:type="dxa"/>
            <w:vAlign w:val="bottom"/>
          </w:tcPr>
          <w:p>
            <w:pPr>
              <w:spacing w:after="0"/>
              <w:rPr>
                <w:sz w:val="20"/>
                <w:szCs w:val="20"/>
                <w:color w:val="auto"/>
              </w:rPr>
            </w:pPr>
            <w:r>
              <w:rPr>
                <w:rFonts w:ascii="Arial" w:cs="Arial" w:eastAsia="Arial" w:hAnsi="Arial"/>
                <w:sz w:val="13"/>
                <w:szCs w:val="13"/>
                <w:color w:val="auto"/>
              </w:rPr>
              <w:t>Other assets</w:t>
            </w:r>
          </w:p>
        </w:tc>
        <w:tc>
          <w:tcPr>
            <w:tcW w:w="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21"/>
        </w:trPr>
        <w:tc>
          <w:tcPr>
            <w:tcW w:w="12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207,252</w:t>
            </w:r>
          </w:p>
        </w:tc>
        <w:tc>
          <w:tcPr>
            <w:tcW w:w="120" w:type="dxa"/>
            <w:vAlign w:val="bottom"/>
            <w:tcBorders>
              <w:lef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30,000</w:t>
            </w:r>
          </w:p>
        </w:tc>
        <w:tc>
          <w:tcPr>
            <w:tcW w:w="320" w:type="dxa"/>
            <w:vAlign w:val="bottom"/>
            <w:tcBorders>
              <w:left w:val="single" w:sz="8" w:color="CCEEFF"/>
            </w:tcBorders>
            <w:shd w:val="clear" w:color="auto" w:fill="CCEEFF"/>
          </w:tcPr>
          <w:p>
            <w:pPr>
              <w:spacing w:after="0"/>
              <w:rPr>
                <w:sz w:val="22"/>
                <w:szCs w:val="2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237,252</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168,313</w:t>
            </w:r>
          </w:p>
        </w:tc>
        <w:tc>
          <w:tcPr>
            <w:tcW w:w="1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(9,950)</w:t>
            </w:r>
          </w:p>
        </w:tc>
        <w:tc>
          <w:tcPr>
            <w:tcW w:w="340" w:type="dxa"/>
            <w:vAlign w:val="bottom"/>
            <w:tcBorders>
              <w:lef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179,656</w:t>
            </w:r>
          </w:p>
        </w:tc>
        <w:tc>
          <w:tcPr>
            <w:tcW w:w="340" w:type="dxa"/>
            <w:vAlign w:val="bottom"/>
            <w:tcBorders>
              <w:left w:val="single" w:sz="8" w:color="CCEEFF"/>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575,271</w:t>
            </w:r>
          </w:p>
        </w:tc>
        <w:tc>
          <w:tcPr>
            <w:tcW w:w="160" w:type="dxa"/>
            <w:vAlign w:val="bottom"/>
            <w:tcBorders>
              <w:left w:val="single" w:sz="8" w:color="CCEEFF"/>
            </w:tcBorders>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(36,521)</w:t>
            </w:r>
          </w:p>
        </w:tc>
        <w:tc>
          <w:tcPr>
            <w:tcW w:w="34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538,750</w:t>
            </w:r>
          </w:p>
        </w:tc>
        <w:tc>
          <w:tcPr>
            <w:tcW w:w="0" w:type="dxa"/>
            <w:vAlign w:val="bottom"/>
          </w:tcPr>
          <w:p>
            <w:pPr>
              <w:spacing w:after="0"/>
              <w:rPr>
                <w:sz w:val="1"/>
                <w:szCs w:val="1"/>
                <w:color w:val="auto"/>
              </w:rPr>
            </w:pPr>
          </w:p>
        </w:tc>
      </w:tr>
      <w:tr>
        <w:trPr>
          <w:trHeight w:val="283"/>
        </w:trPr>
        <w:tc>
          <w:tcPr>
            <w:tcW w:w="12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280" w:type="dxa"/>
            <w:vAlign w:val="bottom"/>
            <w:tcBorders>
              <w:right w:val="single" w:sz="8" w:color="CCEEFF"/>
            </w:tcBorders>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Liabilities,</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2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4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40" w:type="dxa"/>
            <w:vAlign w:val="bottom"/>
            <w:tcBorders>
              <w:left w:val="single" w:sz="8" w:color="CCEEFF"/>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4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right w:val="single" w:sz="8" w:color="CCEEFF"/>
            </w:tcBorders>
            <w:shd w:val="clear" w:color="auto" w:fill="CCEEFF"/>
          </w:tcPr>
          <w:p>
            <w:pPr>
              <w:ind w:left="180"/>
              <w:spacing w:after="0" w:line="135" w:lineRule="exact"/>
              <w:rPr>
                <w:sz w:val="20"/>
                <w:szCs w:val="20"/>
                <w:color w:val="auto"/>
              </w:rPr>
            </w:pPr>
            <w:r>
              <w:rPr>
                <w:rFonts w:ascii="Arial" w:cs="Arial" w:eastAsia="Arial" w:hAnsi="Arial"/>
                <w:sz w:val="13"/>
                <w:szCs w:val="13"/>
                <w:b w:val="1"/>
                <w:bCs w:val="1"/>
                <w:color w:val="auto"/>
              </w:rPr>
              <w:t>Redeemable</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tcBorders>
              <w:left w:val="single" w:sz="8" w:color="CCEEFF"/>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right w:val="single" w:sz="8" w:color="CCEEFF"/>
            </w:tcBorders>
            <w:shd w:val="clear" w:color="auto" w:fill="CCEEFF"/>
          </w:tcPr>
          <w:p>
            <w:pPr>
              <w:ind w:left="180"/>
              <w:spacing w:after="0" w:line="135" w:lineRule="exact"/>
              <w:rPr>
                <w:sz w:val="20"/>
                <w:szCs w:val="20"/>
                <w:color w:val="auto"/>
              </w:rPr>
            </w:pPr>
            <w:r>
              <w:rPr>
                <w:rFonts w:ascii="Arial" w:cs="Arial" w:eastAsia="Arial" w:hAnsi="Arial"/>
                <w:sz w:val="13"/>
                <w:szCs w:val="13"/>
                <w:b w:val="1"/>
                <w:bCs w:val="1"/>
                <w:color w:val="auto"/>
              </w:rPr>
              <w:t>Convertible</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tcBorders>
              <w:left w:val="single" w:sz="8" w:color="CCEEFF"/>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right w:val="single" w:sz="8" w:color="CCEEFF"/>
            </w:tcBorders>
            <w:shd w:val="clear" w:color="auto" w:fill="CCEEFF"/>
          </w:tcPr>
          <w:p>
            <w:pPr>
              <w:ind w:left="180"/>
              <w:spacing w:after="0" w:line="135" w:lineRule="exact"/>
              <w:rPr>
                <w:sz w:val="20"/>
                <w:szCs w:val="20"/>
                <w:color w:val="auto"/>
              </w:rPr>
            </w:pPr>
            <w:r>
              <w:rPr>
                <w:rFonts w:ascii="Arial" w:cs="Arial" w:eastAsia="Arial" w:hAnsi="Arial"/>
                <w:sz w:val="13"/>
                <w:szCs w:val="13"/>
                <w:b w:val="1"/>
                <w:bCs w:val="1"/>
                <w:color w:val="auto"/>
              </w:rPr>
              <w:t>Preferred Stock</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tcBorders>
              <w:left w:val="single" w:sz="8" w:color="CCEEFF"/>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right w:val="single" w:sz="8" w:color="CCEEFF"/>
            </w:tcBorders>
            <w:shd w:val="clear" w:color="auto" w:fill="CCEEFF"/>
          </w:tcPr>
          <w:p>
            <w:pPr>
              <w:ind w:left="180"/>
              <w:spacing w:after="0" w:line="135" w:lineRule="exact"/>
              <w:rPr>
                <w:sz w:val="20"/>
                <w:szCs w:val="20"/>
                <w:color w:val="auto"/>
              </w:rPr>
            </w:pPr>
            <w:r>
              <w:rPr>
                <w:rFonts w:ascii="Arial" w:cs="Arial" w:eastAsia="Arial" w:hAnsi="Arial"/>
                <w:sz w:val="13"/>
                <w:szCs w:val="13"/>
                <w:b w:val="1"/>
                <w:bCs w:val="1"/>
                <w:color w:val="auto"/>
                <w:w w:val="94"/>
              </w:rPr>
              <w:t>and Stockholders’</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tcBorders>
              <w:left w:val="single" w:sz="8" w:color="CCEEFF"/>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28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Deficit</w:t>
            </w:r>
          </w:p>
        </w:tc>
        <w:tc>
          <w:tcPr>
            <w:tcW w:w="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left w:val="single" w:sz="8" w:color="CCEEFF"/>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left w:val="single" w:sz="8" w:color="CCEEFF"/>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left w:val="single" w:sz="8" w:color="CCEEFF"/>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left w:val="single" w:sz="8" w:color="CCEEFF"/>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left w:val="single" w:sz="8" w:color="CCEEFF"/>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left w:val="single" w:sz="8" w:color="CCEEFF"/>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left w:val="single" w:sz="8" w:color="CCEEFF"/>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1280" w:type="dxa"/>
            <w:vAlign w:val="bottom"/>
          </w:tcPr>
          <w:p>
            <w:pPr>
              <w:spacing w:after="0"/>
              <w:rPr>
                <w:sz w:val="20"/>
                <w:szCs w:val="20"/>
                <w:color w:val="auto"/>
              </w:rPr>
            </w:pPr>
            <w:r>
              <w:rPr>
                <w:rFonts w:ascii="Arial" w:cs="Arial" w:eastAsia="Arial" w:hAnsi="Arial"/>
                <w:sz w:val="13"/>
                <w:szCs w:val="13"/>
                <w:color w:val="auto"/>
              </w:rPr>
              <w:t>Current liabilities:</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28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Accounts payable</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1,841</w:t>
            </w:r>
          </w:p>
        </w:tc>
        <w:tc>
          <w:tcPr>
            <w:tcW w:w="120" w:type="dxa"/>
            <w:vAlign w:val="bottom"/>
            <w:tcBorders>
              <w:left w:val="single" w:sz="8" w:color="CCEEFF"/>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left w:val="single" w:sz="8" w:color="CCEEFF"/>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1,841</w:t>
            </w: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1,841</w:t>
            </w:r>
          </w:p>
        </w:tc>
        <w:tc>
          <w:tcPr>
            <w:tcW w:w="160" w:type="dxa"/>
            <w:vAlign w:val="bottom"/>
            <w:tcBorders>
              <w:left w:val="single" w:sz="8" w:color="CCEEFF"/>
              <w:bottom w:val="single" w:sz="8" w:color="CCEEFF"/>
            </w:tcBorders>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1,841</w:t>
            </w:r>
          </w:p>
        </w:tc>
        <w:tc>
          <w:tcPr>
            <w:tcW w:w="0" w:type="dxa"/>
            <w:vAlign w:val="bottom"/>
          </w:tcPr>
          <w:p>
            <w:pPr>
              <w:spacing w:after="0"/>
              <w:rPr>
                <w:sz w:val="1"/>
                <w:szCs w:val="1"/>
                <w:color w:val="auto"/>
              </w:rPr>
            </w:pPr>
          </w:p>
        </w:tc>
      </w:tr>
      <w:tr>
        <w:trPr>
          <w:trHeight w:val="121"/>
        </w:trPr>
        <w:tc>
          <w:tcPr>
            <w:tcW w:w="1280" w:type="dxa"/>
            <w:vAlign w:val="bottom"/>
          </w:tcPr>
          <w:p>
            <w:pPr>
              <w:ind w:left="180"/>
              <w:spacing w:after="0" w:line="121" w:lineRule="exact"/>
              <w:rPr>
                <w:sz w:val="20"/>
                <w:szCs w:val="20"/>
                <w:color w:val="auto"/>
              </w:rPr>
            </w:pPr>
            <w:r>
              <w:rPr>
                <w:rFonts w:ascii="Arial" w:cs="Arial" w:eastAsia="Arial" w:hAnsi="Arial"/>
                <w:sz w:val="13"/>
                <w:szCs w:val="13"/>
                <w:color w:val="auto"/>
                <w:w w:val="99"/>
              </w:rPr>
              <w:t>Accrued expenses</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360"/>
              <w:spacing w:after="0" w:line="135" w:lineRule="exact"/>
              <w:rPr>
                <w:sz w:val="20"/>
                <w:szCs w:val="20"/>
                <w:color w:val="auto"/>
              </w:rPr>
            </w:pPr>
            <w:r>
              <w:rPr>
                <w:rFonts w:ascii="Arial" w:cs="Arial" w:eastAsia="Arial" w:hAnsi="Arial"/>
                <w:sz w:val="13"/>
                <w:szCs w:val="13"/>
                <w:color w:val="auto"/>
                <w:w w:val="88"/>
              </w:rPr>
              <w:t>and other current</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280" w:type="dxa"/>
            <w:vAlign w:val="bottom"/>
          </w:tcPr>
          <w:p>
            <w:pPr>
              <w:ind w:left="360"/>
              <w:spacing w:after="0"/>
              <w:rPr>
                <w:sz w:val="20"/>
                <w:szCs w:val="20"/>
                <w:color w:val="auto"/>
              </w:rPr>
            </w:pPr>
            <w:r>
              <w:rPr>
                <w:rFonts w:ascii="Arial" w:cs="Arial" w:eastAsia="Arial" w:hAnsi="Arial"/>
                <w:sz w:val="13"/>
                <w:szCs w:val="13"/>
                <w:color w:val="auto"/>
              </w:rPr>
              <w:t>liabilities</w:t>
            </w: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6,140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6,140</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w:t>
            </w:r>
          </w:p>
        </w:tc>
        <w:tc>
          <w:tcPr>
            <w:tcW w:w="3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6,255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6,255</w:t>
            </w:r>
          </w:p>
        </w:tc>
        <w:tc>
          <w:tcPr>
            <w:tcW w:w="0" w:type="dxa"/>
            <w:vAlign w:val="bottom"/>
          </w:tcPr>
          <w:p>
            <w:pPr>
              <w:spacing w:after="0"/>
              <w:rPr>
                <w:sz w:val="1"/>
                <w:szCs w:val="1"/>
                <w:color w:val="auto"/>
              </w:rPr>
            </w:pPr>
          </w:p>
        </w:tc>
      </w:tr>
      <w:tr>
        <w:trPr>
          <w:trHeight w:val="30"/>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280" w:type="dxa"/>
            <w:vAlign w:val="bottom"/>
            <w:tcBorders>
              <w:right w:val="single" w:sz="8" w:color="CCEEFF"/>
            </w:tcBorders>
            <w:shd w:val="clear" w:color="auto" w:fill="CCEEFF"/>
          </w:tcPr>
          <w:p>
            <w:pPr>
              <w:ind w:left="180"/>
              <w:spacing w:after="0" w:line="121" w:lineRule="exact"/>
              <w:rPr>
                <w:sz w:val="20"/>
                <w:szCs w:val="20"/>
                <w:color w:val="auto"/>
              </w:rPr>
            </w:pPr>
            <w:r>
              <w:rPr>
                <w:rFonts w:ascii="Arial" w:cs="Arial" w:eastAsia="Arial" w:hAnsi="Arial"/>
                <w:sz w:val="13"/>
                <w:szCs w:val="13"/>
                <w:color w:val="auto"/>
              </w:rPr>
              <w:t>Operating lease</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2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4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40" w:type="dxa"/>
            <w:vAlign w:val="bottom"/>
            <w:tcBorders>
              <w:left w:val="single" w:sz="8" w:color="CCEEFF"/>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4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28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liabilities</w:t>
            </w:r>
          </w:p>
        </w:tc>
        <w:tc>
          <w:tcPr>
            <w:tcW w:w="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959</w:t>
            </w:r>
          </w:p>
        </w:tc>
        <w:tc>
          <w:tcPr>
            <w:tcW w:w="120" w:type="dxa"/>
            <w:vAlign w:val="bottom"/>
            <w:tcBorders>
              <w:left w:val="single" w:sz="8" w:color="CCEEFF"/>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left w:val="single" w:sz="8" w:color="CCEEFF"/>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959</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left w:val="single" w:sz="8" w:color="CCEEFF"/>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right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959</w:t>
            </w:r>
          </w:p>
        </w:tc>
        <w:tc>
          <w:tcPr>
            <w:tcW w:w="6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959</w:t>
            </w:r>
          </w:p>
        </w:tc>
        <w:tc>
          <w:tcPr>
            <w:tcW w:w="0" w:type="dxa"/>
            <w:vAlign w:val="bottom"/>
          </w:tcPr>
          <w:p>
            <w:pPr>
              <w:spacing w:after="0"/>
              <w:rPr>
                <w:sz w:val="1"/>
                <w:szCs w:val="1"/>
                <w:color w:val="auto"/>
              </w:rPr>
            </w:pPr>
          </w:p>
        </w:tc>
      </w:tr>
      <w:tr>
        <w:trPr>
          <w:trHeight w:val="254"/>
        </w:trPr>
        <w:tc>
          <w:tcPr>
            <w:tcW w:w="1280" w:type="dxa"/>
            <w:vAlign w:val="bottom"/>
          </w:tcPr>
          <w:p>
            <w:pPr>
              <w:ind w:left="180"/>
              <w:spacing w:after="0"/>
              <w:rPr>
                <w:sz w:val="20"/>
                <w:szCs w:val="20"/>
                <w:color w:val="auto"/>
              </w:rPr>
            </w:pPr>
            <w:r>
              <w:rPr>
                <w:rFonts w:ascii="Arial" w:cs="Arial" w:eastAsia="Arial" w:hAnsi="Arial"/>
                <w:sz w:val="13"/>
                <w:szCs w:val="13"/>
                <w:color w:val="auto"/>
              </w:rPr>
              <w:t>Deferred revenue</w:t>
            </w:r>
          </w:p>
        </w:tc>
        <w:tc>
          <w:tcPr>
            <w:tcW w:w="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31,977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31,977</w:t>
            </w:r>
          </w:p>
        </w:tc>
        <w:tc>
          <w:tcPr>
            <w:tcW w:w="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31,977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31,977</w:t>
            </w:r>
          </w:p>
        </w:tc>
        <w:tc>
          <w:tcPr>
            <w:tcW w:w="0" w:type="dxa"/>
            <w:vAlign w:val="bottom"/>
          </w:tcPr>
          <w:p>
            <w:pPr>
              <w:spacing w:after="0"/>
              <w:rPr>
                <w:sz w:val="1"/>
                <w:szCs w:val="1"/>
                <w:color w:val="auto"/>
              </w:rPr>
            </w:pPr>
          </w:p>
        </w:tc>
      </w:tr>
      <w:tr>
        <w:trPr>
          <w:trHeight w:val="30"/>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280" w:type="dxa"/>
            <w:vAlign w:val="bottom"/>
            <w:tcBorders>
              <w:right w:val="single" w:sz="8" w:color="CCEEFF"/>
            </w:tcBorders>
            <w:shd w:val="clear" w:color="auto" w:fill="CCEEFF"/>
          </w:tcPr>
          <w:p>
            <w:pPr>
              <w:ind w:left="180"/>
              <w:spacing w:after="0" w:line="121" w:lineRule="exact"/>
              <w:rPr>
                <w:sz w:val="20"/>
                <w:szCs w:val="20"/>
                <w:color w:val="auto"/>
              </w:rPr>
            </w:pPr>
            <w:r>
              <w:rPr>
                <w:rFonts w:ascii="Arial" w:cs="Arial" w:eastAsia="Arial" w:hAnsi="Arial"/>
                <w:sz w:val="13"/>
                <w:szCs w:val="13"/>
                <w:color w:val="auto"/>
              </w:rPr>
              <w:t>Accrued income</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2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4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3(d)</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40" w:type="dxa"/>
            <w:vAlign w:val="bottom"/>
            <w:tcBorders>
              <w:left w:val="single" w:sz="8" w:color="CCEEFF"/>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4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28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taxes</w:t>
            </w:r>
          </w:p>
        </w:tc>
        <w:tc>
          <w:tcPr>
            <w:tcW w:w="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left w:val="single" w:sz="8" w:color="CCEEFF"/>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40" w:type="dxa"/>
            <w:vAlign w:val="bottom"/>
            <w:tcBorders>
              <w:left w:val="single" w:sz="8" w:color="CCEEFF"/>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340" w:type="dxa"/>
            <w:vAlign w:val="bottom"/>
            <w:tcBorders>
              <w:left w:val="single" w:sz="8" w:color="CCEEFF"/>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right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280" w:type="dxa"/>
            <w:vAlign w:val="bottom"/>
          </w:tcPr>
          <w:p>
            <w:pPr>
              <w:ind w:left="180"/>
              <w:spacing w:after="0" w:line="121" w:lineRule="exact"/>
              <w:rPr>
                <w:sz w:val="20"/>
                <w:szCs w:val="20"/>
                <w:color w:val="auto"/>
              </w:rPr>
            </w:pPr>
            <w:r>
              <w:rPr>
                <w:rFonts w:ascii="Arial" w:cs="Arial" w:eastAsia="Arial" w:hAnsi="Arial"/>
                <w:sz w:val="13"/>
                <w:szCs w:val="13"/>
                <w:color w:val="auto"/>
              </w:rPr>
              <w:t>Franchise tax</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280" w:type="dxa"/>
            <w:vAlign w:val="bottom"/>
          </w:tcPr>
          <w:p>
            <w:pPr>
              <w:ind w:left="360"/>
              <w:spacing w:after="0"/>
              <w:rPr>
                <w:sz w:val="20"/>
                <w:szCs w:val="20"/>
                <w:color w:val="auto"/>
              </w:rPr>
            </w:pPr>
            <w:r>
              <w:rPr>
                <w:rFonts w:ascii="Arial" w:cs="Arial" w:eastAsia="Arial" w:hAnsi="Arial"/>
                <w:sz w:val="13"/>
                <w:szCs w:val="13"/>
                <w:color w:val="auto"/>
              </w:rPr>
              <w:t>payable</w:t>
            </w:r>
          </w:p>
        </w:tc>
        <w:tc>
          <w:tcPr>
            <w:tcW w:w="6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(33)</w:t>
            </w:r>
          </w:p>
        </w:tc>
        <w:tc>
          <w:tcPr>
            <w:tcW w:w="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7"/>
        </w:trPr>
        <w:tc>
          <w:tcPr>
            <w:tcW w:w="1280" w:type="dxa"/>
            <w:vAlign w:val="bottom"/>
            <w:tcBorders>
              <w:top w:val="single" w:sz="8" w:color="CCEEFF"/>
              <w:right w:val="single" w:sz="8" w:color="CCEEFF"/>
            </w:tcBorders>
            <w:shd w:val="clear" w:color="auto" w:fill="CCEEFF"/>
          </w:tcPr>
          <w:p>
            <w:pPr>
              <w:ind w:left="360"/>
              <w:spacing w:after="0" w:line="107" w:lineRule="exact"/>
              <w:rPr>
                <w:sz w:val="20"/>
                <w:szCs w:val="20"/>
                <w:color w:val="auto"/>
              </w:rPr>
            </w:pPr>
            <w:r>
              <w:rPr>
                <w:rFonts w:ascii="Arial" w:cs="Arial" w:eastAsia="Arial" w:hAnsi="Arial"/>
                <w:sz w:val="12"/>
                <w:szCs w:val="12"/>
                <w:color w:val="auto"/>
              </w:rPr>
              <w:t>Total current</w:t>
            </w:r>
          </w:p>
        </w:tc>
        <w:tc>
          <w:tcPr>
            <w:tcW w:w="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left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lef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left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left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lef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lef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280" w:type="dxa"/>
            <w:vAlign w:val="bottom"/>
            <w:tcBorders>
              <w:bottom w:val="single" w:sz="8" w:color="CCEEFF"/>
              <w:right w:val="single" w:sz="8" w:color="CCEEFF"/>
            </w:tcBorders>
            <w:shd w:val="clear" w:color="auto" w:fill="CCEEFF"/>
          </w:tcPr>
          <w:p>
            <w:pPr>
              <w:ind w:left="540"/>
              <w:spacing w:after="0"/>
              <w:rPr>
                <w:sz w:val="20"/>
                <w:szCs w:val="20"/>
                <w:color w:val="auto"/>
              </w:rPr>
            </w:pPr>
            <w:r>
              <w:rPr>
                <w:rFonts w:ascii="Arial" w:cs="Arial" w:eastAsia="Arial" w:hAnsi="Arial"/>
                <w:sz w:val="13"/>
                <w:szCs w:val="13"/>
                <w:color w:val="auto"/>
              </w:rPr>
              <w:t>liabilities</w:t>
            </w:r>
          </w:p>
        </w:tc>
        <w:tc>
          <w:tcPr>
            <w:tcW w:w="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40,917</w:t>
            </w:r>
          </w:p>
        </w:tc>
        <w:tc>
          <w:tcPr>
            <w:tcW w:w="120" w:type="dxa"/>
            <w:vAlign w:val="bottom"/>
            <w:tcBorders>
              <w:left w:val="single" w:sz="8" w:color="CCEEFF"/>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left w:val="single" w:sz="8" w:color="CCEEFF"/>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40,917</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40" w:type="dxa"/>
            <w:vAlign w:val="bottom"/>
            <w:tcBorders>
              <w:left w:val="single" w:sz="8" w:color="CCEEFF"/>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right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41,032</w:t>
            </w:r>
          </w:p>
        </w:tc>
        <w:tc>
          <w:tcPr>
            <w:tcW w:w="6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41,032</w:t>
            </w:r>
          </w:p>
        </w:tc>
        <w:tc>
          <w:tcPr>
            <w:tcW w:w="0" w:type="dxa"/>
            <w:vAlign w:val="bottom"/>
          </w:tcPr>
          <w:p>
            <w:pPr>
              <w:spacing w:after="0"/>
              <w:rPr>
                <w:sz w:val="1"/>
                <w:szCs w:val="1"/>
                <w:color w:val="auto"/>
              </w:rPr>
            </w:pPr>
          </w:p>
        </w:tc>
      </w:tr>
      <w:tr>
        <w:trPr>
          <w:trHeight w:val="121"/>
        </w:trPr>
        <w:tc>
          <w:tcPr>
            <w:tcW w:w="1280" w:type="dxa"/>
            <w:vAlign w:val="bottom"/>
          </w:tcPr>
          <w:p>
            <w:pPr>
              <w:spacing w:after="0" w:line="121" w:lineRule="exact"/>
              <w:rPr>
                <w:sz w:val="20"/>
                <w:szCs w:val="20"/>
                <w:color w:val="auto"/>
              </w:rPr>
            </w:pPr>
            <w:r>
              <w:rPr>
                <w:rFonts w:ascii="Arial" w:cs="Arial" w:eastAsia="Arial" w:hAnsi="Arial"/>
                <w:sz w:val="13"/>
                <w:szCs w:val="13"/>
                <w:color w:val="auto"/>
              </w:rPr>
              <w:t>Operating lease</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180"/>
              <w:spacing w:after="0" w:line="135" w:lineRule="exact"/>
              <w:rPr>
                <w:sz w:val="20"/>
                <w:szCs w:val="20"/>
                <w:color w:val="auto"/>
              </w:rPr>
            </w:pPr>
            <w:r>
              <w:rPr>
                <w:rFonts w:ascii="Arial" w:cs="Arial" w:eastAsia="Arial" w:hAnsi="Arial"/>
                <w:sz w:val="13"/>
                <w:szCs w:val="13"/>
                <w:color w:val="auto"/>
              </w:rPr>
              <w:t>liabilities, net of</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280" w:type="dxa"/>
            <w:vAlign w:val="bottom"/>
          </w:tcPr>
          <w:p>
            <w:pPr>
              <w:ind w:left="180"/>
              <w:spacing w:after="0"/>
              <w:rPr>
                <w:sz w:val="20"/>
                <w:szCs w:val="20"/>
                <w:color w:val="auto"/>
              </w:rPr>
            </w:pPr>
            <w:r>
              <w:rPr>
                <w:rFonts w:ascii="Arial" w:cs="Arial" w:eastAsia="Arial" w:hAnsi="Arial"/>
                <w:sz w:val="13"/>
                <w:szCs w:val="13"/>
                <w:color w:val="auto"/>
              </w:rPr>
              <w:t>current portion</w:t>
            </w: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6,925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6,925</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6,925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6,925</w:t>
            </w:r>
          </w:p>
        </w:tc>
        <w:tc>
          <w:tcPr>
            <w:tcW w:w="0" w:type="dxa"/>
            <w:vAlign w:val="bottom"/>
          </w:tcPr>
          <w:p>
            <w:pPr>
              <w:spacing w:after="0"/>
              <w:rPr>
                <w:sz w:val="1"/>
                <w:szCs w:val="1"/>
                <w:color w:val="auto"/>
              </w:rPr>
            </w:pPr>
          </w:p>
        </w:tc>
      </w:tr>
      <w:tr>
        <w:trPr>
          <w:trHeight w:val="30"/>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280" w:type="dxa"/>
            <w:vAlign w:val="bottom"/>
            <w:tcBorders>
              <w:right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w w:val="98"/>
              </w:rPr>
              <w:t>Deferred revenue, net</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2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4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40" w:type="dxa"/>
            <w:vAlign w:val="bottom"/>
            <w:tcBorders>
              <w:left w:val="single" w:sz="8" w:color="CCEEFF"/>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4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28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of current portion</w:t>
            </w:r>
          </w:p>
        </w:tc>
        <w:tc>
          <w:tcPr>
            <w:tcW w:w="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120,805</w:t>
            </w:r>
          </w:p>
        </w:tc>
        <w:tc>
          <w:tcPr>
            <w:tcW w:w="120" w:type="dxa"/>
            <w:vAlign w:val="bottom"/>
            <w:tcBorders>
              <w:left w:val="single" w:sz="8" w:color="CCEEFF"/>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left w:val="single" w:sz="8" w:color="CCEEFF"/>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120,805</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left w:val="single" w:sz="8" w:color="CCEEFF"/>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right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120,805</w:t>
            </w:r>
          </w:p>
        </w:tc>
        <w:tc>
          <w:tcPr>
            <w:tcW w:w="6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120,805</w:t>
            </w:r>
          </w:p>
        </w:tc>
        <w:tc>
          <w:tcPr>
            <w:tcW w:w="0" w:type="dxa"/>
            <w:vAlign w:val="bottom"/>
          </w:tcPr>
          <w:p>
            <w:pPr>
              <w:spacing w:after="0"/>
              <w:rPr>
                <w:sz w:val="1"/>
                <w:szCs w:val="1"/>
                <w:color w:val="auto"/>
              </w:rPr>
            </w:pPr>
          </w:p>
        </w:tc>
      </w:tr>
      <w:tr>
        <w:trPr>
          <w:trHeight w:val="121"/>
        </w:trPr>
        <w:tc>
          <w:tcPr>
            <w:tcW w:w="1280" w:type="dxa"/>
            <w:vAlign w:val="bottom"/>
          </w:tcPr>
          <w:p>
            <w:pPr>
              <w:spacing w:after="0" w:line="121" w:lineRule="exact"/>
              <w:rPr>
                <w:sz w:val="20"/>
                <w:szCs w:val="20"/>
                <w:color w:val="auto"/>
              </w:rPr>
            </w:pPr>
            <w:r>
              <w:rPr>
                <w:rFonts w:ascii="Arial" w:cs="Arial" w:eastAsia="Arial" w:hAnsi="Arial"/>
                <w:sz w:val="13"/>
                <w:szCs w:val="13"/>
                <w:color w:val="auto"/>
                <w:w w:val="99"/>
              </w:rPr>
              <w:t>Deferred underwriting</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280" w:type="dxa"/>
            <w:vAlign w:val="bottom"/>
          </w:tcPr>
          <w:p>
            <w:pPr>
              <w:ind w:left="180"/>
              <w:spacing w:after="0"/>
              <w:rPr>
                <w:sz w:val="20"/>
                <w:szCs w:val="20"/>
                <w:color w:val="auto"/>
              </w:rPr>
            </w:pPr>
            <w:r>
              <w:rPr>
                <w:rFonts w:ascii="Arial" w:cs="Arial" w:eastAsia="Arial" w:hAnsi="Arial"/>
                <w:sz w:val="13"/>
                <w:szCs w:val="13"/>
                <w:color w:val="auto"/>
              </w:rPr>
              <w:t>commissions</w:t>
            </w:r>
          </w:p>
        </w:tc>
        <w:tc>
          <w:tcPr>
            <w:tcW w:w="6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5,836</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(5,836)</w:t>
            </w:r>
          </w:p>
        </w:tc>
        <w:tc>
          <w:tcPr>
            <w:tcW w:w="3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280" w:type="dxa"/>
            <w:vAlign w:val="bottom"/>
            <w:tcBorders>
              <w:right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Other long-term</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2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4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40" w:type="dxa"/>
            <w:vAlign w:val="bottom"/>
            <w:tcBorders>
              <w:left w:val="single" w:sz="8" w:color="CCEEFF"/>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4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2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liabilities</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lef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lef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6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280" w:type="dxa"/>
            <w:vAlign w:val="bottom"/>
          </w:tcPr>
          <w:p>
            <w:pPr>
              <w:ind w:left="360"/>
              <w:spacing w:after="0"/>
              <w:rPr>
                <w:sz w:val="20"/>
                <w:szCs w:val="20"/>
                <w:color w:val="auto"/>
              </w:rPr>
            </w:pPr>
            <w:r>
              <w:rPr>
                <w:rFonts w:ascii="Arial" w:cs="Arial" w:eastAsia="Arial" w:hAnsi="Arial"/>
                <w:sz w:val="13"/>
                <w:szCs w:val="13"/>
                <w:color w:val="auto"/>
              </w:rPr>
              <w:t>Total liabilities</w:t>
            </w:r>
          </w:p>
        </w:tc>
        <w:tc>
          <w:tcPr>
            <w:tcW w:w="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168,652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168,652</w:t>
            </w: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5,951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(5,836)</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168,767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168,767</w:t>
            </w:r>
          </w:p>
        </w:tc>
        <w:tc>
          <w:tcPr>
            <w:tcW w:w="0" w:type="dxa"/>
            <w:vAlign w:val="bottom"/>
          </w:tcPr>
          <w:p>
            <w:pPr>
              <w:spacing w:after="0"/>
              <w:rPr>
                <w:sz w:val="1"/>
                <w:szCs w:val="1"/>
                <w:color w:val="auto"/>
              </w:rPr>
            </w:pPr>
          </w:p>
        </w:tc>
      </w:tr>
      <w:tr>
        <w:trPr>
          <w:trHeight w:val="30"/>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128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tcBorders>
              <w:lef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20" w:type="dxa"/>
            <w:vAlign w:val="bottom"/>
            <w:tcBorders>
              <w:lef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0" w:type="dxa"/>
            <w:vAlign w:val="bottom"/>
            <w:tcBorders>
              <w:lef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40" w:type="dxa"/>
            <w:vAlign w:val="bottom"/>
            <w:tcBorders>
              <w:lef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40" w:type="dxa"/>
            <w:vAlign w:val="bottom"/>
            <w:tcBorders>
              <w:left w:val="single" w:sz="8" w:color="CCEEFF"/>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0" w:type="dxa"/>
            <w:vAlign w:val="bottom"/>
            <w:tcBorders>
              <w:lef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40" w:type="dxa"/>
            <w:vAlign w:val="bottom"/>
            <w:tcBorders>
              <w:lef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280" w:type="dxa"/>
            <w:vAlign w:val="bottom"/>
          </w:tcPr>
          <w:p>
            <w:pPr>
              <w:spacing w:after="0" w:line="121" w:lineRule="exact"/>
              <w:rPr>
                <w:sz w:val="20"/>
                <w:szCs w:val="20"/>
                <w:color w:val="auto"/>
              </w:rPr>
            </w:pPr>
            <w:r>
              <w:rPr>
                <w:rFonts w:ascii="Arial" w:cs="Arial" w:eastAsia="Arial" w:hAnsi="Arial"/>
                <w:sz w:val="13"/>
                <w:szCs w:val="13"/>
                <w:color w:val="auto"/>
                <w:w w:val="88"/>
              </w:rPr>
              <w:t>Redeemable convertible</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180"/>
              <w:spacing w:after="0" w:line="135" w:lineRule="exact"/>
              <w:rPr>
                <w:sz w:val="20"/>
                <w:szCs w:val="20"/>
                <w:color w:val="auto"/>
              </w:rPr>
            </w:pPr>
            <w:r>
              <w:rPr>
                <w:rFonts w:ascii="Arial" w:cs="Arial" w:eastAsia="Arial" w:hAnsi="Arial"/>
                <w:sz w:val="13"/>
                <w:szCs w:val="13"/>
                <w:color w:val="auto"/>
              </w:rPr>
              <w:t>preferred stock</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180"/>
              <w:spacing w:after="0" w:line="135" w:lineRule="exact"/>
              <w:rPr>
                <w:sz w:val="20"/>
                <w:szCs w:val="20"/>
                <w:color w:val="auto"/>
              </w:rPr>
            </w:pPr>
            <w:r>
              <w:rPr>
                <w:rFonts w:ascii="Arial" w:cs="Arial" w:eastAsia="Arial" w:hAnsi="Arial"/>
                <w:sz w:val="13"/>
                <w:szCs w:val="13"/>
                <w:color w:val="auto"/>
                <w:w w:val="92"/>
              </w:rPr>
              <w:t>(Series A, B, and B-</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3(a)</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280" w:type="dxa"/>
            <w:vAlign w:val="bottom"/>
          </w:tcPr>
          <w:p>
            <w:pPr>
              <w:ind w:left="180"/>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136,544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5"/>
              </w:rPr>
              <w:t>30,000</w:t>
            </w:r>
          </w:p>
        </w:tc>
        <w:tc>
          <w:tcPr>
            <w:tcW w:w="3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166,544</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3"/>
              </w:rPr>
              <w:t>(166,544)</w:t>
            </w:r>
          </w:p>
        </w:tc>
        <w:tc>
          <w:tcPr>
            <w:tcW w:w="3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280" w:type="dxa"/>
            <w:vAlign w:val="bottom"/>
            <w:tcBorders>
              <w:right w:val="single" w:sz="8" w:color="CCEEFF"/>
            </w:tcBorders>
            <w:shd w:val="clear" w:color="auto" w:fill="CCEEFF"/>
          </w:tcPr>
          <w:p>
            <w:pPr>
              <w:ind w:left="180"/>
              <w:spacing w:after="0" w:line="121" w:lineRule="exact"/>
              <w:rPr>
                <w:sz w:val="20"/>
                <w:szCs w:val="20"/>
                <w:color w:val="auto"/>
              </w:rPr>
            </w:pPr>
            <w:r>
              <w:rPr>
                <w:rFonts w:ascii="Arial" w:cs="Arial" w:eastAsia="Arial" w:hAnsi="Arial"/>
                <w:sz w:val="13"/>
                <w:szCs w:val="13"/>
                <w:color w:val="auto"/>
              </w:rPr>
              <w:t>Common stock</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2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4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40" w:type="dxa"/>
            <w:vAlign w:val="bottom"/>
            <w:tcBorders>
              <w:left w:val="single" w:sz="8" w:color="CCEEFF"/>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4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right w:val="single" w:sz="8" w:color="CCEEFF"/>
            </w:tcBorders>
            <w:shd w:val="clear" w:color="auto" w:fill="CCEEFF"/>
          </w:tcPr>
          <w:p>
            <w:pPr>
              <w:ind w:left="360"/>
              <w:spacing w:after="0" w:line="135" w:lineRule="exact"/>
              <w:rPr>
                <w:sz w:val="20"/>
                <w:szCs w:val="20"/>
                <w:color w:val="auto"/>
              </w:rPr>
            </w:pPr>
            <w:r>
              <w:rPr>
                <w:rFonts w:ascii="Arial" w:cs="Arial" w:eastAsia="Arial" w:hAnsi="Arial"/>
                <w:sz w:val="13"/>
                <w:szCs w:val="13"/>
                <w:color w:val="auto"/>
              </w:rPr>
              <w:t>subject to</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3(e)</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tcBorders>
              <w:left w:val="single" w:sz="8" w:color="CCEEFF"/>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28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redemption</w:t>
            </w:r>
          </w:p>
        </w:tc>
        <w:tc>
          <w:tcPr>
            <w:tcW w:w="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left w:val="single" w:sz="8" w:color="CCEEFF"/>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157,362</w:t>
            </w:r>
          </w:p>
        </w:tc>
        <w:tc>
          <w:tcPr>
            <w:tcW w:w="40" w:type="dxa"/>
            <w:vAlign w:val="bottom"/>
            <w:tcBorders>
              <w:left w:val="single" w:sz="8" w:color="CCEEFF"/>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(157,362)</w:t>
            </w:r>
          </w:p>
        </w:tc>
        <w:tc>
          <w:tcPr>
            <w:tcW w:w="340" w:type="dxa"/>
            <w:vAlign w:val="bottom"/>
            <w:tcBorders>
              <w:left w:val="single" w:sz="8" w:color="CCEEFF"/>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right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280" w:type="dxa"/>
            <w:vAlign w:val="bottom"/>
          </w:tcPr>
          <w:p>
            <w:pPr>
              <w:ind w:left="180"/>
              <w:spacing w:after="0" w:line="121" w:lineRule="exact"/>
              <w:rPr>
                <w:sz w:val="20"/>
                <w:szCs w:val="20"/>
                <w:color w:val="auto"/>
              </w:rPr>
            </w:pPr>
            <w:r>
              <w:rPr>
                <w:rFonts w:ascii="Arial" w:cs="Arial" w:eastAsia="Arial" w:hAnsi="Arial"/>
                <w:sz w:val="13"/>
                <w:szCs w:val="13"/>
                <w:color w:val="auto"/>
              </w:rPr>
              <w:t>Stockholders’</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280" w:type="dxa"/>
            <w:vAlign w:val="bottom"/>
          </w:tcPr>
          <w:p>
            <w:pPr>
              <w:ind w:left="360"/>
              <w:spacing w:after="0"/>
              <w:rPr>
                <w:sz w:val="20"/>
                <w:szCs w:val="20"/>
                <w:color w:val="auto"/>
              </w:rPr>
            </w:pPr>
            <w:r>
              <w:rPr>
                <w:rFonts w:ascii="Arial" w:cs="Arial" w:eastAsia="Arial" w:hAnsi="Arial"/>
                <w:sz w:val="13"/>
                <w:szCs w:val="13"/>
                <w:color w:val="auto"/>
              </w:rPr>
              <w:t>deficit:</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28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Common stock</w:t>
            </w: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20" w:type="dxa"/>
            <w:vAlign w:val="bottom"/>
            <w:tcBorders>
              <w:left w:val="single" w:sz="8" w:color="CCEEFF"/>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left w:val="single" w:sz="8" w:color="CCEEFF"/>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 w:type="dxa"/>
            <w:vAlign w:val="bottom"/>
            <w:tcBorders>
              <w:left w:val="single" w:sz="8" w:color="CCEEFF"/>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3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3(e)</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340" w:type="dxa"/>
            <w:vAlign w:val="bottom"/>
            <w:tcBorders>
              <w:left w:val="single" w:sz="8" w:color="CCEEFF"/>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60" w:type="dxa"/>
            <w:vAlign w:val="bottom"/>
            <w:tcBorders>
              <w:left w:val="single" w:sz="8" w:color="CCEEFF"/>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21"/>
        </w:trPr>
        <w:tc>
          <w:tcPr>
            <w:tcW w:w="1280" w:type="dxa"/>
            <w:vAlign w:val="bottom"/>
          </w:tcPr>
          <w:p>
            <w:pPr>
              <w:ind w:left="180"/>
              <w:spacing w:after="0" w:line="121" w:lineRule="exact"/>
              <w:rPr>
                <w:sz w:val="20"/>
                <w:szCs w:val="20"/>
                <w:color w:val="auto"/>
              </w:rPr>
            </w:pPr>
            <w:r>
              <w:rPr>
                <w:rFonts w:ascii="Arial" w:cs="Arial" w:eastAsia="Arial" w:hAnsi="Arial"/>
                <w:sz w:val="13"/>
                <w:szCs w:val="13"/>
                <w:color w:val="auto"/>
              </w:rPr>
              <w:t>Additional paid-in</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3(b)</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3(b)</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280" w:type="dxa"/>
            <w:vAlign w:val="bottom"/>
          </w:tcPr>
          <w:p>
            <w:pPr>
              <w:ind w:left="360"/>
              <w:spacing w:after="0"/>
              <w:rPr>
                <w:sz w:val="20"/>
                <w:szCs w:val="20"/>
                <w:color w:val="auto"/>
              </w:rPr>
            </w:pPr>
            <w:r>
              <w:rPr>
                <w:rFonts w:ascii="Arial" w:cs="Arial" w:eastAsia="Arial" w:hAnsi="Arial"/>
                <w:sz w:val="13"/>
                <w:szCs w:val="13"/>
                <w:color w:val="auto"/>
              </w:rPr>
              <w:t>capital</w:t>
            </w: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5,127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5,127</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5,122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319,675</w:t>
            </w:r>
          </w:p>
        </w:tc>
        <w:tc>
          <w:tcPr>
            <w:tcW w:w="3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179,654</w:t>
            </w:r>
          </w:p>
        </w:tc>
        <w:tc>
          <w:tcPr>
            <w:tcW w:w="3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509,578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(36,521)</w:t>
            </w:r>
          </w:p>
        </w:tc>
        <w:tc>
          <w:tcPr>
            <w:tcW w:w="3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473,057</w:t>
            </w:r>
          </w:p>
        </w:tc>
        <w:tc>
          <w:tcPr>
            <w:tcW w:w="0" w:type="dxa"/>
            <w:vAlign w:val="bottom"/>
          </w:tcPr>
          <w:p>
            <w:pPr>
              <w:spacing w:after="0"/>
              <w:rPr>
                <w:sz w:val="1"/>
                <w:szCs w:val="1"/>
                <w:color w:val="auto"/>
              </w:rPr>
            </w:pPr>
          </w:p>
        </w:tc>
      </w:tr>
      <w:tr>
        <w:trPr>
          <w:trHeight w:val="30"/>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280" w:type="dxa"/>
            <w:vAlign w:val="bottom"/>
            <w:tcBorders>
              <w:right w:val="single" w:sz="8" w:color="CCEEFF"/>
            </w:tcBorders>
            <w:shd w:val="clear" w:color="auto" w:fill="CCEEFF"/>
          </w:tcPr>
          <w:p>
            <w:pPr>
              <w:ind w:left="180"/>
              <w:spacing w:after="0" w:line="121" w:lineRule="exact"/>
              <w:rPr>
                <w:sz w:val="20"/>
                <w:szCs w:val="20"/>
                <w:color w:val="auto"/>
              </w:rPr>
            </w:pPr>
            <w:r>
              <w:rPr>
                <w:rFonts w:ascii="Arial" w:cs="Arial" w:eastAsia="Arial" w:hAnsi="Arial"/>
                <w:sz w:val="13"/>
                <w:szCs w:val="13"/>
                <w:color w:val="auto"/>
                <w:w w:val="97"/>
              </w:rPr>
              <w:t>Accumulated other</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2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4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40" w:type="dxa"/>
            <w:vAlign w:val="bottom"/>
            <w:tcBorders>
              <w:left w:val="single" w:sz="8" w:color="CCEEFF"/>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4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right w:val="single" w:sz="8" w:color="CCEEFF"/>
            </w:tcBorders>
            <w:shd w:val="clear" w:color="auto" w:fill="CCEEFF"/>
          </w:tcPr>
          <w:p>
            <w:pPr>
              <w:ind w:left="360"/>
              <w:spacing w:after="0" w:line="135" w:lineRule="exact"/>
              <w:rPr>
                <w:sz w:val="20"/>
                <w:szCs w:val="20"/>
                <w:color w:val="auto"/>
              </w:rPr>
            </w:pPr>
            <w:r>
              <w:rPr>
                <w:rFonts w:ascii="Arial" w:cs="Arial" w:eastAsia="Arial" w:hAnsi="Arial"/>
                <w:sz w:val="13"/>
                <w:szCs w:val="13"/>
                <w:color w:val="auto"/>
                <w:w w:val="99"/>
              </w:rPr>
              <w:t>comprehensive</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tcBorders>
              <w:left w:val="single" w:sz="8" w:color="CCEEFF"/>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28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income</w:t>
            </w:r>
          </w:p>
        </w:tc>
        <w:tc>
          <w:tcPr>
            <w:tcW w:w="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20" w:type="dxa"/>
            <w:vAlign w:val="bottom"/>
            <w:tcBorders>
              <w:left w:val="single" w:sz="8" w:color="CCEEFF"/>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left w:val="single" w:sz="8" w:color="CCEEFF"/>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left w:val="single" w:sz="8" w:color="CCEEFF"/>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right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6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77"/>
        </w:trPr>
        <w:tc>
          <w:tcPr>
            <w:tcW w:w="1280" w:type="dxa"/>
            <w:vAlign w:val="bottom"/>
          </w:tcPr>
          <w:p>
            <w:pPr>
              <w:ind w:left="180"/>
              <w:spacing w:after="0"/>
              <w:rPr>
                <w:sz w:val="20"/>
                <w:szCs w:val="20"/>
                <w:color w:val="auto"/>
              </w:rPr>
            </w:pPr>
            <w:r>
              <w:rPr>
                <w:rFonts w:ascii="Arial" w:cs="Arial" w:eastAsia="Arial" w:hAnsi="Arial"/>
                <w:sz w:val="13"/>
                <w:szCs w:val="13"/>
                <w:color w:val="auto"/>
                <w:w w:val="94"/>
              </w:rPr>
              <w:t>Accumulated deficit</w:t>
            </w:r>
          </w:p>
        </w:tc>
        <w:tc>
          <w:tcPr>
            <w:tcW w:w="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86"/>
              </w:rPr>
              <w:t>(103,101)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w w:val="86"/>
              </w:rPr>
              <w:t>(103,101)</w:t>
            </w:r>
          </w:p>
        </w:tc>
        <w:tc>
          <w:tcPr>
            <w:tcW w:w="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(123)</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123</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3(e)</w:t>
            </w: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82"/>
              </w:rPr>
              <w:t>(103,101)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82"/>
              </w:rPr>
              <w:t>(103,101)</w:t>
            </w:r>
          </w:p>
        </w:tc>
        <w:tc>
          <w:tcPr>
            <w:tcW w:w="0" w:type="dxa"/>
            <w:vAlign w:val="bottom"/>
          </w:tcPr>
          <w:p>
            <w:pPr>
              <w:spacing w:after="0"/>
              <w:rPr>
                <w:sz w:val="1"/>
                <w:szCs w:val="1"/>
                <w:color w:val="auto"/>
              </w:rPr>
            </w:pPr>
          </w:p>
        </w:tc>
      </w:tr>
      <w:tr>
        <w:trPr>
          <w:trHeight w:val="107"/>
        </w:trPr>
        <w:tc>
          <w:tcPr>
            <w:tcW w:w="1280" w:type="dxa"/>
            <w:vAlign w:val="bottom"/>
            <w:tcBorders>
              <w:top w:val="single" w:sz="8" w:color="CCEEFF"/>
              <w:right w:val="single" w:sz="8" w:color="CCEEFF"/>
            </w:tcBorders>
            <w:shd w:val="clear" w:color="auto" w:fill="CCEEFF"/>
          </w:tcPr>
          <w:p>
            <w:pPr>
              <w:ind w:left="360"/>
              <w:spacing w:after="0" w:line="107" w:lineRule="exact"/>
              <w:rPr>
                <w:sz w:val="20"/>
                <w:szCs w:val="20"/>
                <w:color w:val="auto"/>
              </w:rPr>
            </w:pPr>
            <w:r>
              <w:rPr>
                <w:rFonts w:ascii="Arial" w:cs="Arial" w:eastAsia="Arial" w:hAnsi="Arial"/>
                <w:sz w:val="12"/>
                <w:szCs w:val="12"/>
                <w:color w:val="auto"/>
              </w:rPr>
              <w:t>Total</w:t>
            </w:r>
          </w:p>
        </w:tc>
        <w:tc>
          <w:tcPr>
            <w:tcW w:w="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left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lef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left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left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lef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lef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80" w:type="dxa"/>
            <w:vAlign w:val="bottom"/>
            <w:tcBorders>
              <w:right w:val="single" w:sz="8" w:color="CCEEFF"/>
            </w:tcBorders>
            <w:shd w:val="clear" w:color="auto" w:fill="CCEEFF"/>
          </w:tcPr>
          <w:p>
            <w:pPr>
              <w:ind w:left="540"/>
              <w:spacing w:after="0" w:line="135" w:lineRule="exact"/>
              <w:rPr>
                <w:sz w:val="20"/>
                <w:szCs w:val="20"/>
                <w:color w:val="auto"/>
              </w:rPr>
            </w:pPr>
            <w:r>
              <w:rPr>
                <w:rFonts w:ascii="Arial" w:cs="Arial" w:eastAsia="Arial" w:hAnsi="Arial"/>
                <w:sz w:val="13"/>
                <w:szCs w:val="13"/>
                <w:color w:val="auto"/>
                <w:w w:val="92"/>
              </w:rPr>
              <w:t>stockholders’</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tcBorders>
              <w:left w:val="single" w:sz="8" w:color="CCEEFF"/>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28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3"/>
                <w:szCs w:val="13"/>
                <w:color w:val="auto"/>
              </w:rPr>
              <w:t>deficit</w:t>
            </w: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(97,944)</w:t>
            </w:r>
          </w:p>
        </w:tc>
        <w:tc>
          <w:tcPr>
            <w:tcW w:w="12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lef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9"/>
              </w:rPr>
              <w:t>(97,944)</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40" w:type="dxa"/>
            <w:vAlign w:val="bottom"/>
            <w:tcBorders>
              <w:lef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319,792</w:t>
            </w:r>
          </w:p>
        </w:tc>
        <w:tc>
          <w:tcPr>
            <w:tcW w:w="34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179,656</w:t>
            </w:r>
          </w:p>
        </w:tc>
        <w:tc>
          <w:tcPr>
            <w:tcW w:w="34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406,504</w:t>
            </w:r>
          </w:p>
        </w:tc>
        <w:tc>
          <w:tcPr>
            <w:tcW w:w="6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(36,521)</w:t>
            </w:r>
          </w:p>
        </w:tc>
        <w:tc>
          <w:tcPr>
            <w:tcW w:w="34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369,983</w:t>
            </w:r>
          </w:p>
        </w:tc>
        <w:tc>
          <w:tcPr>
            <w:tcW w:w="0" w:type="dxa"/>
            <w:vAlign w:val="bottom"/>
          </w:tcPr>
          <w:p>
            <w:pPr>
              <w:spacing w:after="0"/>
              <w:rPr>
                <w:sz w:val="1"/>
                <w:szCs w:val="1"/>
                <w:color w:val="auto"/>
              </w:rPr>
            </w:pPr>
          </w:p>
        </w:tc>
      </w:tr>
      <w:tr>
        <w:trPr>
          <w:trHeight w:val="101"/>
        </w:trPr>
        <w:tc>
          <w:tcPr>
            <w:tcW w:w="1280" w:type="dxa"/>
            <w:vAlign w:val="bottom"/>
          </w:tcPr>
          <w:p>
            <w:pPr>
              <w:ind w:left="360"/>
              <w:spacing w:after="0" w:line="101" w:lineRule="exact"/>
              <w:rPr>
                <w:sz w:val="20"/>
                <w:szCs w:val="20"/>
                <w:color w:val="auto"/>
              </w:rPr>
            </w:pPr>
            <w:r>
              <w:rPr>
                <w:rFonts w:ascii="Arial" w:cs="Arial" w:eastAsia="Arial" w:hAnsi="Arial"/>
                <w:sz w:val="10"/>
                <w:szCs w:val="10"/>
                <w:color w:val="auto"/>
              </w:rPr>
              <w:t>Total liabilities,</w:t>
            </w: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540"/>
              <w:spacing w:after="0" w:line="135" w:lineRule="exact"/>
              <w:rPr>
                <w:sz w:val="20"/>
                <w:szCs w:val="20"/>
                <w:color w:val="auto"/>
              </w:rPr>
            </w:pPr>
            <w:r>
              <w:rPr>
                <w:rFonts w:ascii="Arial" w:cs="Arial" w:eastAsia="Arial" w:hAnsi="Arial"/>
                <w:sz w:val="13"/>
                <w:szCs w:val="13"/>
                <w:color w:val="auto"/>
              </w:rPr>
              <w:t>redeemable</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540"/>
              <w:spacing w:after="0" w:line="135" w:lineRule="exact"/>
              <w:rPr>
                <w:sz w:val="20"/>
                <w:szCs w:val="20"/>
                <w:color w:val="auto"/>
              </w:rPr>
            </w:pPr>
            <w:r>
              <w:rPr>
                <w:rFonts w:ascii="Arial" w:cs="Arial" w:eastAsia="Arial" w:hAnsi="Arial"/>
                <w:sz w:val="13"/>
                <w:szCs w:val="13"/>
                <w:color w:val="auto"/>
              </w:rPr>
              <w:t>convertible</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540"/>
              <w:spacing w:after="0" w:line="135" w:lineRule="exact"/>
              <w:rPr>
                <w:sz w:val="20"/>
                <w:szCs w:val="20"/>
                <w:color w:val="auto"/>
              </w:rPr>
            </w:pPr>
            <w:r>
              <w:rPr>
                <w:rFonts w:ascii="Arial" w:cs="Arial" w:eastAsia="Arial" w:hAnsi="Arial"/>
                <w:sz w:val="13"/>
                <w:szCs w:val="13"/>
                <w:color w:val="auto"/>
              </w:rPr>
              <w:t>preferred</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540"/>
              <w:spacing w:after="0" w:line="135" w:lineRule="exact"/>
              <w:rPr>
                <w:sz w:val="20"/>
                <w:szCs w:val="20"/>
                <w:color w:val="auto"/>
              </w:rPr>
            </w:pPr>
            <w:r>
              <w:rPr>
                <w:rFonts w:ascii="Arial" w:cs="Arial" w:eastAsia="Arial" w:hAnsi="Arial"/>
                <w:sz w:val="13"/>
                <w:szCs w:val="13"/>
                <w:color w:val="auto"/>
              </w:rPr>
              <w:t>stock and</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540"/>
              <w:spacing w:after="0" w:line="135" w:lineRule="exact"/>
              <w:rPr>
                <w:sz w:val="20"/>
                <w:szCs w:val="20"/>
                <w:color w:val="auto"/>
              </w:rPr>
            </w:pPr>
            <w:r>
              <w:rPr>
                <w:rFonts w:ascii="Arial" w:cs="Arial" w:eastAsia="Arial" w:hAnsi="Arial"/>
                <w:sz w:val="13"/>
                <w:szCs w:val="13"/>
                <w:color w:val="auto"/>
                <w:w w:val="92"/>
              </w:rPr>
              <w:t>stockholders’</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280" w:type="dxa"/>
            <w:vAlign w:val="bottom"/>
          </w:tcPr>
          <w:p>
            <w:pPr>
              <w:ind w:left="540"/>
              <w:spacing w:after="0"/>
              <w:rPr>
                <w:sz w:val="20"/>
                <w:szCs w:val="20"/>
                <w:color w:val="auto"/>
              </w:rPr>
            </w:pPr>
            <w:r>
              <w:rPr>
                <w:rFonts w:ascii="Arial" w:cs="Arial" w:eastAsia="Arial" w:hAnsi="Arial"/>
                <w:sz w:val="13"/>
                <w:szCs w:val="13"/>
                <w:color w:val="auto"/>
              </w:rPr>
              <w:t>deficit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3"/>
              </w:rPr>
              <w:t>207,252</w:t>
            </w:r>
          </w:p>
        </w:tc>
        <w:tc>
          <w:tcPr>
            <w:tcW w:w="1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w w:val="95"/>
              </w:rPr>
              <w:t>30,000</w:t>
            </w:r>
          </w:p>
        </w:tc>
        <w:tc>
          <w:tcPr>
            <w:tcW w:w="32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237,252</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7"/>
              </w:rPr>
              <w:t>168,313</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(9,950)</w:t>
            </w:r>
          </w:p>
        </w:tc>
        <w:tc>
          <w:tcPr>
            <w:tcW w:w="34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179,656</w:t>
            </w:r>
          </w:p>
        </w:tc>
        <w:tc>
          <w:tcPr>
            <w:tcW w:w="34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575,271</w:t>
            </w:r>
          </w:p>
        </w:tc>
        <w:tc>
          <w:tcPr>
            <w:tcW w:w="1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(36,521)</w:t>
            </w:r>
          </w:p>
        </w:tc>
        <w:tc>
          <w:tcPr>
            <w:tcW w:w="34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538,750</w:t>
            </w: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74" w:right="1440" w:bottom="0" w:gutter="0" w:footer="0" w:header="0"/>
        </w:sectPr>
      </w:pPr>
    </w:p>
    <w:bookmarkStart w:id="115" w:name="page116"/>
    <w:bookmarkEnd w:id="115"/>
    <w:p>
      <w:pPr>
        <w:ind w:left="460"/>
        <w:spacing w:after="0"/>
        <w:rPr>
          <w:sz w:val="20"/>
          <w:szCs w:val="20"/>
          <w:color w:val="auto"/>
        </w:rPr>
      </w:pPr>
      <w:r>
        <w:rPr>
          <w:rFonts w:ascii="Arial" w:cs="Arial" w:eastAsia="Arial" w:hAnsi="Arial"/>
          <w:sz w:val="18"/>
          <w:szCs w:val="18"/>
          <w:i w:val="1"/>
          <w:iCs w:val="1"/>
          <w:color w:val="auto"/>
        </w:rPr>
        <w:t>Pro Forma notes</w:t>
      </w:r>
    </w:p>
    <w:p>
      <w:pPr>
        <w:spacing w:after="0" w:line="158" w:lineRule="exact"/>
        <w:rPr>
          <w:sz w:val="20"/>
          <w:szCs w:val="20"/>
          <w:color w:val="auto"/>
        </w:rPr>
      </w:pPr>
    </w:p>
    <w:p>
      <w:pPr>
        <w:ind w:left="1320" w:hanging="434"/>
        <w:spacing w:after="0"/>
        <w:tabs>
          <w:tab w:leader="none" w:pos="13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Derived from the audited consolidated balance sheet of Tango as of December 31, 2020.</w:t>
      </w:r>
    </w:p>
    <w:p>
      <w:pPr>
        <w:spacing w:after="0" w:line="167" w:lineRule="exact"/>
        <w:rPr>
          <w:rFonts w:ascii="Arial" w:cs="Arial" w:eastAsia="Arial" w:hAnsi="Arial"/>
          <w:sz w:val="16"/>
          <w:szCs w:val="16"/>
          <w:color w:val="auto"/>
        </w:rPr>
      </w:pPr>
    </w:p>
    <w:p>
      <w:pPr>
        <w:ind w:left="1300" w:hanging="414"/>
        <w:spacing w:after="0"/>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Derived from the audited balance sheet of BCTG as of December 31, 2020.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unaudited pro forma condensed combined financial information.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6" w:name="page117"/>
    <w:bookmarkEnd w:id="11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FOR THE YEAR ENDED DECEMBER 31, 2020</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(in thousands, except share and per share amounts)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6"/>
          </w:tcPr>
          <w:p>
            <w:pPr>
              <w:jc w:val="right"/>
              <w:ind w:right="240"/>
              <w:spacing w:after="0"/>
              <w:rPr>
                <w:sz w:val="20"/>
                <w:szCs w:val="20"/>
                <w:color w:val="auto"/>
              </w:rPr>
            </w:pPr>
            <w:r>
              <w:rPr>
                <w:rFonts w:ascii="Arial" w:cs="Arial" w:eastAsia="Arial" w:hAnsi="Arial"/>
                <w:sz w:val="13"/>
                <w:szCs w:val="13"/>
                <w:b w:val="1"/>
                <w:bCs w:val="1"/>
                <w:color w:val="auto"/>
                <w:w w:val="91"/>
              </w:rPr>
              <w:t>Scenario 1 (Assuming No</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7"/>
          </w:tcPr>
          <w:p>
            <w:pPr>
              <w:ind w:left="20"/>
              <w:spacing w:after="0"/>
              <w:rPr>
                <w:sz w:val="20"/>
                <w:szCs w:val="20"/>
                <w:color w:val="auto"/>
              </w:rPr>
            </w:pPr>
            <w:r>
              <w:rPr>
                <w:rFonts w:ascii="Arial" w:cs="Arial" w:eastAsia="Arial" w:hAnsi="Arial"/>
                <w:sz w:val="13"/>
                <w:szCs w:val="13"/>
                <w:b w:val="1"/>
                <w:bCs w:val="1"/>
                <w:color w:val="auto"/>
                <w:w w:val="92"/>
              </w:rPr>
              <w:t>Scenario 2 (Assuming Maximum</w:t>
            </w:r>
          </w:p>
        </w:tc>
        <w:tc>
          <w:tcPr>
            <w:tcW w:w="0" w:type="dxa"/>
            <w:vAlign w:val="bottom"/>
          </w:tcPr>
          <w:p>
            <w:pPr>
              <w:spacing w:after="0"/>
              <w:rPr>
                <w:sz w:val="1"/>
                <w:szCs w:val="1"/>
                <w:color w:val="auto"/>
              </w:rPr>
            </w:pPr>
          </w:p>
        </w:tc>
      </w:tr>
      <w:tr>
        <w:trPr>
          <w:trHeight w:val="164"/>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rPr>
              <w:t>Historical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jc w:val="right"/>
              <w:ind w:right="280"/>
              <w:spacing w:after="0"/>
              <w:rPr>
                <w:sz w:val="20"/>
                <w:szCs w:val="20"/>
                <w:color w:val="auto"/>
              </w:rPr>
            </w:pPr>
            <w:r>
              <w:rPr>
                <w:rFonts w:ascii="Arial" w:cs="Arial" w:eastAsia="Arial" w:hAnsi="Arial"/>
                <w:sz w:val="13"/>
                <w:szCs w:val="13"/>
                <w:b w:val="1"/>
                <w:bCs w:val="1"/>
                <w:color w:val="auto"/>
                <w:w w:val="93"/>
              </w:rPr>
              <w:t>Redemptions into Cash)</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6"/>
          </w:tcPr>
          <w:p>
            <w:pPr>
              <w:ind w:left="260"/>
              <w:spacing w:after="0"/>
              <w:rPr>
                <w:sz w:val="20"/>
                <w:szCs w:val="20"/>
                <w:color w:val="auto"/>
              </w:rPr>
            </w:pPr>
            <w:r>
              <w:rPr>
                <w:rFonts w:ascii="Arial" w:cs="Arial" w:eastAsia="Arial" w:hAnsi="Arial"/>
                <w:sz w:val="13"/>
                <w:szCs w:val="13"/>
                <w:b w:val="1"/>
                <w:bCs w:val="1"/>
                <w:color w:val="auto"/>
                <w:w w:val="89"/>
              </w:rPr>
              <w:t>Redemptions into Cash)</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0"/>
        </w:trPr>
        <w:tc>
          <w:tcPr>
            <w:tcW w:w="2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4"/>
          </w:tcPr>
          <w:p>
            <w:pPr>
              <w:ind w:left="20"/>
              <w:spacing w:after="0" w:line="110" w:lineRule="exact"/>
              <w:rPr>
                <w:sz w:val="20"/>
                <w:szCs w:val="20"/>
                <w:color w:val="auto"/>
              </w:rPr>
            </w:pPr>
            <w:r>
              <w:rPr>
                <w:rFonts w:ascii="Arial" w:cs="Arial" w:eastAsia="Arial" w:hAnsi="Arial"/>
                <w:sz w:val="12"/>
                <w:szCs w:val="12"/>
                <w:b w:val="1"/>
                <w:bCs w:val="1"/>
                <w:color w:val="auto"/>
                <w:w w:val="99"/>
              </w:rPr>
              <w:t>Transaction</w:t>
            </w: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Transaction</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rPr>
              <w:t>(A)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rPr>
              <w:t>(B)</w:t>
            </w:r>
          </w:p>
        </w:tc>
        <w:tc>
          <w:tcPr>
            <w:tcW w:w="80" w:type="dxa"/>
            <w:vAlign w:val="bottom"/>
          </w:tcPr>
          <w:p>
            <w:pPr>
              <w:spacing w:after="0"/>
              <w:rPr>
                <w:sz w:val="11"/>
                <w:szCs w:val="11"/>
                <w:color w:val="auto"/>
              </w:rPr>
            </w:pPr>
          </w:p>
        </w:tc>
        <w:tc>
          <w:tcPr>
            <w:tcW w:w="720" w:type="dxa"/>
            <w:vAlign w:val="bottom"/>
            <w:gridSpan w:val="4"/>
          </w:tcPr>
          <w:p>
            <w:pPr>
              <w:ind w:left="20"/>
              <w:spacing w:after="0" w:line="135" w:lineRule="exact"/>
              <w:rPr>
                <w:sz w:val="20"/>
                <w:szCs w:val="20"/>
                <w:color w:val="auto"/>
              </w:rPr>
            </w:pPr>
            <w:r>
              <w:rPr>
                <w:rFonts w:ascii="Arial" w:cs="Arial" w:eastAsia="Arial" w:hAnsi="Arial"/>
                <w:sz w:val="13"/>
                <w:szCs w:val="13"/>
                <w:b w:val="1"/>
                <w:bCs w:val="1"/>
                <w:color w:val="auto"/>
                <w:w w:val="95"/>
              </w:rPr>
              <w:t>Accounting</w:t>
            </w:r>
          </w:p>
        </w:tc>
        <w:tc>
          <w:tcPr>
            <w:tcW w:w="42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w w:val="89"/>
              </w:rPr>
              <w:t>Pro Forma</w:t>
            </w:r>
          </w:p>
        </w:tc>
        <w:tc>
          <w:tcPr>
            <w:tcW w:w="380" w:type="dxa"/>
            <w:vAlign w:val="bottom"/>
          </w:tcPr>
          <w:p>
            <w:pPr>
              <w:spacing w:after="0"/>
              <w:rPr>
                <w:sz w:val="11"/>
                <w:szCs w:val="11"/>
                <w:color w:val="auto"/>
              </w:rPr>
            </w:pPr>
          </w:p>
        </w:tc>
        <w:tc>
          <w:tcPr>
            <w:tcW w:w="7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Accounting</w:t>
            </w:r>
          </w:p>
        </w:tc>
        <w:tc>
          <w:tcPr>
            <w:tcW w:w="8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Pro Forma</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Tango</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BCTG</w:t>
            </w:r>
          </w:p>
        </w:tc>
        <w:tc>
          <w:tcPr>
            <w:tcW w:w="800" w:type="dxa"/>
            <w:vAlign w:val="bottom"/>
            <w:gridSpan w:val="5"/>
          </w:tcPr>
          <w:p>
            <w:pPr>
              <w:ind w:left="80"/>
              <w:spacing w:after="0"/>
              <w:rPr>
                <w:sz w:val="20"/>
                <w:szCs w:val="20"/>
                <w:color w:val="auto"/>
              </w:rPr>
            </w:pPr>
            <w:r>
              <w:rPr>
                <w:rFonts w:ascii="Arial" w:cs="Arial" w:eastAsia="Arial" w:hAnsi="Arial"/>
                <w:sz w:val="13"/>
                <w:szCs w:val="13"/>
                <w:b w:val="1"/>
                <w:bCs w:val="1"/>
                <w:color w:val="auto"/>
                <w:w w:val="88"/>
              </w:rPr>
              <w:t>Adjustments</w:t>
            </w:r>
          </w:p>
        </w:tc>
        <w:tc>
          <w:tcPr>
            <w:tcW w:w="4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1"/>
              </w:rPr>
              <w:t>Combined</w:t>
            </w:r>
          </w:p>
        </w:tc>
        <w:tc>
          <w:tcPr>
            <w:tcW w:w="38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3"/>
                <w:szCs w:val="13"/>
                <w:b w:val="1"/>
                <w:bCs w:val="1"/>
                <w:color w:val="auto"/>
                <w:w w:val="93"/>
              </w:rPr>
              <w:t>Adjustments</w:t>
            </w:r>
          </w:p>
        </w:tc>
        <w:tc>
          <w:tcPr>
            <w:tcW w:w="8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3"/>
                <w:szCs w:val="13"/>
                <w:b w:val="1"/>
                <w:bCs w:val="1"/>
                <w:color w:val="auto"/>
              </w:rPr>
              <w:t>Combined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Collaboration revenue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7,656</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7,656</w:t>
            </w: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7,656</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220" w:type="dxa"/>
            <w:vAlign w:val="bottom"/>
          </w:tcPr>
          <w:p>
            <w:pPr>
              <w:spacing w:after="0"/>
              <w:rPr>
                <w:sz w:val="20"/>
                <w:szCs w:val="20"/>
                <w:color w:val="auto"/>
              </w:rPr>
            </w:pPr>
            <w:r>
              <w:rPr>
                <w:rFonts w:ascii="Arial" w:cs="Arial" w:eastAsia="Arial" w:hAnsi="Arial"/>
                <w:sz w:val="13"/>
                <w:szCs w:val="13"/>
                <w:color w:val="auto"/>
              </w:rPr>
              <w:t>Operating expenses:</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
        </w:trPr>
        <w:tc>
          <w:tcPr>
            <w:tcW w:w="2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22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Research and development</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49,991</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right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49,991</w:t>
            </w: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49,991</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220" w:type="dxa"/>
            <w:vAlign w:val="bottom"/>
          </w:tcPr>
          <w:p>
            <w:pPr>
              <w:ind w:left="180"/>
              <w:spacing w:after="0"/>
              <w:rPr>
                <w:sz w:val="20"/>
                <w:szCs w:val="20"/>
                <w:color w:val="auto"/>
              </w:rPr>
            </w:pPr>
            <w:r>
              <w:rPr>
                <w:rFonts w:ascii="Arial" w:cs="Arial" w:eastAsia="Arial" w:hAnsi="Arial"/>
                <w:sz w:val="13"/>
                <w:szCs w:val="13"/>
                <w:color w:val="auto"/>
              </w:rPr>
              <w:t>General and administrative</w:t>
            </w:r>
          </w:p>
        </w:tc>
        <w:tc>
          <w:tcPr>
            <w:tcW w:w="8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9,865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109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32</w:t>
            </w:r>
          </w:p>
        </w:tc>
        <w:tc>
          <w:tcPr>
            <w:tcW w:w="40" w:type="dxa"/>
            <w:vAlign w:val="bottom"/>
          </w:tcPr>
          <w:p>
            <w:pPr>
              <w:spacing w:after="0"/>
              <w:rPr>
                <w:sz w:val="22"/>
                <w:szCs w:val="22"/>
                <w:color w:val="auto"/>
              </w:rPr>
            </w:pPr>
          </w:p>
        </w:tc>
        <w:tc>
          <w:tcPr>
            <w:tcW w:w="420" w:type="dxa"/>
            <w:vAlign w:val="bottom"/>
          </w:tcPr>
          <w:p>
            <w:pPr>
              <w:ind w:left="40"/>
              <w:spacing w:after="0"/>
              <w:rPr>
                <w:sz w:val="20"/>
                <w:szCs w:val="20"/>
                <w:color w:val="auto"/>
              </w:rPr>
            </w:pPr>
            <w:r>
              <w:rPr>
                <w:rFonts w:ascii="Arial" w:cs="Arial" w:eastAsia="Arial" w:hAnsi="Arial"/>
                <w:sz w:val="13"/>
                <w:szCs w:val="13"/>
                <w:b w:val="1"/>
                <w:bCs w:val="1"/>
                <w:color w:val="auto"/>
              </w:rPr>
              <w:t>4(a)</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10,006</w:t>
            </w: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10,006</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
        </w:trPr>
        <w:tc>
          <w:tcPr>
            <w:tcW w:w="2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220" w:type="dxa"/>
            <w:vAlign w:val="bottom"/>
            <w:tcBorders>
              <w:right w:val="single" w:sz="8" w:color="CCEEFF"/>
            </w:tcBorders>
            <w:shd w:val="clear" w:color="auto" w:fill="CCEEFF"/>
          </w:tcPr>
          <w:p>
            <w:pPr>
              <w:ind w:left="180"/>
              <w:spacing w:after="0" w:line="121" w:lineRule="exact"/>
              <w:rPr>
                <w:sz w:val="20"/>
                <w:szCs w:val="20"/>
                <w:color w:val="auto"/>
              </w:rPr>
            </w:pPr>
            <w:r>
              <w:rPr>
                <w:rFonts w:ascii="Arial" w:cs="Arial" w:eastAsia="Arial" w:hAnsi="Arial"/>
                <w:sz w:val="13"/>
                <w:szCs w:val="13"/>
                <w:color w:val="auto"/>
              </w:rPr>
              <w:t>Administrative expenses – related</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22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party</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right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w:t>
            </w:r>
          </w:p>
        </w:tc>
        <w:tc>
          <w:tcPr>
            <w:tcW w:w="3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w:t>
            </w:r>
          </w:p>
        </w:tc>
        <w:tc>
          <w:tcPr>
            <w:tcW w:w="1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2220" w:type="dxa"/>
            <w:vAlign w:val="bottom"/>
          </w:tcPr>
          <w:p>
            <w:pPr>
              <w:ind w:left="180"/>
              <w:spacing w:after="0"/>
              <w:rPr>
                <w:sz w:val="20"/>
                <w:szCs w:val="20"/>
                <w:color w:val="auto"/>
              </w:rPr>
            </w:pPr>
            <w:r>
              <w:rPr>
                <w:rFonts w:ascii="Arial" w:cs="Arial" w:eastAsia="Arial" w:hAnsi="Arial"/>
                <w:sz w:val="13"/>
                <w:szCs w:val="13"/>
                <w:color w:val="auto"/>
              </w:rPr>
              <w:t>Franchise tax expense</w:t>
            </w:r>
          </w:p>
        </w:tc>
        <w:tc>
          <w:tcPr>
            <w:tcW w:w="80" w:type="dxa"/>
            <w:vAlign w:val="bottom"/>
          </w:tcPr>
          <w:p>
            <w:pPr>
              <w:spacing w:after="0"/>
              <w:rPr>
                <w:sz w:val="23"/>
                <w:szCs w:val="2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(32)</w:t>
            </w:r>
          </w:p>
        </w:tc>
        <w:tc>
          <w:tcPr>
            <w:tcW w:w="40" w:type="dxa"/>
            <w:vAlign w:val="bottom"/>
          </w:tcPr>
          <w:p>
            <w:pPr>
              <w:spacing w:after="0"/>
              <w:rPr>
                <w:sz w:val="23"/>
                <w:szCs w:val="23"/>
                <w:color w:val="auto"/>
              </w:rPr>
            </w:pPr>
          </w:p>
        </w:tc>
        <w:tc>
          <w:tcPr>
            <w:tcW w:w="420" w:type="dxa"/>
            <w:vAlign w:val="bottom"/>
          </w:tcPr>
          <w:p>
            <w:pPr>
              <w:ind w:left="40"/>
              <w:spacing w:after="0"/>
              <w:rPr>
                <w:sz w:val="20"/>
                <w:szCs w:val="20"/>
                <w:color w:val="auto"/>
              </w:rPr>
            </w:pPr>
            <w:r>
              <w:rPr>
                <w:rFonts w:ascii="Arial" w:cs="Arial" w:eastAsia="Arial" w:hAnsi="Arial"/>
                <w:sz w:val="13"/>
                <w:szCs w:val="13"/>
                <w:b w:val="1"/>
                <w:bCs w:val="1"/>
                <w:color w:val="auto"/>
              </w:rPr>
              <w:t>4(a)</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220" w:type="dxa"/>
            <w:vAlign w:val="bottom"/>
            <w:tcBorders>
              <w:right w:val="single" w:sz="8" w:color="CCEEFF"/>
            </w:tcBorders>
            <w:vMerge w:val="restart"/>
            <w:shd w:val="clear" w:color="auto" w:fill="CCEEFF"/>
          </w:tcPr>
          <w:p>
            <w:pPr>
              <w:ind w:left="360"/>
              <w:spacing w:after="0"/>
              <w:rPr>
                <w:sz w:val="20"/>
                <w:szCs w:val="20"/>
                <w:color w:val="auto"/>
              </w:rPr>
            </w:pPr>
            <w:r>
              <w:rPr>
                <w:rFonts w:ascii="Arial" w:cs="Arial" w:eastAsia="Arial" w:hAnsi="Arial"/>
                <w:sz w:val="13"/>
                <w:szCs w:val="13"/>
                <w:color w:val="auto"/>
              </w:rPr>
              <w:t>Total operating expenses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220" w:type="dxa"/>
            <w:vAlign w:val="bottom"/>
            <w:tcBorders>
              <w:right w:val="single" w:sz="8" w:color="CCEEFF"/>
            </w:tcBorders>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59,856</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Borders>
              <w:right w:val="single" w:sz="8" w:color="CCEEFF"/>
            </w:tcBorders>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60,037</w:t>
            </w:r>
          </w:p>
        </w:tc>
        <w:tc>
          <w:tcPr>
            <w:tcW w:w="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60,037</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220" w:type="dxa"/>
            <w:vAlign w:val="bottom"/>
          </w:tcPr>
          <w:p>
            <w:pPr>
              <w:spacing w:after="0"/>
              <w:rPr>
                <w:sz w:val="20"/>
                <w:szCs w:val="20"/>
                <w:color w:val="auto"/>
              </w:rPr>
            </w:pPr>
            <w:r>
              <w:rPr>
                <w:rFonts w:ascii="Arial" w:cs="Arial" w:eastAsia="Arial" w:hAnsi="Arial"/>
                <w:sz w:val="13"/>
                <w:szCs w:val="13"/>
                <w:color w:val="auto"/>
              </w:rPr>
              <w:t>Loss from operations</w:t>
            </w:r>
          </w:p>
        </w:tc>
        <w:tc>
          <w:tcPr>
            <w:tcW w:w="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(52,200)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(181)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(52,381)</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(52,381)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2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right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220" w:type="dxa"/>
            <w:vAlign w:val="bottom"/>
          </w:tcPr>
          <w:p>
            <w:pPr>
              <w:ind w:left="180"/>
              <w:spacing w:after="0" w:line="121" w:lineRule="exact"/>
              <w:rPr>
                <w:sz w:val="20"/>
                <w:szCs w:val="20"/>
                <w:color w:val="auto"/>
              </w:rPr>
            </w:pPr>
            <w:r>
              <w:rPr>
                <w:rFonts w:ascii="Arial" w:cs="Arial" w:eastAsia="Arial" w:hAnsi="Arial"/>
                <w:sz w:val="13"/>
                <w:szCs w:val="13"/>
                <w:color w:val="auto"/>
                <w:w w:val="90"/>
              </w:rPr>
              <w:t>Interest earned on investments held in</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4(b)</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220" w:type="dxa"/>
            <w:vAlign w:val="bottom"/>
          </w:tcPr>
          <w:p>
            <w:pPr>
              <w:ind w:left="360"/>
              <w:spacing w:after="0"/>
              <w:rPr>
                <w:sz w:val="20"/>
                <w:szCs w:val="20"/>
                <w:color w:val="auto"/>
              </w:rPr>
            </w:pPr>
            <w:r>
              <w:rPr>
                <w:rFonts w:ascii="Arial" w:cs="Arial" w:eastAsia="Arial" w:hAnsi="Arial"/>
                <w:sz w:val="13"/>
                <w:szCs w:val="13"/>
                <w:color w:val="auto"/>
              </w:rPr>
              <w:t>trust account</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65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(65)</w:t>
            </w:r>
          </w:p>
        </w:tc>
        <w:tc>
          <w:tcPr>
            <w:tcW w:w="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22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Interest tax expense</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w:t>
            </w:r>
          </w:p>
        </w:tc>
        <w:tc>
          <w:tcPr>
            <w:tcW w:w="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4(b)</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220" w:type="dxa"/>
            <w:vAlign w:val="bottom"/>
          </w:tcPr>
          <w:p>
            <w:pPr>
              <w:ind w:left="180"/>
              <w:spacing w:after="0"/>
              <w:rPr>
                <w:sz w:val="20"/>
                <w:szCs w:val="20"/>
                <w:color w:val="auto"/>
              </w:rPr>
            </w:pPr>
            <w:r>
              <w:rPr>
                <w:rFonts w:ascii="Arial" w:cs="Arial" w:eastAsia="Arial" w:hAnsi="Arial"/>
                <w:sz w:val="13"/>
                <w:szCs w:val="13"/>
                <w:color w:val="auto"/>
              </w:rPr>
              <w:t>Interest income</w:t>
            </w:r>
          </w:p>
        </w:tc>
        <w:tc>
          <w:tcPr>
            <w:tcW w:w="8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108</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108</w:t>
            </w: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108</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
        </w:trPr>
        <w:tc>
          <w:tcPr>
            <w:tcW w:w="2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6"/>
        </w:trPr>
        <w:tc>
          <w:tcPr>
            <w:tcW w:w="2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Other income, net</w:t>
            </w:r>
          </w:p>
        </w:tc>
        <w:tc>
          <w:tcPr>
            <w:tcW w:w="8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Borders>
              <w:right w:val="single" w:sz="8" w:color="CCEEFF"/>
            </w:tcBorders>
            <w:shd w:val="clear" w:color="auto" w:fill="CCEEFF"/>
          </w:tcPr>
          <w:p>
            <w:pPr>
              <w:spacing w:after="0"/>
              <w:rPr>
                <w:sz w:val="23"/>
                <w:szCs w:val="2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w:t>
            </w:r>
          </w:p>
        </w:tc>
        <w:tc>
          <w:tcPr>
            <w:tcW w:w="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2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220" w:type="dxa"/>
            <w:vAlign w:val="bottom"/>
          </w:tcPr>
          <w:p>
            <w:pPr>
              <w:ind w:left="360"/>
              <w:spacing w:after="0"/>
              <w:rPr>
                <w:sz w:val="20"/>
                <w:szCs w:val="20"/>
                <w:color w:val="auto"/>
              </w:rPr>
            </w:pPr>
            <w:r>
              <w:rPr>
                <w:rFonts w:ascii="Arial" w:cs="Arial" w:eastAsia="Arial" w:hAnsi="Arial"/>
                <w:sz w:val="13"/>
                <w:szCs w:val="13"/>
                <w:color w:val="auto"/>
              </w:rPr>
              <w:t>Total other income, net</w:t>
            </w:r>
          </w:p>
        </w:tc>
        <w:tc>
          <w:tcPr>
            <w:tcW w:w="8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228</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58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(58)</w:t>
            </w: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228</w:t>
            </w: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228</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2220" w:type="dxa"/>
            <w:vAlign w:val="bottom"/>
            <w:tcBorders>
              <w:top w:val="single" w:sz="8" w:color="CCEEFF"/>
              <w:right w:val="single" w:sz="8" w:color="CCEEFF"/>
            </w:tcBorders>
            <w:shd w:val="clear" w:color="auto" w:fill="CCEEFF"/>
          </w:tcPr>
          <w:p>
            <w:pPr>
              <w:spacing w:after="0" w:line="107" w:lineRule="exact"/>
              <w:rPr>
                <w:sz w:val="20"/>
                <w:szCs w:val="20"/>
                <w:color w:val="auto"/>
              </w:rPr>
            </w:pPr>
            <w:r>
              <w:rPr>
                <w:rFonts w:ascii="Arial" w:cs="Arial" w:eastAsia="Arial" w:hAnsi="Arial"/>
                <w:sz w:val="12"/>
                <w:szCs w:val="12"/>
                <w:color w:val="auto"/>
              </w:rPr>
              <w:t>Net loss attributable to common</w:t>
            </w: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CCEEFF"/>
              <w:right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stockholders –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(51,972)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(123)</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(58)</w:t>
            </w:r>
          </w:p>
        </w:tc>
        <w:tc>
          <w:tcPr>
            <w:tcW w:w="4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(52,153)</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(52,153)</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2220" w:type="dxa"/>
            <w:vAlign w:val="bottom"/>
          </w:tcPr>
          <w:p>
            <w:pPr>
              <w:spacing w:after="0" w:line="101" w:lineRule="exact"/>
              <w:rPr>
                <w:sz w:val="20"/>
                <w:szCs w:val="20"/>
                <w:color w:val="auto"/>
              </w:rPr>
            </w:pPr>
            <w:r>
              <w:rPr>
                <w:rFonts w:ascii="Arial" w:cs="Arial" w:eastAsia="Arial" w:hAnsi="Arial"/>
                <w:sz w:val="10"/>
                <w:szCs w:val="10"/>
                <w:color w:val="auto"/>
              </w:rPr>
              <w:t>Weighted average shares outstanding, or</w:t>
            </w: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220" w:type="dxa"/>
            <w:vAlign w:val="bottom"/>
          </w:tcPr>
          <w:p>
            <w:pPr>
              <w:ind w:left="180"/>
              <w:spacing w:after="0"/>
              <w:rPr>
                <w:sz w:val="20"/>
                <w:szCs w:val="20"/>
                <w:color w:val="auto"/>
              </w:rPr>
            </w:pPr>
            <w:r>
              <w:rPr>
                <w:rFonts w:ascii="Arial" w:cs="Arial" w:eastAsia="Arial" w:hAnsi="Arial"/>
                <w:sz w:val="13"/>
                <w:szCs w:val="13"/>
                <w:color w:val="auto"/>
              </w:rPr>
              <w:t>Public Shares</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11,461,011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16,675,000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220" w:type="dxa"/>
            <w:vAlign w:val="bottom"/>
            <w:tcBorders>
              <w:right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Basic and diluted net loss per share,</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22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Public Shares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(4.53)</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right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220" w:type="dxa"/>
            <w:vAlign w:val="bottom"/>
          </w:tcPr>
          <w:p>
            <w:pPr>
              <w:spacing w:after="0" w:line="121" w:lineRule="exact"/>
              <w:rPr>
                <w:sz w:val="20"/>
                <w:szCs w:val="20"/>
                <w:color w:val="auto"/>
              </w:rPr>
            </w:pPr>
            <w:r>
              <w:rPr>
                <w:rFonts w:ascii="Arial" w:cs="Arial" w:eastAsia="Arial" w:hAnsi="Arial"/>
                <w:sz w:val="13"/>
                <w:szCs w:val="13"/>
                <w:color w:val="auto"/>
                <w:w w:val="91"/>
              </w:rPr>
              <w:t>Weighted average shares outstanding, or</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220" w:type="dxa"/>
            <w:vAlign w:val="bottom"/>
          </w:tcPr>
          <w:p>
            <w:pPr>
              <w:ind w:left="180"/>
              <w:spacing w:after="0"/>
              <w:rPr>
                <w:sz w:val="20"/>
                <w:szCs w:val="20"/>
                <w:color w:val="auto"/>
              </w:rPr>
            </w:pPr>
            <w:r>
              <w:rPr>
                <w:rFonts w:ascii="Arial" w:cs="Arial" w:eastAsia="Arial" w:hAnsi="Arial"/>
                <w:sz w:val="13"/>
                <w:szCs w:val="13"/>
                <w:color w:val="auto"/>
              </w:rPr>
              <w:t>Founder Shares</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4,212,127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220" w:type="dxa"/>
            <w:vAlign w:val="bottom"/>
            <w:tcBorders>
              <w:right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Basic and diluted net loss per share,</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22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Founder Shares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(0.04)</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right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220" w:type="dxa"/>
            <w:vAlign w:val="bottom"/>
          </w:tcPr>
          <w:p>
            <w:pPr>
              <w:spacing w:after="0" w:line="121" w:lineRule="exact"/>
              <w:rPr>
                <w:sz w:val="20"/>
                <w:szCs w:val="20"/>
                <w:color w:val="auto"/>
              </w:rPr>
            </w:pPr>
            <w:r>
              <w:rPr>
                <w:rFonts w:ascii="Arial" w:cs="Arial" w:eastAsia="Arial" w:hAnsi="Arial"/>
                <w:sz w:val="13"/>
                <w:szCs w:val="13"/>
                <w:color w:val="auto"/>
                <w:w w:val="91"/>
              </w:rPr>
              <w:t>Weighted average shares outstanding, or</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4(c)</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vMerge w:val="restart"/>
          </w:tcPr>
          <w:p>
            <w:pPr>
              <w:ind w:left="60"/>
              <w:spacing w:after="0"/>
              <w:rPr>
                <w:sz w:val="20"/>
                <w:szCs w:val="20"/>
                <w:color w:val="auto"/>
              </w:rPr>
            </w:pPr>
            <w:r>
              <w:rPr>
                <w:rFonts w:ascii="Arial" w:cs="Arial" w:eastAsia="Arial" w:hAnsi="Arial"/>
                <w:sz w:val="13"/>
                <w:szCs w:val="13"/>
                <w:b w:val="1"/>
                <w:bCs w:val="1"/>
                <w:color w:val="auto"/>
                <w:w w:val="86"/>
              </w:rPr>
              <w:t>4(c)</w:t>
            </w:r>
          </w:p>
        </w:tc>
        <w:tc>
          <w:tcPr>
            <w:tcW w:w="0" w:type="dxa"/>
            <w:vAlign w:val="bottom"/>
          </w:tcPr>
          <w:p>
            <w:pPr>
              <w:spacing w:after="0"/>
              <w:rPr>
                <w:sz w:val="1"/>
                <w:szCs w:val="1"/>
                <w:color w:val="auto"/>
              </w:rPr>
            </w:pPr>
          </w:p>
        </w:tc>
      </w:tr>
      <w:tr>
        <w:trPr>
          <w:trHeight w:val="160"/>
        </w:trPr>
        <w:tc>
          <w:tcPr>
            <w:tcW w:w="2220" w:type="dxa"/>
            <w:vAlign w:val="bottom"/>
          </w:tcPr>
          <w:p>
            <w:pPr>
              <w:ind w:left="180"/>
              <w:spacing w:after="0"/>
              <w:rPr>
                <w:sz w:val="20"/>
                <w:szCs w:val="20"/>
                <w:color w:val="auto"/>
              </w:rPr>
            </w:pPr>
            <w:r>
              <w:rPr>
                <w:rFonts w:ascii="Arial" w:cs="Arial" w:eastAsia="Arial" w:hAnsi="Arial"/>
                <w:sz w:val="13"/>
                <w:szCs w:val="13"/>
                <w:color w:val="auto"/>
              </w:rPr>
              <w:t>Founder Shares</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11,461,011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88,581,503</w:t>
            </w:r>
          </w:p>
        </w:tc>
        <w:tc>
          <w:tcPr>
            <w:tcW w:w="3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84,929,429</w:t>
            </w:r>
          </w:p>
        </w:tc>
        <w:tc>
          <w:tcPr>
            <w:tcW w:w="1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220" w:type="dxa"/>
            <w:vAlign w:val="bottom"/>
            <w:tcBorders>
              <w:right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Weighted average common shares</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ind w:left="100"/>
              <w:spacing w:after="0"/>
              <w:rPr>
                <w:sz w:val="20"/>
                <w:szCs w:val="20"/>
                <w:color w:val="auto"/>
              </w:rPr>
            </w:pPr>
            <w:r>
              <w:rPr>
                <w:rFonts w:ascii="Arial" w:cs="Arial" w:eastAsia="Arial" w:hAnsi="Arial"/>
                <w:sz w:val="13"/>
                <w:szCs w:val="13"/>
                <w:b w:val="1"/>
                <w:bCs w:val="1"/>
                <w:color w:val="auto"/>
              </w:rPr>
              <w:t>4(c)</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ind w:left="60"/>
              <w:spacing w:after="0"/>
              <w:rPr>
                <w:sz w:val="20"/>
                <w:szCs w:val="20"/>
                <w:color w:val="auto"/>
              </w:rPr>
            </w:pPr>
            <w:r>
              <w:rPr>
                <w:rFonts w:ascii="Arial" w:cs="Arial" w:eastAsia="Arial" w:hAnsi="Arial"/>
                <w:sz w:val="13"/>
                <w:szCs w:val="13"/>
                <w:b w:val="1"/>
                <w:bCs w:val="1"/>
                <w:color w:val="auto"/>
                <w:w w:val="86"/>
              </w:rPr>
              <w:t>4(c)</w:t>
            </w:r>
          </w:p>
        </w:tc>
        <w:tc>
          <w:tcPr>
            <w:tcW w:w="0" w:type="dxa"/>
            <w:vAlign w:val="bottom"/>
          </w:tcPr>
          <w:p>
            <w:pPr>
              <w:spacing w:after="0"/>
              <w:rPr>
                <w:sz w:val="1"/>
                <w:szCs w:val="1"/>
                <w:color w:val="auto"/>
              </w:rPr>
            </w:pPr>
          </w:p>
        </w:tc>
      </w:tr>
      <w:tr>
        <w:trPr>
          <w:trHeight w:val="160"/>
        </w:trPr>
        <w:tc>
          <w:tcPr>
            <w:tcW w:w="2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outstanding –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(4.53)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(0.59)</w:t>
            </w:r>
          </w:p>
        </w:tc>
        <w:tc>
          <w:tcPr>
            <w:tcW w:w="3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(0.61)</w:t>
            </w:r>
          </w:p>
        </w:tc>
        <w:tc>
          <w:tcPr>
            <w:tcW w:w="140" w:type="dxa"/>
            <w:vAlign w:val="bottom"/>
            <w:shd w:val="clear" w:color="auto" w:fill="CCEEFF"/>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2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 Forma notes</w:t>
      </w:r>
    </w:p>
    <w:p>
      <w:pPr>
        <w:spacing w:after="0" w:line="158" w:lineRule="exact"/>
        <w:rPr>
          <w:sz w:val="20"/>
          <w:szCs w:val="20"/>
          <w:color w:val="auto"/>
        </w:rPr>
      </w:pPr>
    </w:p>
    <w:p>
      <w:pPr>
        <w:ind w:left="1320" w:right="1179" w:hanging="434"/>
        <w:spacing w:after="0" w:line="277" w:lineRule="auto"/>
        <w:tabs>
          <w:tab w:leader="none" w:pos="131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Derived from the audited consolidated statement of operations of Tango for the year ended December 31, 2020.</w:t>
      </w:r>
    </w:p>
    <w:p>
      <w:pPr>
        <w:spacing w:after="0" w:line="89" w:lineRule="exact"/>
        <w:rPr>
          <w:rFonts w:ascii="Arial" w:cs="Arial" w:eastAsia="Arial" w:hAnsi="Arial"/>
          <w:sz w:val="18"/>
          <w:szCs w:val="18"/>
          <w:color w:val="auto"/>
        </w:rPr>
      </w:pPr>
    </w:p>
    <w:p>
      <w:pPr>
        <w:ind w:left="1320" w:right="719" w:hanging="434"/>
        <w:spacing w:after="0" w:line="277" w:lineRule="auto"/>
        <w:tabs>
          <w:tab w:leader="none" w:pos="130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Derived from the audited statement of operations of BCTG for the period from inception through December 31, 2020.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7" w:name="page118"/>
    <w:bookmarkEnd w:id="11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Description of the Merger</w:t>
      </w:r>
    </w:p>
    <w:p>
      <w:pPr>
        <w:spacing w:after="0" w:line="148" w:lineRule="exact"/>
        <w:rPr>
          <w:sz w:val="20"/>
          <w:szCs w:val="20"/>
          <w:color w:val="auto"/>
        </w:rPr>
      </w:pPr>
    </w:p>
    <w:p>
      <w:pPr>
        <w:jc w:val="both"/>
        <w:ind w:left="460" w:right="639" w:firstLine="432"/>
        <w:spacing w:after="0" w:line="286" w:lineRule="auto"/>
        <w:rPr>
          <w:sz w:val="20"/>
          <w:szCs w:val="20"/>
          <w:color w:val="auto"/>
        </w:rPr>
      </w:pPr>
      <w:r>
        <w:rPr>
          <w:rFonts w:ascii="Arial" w:cs="Arial" w:eastAsia="Arial" w:hAnsi="Arial"/>
          <w:sz w:val="17"/>
          <w:szCs w:val="17"/>
          <w:color w:val="auto"/>
        </w:rPr>
        <w:t>On April 13, 2021, BCTG entered into the Merger Agreement with Merger Sub and Tango, pursuant to which Merger Sub will merge with and into Tango, with Tango as the surviving company in the Merger. Upon the closing of the Business Combination, BCTG will change its name to “Tango Therapeutics, Inc.”</w:t>
      </w:r>
    </w:p>
    <w:p>
      <w:pPr>
        <w:spacing w:after="0" w:line="98" w:lineRule="exact"/>
        <w:rPr>
          <w:sz w:val="20"/>
          <w:szCs w:val="20"/>
          <w:color w:val="auto"/>
        </w:rPr>
      </w:pPr>
    </w:p>
    <w:p>
      <w:pPr>
        <w:ind w:left="460" w:right="659" w:firstLine="432"/>
        <w:spacing w:after="0" w:line="296" w:lineRule="auto"/>
        <w:rPr>
          <w:sz w:val="20"/>
          <w:szCs w:val="20"/>
          <w:color w:val="auto"/>
        </w:rPr>
      </w:pPr>
      <w:r>
        <w:rPr>
          <w:rFonts w:ascii="Arial" w:cs="Arial" w:eastAsia="Arial" w:hAnsi="Arial"/>
          <w:sz w:val="16"/>
          <w:szCs w:val="16"/>
          <w:color w:val="auto"/>
        </w:rPr>
        <w:t>Pursuant to the terms and conditions of the Merger Agreement, the consideration to be received by the Tango Equity holders in connection with the Business Combination will be an aggregate number of shares of Combined Entity common stock equal to (i) $550.0 million, divided by (ii) $10.00. In addition, immediately after the completion of the Business Combination, certain investors have agreed to subscribe for and purchase an aggregate of $186,100,000 of common stock of Combined Entity (the “</w:t>
      </w:r>
      <w:r>
        <w:rPr>
          <w:rFonts w:ascii="Arial" w:cs="Arial" w:eastAsia="Arial" w:hAnsi="Arial"/>
          <w:sz w:val="16"/>
          <w:szCs w:val="16"/>
          <w:b w:val="1"/>
          <w:bCs w:val="1"/>
          <w:color w:val="auto"/>
        </w:rPr>
        <w:t>PIPE Investment</w:t>
      </w:r>
      <w:r>
        <w:rPr>
          <w:rFonts w:ascii="Arial" w:cs="Arial" w:eastAsia="Arial" w:hAnsi="Arial"/>
          <w:sz w:val="16"/>
          <w:szCs w:val="16"/>
          <w:color w:val="auto"/>
        </w:rPr>
        <w:t>”).</w:t>
      </w:r>
    </w:p>
    <w:p>
      <w:pPr>
        <w:spacing w:after="0" w:line="94" w:lineRule="exact"/>
        <w:rPr>
          <w:sz w:val="20"/>
          <w:szCs w:val="20"/>
          <w:color w:val="auto"/>
        </w:rPr>
      </w:pPr>
    </w:p>
    <w:p>
      <w:pPr>
        <w:ind w:left="460" w:right="879" w:firstLine="432"/>
        <w:spacing w:after="0" w:line="277" w:lineRule="auto"/>
        <w:rPr>
          <w:sz w:val="20"/>
          <w:szCs w:val="20"/>
          <w:color w:val="auto"/>
        </w:rPr>
      </w:pPr>
      <w:r>
        <w:rPr>
          <w:rFonts w:ascii="Arial" w:cs="Arial" w:eastAsia="Arial" w:hAnsi="Arial"/>
          <w:sz w:val="18"/>
          <w:szCs w:val="18"/>
          <w:color w:val="auto"/>
        </w:rPr>
        <w:t>The following represents the aggregate merger consideration under the no redemption and maximum redemption scenarios: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3"/>
          </w:tcPr>
          <w:p>
            <w:pPr>
              <w:jc w:val="center"/>
              <w:ind w:right="75"/>
              <w:spacing w:after="0"/>
              <w:rPr>
                <w:sz w:val="20"/>
                <w:szCs w:val="20"/>
                <w:color w:val="auto"/>
              </w:rPr>
            </w:pPr>
            <w:r>
              <w:rPr>
                <w:rFonts w:ascii="Arial" w:cs="Arial" w:eastAsia="Arial" w:hAnsi="Arial"/>
                <w:sz w:val="16"/>
                <w:szCs w:val="16"/>
                <w:b w:val="1"/>
                <w:bCs w:val="1"/>
                <w:color w:val="auto"/>
                <w:w w:val="92"/>
              </w:rPr>
              <w:t>No Redemption and</w:t>
            </w:r>
          </w:p>
        </w:tc>
      </w:tr>
      <w:tr>
        <w:trPr>
          <w:trHeight w:val="210"/>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3"/>
          </w:tcPr>
          <w:p>
            <w:pPr>
              <w:jc w:val="center"/>
              <w:ind w:right="35"/>
              <w:spacing w:after="0"/>
              <w:rPr>
                <w:sz w:val="20"/>
                <w:szCs w:val="20"/>
                <w:color w:val="auto"/>
              </w:rPr>
            </w:pPr>
            <w:r>
              <w:rPr>
                <w:rFonts w:ascii="Arial" w:cs="Arial" w:eastAsia="Arial" w:hAnsi="Arial"/>
                <w:sz w:val="16"/>
                <w:szCs w:val="16"/>
                <w:b w:val="1"/>
                <w:bCs w:val="1"/>
                <w:color w:val="auto"/>
                <w:w w:val="93"/>
              </w:rPr>
              <w:t>Maximum Redemption</w:t>
            </w:r>
          </w:p>
        </w:tc>
      </w:tr>
      <w:tr>
        <w:trPr>
          <w:trHeight w:val="46"/>
        </w:trPr>
        <w:tc>
          <w:tcPr>
            <w:tcW w:w="55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31"/>
        </w:trPr>
        <w:tc>
          <w:tcPr>
            <w:tcW w:w="5580" w:type="dxa"/>
            <w:vAlign w:val="bottom"/>
          </w:tcPr>
          <w:p>
            <w:pPr>
              <w:spacing w:after="0"/>
              <w:rPr>
                <w:sz w:val="20"/>
                <w:szCs w:val="20"/>
                <w:color w:val="auto"/>
              </w:rPr>
            </w:pPr>
            <w:r>
              <w:rPr>
                <w:rFonts w:ascii="Arial" w:cs="Arial" w:eastAsia="Arial" w:hAnsi="Arial"/>
                <w:sz w:val="16"/>
                <w:szCs w:val="16"/>
                <w:i w:val="1"/>
                <w:iCs w:val="1"/>
                <w:color w:val="auto"/>
              </w:rPr>
              <w:t>(in thousands, except share and per share amounts)</w:t>
            </w: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0"/>
              </w:rPr>
              <w:t>Purchase price</w:t>
            </w:r>
          </w:p>
        </w:tc>
        <w:tc>
          <w:tcPr>
            <w:tcW w:w="1240" w:type="dxa"/>
            <w:vAlign w:val="bottom"/>
          </w:tcPr>
          <w:p>
            <w:pPr>
              <w:jc w:val="right"/>
              <w:ind w:right="75"/>
              <w:spacing w:after="0"/>
              <w:rPr>
                <w:sz w:val="20"/>
                <w:szCs w:val="20"/>
                <w:color w:val="auto"/>
              </w:rPr>
            </w:pPr>
            <w:r>
              <w:rPr>
                <w:rFonts w:ascii="Arial" w:cs="Arial" w:eastAsia="Arial" w:hAnsi="Arial"/>
                <w:sz w:val="16"/>
                <w:szCs w:val="16"/>
                <w:b w:val="1"/>
                <w:bCs w:val="1"/>
                <w:color w:val="auto"/>
                <w:w w:val="97"/>
              </w:rPr>
              <w:t>Shares Issued</w:t>
            </w:r>
          </w:p>
        </w:tc>
      </w:tr>
      <w:tr>
        <w:trPr>
          <w:trHeight w:val="47"/>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63"/>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Share consideration to Tango</w:t>
            </w:r>
            <w:r>
              <w:rPr>
                <w:rFonts w:ascii="Arial" w:cs="Arial" w:eastAsia="Arial" w:hAnsi="Arial"/>
                <w:sz w:val="20"/>
                <w:szCs w:val="20"/>
                <w:color w:val="auto"/>
                <w:vertAlign w:val="superscript"/>
              </w:rPr>
              <w:t>(a)(b)</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55,000,000</w:t>
            </w: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459" w:hanging="426"/>
        <w:spacing w:after="0" w:line="266" w:lineRule="auto"/>
        <w:tabs>
          <w:tab w:leader="none" w:pos="86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value of common stock issued to Tango included in the consideration is reflected at $10.00 per share as defined in the Merger Agreement.</w:t>
      </w:r>
    </w:p>
    <w:p>
      <w:pPr>
        <w:spacing w:after="0" w:line="1" w:lineRule="exact"/>
        <w:rPr>
          <w:rFonts w:ascii="Arial" w:cs="Arial" w:eastAsia="Arial" w:hAnsi="Arial"/>
          <w:sz w:val="16"/>
          <w:szCs w:val="16"/>
          <w:color w:val="auto"/>
        </w:rPr>
      </w:pPr>
    </w:p>
    <w:p>
      <w:pPr>
        <w:ind w:left="880" w:right="579" w:hanging="426"/>
        <w:spacing w:after="0" w:line="272" w:lineRule="auto"/>
        <w:tabs>
          <w:tab w:leader="none" w:pos="877"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total 55,000,0000 consideration shares to be issued for all outstanding Tango common and preferred stock includes underlying unvested and/or unexercised stock options of 6,405,747 and excludes unissued options of 1,442,140. These amounts are based on Tango’s outstanding shares as of March 31, 2021 and the expected exchange ratio of 0.341 at the effective time of the Business Combination</w:t>
      </w:r>
      <w:r>
        <w:rPr>
          <w:rFonts w:ascii="Arial" w:cs="Arial" w:eastAsia="Arial" w:hAnsi="Arial"/>
          <w:sz w:val="16"/>
          <w:szCs w:val="16"/>
          <w:i w:val="1"/>
          <w:iCs w:val="1"/>
          <w:color w:val="auto"/>
        </w:rPr>
        <w:t>.</w:t>
      </w:r>
    </w:p>
    <w:p>
      <w:pPr>
        <w:spacing w:after="0" w:line="103" w:lineRule="exact"/>
        <w:rPr>
          <w:sz w:val="20"/>
          <w:szCs w:val="20"/>
          <w:color w:val="auto"/>
        </w:rPr>
      </w:pPr>
    </w:p>
    <w:p>
      <w:pPr>
        <w:ind w:left="460" w:right="619" w:firstLine="432"/>
        <w:spacing w:after="0" w:line="279" w:lineRule="auto"/>
        <w:rPr>
          <w:sz w:val="20"/>
          <w:szCs w:val="20"/>
          <w:color w:val="auto"/>
        </w:rPr>
      </w:pPr>
      <w:r>
        <w:rPr>
          <w:rFonts w:ascii="Arial" w:cs="Arial" w:eastAsia="Arial" w:hAnsi="Arial"/>
          <w:sz w:val="17"/>
          <w:szCs w:val="17"/>
          <w:color w:val="auto"/>
        </w:rPr>
        <w:t>As of the date of the signing of the Merger Agreement, the conversion ratio was 0.341. The closing conversion ratio will be calculated in accordance with the methodology and procedures set forth in the Merger Agreement, and BCTG will file with the SEC a Current Report on Form 8-K announcing the final conversion ratio no later than four business days prior to the special meeting of its stockholders.</w:t>
      </w:r>
    </w:p>
    <w:p>
      <w:pPr>
        <w:spacing w:after="0" w:line="104"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The following summarizes the unaudited pro forma common stock outstanding under the no redemption and maximum redemption scenarios: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184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7"/>
              </w:rPr>
              <w:t>Assuming</w:t>
            </w:r>
          </w:p>
        </w:tc>
        <w:tc>
          <w:tcPr>
            <w:tcW w:w="1840" w:type="dxa"/>
            <w:vAlign w:val="bottom"/>
            <w:gridSpan w:val="4"/>
          </w:tcPr>
          <w:p>
            <w:pPr>
              <w:ind w:left="180"/>
              <w:spacing w:after="0"/>
              <w:rPr>
                <w:sz w:val="20"/>
                <w:szCs w:val="20"/>
                <w:color w:val="auto"/>
              </w:rPr>
            </w:pPr>
            <w:r>
              <w:rPr>
                <w:rFonts w:ascii="Arial" w:cs="Arial" w:eastAsia="Arial" w:hAnsi="Arial"/>
                <w:sz w:val="16"/>
                <w:szCs w:val="16"/>
                <w:b w:val="1"/>
                <w:bCs w:val="1"/>
                <w:color w:val="auto"/>
              </w:rPr>
              <w:t>Assuming Maximum</w:t>
            </w:r>
          </w:p>
        </w:tc>
      </w:tr>
      <w:tr>
        <w:trPr>
          <w:trHeight w:val="210"/>
        </w:trPr>
        <w:tc>
          <w:tcPr>
            <w:tcW w:w="4420" w:type="dxa"/>
            <w:vAlign w:val="bottom"/>
          </w:tcPr>
          <w:p>
            <w:pPr>
              <w:spacing w:after="0"/>
              <w:rPr>
                <w:sz w:val="18"/>
                <w:szCs w:val="18"/>
                <w:color w:val="auto"/>
              </w:rPr>
            </w:pPr>
          </w:p>
        </w:tc>
        <w:tc>
          <w:tcPr>
            <w:tcW w:w="18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1"/>
              </w:rPr>
              <w:t>No Redemption</w:t>
            </w:r>
          </w:p>
        </w:tc>
        <w:tc>
          <w:tcPr>
            <w:tcW w:w="1840" w:type="dxa"/>
            <w:vAlign w:val="bottom"/>
            <w:gridSpan w:val="4"/>
          </w:tcPr>
          <w:p>
            <w:pPr>
              <w:jc w:val="right"/>
              <w:ind w:right="500"/>
              <w:spacing w:after="0"/>
              <w:rPr>
                <w:sz w:val="20"/>
                <w:szCs w:val="20"/>
                <w:color w:val="auto"/>
              </w:rPr>
            </w:pPr>
            <w:r>
              <w:rPr>
                <w:rFonts w:ascii="Arial" w:cs="Arial" w:eastAsia="Arial" w:hAnsi="Arial"/>
                <w:sz w:val="16"/>
                <w:szCs w:val="16"/>
                <w:b w:val="1"/>
                <w:bCs w:val="1"/>
                <w:color w:val="auto"/>
              </w:rPr>
              <w:t>Redemption</w:t>
            </w:r>
          </w:p>
        </w:tc>
      </w:tr>
      <w:tr>
        <w:trPr>
          <w:trHeight w:val="46"/>
        </w:trPr>
        <w:tc>
          <w:tcPr>
            <w:tcW w:w="4420" w:type="dxa"/>
            <w:vAlign w:val="bottom"/>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7"/>
        </w:trPr>
        <w:tc>
          <w:tcPr>
            <w:tcW w:w="4420" w:type="dxa"/>
            <w:vAlign w:val="bottom"/>
          </w:tcPr>
          <w:p>
            <w:pPr>
              <w:spacing w:after="0"/>
              <w:rPr>
                <w:sz w:val="20"/>
                <w:szCs w:val="20"/>
                <w:color w:val="auto"/>
              </w:rPr>
            </w:pPr>
            <w:r>
              <w:rPr>
                <w:rFonts w:ascii="Arial" w:cs="Arial" w:eastAsia="Arial" w:hAnsi="Arial"/>
                <w:sz w:val="18"/>
                <w:szCs w:val="18"/>
                <w:i w:val="1"/>
                <w:iCs w:val="1"/>
                <w:color w:val="auto"/>
              </w:rPr>
              <w:t>(in thousands, except share and per share amounts)</w:t>
            </w:r>
          </w:p>
        </w:tc>
        <w:tc>
          <w:tcPr>
            <w:tcW w:w="94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Shares</w:t>
            </w: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Shares</w:t>
            </w: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r>
      <w:tr>
        <w:trPr>
          <w:trHeight w:val="40"/>
        </w:trPr>
        <w:tc>
          <w:tcPr>
            <w:tcW w:w="44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r>
      <w:tr>
        <w:trPr>
          <w:trHeight w:val="243"/>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BCTG public stockholders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16,675,000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13,022,927</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r>
      <w:tr>
        <w:trPr>
          <w:trHeight w:val="257"/>
        </w:trPr>
        <w:tc>
          <w:tcPr>
            <w:tcW w:w="4420" w:type="dxa"/>
            <w:vAlign w:val="bottom"/>
          </w:tcPr>
          <w:p>
            <w:pPr>
              <w:spacing w:after="0"/>
              <w:rPr>
                <w:sz w:val="20"/>
                <w:szCs w:val="20"/>
                <w:color w:val="auto"/>
              </w:rPr>
            </w:pPr>
            <w:r>
              <w:rPr>
                <w:rFonts w:ascii="Arial" w:cs="Arial" w:eastAsia="Arial" w:hAnsi="Arial"/>
                <w:sz w:val="18"/>
                <w:szCs w:val="18"/>
                <w:color w:val="auto"/>
              </w:rPr>
              <w:t>BCTG Sponsor and Directors and advisors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4,702,250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4,702,250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27"/>
        </w:trPr>
        <w:tc>
          <w:tcPr>
            <w:tcW w:w="44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BCTG</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21,377,250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17,725,177</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r>
      <w:tr>
        <w:trPr>
          <w:trHeight w:val="284"/>
        </w:trPr>
        <w:tc>
          <w:tcPr>
            <w:tcW w:w="4420" w:type="dxa"/>
            <w:vAlign w:val="bottom"/>
          </w:tcPr>
          <w:p>
            <w:pPr>
              <w:spacing w:after="0"/>
              <w:rPr>
                <w:sz w:val="20"/>
                <w:szCs w:val="20"/>
                <w:color w:val="auto"/>
              </w:rPr>
            </w:pPr>
            <w:r>
              <w:rPr>
                <w:rFonts w:ascii="Arial" w:cs="Arial" w:eastAsia="Arial" w:hAnsi="Arial"/>
                <w:sz w:val="18"/>
                <w:szCs w:val="18"/>
                <w:color w:val="auto"/>
              </w:rPr>
              <w:t>Tango</w:t>
            </w:r>
            <w:r>
              <w:rPr>
                <w:rFonts w:ascii="Arial" w:cs="Arial" w:eastAsia="Arial" w:hAnsi="Arial"/>
                <w:sz w:val="20"/>
                <w:szCs w:val="20"/>
                <w:color w:val="auto"/>
                <w:vertAlign w:val="superscript"/>
              </w:rPr>
              <w:t>(A)</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48,594,253</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48,594,253</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57.2%</w:t>
            </w:r>
          </w:p>
        </w:tc>
      </w:tr>
      <w:tr>
        <w:trPr>
          <w:trHeight w:val="283"/>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PIPE Shares</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18,610,000</w:t>
            </w: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18,610,000</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r>
      <w:tr>
        <w:trPr>
          <w:trHeight w:val="178"/>
        </w:trPr>
        <w:tc>
          <w:tcPr>
            <w:tcW w:w="4420" w:type="dxa"/>
            <w:vAlign w:val="bottom"/>
          </w:tcPr>
          <w:p>
            <w:pPr>
              <w:spacing w:after="0" w:line="177" w:lineRule="exact"/>
              <w:rPr>
                <w:sz w:val="20"/>
                <w:szCs w:val="20"/>
                <w:color w:val="auto"/>
              </w:rPr>
            </w:pPr>
            <w:r>
              <w:rPr>
                <w:rFonts w:ascii="Arial" w:cs="Arial" w:eastAsia="Arial" w:hAnsi="Arial"/>
                <w:sz w:val="18"/>
                <w:szCs w:val="18"/>
                <w:b w:val="1"/>
                <w:bCs w:val="1"/>
                <w:color w:val="auto"/>
                <w:w w:val="93"/>
              </w:rPr>
              <w:t>Total Shares Outstanding at Closing (excluding certain</w:t>
            </w: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234"/>
        </w:trPr>
        <w:tc>
          <w:tcPr>
            <w:tcW w:w="4420" w:type="dxa"/>
            <w:vAlign w:val="bottom"/>
          </w:tcPr>
          <w:p>
            <w:pPr>
              <w:ind w:left="180"/>
              <w:spacing w:after="0"/>
              <w:rPr>
                <w:sz w:val="20"/>
                <w:szCs w:val="20"/>
                <w:color w:val="auto"/>
              </w:rPr>
            </w:pPr>
            <w:r>
              <w:rPr>
                <w:rFonts w:ascii="Arial" w:cs="Arial" w:eastAsia="Arial" w:hAnsi="Arial"/>
                <w:sz w:val="18"/>
                <w:szCs w:val="18"/>
                <w:b w:val="1"/>
                <w:bCs w:val="1"/>
                <w:color w:val="auto"/>
              </w:rPr>
              <w:t>Tango shares)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0"/>
              </w:rPr>
              <w:t>88,581,503</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0"/>
              </w:rPr>
              <w:t>84,929,430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100%</w:t>
            </w:r>
          </w:p>
        </w:tc>
      </w:tr>
      <w:tr>
        <w:trPr>
          <w:trHeight w:val="40"/>
        </w:trPr>
        <w:tc>
          <w:tcPr>
            <w:tcW w:w="4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83"/>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Tango-Remaining Consideration Shares</w:t>
            </w:r>
            <w:r>
              <w:rPr>
                <w:rFonts w:ascii="Arial" w:cs="Arial" w:eastAsia="Arial" w:hAnsi="Arial"/>
                <w:sz w:val="20"/>
                <w:szCs w:val="20"/>
                <w:color w:val="auto"/>
                <w:vertAlign w:val="superscript"/>
              </w:rPr>
              <w:t>(A)</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6,405,747</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6,405,747</w:t>
            </w: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237"/>
        </w:trPr>
        <w:tc>
          <w:tcPr>
            <w:tcW w:w="4420" w:type="dxa"/>
            <w:vAlign w:val="bottom"/>
          </w:tcPr>
          <w:p>
            <w:pPr>
              <w:spacing w:after="0"/>
              <w:rPr>
                <w:sz w:val="20"/>
                <w:szCs w:val="20"/>
                <w:color w:val="auto"/>
              </w:rPr>
            </w:pPr>
            <w:r>
              <w:rPr>
                <w:rFonts w:ascii="Arial" w:cs="Arial" w:eastAsia="Arial" w:hAnsi="Arial"/>
                <w:sz w:val="18"/>
                <w:szCs w:val="18"/>
                <w:b w:val="1"/>
                <w:bCs w:val="1"/>
                <w:color w:val="auto"/>
                <w:w w:val="91"/>
              </w:rPr>
              <w:t>Total Shares at Closing (including certain Tango shares)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0"/>
              </w:rPr>
              <w:t>94,987,250</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0"/>
              </w:rPr>
              <w:t>91,335,177</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17145</wp:posOffset>
            </wp:positionV>
            <wp:extent cx="53149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17145</wp:posOffset>
            </wp:positionV>
            <wp:extent cx="5314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719" w:hanging="426"/>
        <w:spacing w:after="0" w:line="269" w:lineRule="auto"/>
        <w:tabs>
          <w:tab w:leader="none" w:pos="87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Total consideration to be issued to Tango is $550.0 million or 55,000,000 shares ($10 per share price). The total shares to be issued includes Tango common and preferred stock plus shares underlying unvested stock options. Accordingly, the consideration shares outstanding at the closing of the Business Combination has been adjusted to exclude the portion of consideration shares that will be unvested and/or unexercised at the closing of the Business Combination. The Tango-Remaining Consideration Shares reflect a conversion ratio of 0.341. Tango shares are presented as of March 31, 2021.</w:t>
      </w:r>
    </w:p>
    <w:p>
      <w:pPr>
        <w:sectPr>
          <w:pgSz w:w="11900" w:h="16838" w:orient="portrait"/>
          <w:cols w:equalWidth="0" w:num="1">
            <w:col w:w="9019"/>
          </w:cols>
          <w:pgMar w:left="1440" w:top="274"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8" w:name="page119"/>
    <w:bookmarkEnd w:id="11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Basis of Presentation</w:t>
      </w:r>
    </w:p>
    <w:p>
      <w:pPr>
        <w:spacing w:after="0" w:line="148"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The unaudited pro forma condensed combined financial information was prepared in accordance with Article 11 of SEC Regulation S-X as amended by the final rule, Release No. 33-10786 “Amendments to Financial Disclosures about Acquired and Disposed Businesses.” The historical financial information of BCTG and Tango include transaction accounting adjustments to illustrate the estimated effect of the Business Combination and the PIPE Investment and certain other adjustments to provide relevant information necessary for an understanding of the combined company upon consummation of the transactions described herein.</w:t>
      </w:r>
    </w:p>
    <w:p>
      <w:pPr>
        <w:spacing w:after="0" w:line="97"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 xml:space="preserve">The Business Combination will be accounted for as a reverse recapitalization because Tango has been determined to be the accounting acquirer under Financial Accounting Standards Board’s Accounting Standards Codification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w:t>
      </w:r>
      <w:r>
        <w:rPr>
          <w:rFonts w:ascii="Arial" w:cs="Arial" w:eastAsia="Arial" w:hAnsi="Arial"/>
          <w:sz w:val="16"/>
          <w:szCs w:val="16"/>
          <w:b w:val="1"/>
          <w:bCs w:val="1"/>
          <w:color w:val="auto"/>
        </w:rPr>
        <w:t>ASC 805</w:t>
      </w:r>
      <w:r>
        <w:rPr>
          <w:rFonts w:ascii="Arial" w:cs="Arial" w:eastAsia="Arial" w:hAnsi="Arial"/>
          <w:sz w:val="16"/>
          <w:szCs w:val="16"/>
          <w:color w:val="auto"/>
        </w:rPr>
        <w:t>”) under both the no redemption and maximum redemption scenarios. The determination is primarily based on the evaluation of the following facts and circumstances taking into consideration both the no redemption and maximum redemption scenarios:</w:t>
      </w:r>
    </w:p>
    <w:p>
      <w:pPr>
        <w:spacing w:after="0" w:line="94" w:lineRule="exact"/>
        <w:rPr>
          <w:sz w:val="20"/>
          <w:szCs w:val="20"/>
          <w:color w:val="auto"/>
        </w:rPr>
      </w:pPr>
    </w:p>
    <w:p>
      <w:pPr>
        <w:ind w:left="1320" w:right="1219" w:hanging="434"/>
        <w:spacing w:after="0" w:line="277" w:lineRule="auto"/>
        <w:tabs>
          <w:tab w:leader="none" w:pos="131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pre-combination equity holders of Tango will hold the majority of voting rights in the Combined Entity;</w:t>
      </w:r>
    </w:p>
    <w:p>
      <w:pPr>
        <w:spacing w:after="0" w:line="89" w:lineRule="exact"/>
        <w:rPr>
          <w:rFonts w:ascii="Arial" w:cs="Arial" w:eastAsia="Arial" w:hAnsi="Arial"/>
          <w:sz w:val="18"/>
          <w:szCs w:val="18"/>
          <w:color w:val="auto"/>
        </w:rPr>
      </w:pPr>
    </w:p>
    <w:p>
      <w:pPr>
        <w:ind w:left="1320" w:right="939" w:hanging="434"/>
        <w:spacing w:after="0" w:line="277" w:lineRule="auto"/>
        <w:tabs>
          <w:tab w:leader="none" w:pos="131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pre-combination equity holders of Tango will have the right to appoint the majority of the directors on the Combined Entity Board;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Senior management of Tango will comprise the senior management of the Combined Entity; and</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Operations of Tango will comprise the ongoing operations of the Combined Entity.</w:t>
      </w:r>
    </w:p>
    <w:p>
      <w:pPr>
        <w:spacing w:after="0" w:line="144" w:lineRule="exact"/>
        <w:rPr>
          <w:sz w:val="20"/>
          <w:szCs w:val="20"/>
          <w:color w:val="auto"/>
        </w:rPr>
      </w:pPr>
    </w:p>
    <w:p>
      <w:pPr>
        <w:ind w:left="460" w:right="639" w:firstLine="432"/>
        <w:spacing w:after="0" w:line="308" w:lineRule="auto"/>
        <w:rPr>
          <w:sz w:val="20"/>
          <w:szCs w:val="20"/>
          <w:color w:val="auto"/>
        </w:rPr>
      </w:pPr>
      <w:r>
        <w:rPr>
          <w:rFonts w:ascii="Arial" w:cs="Arial" w:eastAsia="Arial" w:hAnsi="Arial"/>
          <w:sz w:val="17"/>
          <w:szCs w:val="17"/>
          <w:color w:val="auto"/>
        </w:rPr>
        <w:t>Under the reverse recapitalization accounting model, the Business Combination will be treated as Tango issuing equity for the net assets of BCTG, with no goodwill or intangible assets recorded.</w:t>
      </w:r>
    </w:p>
    <w:p>
      <w:pPr>
        <w:spacing w:after="0" w:line="79" w:lineRule="exact"/>
        <w:rPr>
          <w:sz w:val="20"/>
          <w:szCs w:val="20"/>
          <w:color w:val="auto"/>
        </w:rPr>
      </w:pPr>
    </w:p>
    <w:p>
      <w:pPr>
        <w:ind w:left="460" w:right="1159" w:firstLine="432"/>
        <w:spacing w:after="0" w:line="308" w:lineRule="auto"/>
        <w:rPr>
          <w:sz w:val="20"/>
          <w:szCs w:val="20"/>
          <w:color w:val="auto"/>
        </w:rPr>
      </w:pPr>
      <w:r>
        <w:rPr>
          <w:rFonts w:ascii="Arial" w:cs="Arial" w:eastAsia="Arial" w:hAnsi="Arial"/>
          <w:sz w:val="17"/>
          <w:szCs w:val="17"/>
          <w:color w:val="auto"/>
        </w:rPr>
        <w:t>The unaudited pro forma condensed combined financial information has been prepared using the assumptions below with respect to the potential redemption of Public Shares into cash:</w:t>
      </w:r>
    </w:p>
    <w:p>
      <w:pPr>
        <w:spacing w:after="0" w:line="75" w:lineRule="exact"/>
        <w:rPr>
          <w:sz w:val="20"/>
          <w:szCs w:val="20"/>
          <w:color w:val="auto"/>
        </w:rPr>
      </w:pPr>
    </w:p>
    <w:p>
      <w:pPr>
        <w:ind w:left="1320" w:right="859" w:hanging="434"/>
        <w:spacing w:after="0" w:line="282" w:lineRule="auto"/>
        <w:tabs>
          <w:tab w:leader="none" w:pos="1311"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Assuming No Redemptions</w:t>
      </w:r>
      <w:r>
        <w:rPr>
          <w:rFonts w:ascii="Arial" w:cs="Arial" w:eastAsia="Arial" w:hAnsi="Arial"/>
          <w:sz w:val="18"/>
          <w:szCs w:val="18"/>
          <w:color w:val="auto"/>
        </w:rPr>
        <w:t>: This presentation assumes that no BCTG stockholders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redemption rights with respect to their Public Shares; and</w:t>
      </w:r>
    </w:p>
    <w:p>
      <w:pPr>
        <w:spacing w:after="0" w:line="80" w:lineRule="exact"/>
        <w:rPr>
          <w:rFonts w:ascii="Arial" w:cs="Arial" w:eastAsia="Arial" w:hAnsi="Arial"/>
          <w:sz w:val="18"/>
          <w:szCs w:val="18"/>
          <w:color w:val="auto"/>
        </w:rPr>
      </w:pPr>
    </w:p>
    <w:p>
      <w:pPr>
        <w:ind w:left="1320" w:right="479" w:hanging="434"/>
        <w:spacing w:after="0" w:line="291" w:lineRule="auto"/>
        <w:tabs>
          <w:tab w:leader="none" w:pos="1311" w:val="left"/>
        </w:tabs>
        <w:numPr>
          <w:ilvl w:val="0"/>
          <w:numId w:val="165"/>
        </w:numPr>
        <w:rPr>
          <w:rFonts w:ascii="Arial" w:cs="Arial" w:eastAsia="Arial" w:hAnsi="Arial"/>
          <w:sz w:val="16"/>
          <w:szCs w:val="16"/>
          <w:color w:val="auto"/>
        </w:rPr>
      </w:pPr>
      <w:r>
        <w:rPr>
          <w:rFonts w:ascii="Arial" w:cs="Arial" w:eastAsia="Arial" w:hAnsi="Arial"/>
          <w:sz w:val="16"/>
          <w:szCs w:val="16"/>
          <w:b w:val="1"/>
          <w:bCs w:val="1"/>
          <w:color w:val="auto"/>
        </w:rPr>
        <w:t>Assuming Maximum Redemptions</w:t>
      </w:r>
      <w:r>
        <w:rPr>
          <w:rFonts w:ascii="Arial" w:cs="Arial" w:eastAsia="Arial" w:hAnsi="Arial"/>
          <w:sz w:val="16"/>
          <w:szCs w:val="16"/>
          <w:color w:val="auto"/>
        </w:rPr>
        <w:t>: This presentation assumes that all of BCTG’s public</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without giving effect to the Subscription Agreements entered into by certain BCTG public stockholders participating in the PIPE Investment, exercise redemption rights with respect to their public shares up to the minimum BCTG cash required at closing discussed below. This scenario assumes that 3,652,074 shares are redeemed for an aggregate redemption value of approximately $36.5 million. This maximum redemption scenario is based on the maximum number of redemptions which may occur, but which would still provide BCTG with cash at closing of the Business Combination of no less than $300.0 million pursuant to the Merger Agreement.</w:t>
      </w:r>
    </w:p>
    <w:p>
      <w:pPr>
        <w:spacing w:after="0" w:line="96" w:lineRule="exact"/>
        <w:rPr>
          <w:sz w:val="20"/>
          <w:szCs w:val="20"/>
          <w:color w:val="auto"/>
        </w:rPr>
      </w:pPr>
    </w:p>
    <w:p>
      <w:pPr>
        <w:ind w:left="460" w:right="579" w:firstLine="432"/>
        <w:spacing w:after="0" w:line="342" w:lineRule="auto"/>
        <w:rPr>
          <w:sz w:val="20"/>
          <w:szCs w:val="20"/>
          <w:color w:val="auto"/>
        </w:rPr>
      </w:pPr>
      <w:r>
        <w:rPr>
          <w:rFonts w:ascii="Arial" w:cs="Arial" w:eastAsia="Arial" w:hAnsi="Arial"/>
          <w:sz w:val="16"/>
          <w:szCs w:val="16"/>
          <w:color w:val="auto"/>
        </w:rPr>
        <w:t>The public stockholder redemptions are expected to be within the parameters described by the above two scenarios. However, there can be no assurance regarding which scenario will be closest to the actual results.</w:t>
      </w:r>
    </w:p>
    <w:p>
      <w:pPr>
        <w:spacing w:after="0" w:line="56"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Combined Entity expects to enter into new equity awards with its employees after the consummation of the Business Combination. The terms of these new equity awards have not been finalized and remain subject to change. Accordingly, no effect has been given in the unaudited pro forma condensed combined financial information for the new awards.</w:t>
      </w:r>
    </w:p>
    <w:p>
      <w:pPr>
        <w:spacing w:after="0" w:line="106"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The unaudited pro forma condensed combined financial information does not reflect the income tax effects of the transaction accounting adjustments as any change in the deferred tax balance would be offset by an increase in the valuation allowance given Tango incurred significant losses during the historical period presented.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9" w:name="page120"/>
    <w:bookmarkEnd w:id="11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right="979"/>
        <w:spacing w:after="0" w:line="282" w:lineRule="auto"/>
        <w:rPr>
          <w:sz w:val="20"/>
          <w:szCs w:val="20"/>
          <w:color w:val="auto"/>
        </w:rPr>
      </w:pPr>
      <w:r>
        <w:rPr>
          <w:rFonts w:ascii="Arial" w:cs="Arial" w:eastAsia="Arial" w:hAnsi="Arial"/>
          <w:sz w:val="18"/>
          <w:szCs w:val="18"/>
          <w:b w:val="1"/>
          <w:bCs w:val="1"/>
          <w:color w:val="auto"/>
        </w:rPr>
        <w:t>Note 3 — Transaction Accounting Adjustments to the Unaudited Pro Forma Condensed Combined Balance Sheet as of December 31, 2020</w:t>
      </w:r>
    </w:p>
    <w:p>
      <w:pPr>
        <w:spacing w:after="0" w:line="85"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The transaction accounting adjustments included in the unaudited pro forma condensed combined balance sheet as of December 31, 2020 are as follows: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Pro Forma adjustments to reflect the proceeds from the issuance of additional Series B shares in March 2021</w:t>
      </w:r>
    </w:p>
    <w:p>
      <w:pPr>
        <w:spacing w:after="0" w:line="181" w:lineRule="exact"/>
        <w:rPr>
          <w:sz w:val="20"/>
          <w:szCs w:val="20"/>
          <w:color w:val="auto"/>
        </w:rPr>
      </w:pPr>
    </w:p>
    <w:p>
      <w:pPr>
        <w:ind w:left="1320" w:right="499" w:hanging="434"/>
        <w:spacing w:after="0" w:line="311" w:lineRule="auto"/>
        <w:tabs>
          <w:tab w:leader="none" w:pos="1308" w:val="left"/>
        </w:tabs>
        <w:numPr>
          <w:ilvl w:val="0"/>
          <w:numId w:val="166"/>
        </w:numPr>
        <w:rPr>
          <w:rFonts w:ascii="Arial" w:cs="Arial" w:eastAsia="Arial" w:hAnsi="Arial"/>
          <w:sz w:val="16"/>
          <w:szCs w:val="16"/>
          <w:i w:val="1"/>
          <w:iCs w:val="1"/>
          <w:color w:val="auto"/>
        </w:rPr>
      </w:pPr>
      <w:r>
        <w:rPr>
          <w:rFonts w:ascii="Arial" w:cs="Arial" w:eastAsia="Arial" w:hAnsi="Arial"/>
          <w:sz w:val="16"/>
          <w:szCs w:val="16"/>
          <w:color w:val="auto"/>
        </w:rPr>
        <w:t>Represents the sale of additional shares of Series B redeemable convertible preferred stock upon the achievement of specified development milestones in connection with the second tranche of the Series B stock purchase agreement. Net proceeds from this issuance totaled $30.0 million.</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 Forma transaction accounting adjustments</w:t>
      </w:r>
    </w:p>
    <w:p>
      <w:pPr>
        <w:spacing w:after="0" w:line="158" w:lineRule="exact"/>
        <w:rPr>
          <w:sz w:val="20"/>
          <w:szCs w:val="20"/>
          <w:color w:val="auto"/>
        </w:rPr>
      </w:pPr>
    </w:p>
    <w:p>
      <w:pPr>
        <w:ind w:left="1320" w:right="499" w:hanging="434"/>
        <w:spacing w:after="0" w:line="342" w:lineRule="auto"/>
        <w:tabs>
          <w:tab w:leader="none" w:pos="1263" w:val="left"/>
        </w:tabs>
        <w:numPr>
          <w:ilvl w:val="0"/>
          <w:numId w:val="167"/>
        </w:numPr>
        <w:rPr>
          <w:rFonts w:ascii="Arial" w:cs="Arial" w:eastAsia="Arial" w:hAnsi="Arial"/>
          <w:sz w:val="16"/>
          <w:szCs w:val="16"/>
          <w:i w:val="1"/>
          <w:iCs w:val="1"/>
          <w:color w:val="auto"/>
        </w:rPr>
      </w:pPr>
      <w:r>
        <w:rPr>
          <w:rFonts w:ascii="Arial" w:cs="Arial" w:eastAsia="Arial" w:hAnsi="Arial"/>
          <w:sz w:val="16"/>
          <w:szCs w:val="16"/>
          <w:color w:val="auto"/>
        </w:rPr>
        <w:t>Represents the impact of the Business Combination on the cash balance of the Combined Entity. The table below represents the sources and uses of funds as it relates to the Business Combination:</w:t>
      </w: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210"/>
        </w:trPr>
        <w:tc>
          <w:tcPr>
            <w:tcW w:w="480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Note</w:t>
            </w:r>
          </w:p>
        </w:tc>
        <w:tc>
          <w:tcPr>
            <w:tcW w:w="10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95"/>
              </w:rPr>
              <w:t>Pro Forma Cash</w:t>
            </w:r>
          </w:p>
        </w:tc>
        <w:tc>
          <w:tcPr>
            <w:tcW w:w="0" w:type="dxa"/>
            <w:vAlign w:val="bottom"/>
          </w:tcPr>
          <w:p>
            <w:pPr>
              <w:spacing w:after="0"/>
              <w:rPr>
                <w:sz w:val="1"/>
                <w:szCs w:val="1"/>
                <w:color w:val="auto"/>
              </w:rPr>
            </w:pPr>
          </w:p>
        </w:tc>
      </w:tr>
      <w:tr>
        <w:trPr>
          <w:trHeight w:val="47"/>
        </w:trPr>
        <w:tc>
          <w:tcPr>
            <w:tcW w:w="48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BCTG cash held in Trust Account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166,815</w:t>
            </w: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Arial" w:cs="Arial" w:eastAsia="Arial" w:hAnsi="Arial"/>
                <w:sz w:val="18"/>
                <w:szCs w:val="18"/>
                <w:color w:val="auto"/>
              </w:rPr>
              <w:t>Payment of other Business Combination transaction costs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(9,950)</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5"/>
              </w:rPr>
              <w:t>Excess cash to balance sheet from Business Combination</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156,865</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Arial" w:cs="Arial" w:eastAsia="Arial" w:hAnsi="Arial"/>
                <w:sz w:val="18"/>
                <w:szCs w:val="18"/>
                <w:color w:val="auto"/>
              </w:rPr>
              <w:t>PIPE – BCTG Sponsor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41"/>
        </w:trPr>
        <w:tc>
          <w:tcPr>
            <w:tcW w:w="4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PIPE –Tango Stockholders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42,500</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Arial" w:cs="Arial" w:eastAsia="Arial" w:hAnsi="Arial"/>
                <w:sz w:val="18"/>
                <w:szCs w:val="18"/>
                <w:color w:val="auto"/>
              </w:rPr>
              <w:t>Other PIPE Investors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118,600</w:t>
            </w:r>
          </w:p>
        </w:tc>
        <w:tc>
          <w:tcPr>
            <w:tcW w:w="0" w:type="dxa"/>
            <w:vAlign w:val="bottom"/>
          </w:tcPr>
          <w:p>
            <w:pPr>
              <w:spacing w:after="0"/>
              <w:rPr>
                <w:sz w:val="1"/>
                <w:szCs w:val="1"/>
                <w:color w:val="auto"/>
              </w:rPr>
            </w:pPr>
          </w:p>
        </w:tc>
      </w:tr>
      <w:tr>
        <w:trPr>
          <w:trHeight w:val="40"/>
        </w:trPr>
        <w:tc>
          <w:tcPr>
            <w:tcW w:w="4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 of PIPE Investment transaction costs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(6,444</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b w:val="1"/>
                <w:bCs w:val="1"/>
                <w:color w:val="auto"/>
              </w:rPr>
              <w:t>Excess cash to balance sheet from PIPE transaction</w:t>
            </w: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gridSpan w:val="2"/>
          </w:tcPr>
          <w:p>
            <w:pPr>
              <w:jc w:val="right"/>
              <w:ind w:right="144"/>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179,656</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80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Total excess cash to balance sheet from Business</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Combination and PIPE Investment – No redemption</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scenario</w:t>
            </w: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336,521</w:t>
            </w:r>
          </w:p>
        </w:tc>
        <w:tc>
          <w:tcPr>
            <w:tcW w:w="0" w:type="dxa"/>
            <w:vAlign w:val="bottom"/>
          </w:tcPr>
          <w:p>
            <w:pPr>
              <w:spacing w:after="0"/>
              <w:rPr>
                <w:sz w:val="1"/>
                <w:szCs w:val="1"/>
                <w:color w:val="auto"/>
              </w:rPr>
            </w:pPr>
          </w:p>
        </w:tc>
      </w:tr>
      <w:tr>
        <w:trPr>
          <w:trHeight w:val="182"/>
        </w:trPr>
        <w:tc>
          <w:tcPr>
            <w:tcW w:w="4800" w:type="dxa"/>
            <w:vAlign w:val="bottom"/>
          </w:tcPr>
          <w:p>
            <w:pPr>
              <w:spacing w:after="0" w:line="182" w:lineRule="exact"/>
              <w:rPr>
                <w:sz w:val="20"/>
                <w:szCs w:val="20"/>
                <w:color w:val="auto"/>
              </w:rPr>
            </w:pPr>
            <w:r>
              <w:rPr>
                <w:rFonts w:ascii="Arial" w:cs="Arial" w:eastAsia="Arial" w:hAnsi="Arial"/>
                <w:sz w:val="18"/>
                <w:szCs w:val="18"/>
                <w:color w:val="auto"/>
              </w:rPr>
              <w:t>Maximum redemption scenario transaction accounting</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adjustment to cash</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(36,521)</w:t>
            </w:r>
          </w:p>
        </w:tc>
        <w:tc>
          <w:tcPr>
            <w:tcW w:w="0" w:type="dxa"/>
            <w:vAlign w:val="bottom"/>
          </w:tcPr>
          <w:p>
            <w:pPr>
              <w:spacing w:after="0"/>
              <w:rPr>
                <w:sz w:val="1"/>
                <w:szCs w:val="1"/>
                <w:color w:val="auto"/>
              </w:rPr>
            </w:pPr>
          </w:p>
        </w:tc>
      </w:tr>
      <w:tr>
        <w:trPr>
          <w:trHeight w:val="40"/>
        </w:trPr>
        <w:tc>
          <w:tcPr>
            <w:tcW w:w="4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8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excess cash to balance sheet from Business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Combination and PIPE Investment – Maximum</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redemption scenario</w:t>
            </w:r>
          </w:p>
        </w:tc>
        <w:tc>
          <w:tcPr>
            <w:tcW w:w="1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144"/>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300,000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__________</w:t>
      </w:r>
    </w:p>
    <w:p>
      <w:pPr>
        <w:spacing w:after="0" w:line="41" w:lineRule="exact"/>
        <w:rPr>
          <w:sz w:val="20"/>
          <w:szCs w:val="20"/>
          <w:color w:val="auto"/>
        </w:rPr>
      </w:pPr>
    </w:p>
    <w:p>
      <w:pPr>
        <w:ind w:left="1760" w:right="1359" w:hanging="442"/>
        <w:spacing w:after="0" w:line="266" w:lineRule="auto"/>
        <w:tabs>
          <w:tab w:leader="none" w:pos="176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Represents the amount of the restricted investments and cash held in the trust account upon consummation of the Business Combination at Closing.</w:t>
      </w:r>
    </w:p>
    <w:p>
      <w:pPr>
        <w:spacing w:after="0" w:line="1" w:lineRule="exact"/>
        <w:rPr>
          <w:rFonts w:ascii="Arial" w:cs="Arial" w:eastAsia="Arial" w:hAnsi="Arial"/>
          <w:sz w:val="16"/>
          <w:szCs w:val="16"/>
          <w:color w:val="auto"/>
        </w:rPr>
      </w:pPr>
    </w:p>
    <w:p>
      <w:pPr>
        <w:ind w:left="1760" w:right="579" w:hanging="442"/>
        <w:spacing w:after="0" w:line="264" w:lineRule="auto"/>
        <w:tabs>
          <w:tab w:leader="none" w:pos="176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Represents payment of the estimated Business Combination transaction costs. The unaudited pro forma condensed combined balance sheet reflects these costs as a reduction of cash, with a corresponding decrease in additional paid-in capital.</w:t>
      </w:r>
    </w:p>
    <w:p>
      <w:pPr>
        <w:ind w:left="1760" w:right="1079" w:hanging="442"/>
        <w:spacing w:after="0" w:line="264" w:lineRule="auto"/>
        <w:tabs>
          <w:tab w:leader="none" w:pos="176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Represents the issuance, from the PIPE Investment, to certain investors of 18,610,000 shares of Combined Entity common stock at a price of $10.00 per share.</w:t>
      </w:r>
    </w:p>
    <w:p>
      <w:pPr>
        <w:ind w:left="1760" w:right="859" w:hanging="442"/>
        <w:spacing w:after="0" w:line="264" w:lineRule="auto"/>
        <w:tabs>
          <w:tab w:leader="none" w:pos="176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Represents payment of the estimated PIPE Investment transaction costs. The unaudited pro forma condensed combined balance sheet reflects these costs as a reduction of cash, with a corresponding decrease in additional paid-in capital.</w:t>
      </w:r>
    </w:p>
    <w:p>
      <w:pPr>
        <w:ind w:left="1760" w:right="479" w:hanging="442"/>
        <w:spacing w:after="0" w:line="287" w:lineRule="auto"/>
        <w:tabs>
          <w:tab w:leader="none" w:pos="1760" w:val="left"/>
        </w:tabs>
        <w:numPr>
          <w:ilvl w:val="1"/>
          <w:numId w:val="168"/>
        </w:numPr>
        <w:rPr>
          <w:rFonts w:ascii="Arial" w:cs="Arial" w:eastAsia="Arial" w:hAnsi="Arial"/>
          <w:sz w:val="15"/>
          <w:szCs w:val="15"/>
          <w:color w:val="auto"/>
        </w:rPr>
      </w:pPr>
      <w:r>
        <w:rPr>
          <w:rFonts w:ascii="Arial" w:cs="Arial" w:eastAsia="Arial" w:hAnsi="Arial"/>
          <w:sz w:val="15"/>
          <w:szCs w:val="15"/>
          <w:color w:val="auto"/>
        </w:rPr>
        <w:t>Represents the amount paid to BCTG stockholders who are assumed to exercise redemption rights under the maximum redemption scenario. Although the maximum possible redemption amount is $156.0 million, the closing BCTG cash balance must be greater than $300.0 million, pursuant to the Merger Agreement, and the sponsor will have the option to cover any shortfall through an additional cash investment or satisfying such shortfall through securing investments in BCTG from certain agreed investors. As such, the maximum redemption scenario of stockholders exercising redemption rights and the Business Combination being consummated is adjusted to a maximum amount of $36.5 million, as incorporated in the maximum redemption scenario within the table above.</w:t>
      </w:r>
    </w:p>
    <w:p>
      <w:pPr>
        <w:spacing w:after="0" w:line="110" w:lineRule="exact"/>
        <w:rPr>
          <w:rFonts w:ascii="Arial" w:cs="Arial" w:eastAsia="Arial" w:hAnsi="Arial"/>
          <w:sz w:val="15"/>
          <w:szCs w:val="15"/>
          <w:color w:val="auto"/>
        </w:rPr>
      </w:pPr>
    </w:p>
    <w:p>
      <w:pPr>
        <w:ind w:left="1320" w:right="939" w:hanging="434"/>
        <w:spacing w:after="0" w:line="277" w:lineRule="auto"/>
        <w:tabs>
          <w:tab w:leader="none" w:pos="1298" w:val="left"/>
        </w:tabs>
        <w:numPr>
          <w:ilvl w:val="0"/>
          <w:numId w:val="169"/>
        </w:numPr>
        <w:rPr>
          <w:rFonts w:ascii="Arial" w:cs="Arial" w:eastAsia="Arial" w:hAnsi="Arial"/>
          <w:sz w:val="18"/>
          <w:szCs w:val="18"/>
          <w:i w:val="1"/>
          <w:iCs w:val="1"/>
          <w:color w:val="auto"/>
        </w:rPr>
      </w:pPr>
      <w:r>
        <w:rPr>
          <w:rFonts w:ascii="Arial" w:cs="Arial" w:eastAsia="Arial" w:hAnsi="Arial"/>
          <w:sz w:val="18"/>
          <w:szCs w:val="18"/>
          <w:color w:val="auto"/>
        </w:rPr>
        <w:t>Represents release of the restricted investments and cash held in the BCTG trust account upon consummation of the Business Combination (See Note 3(b)(1)).</w:t>
      </w:r>
    </w:p>
    <w:p>
      <w:pPr>
        <w:spacing w:after="0" w:line="102" w:lineRule="exact"/>
        <w:rPr>
          <w:rFonts w:ascii="Arial" w:cs="Arial" w:eastAsia="Arial" w:hAnsi="Arial"/>
          <w:sz w:val="18"/>
          <w:szCs w:val="18"/>
          <w:i w:val="1"/>
          <w:iCs w:val="1"/>
          <w:color w:val="auto"/>
        </w:rPr>
      </w:pPr>
    </w:p>
    <w:p>
      <w:pPr>
        <w:ind w:left="1320" w:right="679" w:hanging="434"/>
        <w:spacing w:after="0" w:line="277" w:lineRule="auto"/>
        <w:tabs>
          <w:tab w:leader="none" w:pos="1308" w:val="left"/>
        </w:tabs>
        <w:numPr>
          <w:ilvl w:val="0"/>
          <w:numId w:val="169"/>
        </w:numPr>
        <w:rPr>
          <w:rFonts w:ascii="Arial" w:cs="Arial" w:eastAsia="Arial" w:hAnsi="Arial"/>
          <w:sz w:val="18"/>
          <w:szCs w:val="18"/>
          <w:i w:val="1"/>
          <w:iCs w:val="1"/>
          <w:color w:val="auto"/>
        </w:rPr>
      </w:pPr>
      <w:r>
        <w:rPr>
          <w:rFonts w:ascii="Arial" w:cs="Arial" w:eastAsia="Arial" w:hAnsi="Arial"/>
          <w:sz w:val="18"/>
          <w:szCs w:val="18"/>
          <w:color w:val="auto"/>
        </w:rPr>
        <w:t>To reclass historical BCTG franchise tax payable and accrued income tax to the accrued expenses and other current liabilities account of the Combined Entity.</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0" w:name="page121"/>
    <w:bookmarkEnd w:id="12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39" w:hanging="416"/>
        <w:spacing w:after="0" w:line="263" w:lineRule="auto"/>
        <w:tabs>
          <w:tab w:leader="none" w:pos="1315" w:val="left"/>
        </w:tabs>
        <w:numPr>
          <w:ilvl w:val="0"/>
          <w:numId w:val="170"/>
        </w:numPr>
        <w:rPr>
          <w:rFonts w:ascii="Arial" w:cs="Arial" w:eastAsia="Arial" w:hAnsi="Arial"/>
          <w:sz w:val="18"/>
          <w:szCs w:val="18"/>
          <w:i w:val="1"/>
          <w:iCs w:val="1"/>
          <w:color w:val="auto"/>
        </w:rPr>
      </w:pPr>
      <w:r>
        <w:rPr>
          <w:rFonts w:ascii="Arial" w:cs="Arial" w:eastAsia="Arial" w:hAnsi="Arial"/>
          <w:sz w:val="18"/>
          <w:szCs w:val="18"/>
          <w:color w:val="auto"/>
        </w:rPr>
        <w:t>The following table represents the impact of the Business Combination and PIPE Investment on the number of shares of BCTG Common Stock and represents the total equity section assuming no redemptions by BCTG stockholder:</w:t>
      </w:r>
    </w:p>
    <w:p>
      <w:pPr>
        <w:spacing w:after="0" w:line="157"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Transaction</w:t>
            </w:r>
          </w:p>
        </w:tc>
        <w:tc>
          <w:tcPr>
            <w:tcW w:w="0" w:type="dxa"/>
            <w:vAlign w:val="bottom"/>
          </w:tcPr>
          <w:p>
            <w:pPr>
              <w:spacing w:after="0"/>
              <w:rPr>
                <w:sz w:val="1"/>
                <w:szCs w:val="1"/>
                <w:color w:val="auto"/>
              </w:rPr>
            </w:pPr>
          </w:p>
        </w:tc>
      </w:tr>
      <w:tr>
        <w:trPr>
          <w:trHeight w:val="203"/>
        </w:trPr>
        <w:tc>
          <w:tcPr>
            <w:tcW w:w="4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Accounting</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Note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Adjustment</w:t>
            </w:r>
          </w:p>
        </w:tc>
        <w:tc>
          <w:tcPr>
            <w:tcW w:w="0" w:type="dxa"/>
            <w:vAlign w:val="bottom"/>
          </w:tcPr>
          <w:p>
            <w:pPr>
              <w:spacing w:after="0"/>
              <w:rPr>
                <w:sz w:val="1"/>
                <w:szCs w:val="1"/>
                <w:color w:val="auto"/>
              </w:rPr>
            </w:pPr>
          </w:p>
        </w:tc>
      </w:tr>
      <w:tr>
        <w:trPr>
          <w:trHeight w:val="46"/>
        </w:trPr>
        <w:tc>
          <w:tcPr>
            <w:tcW w:w="48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8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Reclassification of historical redeemable stock of BCTG to</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157,361</w:t>
            </w:r>
          </w:p>
        </w:tc>
        <w:tc>
          <w:tcPr>
            <w:tcW w:w="0" w:type="dxa"/>
            <w:vAlign w:val="bottom"/>
          </w:tcPr>
          <w:p>
            <w:pPr>
              <w:spacing w:after="0"/>
              <w:rPr>
                <w:sz w:val="1"/>
                <w:szCs w:val="1"/>
                <w:color w:val="auto"/>
              </w:rPr>
            </w:pPr>
          </w:p>
        </w:tc>
      </w:tr>
      <w:tr>
        <w:trPr>
          <w:trHeight w:val="202"/>
        </w:trPr>
        <w:tc>
          <w:tcPr>
            <w:tcW w:w="4800" w:type="dxa"/>
            <w:vAlign w:val="bottom"/>
          </w:tcPr>
          <w:p>
            <w:pPr>
              <w:spacing w:after="0" w:line="201" w:lineRule="exact"/>
              <w:rPr>
                <w:sz w:val="20"/>
                <w:szCs w:val="20"/>
                <w:color w:val="auto"/>
              </w:rPr>
            </w:pPr>
            <w:r>
              <w:rPr>
                <w:rFonts w:ascii="Arial" w:cs="Arial" w:eastAsia="Arial" w:hAnsi="Arial"/>
                <w:sz w:val="18"/>
                <w:szCs w:val="18"/>
                <w:color w:val="auto"/>
              </w:rPr>
              <w:t>Par value of consideration shares issued for all outstanding</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Tango common and preferred stock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0"/>
        </w:trPr>
        <w:tc>
          <w:tcPr>
            <w:tcW w:w="4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Elimination of historical redeemable convertible preferred stock</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Tango</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166,557</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Arial" w:cs="Arial" w:eastAsia="Arial" w:hAnsi="Arial"/>
                <w:sz w:val="18"/>
                <w:szCs w:val="18"/>
                <w:color w:val="auto"/>
              </w:rPr>
              <w:t>Elimination of historical accumulated deficit of BCTG</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40"/>
        </w:trPr>
        <w:tc>
          <w:tcPr>
            <w:tcW w:w="4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Elimination of historical deferred IPO costs of BCTG</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5,836</w:t>
            </w: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Arial" w:cs="Arial" w:eastAsia="Arial" w:hAnsi="Arial"/>
                <w:sz w:val="18"/>
                <w:szCs w:val="18"/>
                <w:color w:val="auto"/>
              </w:rPr>
              <w:t>Payment of other Business Combination transaction costs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(9,950)</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 Forma additional paid-in capital adjustment</w:t>
            </w:r>
          </w:p>
        </w:tc>
        <w:tc>
          <w:tcPr>
            <w:tcW w:w="11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319,675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w:t>
            </w: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8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1760" w:right="499" w:hanging="442"/>
        <w:spacing w:after="0" w:line="283" w:lineRule="auto"/>
        <w:tabs>
          <w:tab w:leader="none" w:pos="1757" w:val="left"/>
        </w:tabs>
        <w:numPr>
          <w:ilvl w:val="0"/>
          <w:numId w:val="171"/>
        </w:numPr>
        <w:rPr>
          <w:rFonts w:ascii="Arial" w:cs="Arial" w:eastAsia="Arial" w:hAnsi="Arial"/>
          <w:sz w:val="15"/>
          <w:szCs w:val="15"/>
          <w:color w:val="auto"/>
        </w:rPr>
      </w:pPr>
      <w:r>
        <w:rPr>
          <w:rFonts w:ascii="Arial" w:cs="Arial" w:eastAsia="Arial" w:hAnsi="Arial"/>
          <w:sz w:val="15"/>
          <w:szCs w:val="15"/>
          <w:color w:val="auto"/>
        </w:rPr>
        <w:t>To reflect the recapitalization of BCTG through the contribution of all historically outstanding common stock subject to redemption of BCTG to Tango and the issuance of 15,736,221 shares of Tango common stock. The unaudited pro forma condensed combined balance sheet reflects the adjustment as a reclassification to additional paid in capital and the difference to common stock.</w:t>
      </w:r>
    </w:p>
    <w:p>
      <w:pPr>
        <w:ind w:left="1760" w:right="739" w:hanging="442"/>
        <w:spacing w:after="0" w:line="281" w:lineRule="auto"/>
        <w:tabs>
          <w:tab w:leader="none" w:pos="1757" w:val="left"/>
        </w:tabs>
        <w:numPr>
          <w:ilvl w:val="0"/>
          <w:numId w:val="171"/>
        </w:numPr>
        <w:rPr>
          <w:rFonts w:ascii="Arial" w:cs="Arial" w:eastAsia="Arial" w:hAnsi="Arial"/>
          <w:sz w:val="15"/>
          <w:szCs w:val="15"/>
          <w:color w:val="auto"/>
        </w:rPr>
      </w:pPr>
      <w:r>
        <w:rPr>
          <w:rFonts w:ascii="Arial" w:cs="Arial" w:eastAsia="Arial" w:hAnsi="Arial"/>
          <w:sz w:val="15"/>
          <w:szCs w:val="15"/>
          <w:color w:val="auto"/>
        </w:rPr>
        <w:t>To reflect the $0.001 par value impact on additional paid in capital pursuant to the 55,000,0000 consideration shares issued for all outstanding Tango common and preferred stock and includes underlying unvested and/or unexercised stock options of 6,405,747 and excludes unissued options of 1,442,140. These amounts are based on Tango’s outstanding shares as of March 31, 2021 and the expected exchange ratio of 0.341 at the effective time of the Business Combination.</w:t>
      </w:r>
    </w:p>
    <w:p>
      <w:pPr>
        <w:spacing w:after="0" w:line="2" w:lineRule="exact"/>
        <w:rPr>
          <w:rFonts w:ascii="Arial" w:cs="Arial" w:eastAsia="Arial" w:hAnsi="Arial"/>
          <w:sz w:val="15"/>
          <w:szCs w:val="15"/>
          <w:color w:val="auto"/>
        </w:rPr>
      </w:pPr>
    </w:p>
    <w:p>
      <w:pPr>
        <w:ind w:left="1760" w:right="559" w:hanging="442"/>
        <w:spacing w:after="0" w:line="281" w:lineRule="auto"/>
        <w:tabs>
          <w:tab w:leader="none" w:pos="1757" w:val="left"/>
        </w:tabs>
        <w:numPr>
          <w:ilvl w:val="0"/>
          <w:numId w:val="171"/>
        </w:numPr>
        <w:rPr>
          <w:rFonts w:ascii="Arial" w:cs="Arial" w:eastAsia="Arial" w:hAnsi="Arial"/>
          <w:sz w:val="15"/>
          <w:szCs w:val="15"/>
          <w:color w:val="auto"/>
        </w:rPr>
      </w:pPr>
      <w:r>
        <w:rPr>
          <w:rFonts w:ascii="Arial" w:cs="Arial" w:eastAsia="Arial" w:hAnsi="Arial"/>
          <w:sz w:val="15"/>
          <w:szCs w:val="15"/>
          <w:color w:val="auto"/>
        </w:rPr>
        <w:t>To reflect the automatic conversion of all outstanding shares of Tango redeemable convertible preferred stock immediately prior to the Effective Time of the Business Combination. The adjustment reflects the derecognition of the carrying value of the Tango redeemable convertible preferred stock of $166.5 million, which includes $30.0 million associated with the 2021 Series B Issuance. The unaudited pro forma condensed combined balance sheet reflects the adjustment as a reclassification to additional paid in capital and the difference to common stock.</w:t>
      </w:r>
    </w:p>
    <w:p>
      <w:pPr>
        <w:spacing w:after="0" w:line="3" w:lineRule="exact"/>
        <w:rPr>
          <w:rFonts w:ascii="Arial" w:cs="Arial" w:eastAsia="Arial" w:hAnsi="Arial"/>
          <w:sz w:val="15"/>
          <w:szCs w:val="15"/>
          <w:color w:val="auto"/>
        </w:rPr>
      </w:pPr>
    </w:p>
    <w:p>
      <w:pPr>
        <w:ind w:left="1740" w:hanging="422"/>
        <w:spacing w:after="0"/>
        <w:tabs>
          <w:tab w:leader="none" w:pos="17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To reflect the elimination of the accumulated deficit of BCTG, the accounting acquiree.</w:t>
      </w:r>
    </w:p>
    <w:p>
      <w:pPr>
        <w:spacing w:after="0" w:line="18" w:lineRule="exact"/>
        <w:rPr>
          <w:rFonts w:ascii="Arial" w:cs="Arial" w:eastAsia="Arial" w:hAnsi="Arial"/>
          <w:sz w:val="16"/>
          <w:szCs w:val="16"/>
          <w:color w:val="auto"/>
        </w:rPr>
      </w:pPr>
    </w:p>
    <w:p>
      <w:pPr>
        <w:ind w:left="1760" w:right="1039" w:hanging="442"/>
        <w:spacing w:after="0" w:line="281" w:lineRule="auto"/>
        <w:tabs>
          <w:tab w:leader="none" w:pos="176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Represents the settlement of $5.8 million of deferred underwriting commissions incurred during BCTG’s IPO that are contractually due upon completion of the Business Combination.</w:t>
      </w:r>
    </w:p>
    <w:p>
      <w:pPr>
        <w:spacing w:after="0" w:line="1" w:lineRule="exact"/>
        <w:rPr>
          <w:rFonts w:ascii="Arial" w:cs="Arial" w:eastAsia="Arial" w:hAnsi="Arial"/>
          <w:sz w:val="15"/>
          <w:szCs w:val="15"/>
          <w:color w:val="auto"/>
        </w:rPr>
      </w:pPr>
    </w:p>
    <w:p>
      <w:pPr>
        <w:ind w:left="1760" w:right="579" w:hanging="442"/>
        <w:spacing w:after="0" w:line="276" w:lineRule="auto"/>
        <w:tabs>
          <w:tab w:leader="none" w:pos="17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Represents payment of the estimated Business Combination transaction costs. The unaudited pro forma condensed combined balance sheet reflects these costs as a reduction of cash, with a corresponding decrease in additional paid-in capital.</w:t>
      </w:r>
    </w:p>
    <w:p>
      <w:pPr>
        <w:spacing w:after="0" w:line="176" w:lineRule="exact"/>
        <w:rPr>
          <w:sz w:val="20"/>
          <w:szCs w:val="20"/>
          <w:color w:val="auto"/>
        </w:rPr>
      </w:pPr>
    </w:p>
    <w:p>
      <w:pPr>
        <w:ind w:left="460" w:right="979"/>
        <w:spacing w:after="0" w:line="282" w:lineRule="auto"/>
        <w:rPr>
          <w:sz w:val="20"/>
          <w:szCs w:val="20"/>
          <w:color w:val="auto"/>
        </w:rPr>
      </w:pPr>
      <w:r>
        <w:rPr>
          <w:rFonts w:ascii="Arial" w:cs="Arial" w:eastAsia="Arial" w:hAnsi="Arial"/>
          <w:sz w:val="18"/>
          <w:szCs w:val="18"/>
          <w:b w:val="1"/>
          <w:bCs w:val="1"/>
          <w:color w:val="auto"/>
        </w:rPr>
        <w:t>Note 4 — Transaction Accounting Adjustments to the Unaudited Pro Forma Condensed Combined Statement of Operations for the Year Ended December 31, 2020</w:t>
      </w:r>
    </w:p>
    <w:p>
      <w:pPr>
        <w:spacing w:after="0" w:line="98" w:lineRule="exact"/>
        <w:rPr>
          <w:sz w:val="20"/>
          <w:szCs w:val="20"/>
          <w:color w:val="auto"/>
        </w:rPr>
      </w:pPr>
    </w:p>
    <w:p>
      <w:pPr>
        <w:ind w:left="460" w:right="1099" w:firstLine="432"/>
        <w:spacing w:after="0" w:line="277" w:lineRule="auto"/>
        <w:rPr>
          <w:sz w:val="20"/>
          <w:szCs w:val="20"/>
          <w:color w:val="auto"/>
        </w:rPr>
      </w:pPr>
      <w:r>
        <w:rPr>
          <w:rFonts w:ascii="Arial" w:cs="Arial" w:eastAsia="Arial" w:hAnsi="Arial"/>
          <w:sz w:val="18"/>
          <w:szCs w:val="18"/>
          <w:color w:val="auto"/>
        </w:rPr>
        <w:t>The transaction accounting adjustments included in the unaudited pro forma condensed combined statement of operations for the year ended December 31, 2020 are as follows: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 Forma transaction accounting adjustments</w:t>
      </w:r>
    </w:p>
    <w:p>
      <w:pPr>
        <w:spacing w:after="0" w:line="144" w:lineRule="exact"/>
        <w:rPr>
          <w:sz w:val="20"/>
          <w:szCs w:val="20"/>
          <w:color w:val="auto"/>
        </w:rPr>
      </w:pPr>
    </w:p>
    <w:p>
      <w:pPr>
        <w:ind w:left="1320" w:right="859" w:hanging="434"/>
        <w:spacing w:after="0" w:line="277" w:lineRule="auto"/>
        <w:tabs>
          <w:tab w:leader="none" w:pos="1308" w:val="left"/>
        </w:tabs>
        <w:numPr>
          <w:ilvl w:val="0"/>
          <w:numId w:val="172"/>
        </w:numPr>
        <w:rPr>
          <w:rFonts w:ascii="Arial" w:cs="Arial" w:eastAsia="Arial" w:hAnsi="Arial"/>
          <w:sz w:val="18"/>
          <w:szCs w:val="18"/>
          <w:i w:val="1"/>
          <w:iCs w:val="1"/>
          <w:color w:val="auto"/>
        </w:rPr>
      </w:pPr>
      <w:r>
        <w:rPr>
          <w:rFonts w:ascii="Arial" w:cs="Arial" w:eastAsia="Arial" w:hAnsi="Arial"/>
          <w:sz w:val="18"/>
          <w:szCs w:val="18"/>
          <w:color w:val="auto"/>
        </w:rPr>
        <w:t>To reclass historical BCTG franchise tax expense to general and administrative expenses of the Combined Entity.</w:t>
      </w:r>
    </w:p>
    <w:p>
      <w:pPr>
        <w:spacing w:after="0" w:line="102" w:lineRule="exact"/>
        <w:rPr>
          <w:rFonts w:ascii="Arial" w:cs="Arial" w:eastAsia="Arial" w:hAnsi="Arial"/>
          <w:sz w:val="18"/>
          <w:szCs w:val="18"/>
          <w:i w:val="1"/>
          <w:iCs w:val="1"/>
          <w:color w:val="auto"/>
        </w:rPr>
      </w:pPr>
    </w:p>
    <w:p>
      <w:pPr>
        <w:ind w:left="1320" w:right="719" w:hanging="434"/>
        <w:spacing w:after="0" w:line="342" w:lineRule="auto"/>
        <w:tabs>
          <w:tab w:leader="none" w:pos="1308" w:val="left"/>
        </w:tabs>
        <w:numPr>
          <w:ilvl w:val="0"/>
          <w:numId w:val="172"/>
        </w:numPr>
        <w:rPr>
          <w:rFonts w:ascii="Arial" w:cs="Arial" w:eastAsia="Arial" w:hAnsi="Arial"/>
          <w:sz w:val="16"/>
          <w:szCs w:val="16"/>
          <w:i w:val="1"/>
          <w:iCs w:val="1"/>
          <w:color w:val="auto"/>
        </w:rPr>
      </w:pPr>
      <w:r>
        <w:rPr>
          <w:rFonts w:ascii="Arial" w:cs="Arial" w:eastAsia="Arial" w:hAnsi="Arial"/>
          <w:sz w:val="16"/>
          <w:szCs w:val="16"/>
          <w:color w:val="auto"/>
        </w:rPr>
        <w:t>To eliminate interest income, and the related interest tax expense from interest income, earned on the Trust Account which will be released upon closing of the Business Combination.</w:t>
      </w:r>
    </w:p>
    <w:p>
      <w:pPr>
        <w:spacing w:after="0" w:line="56" w:lineRule="exact"/>
        <w:rPr>
          <w:rFonts w:ascii="Arial" w:cs="Arial" w:eastAsia="Arial" w:hAnsi="Arial"/>
          <w:sz w:val="16"/>
          <w:szCs w:val="16"/>
          <w:i w:val="1"/>
          <w:iCs w:val="1"/>
          <w:color w:val="auto"/>
        </w:rPr>
      </w:pPr>
    </w:p>
    <w:p>
      <w:pPr>
        <w:ind w:left="1320" w:right="519" w:hanging="434"/>
        <w:spacing w:after="0" w:line="311" w:lineRule="auto"/>
        <w:tabs>
          <w:tab w:leader="none" w:pos="1298" w:val="left"/>
        </w:tabs>
        <w:numPr>
          <w:ilvl w:val="0"/>
          <w:numId w:val="172"/>
        </w:numPr>
        <w:rPr>
          <w:rFonts w:ascii="Arial" w:cs="Arial" w:eastAsia="Arial" w:hAnsi="Arial"/>
          <w:sz w:val="16"/>
          <w:szCs w:val="16"/>
          <w:i w:val="1"/>
          <w:iCs w:val="1"/>
          <w:color w:val="auto"/>
        </w:rPr>
      </w:pPr>
      <w:r>
        <w:rPr>
          <w:rFonts w:ascii="Arial" w:cs="Arial" w:eastAsia="Arial" w:hAnsi="Arial"/>
          <w:sz w:val="16"/>
          <w:szCs w:val="16"/>
          <w:color w:val="auto"/>
        </w:rPr>
        <w:t>Presentation of the pro forma basic and diluted net loss per share amounts. The unaudited pro forma condensed combined financial information has been prepared assuming the no redemption and maximum redemption scenarios. See Note 5 – Net Loss Per Share for additional details.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1" w:name="page122"/>
    <w:bookmarkEnd w:id="12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Net Loss Per Share</w:t>
      </w:r>
    </w:p>
    <w:p>
      <w:pPr>
        <w:spacing w:after="0" w:line="148"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Net loss per share calculated using the historical weighted average shares outstanding, and the issuance of additional shares in connection with the Business Combination and PIPE Investment, assuming the shares were outstanding since January 1, 2020. As the Business Combination is being reflected as if it had occurred at the beginning of the period presented, the calculation of weighted average shares outstanding for basic and diluted net loss per share assumes that the shares issuable relating to the Business Combination and PIPE Investment have been outstanding for the entire period presented. If the maximum number of shares are redeemed, this calculation is retroactively adjusted to eliminate such shares for the entire period.</w:t>
      </w:r>
    </w:p>
    <w:p>
      <w:pPr>
        <w:spacing w:after="0" w:line="99"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assuming two alternative levels of redemption for the year ended December 31, 2020: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2020</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Scenario 2</w:t>
            </w: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Scenario 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(Assuming</w:t>
            </w:r>
          </w:p>
        </w:tc>
      </w:tr>
      <w:tr>
        <w:trPr>
          <w:trHeight w:val="203"/>
        </w:trPr>
        <w:tc>
          <w:tcPr>
            <w:tcW w:w="5600" w:type="dxa"/>
            <w:vAlign w:val="bottom"/>
          </w:tcPr>
          <w:p>
            <w:pPr>
              <w:spacing w:after="0"/>
              <w:rPr>
                <w:sz w:val="17"/>
                <w:szCs w:val="17"/>
                <w:color w:val="auto"/>
              </w:rPr>
            </w:pPr>
          </w:p>
        </w:tc>
        <w:tc>
          <w:tcPr>
            <w:tcW w:w="116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0"/>
              </w:rPr>
              <w:t>(Assuming No</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Redemption</w:t>
            </w:r>
          </w:p>
        </w:tc>
        <w:tc>
          <w:tcPr>
            <w:tcW w:w="80" w:type="dxa"/>
            <w:vAlign w:val="bottom"/>
          </w:tcPr>
          <w:p>
            <w:pPr>
              <w:spacing w:after="0"/>
              <w:rPr>
                <w:sz w:val="17"/>
                <w:szCs w:val="17"/>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1"/>
              </w:rPr>
              <w:t>Redemption into</w:t>
            </w:r>
          </w:p>
        </w:tc>
      </w:tr>
      <w:tr>
        <w:trPr>
          <w:trHeight w:val="210"/>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into Cash)</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Cash)</w:t>
            </w:r>
          </w:p>
        </w:tc>
      </w:tr>
      <w:tr>
        <w:trPr>
          <w:trHeight w:val="46"/>
        </w:trPr>
        <w:tc>
          <w:tcPr>
            <w:tcW w:w="5600" w:type="dxa"/>
            <w:vAlign w:val="bottom"/>
          </w:tcPr>
          <w:p>
            <w:pPr>
              <w:spacing w:after="0"/>
              <w:rPr>
                <w:sz w:val="4"/>
                <w:szCs w:val="4"/>
                <w:color w:val="auto"/>
              </w:rPr>
            </w:pPr>
          </w:p>
        </w:tc>
        <w:tc>
          <w:tcPr>
            <w:tcW w:w="2500" w:type="dxa"/>
            <w:vAlign w:val="bottom"/>
            <w:tcBorders>
              <w:bottom w:val="single" w:sz="8" w:color="auto"/>
            </w:tcBorders>
            <w:gridSpan w:val="7"/>
          </w:tcPr>
          <w:p>
            <w:pPr>
              <w:spacing w:after="0"/>
              <w:rPr>
                <w:sz w:val="4"/>
                <w:szCs w:val="4"/>
                <w:color w:val="auto"/>
              </w:rPr>
            </w:pPr>
          </w:p>
        </w:tc>
      </w:tr>
      <w:tr>
        <w:trPr>
          <w:trHeight w:val="182"/>
        </w:trPr>
        <w:tc>
          <w:tcPr>
            <w:tcW w:w="5600" w:type="dxa"/>
            <w:vAlign w:val="bottom"/>
          </w:tcPr>
          <w:p>
            <w:pPr>
              <w:spacing w:after="0"/>
              <w:rPr>
                <w:sz w:val="15"/>
                <w:szCs w:val="15"/>
                <w:color w:val="auto"/>
              </w:rPr>
            </w:pPr>
          </w:p>
        </w:tc>
        <w:tc>
          <w:tcPr>
            <w:tcW w:w="2500" w:type="dxa"/>
            <w:vAlign w:val="bottom"/>
            <w:gridSpan w:val="7"/>
          </w:tcPr>
          <w:p>
            <w:pPr>
              <w:ind w:left="20"/>
              <w:spacing w:after="0" w:line="182" w:lineRule="exact"/>
              <w:rPr>
                <w:sz w:val="20"/>
                <w:szCs w:val="20"/>
                <w:color w:val="auto"/>
              </w:rPr>
            </w:pPr>
            <w:r>
              <w:rPr>
                <w:rFonts w:ascii="Arial" w:cs="Arial" w:eastAsia="Arial" w:hAnsi="Arial"/>
                <w:sz w:val="16"/>
                <w:szCs w:val="16"/>
                <w:b w:val="1"/>
                <w:bCs w:val="1"/>
                <w:color w:val="auto"/>
                <w:w w:val="89"/>
              </w:rPr>
              <w:t>(in thousands, except share and per</w:t>
            </w:r>
          </w:p>
        </w:tc>
      </w:tr>
      <w:tr>
        <w:trPr>
          <w:trHeight w:val="210"/>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6"/>
          </w:tcPr>
          <w:p>
            <w:pPr>
              <w:jc w:val="right"/>
              <w:ind w:right="860"/>
              <w:spacing w:after="0"/>
              <w:rPr>
                <w:sz w:val="20"/>
                <w:szCs w:val="20"/>
                <w:color w:val="auto"/>
              </w:rPr>
            </w:pPr>
            <w:r>
              <w:rPr>
                <w:rFonts w:ascii="Arial" w:cs="Arial" w:eastAsia="Arial" w:hAnsi="Arial"/>
                <w:sz w:val="16"/>
                <w:szCs w:val="16"/>
                <w:b w:val="1"/>
                <w:bCs w:val="1"/>
                <w:color w:val="auto"/>
              </w:rPr>
              <w:t>share data)</w:t>
            </w:r>
          </w:p>
        </w:tc>
      </w:tr>
      <w:tr>
        <w:trPr>
          <w:trHeight w:val="47"/>
        </w:trPr>
        <w:tc>
          <w:tcPr>
            <w:tcW w:w="5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(52,153)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(52,153)</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88,581,503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84,929,429</w:t>
            </w: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w w:val="96"/>
              </w:rPr>
              <w:t>Pro Forma weighted average shares calculation – basic and diluted</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BCTG public stockholders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16,675,000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13,022,927</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BCTG Sponsor and Directors and advisors</w:t>
            </w:r>
          </w:p>
        </w:tc>
        <w:tc>
          <w:tcPr>
            <w:tcW w:w="12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4,702,250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4,702,250</w:t>
            </w: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21,377,250</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17,725,177</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83"/>
        </w:trPr>
        <w:tc>
          <w:tcPr>
            <w:tcW w:w="5600" w:type="dxa"/>
            <w:vAlign w:val="bottom"/>
          </w:tcPr>
          <w:p>
            <w:pPr>
              <w:spacing w:after="0"/>
              <w:rPr>
                <w:sz w:val="20"/>
                <w:szCs w:val="20"/>
                <w:color w:val="auto"/>
              </w:rPr>
            </w:pPr>
            <w:r>
              <w:rPr>
                <w:rFonts w:ascii="Arial" w:cs="Arial" w:eastAsia="Arial" w:hAnsi="Arial"/>
                <w:sz w:val="18"/>
                <w:szCs w:val="18"/>
                <w:color w:val="auto"/>
              </w:rPr>
              <w:t>Tango</w:t>
            </w:r>
            <w:r>
              <w:rPr>
                <w:rFonts w:ascii="Arial" w:cs="Arial" w:eastAsia="Arial" w:hAnsi="Arial"/>
                <w:sz w:val="20"/>
                <w:szCs w:val="20"/>
                <w:color w:val="auto"/>
                <w:vertAlign w:val="superscript"/>
              </w:rPr>
              <w:t>(1)</w:t>
            </w:r>
          </w:p>
        </w:tc>
        <w:tc>
          <w:tcPr>
            <w:tcW w:w="1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48,594,253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48,594,253</w:t>
            </w: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PIPE Shares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18,610,000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18,610,000</w:t>
            </w:r>
          </w:p>
        </w:tc>
      </w:tr>
      <w:tr>
        <w:trPr>
          <w:trHeight w:val="291"/>
        </w:trPr>
        <w:tc>
          <w:tcPr>
            <w:tcW w:w="5600" w:type="dxa"/>
            <w:vAlign w:val="bottom"/>
          </w:tcPr>
          <w:p>
            <w:pPr>
              <w:spacing w:after="0"/>
              <w:rPr>
                <w:sz w:val="20"/>
                <w:szCs w:val="20"/>
                <w:color w:val="auto"/>
              </w:rPr>
            </w:pPr>
            <w:r>
              <w:rPr>
                <w:rFonts w:ascii="Arial" w:cs="Arial" w:eastAsia="Arial" w:hAnsi="Arial"/>
                <w:sz w:val="18"/>
                <w:szCs w:val="18"/>
                <w:color w:val="auto"/>
                <w:w w:val="99"/>
              </w:rPr>
              <w:t>Pro Forma weighted average shares outstanding – basic and diluted</w:t>
            </w:r>
            <w:r>
              <w:rPr>
                <w:rFonts w:ascii="Arial" w:cs="Arial" w:eastAsia="Arial" w:hAnsi="Arial"/>
                <w:sz w:val="20"/>
                <w:szCs w:val="20"/>
                <w:color w:val="auto"/>
                <w:w w:val="99"/>
                <w:vertAlign w:val="superscript"/>
              </w:rPr>
              <w:t>(2)</w:t>
            </w:r>
          </w:p>
        </w:tc>
        <w:tc>
          <w:tcPr>
            <w:tcW w:w="1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88,581,503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84,929,430</w:t>
            </w:r>
          </w:p>
        </w:tc>
      </w:tr>
    </w:tbl>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519" w:hanging="426"/>
        <w:spacing w:after="0" w:line="282" w:lineRule="auto"/>
        <w:tabs>
          <w:tab w:leader="none" w:pos="88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Excludes 6,405,747 Tango consideration shares that will be issued upon the occurrence of future events (i.e., exercise of stock options). Includes 256,793 unvested Tango consideration restricted stock awards that are expected to vest prior to the effective date of the Business Combination. Total consideration to be issued to Tango is $550.0 million or 55,000,000 shares ($10 per share price). The total shares to be issued includes all issued and outstanding Tango common and preferred stock plus shares underlying unvested stock options. Accordingly, the weighted average pro forma shares outstanding at Closing has been adjusted to exclude the portion of consideration shares that will be unvested and/or unexercised at the closing of the Business Combination.</w:t>
      </w:r>
    </w:p>
    <w:p>
      <w:pPr>
        <w:spacing w:after="0" w:line="2" w:lineRule="exact"/>
        <w:rPr>
          <w:rFonts w:ascii="Arial" w:cs="Arial" w:eastAsia="Arial" w:hAnsi="Arial"/>
          <w:sz w:val="15"/>
          <w:szCs w:val="15"/>
          <w:color w:val="auto"/>
        </w:rPr>
      </w:pPr>
    </w:p>
    <w:p>
      <w:pPr>
        <w:ind w:left="880" w:right="599" w:hanging="426"/>
        <w:spacing w:after="0" w:line="295" w:lineRule="auto"/>
        <w:tabs>
          <w:tab w:leader="none" w:pos="88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For the purposes of applying the if converted method for calculating diluted earnings per share, it was assumed that all Tango stock options are exchanged for common stock. However, since this results in anti-dilution, the effect of such exchange was not included in calculation of diluted loss per share. Shares underlying these instruments include 6,405,747 Tango consideration shares for unvested and/or unexercised stock options.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2" w:name="page123"/>
    <w:bookmarkEnd w:id="12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 — THE BUSINESS COMBINATION PROPOSAL</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44"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 xml:space="preserve">Holders of BCTG Common Stock are being asked to approve and adopt the Merger Agreement and the transactions contemplated thereby, including the Business Combination. BCTG stockholders should read carefully this proxy statement/prospectus in its entirety for more detailed information concerning the Merger Agreement, which is attached as </w:t>
      </w:r>
      <w:r>
        <w:rPr>
          <w:rFonts w:ascii="Arial" w:cs="Arial" w:eastAsia="Arial" w:hAnsi="Arial"/>
          <w:sz w:val="16"/>
          <w:szCs w:val="16"/>
          <w:i w:val="1"/>
          <w:iCs w:val="1"/>
          <w:color w:val="auto"/>
        </w:rPr>
        <w:t>Annex A</w:t>
      </w:r>
      <w:r>
        <w:rPr>
          <w:rFonts w:ascii="Arial" w:cs="Arial" w:eastAsia="Arial" w:hAnsi="Arial"/>
          <w:sz w:val="16"/>
          <w:szCs w:val="16"/>
          <w:color w:val="auto"/>
        </w:rPr>
        <w:t xml:space="preserve"> to this proxy statement/prospectus. Please see the section titled “— </w:t>
      </w:r>
      <w:r>
        <w:rPr>
          <w:rFonts w:ascii="Arial" w:cs="Arial" w:eastAsia="Arial" w:hAnsi="Arial"/>
          <w:sz w:val="16"/>
          <w:szCs w:val="16"/>
          <w:i w:val="1"/>
          <w:iCs w:val="1"/>
          <w:color w:val="auto"/>
        </w:rPr>
        <w:t>The Merger Agreement”</w:t>
      </w:r>
      <w:r>
        <w:rPr>
          <w:rFonts w:ascii="Arial" w:cs="Arial" w:eastAsia="Arial" w:hAnsi="Arial"/>
          <w:sz w:val="16"/>
          <w:szCs w:val="16"/>
          <w:color w:val="auto"/>
        </w:rPr>
        <w:t xml:space="preserve"> below, for additional information and a summary of certain terms of the Merger Agreement. You are urged to read carefully the Merger Agreement in its entirety before voting on this proposal.</w:t>
      </w:r>
    </w:p>
    <w:p>
      <w:pPr>
        <w:spacing w:after="0" w:line="97" w:lineRule="exact"/>
        <w:rPr>
          <w:sz w:val="20"/>
          <w:szCs w:val="20"/>
          <w:color w:val="auto"/>
        </w:rPr>
      </w:pPr>
    </w:p>
    <w:p>
      <w:pPr>
        <w:ind w:left="460" w:right="579" w:firstLine="432"/>
        <w:spacing w:after="0" w:line="311" w:lineRule="auto"/>
        <w:rPr>
          <w:sz w:val="20"/>
          <w:szCs w:val="20"/>
          <w:color w:val="auto"/>
        </w:rPr>
      </w:pPr>
      <w:r>
        <w:rPr>
          <w:rFonts w:ascii="Arial" w:cs="Arial" w:eastAsia="Arial" w:hAnsi="Arial"/>
          <w:sz w:val="16"/>
          <w:szCs w:val="16"/>
          <w:color w:val="auto"/>
        </w:rPr>
        <w:t>Because BCTG is holding a stockholder vote on the Business Combination, BCTG may consummate the Business Combination only if it is approved by the affirmative vote of the holders of a majority of the issued and outstanding shares of BCTG Common Stock as of the Record Date for the Special Meeting.</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Background of the Business Combination</w:t>
      </w:r>
    </w:p>
    <w:p>
      <w:pPr>
        <w:spacing w:after="0" w:line="162" w:lineRule="exact"/>
        <w:rPr>
          <w:sz w:val="20"/>
          <w:szCs w:val="20"/>
          <w:color w:val="auto"/>
        </w:rPr>
      </w:pPr>
    </w:p>
    <w:p>
      <w:pPr>
        <w:ind w:left="460" w:right="599" w:firstLine="432"/>
        <w:spacing w:after="0" w:line="275" w:lineRule="auto"/>
        <w:rPr>
          <w:sz w:val="20"/>
          <w:szCs w:val="20"/>
          <w:color w:val="auto"/>
        </w:rPr>
      </w:pPr>
      <w:r>
        <w:rPr>
          <w:rFonts w:ascii="Arial" w:cs="Arial" w:eastAsia="Arial" w:hAnsi="Arial"/>
          <w:sz w:val="17"/>
          <w:szCs w:val="17"/>
          <w:color w:val="auto"/>
        </w:rPr>
        <w:t>BCTG was incorporated as a blank check company in May 2020 as a Delaware corporation formed for the purpose of effecting a merger, capital stock exchange, asset acquisition, stock purchase, reorganization or similar business combination with one or more businesses. Although BCTG could have pursued an acquisition opportunity in any business, industry, sector or geographical location, BCTG intended to focus on innovative companies in the biotechnology sector in North America and Europe.</w:t>
      </w:r>
    </w:p>
    <w:p>
      <w:pPr>
        <w:spacing w:after="0" w:line="95" w:lineRule="exact"/>
        <w:rPr>
          <w:sz w:val="20"/>
          <w:szCs w:val="20"/>
          <w:color w:val="auto"/>
        </w:rPr>
      </w:pPr>
    </w:p>
    <w:p>
      <w:pPr>
        <w:ind w:left="460" w:right="559" w:firstLine="432"/>
        <w:spacing w:after="0" w:line="289" w:lineRule="auto"/>
        <w:rPr>
          <w:sz w:val="20"/>
          <w:szCs w:val="20"/>
          <w:color w:val="auto"/>
        </w:rPr>
      </w:pPr>
      <w:r>
        <w:rPr>
          <w:rFonts w:ascii="Arial" w:cs="Arial" w:eastAsia="Arial" w:hAnsi="Arial"/>
          <w:sz w:val="16"/>
          <w:szCs w:val="16"/>
          <w:color w:val="auto"/>
        </w:rPr>
        <w:t>On September 8, 2020, BCTG consummated the BCTG IPO of 16,675,000 shares of Common Stock, generating gross proceeds to the Company of $166,750,000. SVB Leerink acted as sole book-running manager of the BCTG IPO. Simultaneously with the closing of the BCTG IPO, the Company consummated the Private Place with the Sponsor of 533,500 shares of Common Stock (the “</w:t>
      </w:r>
      <w:r>
        <w:rPr>
          <w:rFonts w:ascii="Arial" w:cs="Arial" w:eastAsia="Arial" w:hAnsi="Arial"/>
          <w:sz w:val="16"/>
          <w:szCs w:val="16"/>
          <w:b w:val="1"/>
          <w:bCs w:val="1"/>
          <w:color w:val="auto"/>
        </w:rPr>
        <w:t>Private Shares</w:t>
      </w:r>
      <w:r>
        <w:rPr>
          <w:rFonts w:ascii="Arial" w:cs="Arial" w:eastAsia="Arial" w:hAnsi="Arial"/>
          <w:sz w:val="16"/>
          <w:szCs w:val="16"/>
          <w:color w:val="auto"/>
        </w:rPr>
        <w:t>”) at a price of $10.00 per share, generating total proceeds of $5,335,000. The Private Shares are identical to the shares of Common Stock sold in the BCTG IPO. The Sponsor, as well as the officers, directors and advisors of BCTG have agreed to waive their redemption rights with respect to any shares of BCTG’s capital stock they may hold in connection with the consummation of the Business Combination, and such shares will be excluded from the pro rata calculation used to determine the per-share redemption price.</w:t>
      </w:r>
    </w:p>
    <w:p>
      <w:pPr>
        <w:spacing w:after="0" w:line="99"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After deducting the underwriting discounts, offering expenses, and commissions from the BCTG IPO and the sale of the Private Shares, a total of $166,750,000.00 was deposited into the Trust Account, and the remaining approximately $1,250,000 of the gross proceeds were outside of the Trust Account and made available to be used for business, legal and accounting due diligence on prospective business combinations and continuing general and administrative expenses.</w:t>
      </w:r>
    </w:p>
    <w:p>
      <w:pPr>
        <w:spacing w:after="0" w:line="120"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color w:val="auto"/>
        </w:rPr>
        <w:t>In accordance with the Current Charter, the amounts held in the Trust Account may only be used by BCTG upon the consummation of a business combination, except that there can be released to BCTG, from time to time, any interest earned on the funds in the Trust Account that it may need to pay its tax obligations. The remaining interest earned on the funds in the Trust Account will not be released until the earlier of the completion of a business combination and BCTG’s liquidation. BCTG must liquidate unless a business combination is consummated by the date that is 24 months from the closing of the BCTG IPO, or September 8, 2022.</w:t>
      </w:r>
    </w:p>
    <w:p>
      <w:pPr>
        <w:spacing w:after="0" w:line="114"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After the closing of the BCTG IPO on September 8, 2020, the officers and directors of BCTG began to screen for, evaluate and contact potential candidates for a business combination. In addition, BCTG was contacted by a number of individuals and entities with respect to business combination opportunities. In order to narrow down an initial list of hundreds of oncology companies into a more manageable list of the most promising opportunities, BCTG’s management team collaborated with its board and network of advisors in the area of targeted oncology through meetings and correspondence beginning shortly after the closing of the BCTG IPO. No discussions regarding a potential business combination with any candidate were held prior to the BCTG IPO.</w:t>
      </w:r>
    </w:p>
    <w:p>
      <w:pPr>
        <w:spacing w:after="0" w:line="124" w:lineRule="exact"/>
        <w:rPr>
          <w:sz w:val="20"/>
          <w:szCs w:val="20"/>
          <w:color w:val="auto"/>
        </w:rPr>
      </w:pPr>
    </w:p>
    <w:p>
      <w:pPr>
        <w:ind w:left="460" w:right="799" w:firstLine="432"/>
        <w:spacing w:after="0" w:line="311" w:lineRule="auto"/>
        <w:rPr>
          <w:sz w:val="20"/>
          <w:szCs w:val="20"/>
          <w:color w:val="auto"/>
        </w:rPr>
      </w:pPr>
      <w:r>
        <w:rPr>
          <w:rFonts w:ascii="Arial" w:cs="Arial" w:eastAsia="Arial" w:hAnsi="Arial"/>
          <w:sz w:val="16"/>
          <w:szCs w:val="16"/>
          <w:color w:val="auto"/>
        </w:rPr>
        <w:t>Between September 2020 and March 2021, BCTG reviewed approximately 63 potential business combination candidates from this larger list, engaged with approximately 54 of those potential targets under confidentiality agreements, and engaged in detailed due diligence with approximately 35 potential targets.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3" w:name="page124"/>
    <w:bookmarkEnd w:id="12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Besides Tango, BCTG submitted a preliminary proposal to one other potential business combination target (“</w:t>
      </w:r>
      <w:r>
        <w:rPr>
          <w:rFonts w:ascii="Arial" w:cs="Arial" w:eastAsia="Arial" w:hAnsi="Arial"/>
          <w:sz w:val="16"/>
          <w:szCs w:val="16"/>
          <w:b w:val="1"/>
          <w:bCs w:val="1"/>
          <w:color w:val="auto"/>
        </w:rPr>
        <w:t>Candidate A</w:t>
      </w:r>
      <w:r>
        <w:rPr>
          <w:rFonts w:ascii="Arial" w:cs="Arial" w:eastAsia="Arial" w:hAnsi="Arial"/>
          <w:sz w:val="16"/>
          <w:szCs w:val="16"/>
          <w:color w:val="auto"/>
        </w:rPr>
        <w:t>”). Candidate A is a development-stage biotechnology company with a robust drug discovery platform and a pipeline of product candidates targeting oncology and immunology indications. BCTG’s management team was aware of Candidate A prior to the BCTG IPO, but Candidate A emerged as a priority target subsequent to BCTG’s IPO on the recommendation of certain of BCTG’s board members and advisors. Between October 13, 2020 and December 23, 2020, BCTG conducted due diligence on Candidate A, including multiple discussions with the BCTG board and advisors, as well multiple discussions with the Candidate A management team. During this period of time, BCTG also continued to perform diligence on other potential business combination targets, including Tango. On December 14, 2020, BCTG submitted a draft letter of intent to Candidate A for consideration, which contained the material terms for a potential business combination. After consideration of its options, Candidate A opted to proceed with a traditional private financing round rather than engaging further with BCTG as a potential business combination target. Discussions with Candidate A regarding a business combination with BCTG were terminated on December 31, 2020.</w:t>
      </w:r>
    </w:p>
    <w:p>
      <w:pPr>
        <w:spacing w:after="0" w:line="106"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Tango was already known to the principals of BCTG as a leading precision medicine company focused on the discovery and development of oncology therapeutic candidates, with a focus on synthetic lethality as a mechanism of action. Boxer Capital led the Series B financing round for Tango in April 2020 and participated in the Series B-1 financing round in August 2020. As a result of these investments, Boxer Capital has a seat on the Tango board of directors (occupied by Aaron Davis) and owns approximately 15% of Tango’s outstanding securities prior to the Business Combination. BCTG’s officers and directors did not discuss a potential transaction between BCTG and Tango until after the closing of BCTG’s IPO.</w:t>
      </w:r>
    </w:p>
    <w:p>
      <w:pPr>
        <w:spacing w:after="0" w:line="110"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Tango was mentioned by certain of BCTG’s independent board members and advisors as a potential target on multiple occasions in meetings and correspondence in the period after the BCTG IPO when the initial list of potential business targets was being narrowed down. On December 8, 2020, Aaron Davis, Chairman and Chief Executive Officer of BCTG, called Barbara Weber, Chief Executive Officer of Tango, to discuss the possibility of a transaction between BCTG and Tango. Mr. Davis and Dr. Weber held a follow-up call on December 14, 2020 to further discuss the process and timelines, particularly as they compare to a traditional initial public offering.</w:t>
      </w:r>
    </w:p>
    <w:p>
      <w:pPr>
        <w:spacing w:after="0" w:line="114"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On December 22, 2020, Tango was presented to the BCTG board of directors as one of a few prospective business targets under active consideration.</w:t>
      </w:r>
    </w:p>
    <w:p>
      <w:pPr>
        <w:spacing w:after="0" w:line="103" w:lineRule="exact"/>
        <w:rPr>
          <w:sz w:val="20"/>
          <w:szCs w:val="20"/>
          <w:color w:val="auto"/>
        </w:rPr>
      </w:pPr>
    </w:p>
    <w:p>
      <w:pPr>
        <w:ind w:left="460" w:right="639" w:firstLine="432"/>
        <w:spacing w:after="0" w:line="275" w:lineRule="auto"/>
        <w:rPr>
          <w:sz w:val="20"/>
          <w:szCs w:val="20"/>
          <w:color w:val="auto"/>
        </w:rPr>
      </w:pPr>
      <w:r>
        <w:rPr>
          <w:rFonts w:ascii="Arial" w:cs="Arial" w:eastAsia="Arial" w:hAnsi="Arial"/>
          <w:sz w:val="17"/>
          <w:szCs w:val="17"/>
          <w:color w:val="auto"/>
        </w:rPr>
        <w:t>On January 22, 2021, in a letter to the Tango board of directors, Dr. Weber informed the board that discussions on a potential business combination with a SPAC were ongoing and would be discussed in more detail at the upcoming meeting of the board of directors on January 28, 2021. Around this time, Dr. Weber suggested that BCTG submit a draft non-binding letter of intent for the Tango board of directors to consider at the January 28 meeting, which was delivered on January 27, 2021.</w:t>
      </w:r>
    </w:p>
    <w:p>
      <w:pPr>
        <w:spacing w:after="0" w:line="109"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On February 1, 2021, BCTG held a detailed diligence call with Tango regarding its PRMT5 inhibitor program, and on February 3, 2021 BCTG entered into a confidentiality agreement with Tango in order to facilitate further diligence. Between February 3, 2021 and April 9, 2021, BCTG engaged in significant due diligence in areas that included medicinal chemistry, pharmacokinetics and pharmacodynamics, toxicology, and clinical and regulatory development.</w:t>
      </w:r>
    </w:p>
    <w:p>
      <w:pPr>
        <w:spacing w:after="0" w:line="107" w:lineRule="exact"/>
        <w:rPr>
          <w:sz w:val="20"/>
          <w:szCs w:val="20"/>
          <w:color w:val="auto"/>
        </w:rPr>
      </w:pPr>
    </w:p>
    <w:p>
      <w:pPr>
        <w:ind w:left="460" w:right="659" w:firstLine="432"/>
        <w:spacing w:after="0" w:line="301" w:lineRule="auto"/>
        <w:rPr>
          <w:sz w:val="20"/>
          <w:szCs w:val="20"/>
          <w:color w:val="auto"/>
        </w:rPr>
      </w:pPr>
      <w:r>
        <w:rPr>
          <w:rFonts w:ascii="Arial" w:cs="Arial" w:eastAsia="Arial" w:hAnsi="Arial"/>
          <w:sz w:val="16"/>
          <w:szCs w:val="16"/>
          <w:color w:val="auto"/>
        </w:rPr>
        <w:t>On February 5, 2021, in recognition of the prior investment of Boxer Capital in Tango and the resulting economic interest and board representation of affiliates of Boxer Capital in both BCTG and Tango, the BCTG board of directors, on advice of counsel, established an independent subcommittee (the “</w:t>
      </w:r>
      <w:r>
        <w:rPr>
          <w:rFonts w:ascii="Arial" w:cs="Arial" w:eastAsia="Arial" w:hAnsi="Arial"/>
          <w:sz w:val="16"/>
          <w:szCs w:val="16"/>
          <w:b w:val="1"/>
          <w:bCs w:val="1"/>
          <w:color w:val="auto"/>
        </w:rPr>
        <w:t>Subcommittee</w:t>
      </w:r>
      <w:r>
        <w:rPr>
          <w:rFonts w:ascii="Arial" w:cs="Arial" w:eastAsia="Arial" w:hAnsi="Arial"/>
          <w:sz w:val="16"/>
          <w:szCs w:val="16"/>
          <w:color w:val="auto"/>
        </w:rPr>
        <w:t>”) in order to provide independent oversight to the proposed business combination process.</w:t>
      </w:r>
    </w:p>
    <w:p>
      <w:pPr>
        <w:spacing w:after="0" w:line="90"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On February 8, 2021, BCTG received a counteroffer from Tango to the original letter of intent that BCTG delivered on January 27, 2021. Between February 8, 2021 and February 17, 2021, Mr. Davis and Dr. Weber engaged in additional discussions regarding the terms of the letter of intent, including terms related to valuation, exclusivity and board composition, and exchanged multiple drafts of the letter intent in order to finalize those terms.</w:t>
      </w:r>
    </w:p>
    <w:p>
      <w:pPr>
        <w:spacing w:after="0" w:line="120"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On February 18, 2021, BCTG management held a meeting with the Subcommittee to discuss Tango’s scientific rationale, pipeline, drug discovery platform, management team, and Tango’s financing and partnership history, as well as the proposed letter of intent and the proposed business combination with Tango. The Subcommittee expressed support for the transaction and scheduled a follow-up meeting to discuss Tango and the proposed transaction in more detail. Discussions and diligence continued in parallel.</w:t>
      </w:r>
    </w:p>
    <w:p>
      <w:pPr>
        <w:sectPr>
          <w:pgSz w:w="11900" w:h="16838" w:orient="portrait"/>
          <w:cols w:equalWidth="0" w:num="1">
            <w:col w:w="9019"/>
          </w:cols>
          <w:pgMar w:left="1440" w:top="274"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4" w:name="page125"/>
    <w:bookmarkEnd w:id="12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99" w:firstLine="432"/>
        <w:spacing w:after="0" w:line="259" w:lineRule="auto"/>
        <w:rPr>
          <w:sz w:val="20"/>
          <w:szCs w:val="20"/>
          <w:color w:val="auto"/>
        </w:rPr>
      </w:pPr>
      <w:r>
        <w:rPr>
          <w:rFonts w:ascii="Arial" w:cs="Arial" w:eastAsia="Arial" w:hAnsi="Arial"/>
          <w:sz w:val="18"/>
          <w:szCs w:val="18"/>
          <w:color w:val="auto"/>
        </w:rPr>
        <w:t>On February 22, 2021, the Subcommittee met with BCTG management and two of BCTG’s advisors to discuss Tango’s pipeline, data, clinical development plan, cash needs, management team and the proposed transaction. The Subcommittee subsequently unanimously approved the execution of the proposed letter of intent.</w:t>
      </w:r>
    </w:p>
    <w:p>
      <w:pPr>
        <w:spacing w:after="0" w:line="119"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On February 24, 2021, BCTG signed the final letter of intent, and, on February 25, 2021, upon receiving the approval of its board of directors, Tango delivered a fully executed letter of intent.</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Between February 25, 2021 and April 9, 2021, BCTG continued its review of due diligence materials, and BCTG, Tango, and their respective legal counsel and financial advisors held periodic conference calls to review status and timing of tasks.</w:t>
      </w:r>
    </w:p>
    <w:p>
      <w:pPr>
        <w:spacing w:after="0" w:line="103"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On March 17, 2021, the Subcommittee approved the engagement of Canaccord Genuity to provide an independent third-party fairness opinion of the Tango valuation and transaction between BCTG and Tango, and on March 18, 2021 BCTG executed the engagement letter with Canaccord Genuity.</w:t>
      </w:r>
    </w:p>
    <w:p>
      <w:pPr>
        <w:spacing w:after="0" w:line="98" w:lineRule="exact"/>
        <w:rPr>
          <w:sz w:val="20"/>
          <w:szCs w:val="20"/>
          <w:color w:val="auto"/>
        </w:rPr>
      </w:pPr>
    </w:p>
    <w:p>
      <w:pPr>
        <w:ind w:left="460" w:right="679" w:firstLine="432"/>
        <w:spacing w:after="0" w:line="279" w:lineRule="auto"/>
        <w:rPr>
          <w:sz w:val="20"/>
          <w:szCs w:val="20"/>
          <w:color w:val="auto"/>
        </w:rPr>
      </w:pPr>
      <w:r>
        <w:rPr>
          <w:rFonts w:ascii="Arial" w:cs="Arial" w:eastAsia="Arial" w:hAnsi="Arial"/>
          <w:sz w:val="17"/>
          <w:szCs w:val="17"/>
          <w:color w:val="auto"/>
        </w:rPr>
        <w:t>Between March 19, 2021 and April 9, 2021, Mr. Davis and Dr. Weber, along with members of Tango’s management, met in various combinations and confidentially with fund managers, including certain stockholders of BCTG, to discuss Tango and the proposed business combination with BCTG to determine the potential level of market interest in a transaction between Tango and BCTG.</w:t>
      </w:r>
    </w:p>
    <w:p>
      <w:pPr>
        <w:spacing w:after="0" w:line="104" w:lineRule="exact"/>
        <w:rPr>
          <w:sz w:val="20"/>
          <w:szCs w:val="20"/>
          <w:color w:val="auto"/>
        </w:rPr>
      </w:pPr>
    </w:p>
    <w:p>
      <w:pPr>
        <w:ind w:left="460" w:right="699" w:firstLine="432"/>
        <w:spacing w:after="0" w:line="259" w:lineRule="auto"/>
        <w:rPr>
          <w:sz w:val="20"/>
          <w:szCs w:val="20"/>
          <w:color w:val="auto"/>
        </w:rPr>
      </w:pPr>
      <w:r>
        <w:rPr>
          <w:rFonts w:ascii="Arial" w:cs="Arial" w:eastAsia="Arial" w:hAnsi="Arial"/>
          <w:sz w:val="18"/>
          <w:szCs w:val="18"/>
          <w:color w:val="auto"/>
        </w:rPr>
        <w:t>On March 10, 2021, BCTG provided an initial draft of the merger agreement to Tango. Between March 10, 2021 and April 13, 2021, the various terms of the merger agreement were negotiated. During those negotiations, the parties finalized the minimum cash condition of $300 million for closing and representation and warranties, among other deal terms.</w:t>
      </w:r>
    </w:p>
    <w:p>
      <w:pPr>
        <w:spacing w:after="0" w:line="106"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On April 9, 2021 the Tango board of directors approved by unanimous written consent the entry into the merger agreement and other ancillary agreements to effect the Business Combination between BCTG and Tango.</w:t>
      </w:r>
    </w:p>
    <w:p>
      <w:pPr>
        <w:spacing w:after="0" w:line="116" w:lineRule="exact"/>
        <w:rPr>
          <w:sz w:val="20"/>
          <w:szCs w:val="20"/>
          <w:color w:val="auto"/>
        </w:rPr>
      </w:pPr>
    </w:p>
    <w:p>
      <w:pPr>
        <w:ind w:left="460" w:right="579" w:firstLine="432"/>
        <w:spacing w:after="0" w:line="290" w:lineRule="auto"/>
        <w:rPr>
          <w:sz w:val="20"/>
          <w:szCs w:val="20"/>
          <w:color w:val="auto"/>
        </w:rPr>
      </w:pPr>
      <w:r>
        <w:rPr>
          <w:rFonts w:ascii="Arial" w:cs="Arial" w:eastAsia="Arial" w:hAnsi="Arial"/>
          <w:sz w:val="16"/>
          <w:szCs w:val="16"/>
          <w:color w:val="auto"/>
        </w:rPr>
        <w:t>On April 13, 2021, BCTG held special meetings of the Subcommittee and the Board to review the transaction with Tango. Attending the meeting of the Subcommittee were BCTG management and Subcommittee members Carole L. Nuechterlein, Richard Heyman and James B. Avery, as well as representatives of Loeb &amp; Loeb LLP (counsel to BCTG) and Canaccord Genuity (providers of the independent fairness opinion). Tango management was present for a portion of the meeting of the Subcommittee in order to present Tango’s pipeline, management and plans and answer any remaining questions. At these meetings, the Subcommittee and the Board approved the transaction and authorized BCTG to enter into the definitive agreement and relevant ancillary agreements with Tango to effect the Business Combination.</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 April 13, 2021, the Merger Agreement was signed.</w:t>
      </w:r>
    </w:p>
    <w:p>
      <w:pPr>
        <w:spacing w:after="0" w:line="144" w:lineRule="exact"/>
        <w:rPr>
          <w:sz w:val="20"/>
          <w:szCs w:val="20"/>
          <w:color w:val="auto"/>
        </w:rPr>
      </w:pPr>
    </w:p>
    <w:p>
      <w:pPr>
        <w:ind w:left="460" w:right="899" w:firstLine="432"/>
        <w:spacing w:after="0" w:line="342" w:lineRule="auto"/>
        <w:rPr>
          <w:sz w:val="20"/>
          <w:szCs w:val="20"/>
          <w:color w:val="auto"/>
        </w:rPr>
      </w:pPr>
      <w:r>
        <w:rPr>
          <w:rFonts w:ascii="Arial" w:cs="Arial" w:eastAsia="Arial" w:hAnsi="Arial"/>
          <w:sz w:val="16"/>
          <w:szCs w:val="16"/>
          <w:color w:val="auto"/>
        </w:rPr>
        <w:t>On April 14, 2021, the transaction was announced to the public and BCTG filed a Current Report on Form 8-K including a press release, a copy of the Merger Agreement and a presentation for investors.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BCTG Board’s Reasons for the Approval of the Business Combination</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Board considered a number of factors pertaining to the Business Combination as generally supporting its decision to enter into the Merger Agreement and the Business Combination, including but not limited to, the following material factors:</w:t>
      </w:r>
    </w:p>
    <w:p>
      <w:pPr>
        <w:spacing w:after="0" w:line="112" w:lineRule="exact"/>
        <w:rPr>
          <w:sz w:val="20"/>
          <w:szCs w:val="20"/>
          <w:color w:val="auto"/>
        </w:rPr>
      </w:pPr>
    </w:p>
    <w:p>
      <w:pPr>
        <w:ind w:left="1320" w:right="519" w:hanging="434"/>
        <w:spacing w:after="0" w:line="287" w:lineRule="auto"/>
        <w:tabs>
          <w:tab w:leader="none" w:pos="1311"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color w:val="auto"/>
        </w:rPr>
        <w:t>Selective PRMT5 inhibition may address a large unmet need in oncology therapeutics</w:t>
      </w:r>
      <w:r>
        <w:rPr>
          <w:rFonts w:ascii="Arial" w:cs="Arial" w:eastAsia="Arial" w:hAnsi="Arial"/>
          <w:sz w:val="16"/>
          <w:szCs w:val="16"/>
          <w:color w:val="auto"/>
        </w:rPr>
        <w:t>. Tango</w:t>
      </w:r>
      <w:r>
        <w:rPr>
          <w:rFonts w:ascii="Arial" w:cs="Arial" w:eastAsia="Arial" w:hAnsi="Arial"/>
          <w:sz w:val="16"/>
          <w:szCs w:val="16"/>
          <w:b w:val="1"/>
          <w:bCs w:val="1"/>
          <w:color w:val="auto"/>
        </w:rPr>
        <w:t xml:space="preserve"> </w:t>
      </w:r>
      <w:r>
        <w:rPr>
          <w:rFonts w:ascii="Arial" w:cs="Arial" w:eastAsia="Arial" w:hAnsi="Arial"/>
          <w:sz w:val="16"/>
          <w:szCs w:val="16"/>
          <w:color w:val="auto"/>
        </w:rPr>
        <w:t>is a pre-clinical stage precision oncology company focused on the discovery and development of novel drugs with a synthetic lethal mechanism of action. The lead program is an MTAP-deletion selective MTA-cooperative PRMT5 inhibitor for cancers with MTAP deletions. MTAP deletions occur in approximately 10 to 15% of human tumors, making MTAP one of the most commonly deleted genes across all cancer types. TNG908 is distinct from existing PRMT5 inhibitors because of its mechanism of binding cooperatively with MTA, an intrinsic inhibitor of MTAP. Since MTAP is required for MTA degradation, MTA accumulates to high levels in MTAP-deleted cells. TNG908 is 15 times more potent in cells with MTAP deletions, which are not found in normal cells and therefore should have a larger therapeutic index in patients with MTAP-deleted tumors than non-selective PRMT5 inhibitors. TNG908 will be tested in any patients whose tumor has an MTAP deletion to determine the optimal dose and</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5" w:name="page126"/>
    <w:bookmarkEnd w:id="12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19"/>
        <w:spacing w:after="0" w:line="272" w:lineRule="auto"/>
        <w:rPr>
          <w:sz w:val="20"/>
          <w:szCs w:val="20"/>
          <w:color w:val="auto"/>
        </w:rPr>
      </w:pPr>
      <w:r>
        <w:rPr>
          <w:rFonts w:ascii="Arial" w:cs="Arial" w:eastAsia="Arial" w:hAnsi="Arial"/>
          <w:sz w:val="17"/>
          <w:szCs w:val="17"/>
          <w:color w:val="auto"/>
        </w:rPr>
        <w:t>schedule and then evaluated further in multiple dose expansion cohorts. These include the rare tumor MPNST (malignant peripheral nerve sheath tumor), non-small cell lung cancer (both squamous and non-squamous), transitional call bladder cancer and cholangiocarcinoma. Finally, a histology-agnostic “bucket” arm will be included to evaluate the multiple other histologies where MTAP deletions occur. As TNG908 is designed to selectively work in cancers with MTAP deletion, enrollment will be limited to patients with MTAP-deleted tumors using either next generation sequencing (NGS) or immunohistochemistry (IHC).</w:t>
      </w:r>
    </w:p>
    <w:p>
      <w:pPr>
        <w:spacing w:after="0" w:line="106" w:lineRule="exact"/>
        <w:rPr>
          <w:sz w:val="20"/>
          <w:szCs w:val="20"/>
          <w:color w:val="auto"/>
        </w:rPr>
      </w:pPr>
    </w:p>
    <w:p>
      <w:pPr>
        <w:ind w:left="1320" w:right="479" w:hanging="434"/>
        <w:spacing w:after="0" w:line="285" w:lineRule="auto"/>
        <w:tabs>
          <w:tab w:leader="none" w:pos="1311" w:val="left"/>
        </w:tabs>
        <w:numPr>
          <w:ilvl w:val="0"/>
          <w:numId w:val="175"/>
        </w:numPr>
        <w:rPr>
          <w:rFonts w:ascii="Arial" w:cs="Arial" w:eastAsia="Arial" w:hAnsi="Arial"/>
          <w:sz w:val="16"/>
          <w:szCs w:val="16"/>
          <w:color w:val="auto"/>
        </w:rPr>
      </w:pPr>
      <w:r>
        <w:rPr>
          <w:rFonts w:ascii="Arial" w:cs="Arial" w:eastAsia="Arial" w:hAnsi="Arial"/>
          <w:sz w:val="16"/>
          <w:szCs w:val="16"/>
          <w:b w:val="1"/>
          <w:bCs w:val="1"/>
          <w:color w:val="auto"/>
        </w:rPr>
        <w:t>Experienced management team with drug development expertise</w:t>
      </w:r>
      <w:r>
        <w:rPr>
          <w:rFonts w:ascii="Arial" w:cs="Arial" w:eastAsia="Arial" w:hAnsi="Arial"/>
          <w:sz w:val="16"/>
          <w:szCs w:val="16"/>
          <w:color w:val="auto"/>
        </w:rPr>
        <w:t>. Tango has assembled an</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experienced team of experts in genetics, drug discovery and precision oncology. Tango’s Chief Executive Officer and co-founder, Barbara Weber M.D., is a board-certified medical oncologist and was a Professor of Medicine and Genetics at the University of Pennsylvania, where she was involved in the identification and characterization of BRCA1 and BRCA2, led a clinical and translational research program in cancer genetics, and developed the foundational concepts on which Tango was founded. Moving to industry in 2005, she led early oncology clinical development at GlaxoSmithKline and then Novartis, where she oversaw the filing of more than 80 INDs. During her tenure at Novartis, she spearheaded the early development of ceritinib that led to registration of that drug from the Phase I trial. Dr. Weber joined Third Rock Ventures in 2015 as a Venture Partner, where she played a major role in the formation of Relay Therapeutics and Neon Therapeutics (later acquired by BioNTech). She created and led the formation of Tango Therapeutics and launched the Company in 2017. Alan Huang Ph.D., Tango’s Chief Scientific Officer, also played a leading role in the creation of Tango, specifically developing the ground-breaking concept of immune evasion driven by tumor suppressor gene loss. He brings fourteen years of oncology translational research, target discovery and drug development experience from his years at Millennium Pharmaceuticals (acquired by Takeda) and Novartis, where he led oncology translational research. Dr. Huang oversaw the laboratory-based efforts supporting the Novartis Oncology portfolio and played a leadership role in establishing the foundation of project DRIVE, a large-scale functional genomics screen platform, as well as the Cancer Cell Line Encyclopedia project, a large external genomic collaboration with The Broad Institute.</w:t>
      </w:r>
    </w:p>
    <w:p>
      <w:pPr>
        <w:spacing w:after="0" w:line="314" w:lineRule="exact"/>
        <w:rPr>
          <w:rFonts w:ascii="Arial" w:cs="Arial" w:eastAsia="Arial" w:hAnsi="Arial"/>
          <w:sz w:val="16"/>
          <w:szCs w:val="16"/>
          <w:color w:val="auto"/>
        </w:rPr>
      </w:pPr>
    </w:p>
    <w:p>
      <w:pPr>
        <w:ind w:left="1320" w:right="459" w:hanging="434"/>
        <w:spacing w:after="0" w:line="272" w:lineRule="auto"/>
        <w:tabs>
          <w:tab w:leader="none" w:pos="1311" w:val="left"/>
        </w:tabs>
        <w:numPr>
          <w:ilvl w:val="0"/>
          <w:numId w:val="175"/>
        </w:numPr>
        <w:rPr>
          <w:rFonts w:ascii="Arial" w:cs="Arial" w:eastAsia="Arial" w:hAnsi="Arial"/>
          <w:sz w:val="17"/>
          <w:szCs w:val="17"/>
          <w:color w:val="auto"/>
        </w:rPr>
      </w:pPr>
      <w:r>
        <w:rPr>
          <w:rFonts w:ascii="Arial" w:cs="Arial" w:eastAsia="Arial" w:hAnsi="Arial"/>
          <w:sz w:val="17"/>
          <w:szCs w:val="17"/>
          <w:b w:val="1"/>
          <w:bCs w:val="1"/>
          <w:color w:val="auto"/>
        </w:rPr>
        <w:t>Additional promising pipeline opportunities</w:t>
      </w:r>
      <w:r>
        <w:rPr>
          <w:rFonts w:ascii="Arial" w:cs="Arial" w:eastAsia="Arial" w:hAnsi="Arial"/>
          <w:sz w:val="17"/>
          <w:szCs w:val="17"/>
          <w:color w:val="auto"/>
        </w:rPr>
        <w:t>. Tango discovered ubiquitin-specific protease 1</w:t>
      </w:r>
      <w:r>
        <w:rPr>
          <w:rFonts w:ascii="Arial" w:cs="Arial" w:eastAsia="Arial" w:hAnsi="Arial"/>
          <w:sz w:val="17"/>
          <w:szCs w:val="17"/>
          <w:b w:val="1"/>
          <w:bCs w:val="1"/>
          <w:color w:val="auto"/>
        </w:rPr>
        <w:t xml:space="preserve"> </w:t>
      </w:r>
      <w:r>
        <w:rPr>
          <w:rFonts w:ascii="Arial" w:cs="Arial" w:eastAsia="Arial" w:hAnsi="Arial"/>
          <w:sz w:val="17"/>
          <w:szCs w:val="17"/>
          <w:color w:val="auto"/>
        </w:rPr>
        <w:t>(USP1) as a strong synthetic lethal target for BRCA1 loss and is developing a potentially differentiated molecule for the treatment of BRCA1-mutant breast, ovarian and prostate cancer, with a planned IND filing in 2022. Tango expects the development candidate for this program to have single-agent activity in both PARPi-naïve and PARPi-resistant BRCA1 mutant cancers and to have synergy when used in combination with PARP inhibitors. Tango is also developing a treatment against a novel undisclosed target that may reverse STK11-loss mediated immune evasion in non-small cell lung cancer for which it plans to file an IND in 2023.</w:t>
      </w:r>
    </w:p>
    <w:p>
      <w:pPr>
        <w:spacing w:after="0" w:line="90" w:lineRule="exact"/>
        <w:rPr>
          <w:rFonts w:ascii="Arial" w:cs="Arial" w:eastAsia="Arial" w:hAnsi="Arial"/>
          <w:sz w:val="17"/>
          <w:szCs w:val="17"/>
          <w:color w:val="auto"/>
        </w:rPr>
      </w:pPr>
    </w:p>
    <w:p>
      <w:pPr>
        <w:ind w:left="1320" w:right="559" w:hanging="434"/>
        <w:spacing w:after="0" w:line="274" w:lineRule="auto"/>
        <w:tabs>
          <w:tab w:leader="none" w:pos="1311" w:val="left"/>
        </w:tabs>
        <w:numPr>
          <w:ilvl w:val="0"/>
          <w:numId w:val="175"/>
        </w:numPr>
        <w:rPr>
          <w:rFonts w:ascii="Arial" w:cs="Arial" w:eastAsia="Arial" w:hAnsi="Arial"/>
          <w:sz w:val="17"/>
          <w:szCs w:val="17"/>
          <w:color w:val="auto"/>
        </w:rPr>
      </w:pPr>
      <w:r>
        <w:rPr>
          <w:rFonts w:ascii="Arial" w:cs="Arial" w:eastAsia="Arial" w:hAnsi="Arial"/>
          <w:sz w:val="17"/>
          <w:szCs w:val="17"/>
          <w:b w:val="1"/>
          <w:bCs w:val="1"/>
          <w:color w:val="auto"/>
        </w:rPr>
        <w:t>A robust drug discovery platform that may enable the discovery of additional product candidates</w:t>
      </w:r>
      <w:r>
        <w:rPr>
          <w:rFonts w:ascii="Arial" w:cs="Arial" w:eastAsia="Arial" w:hAnsi="Arial"/>
          <w:sz w:val="17"/>
          <w:szCs w:val="17"/>
          <w:color w:val="auto"/>
        </w:rPr>
        <w:t>. Tango has a drug target discovery engine powered by CRISPR that may continue to</w:t>
      </w:r>
      <w:r>
        <w:rPr>
          <w:rFonts w:ascii="Arial" w:cs="Arial" w:eastAsia="Arial" w:hAnsi="Arial"/>
          <w:sz w:val="17"/>
          <w:szCs w:val="17"/>
          <w:b w:val="1"/>
          <w:bCs w:val="1"/>
          <w:color w:val="auto"/>
        </w:rPr>
        <w:t xml:space="preserve"> </w:t>
      </w:r>
      <w:r>
        <w:rPr>
          <w:rFonts w:ascii="Arial" w:cs="Arial" w:eastAsia="Arial" w:hAnsi="Arial"/>
          <w:sz w:val="17"/>
          <w:szCs w:val="17"/>
          <w:color w:val="auto"/>
        </w:rPr>
        <w:t>produce druggable targets to fuel further pipeline growth. Tango’s platform is expected to deliver one new IND every 12 to 18 months. Tango’s collaboration with Gilead may enable the discovery and development of additional immune evasion targets by leveraging the expanded capabilities and global development reach of a larger company.</w:t>
      </w:r>
    </w:p>
    <w:p>
      <w:pPr>
        <w:spacing w:after="0" w:line="105" w:lineRule="exact"/>
        <w:rPr>
          <w:rFonts w:ascii="Arial" w:cs="Arial" w:eastAsia="Arial" w:hAnsi="Arial"/>
          <w:sz w:val="17"/>
          <w:szCs w:val="17"/>
          <w:color w:val="auto"/>
        </w:rPr>
      </w:pPr>
    </w:p>
    <w:p>
      <w:pPr>
        <w:ind w:left="1320" w:right="579" w:hanging="434"/>
        <w:spacing w:after="0" w:line="258" w:lineRule="auto"/>
        <w:tabs>
          <w:tab w:leader="none" w:pos="1311"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Continued participation by leading biotech private investors and a strong balance sheet</w:t>
      </w:r>
      <w:r>
        <w:rPr>
          <w:rFonts w:ascii="Arial" w:cs="Arial" w:eastAsia="Arial" w:hAnsi="Arial"/>
          <w:sz w:val="18"/>
          <w:szCs w:val="18"/>
          <w:color w:val="auto"/>
        </w:rPr>
        <w:t>. Tango stockholders include Third Rock Ventures, Boxer Capital, Cormorant Asset</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Casdin Capital and Gilead Sciences, among others. Furthermore, upon the closing of the Business Combination, Tango is expected to have approximately $500 million in cash in order to develop its current and future pipeline of oncology therapeutics.</w:t>
      </w:r>
    </w:p>
    <w:p>
      <w:pPr>
        <w:spacing w:after="0" w:line="115" w:lineRule="exact"/>
        <w:rPr>
          <w:rFonts w:ascii="Arial" w:cs="Arial" w:eastAsia="Arial" w:hAnsi="Arial"/>
          <w:sz w:val="18"/>
          <w:szCs w:val="18"/>
          <w:color w:val="auto"/>
        </w:rPr>
      </w:pPr>
    </w:p>
    <w:p>
      <w:pPr>
        <w:ind w:left="1320" w:right="859" w:hanging="434"/>
        <w:spacing w:after="0" w:line="282" w:lineRule="auto"/>
        <w:tabs>
          <w:tab w:leader="none" w:pos="1311"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Fairness opinion of Canaccord Genuity</w:t>
      </w:r>
      <w:r>
        <w:rPr>
          <w:rFonts w:ascii="Arial" w:cs="Arial" w:eastAsia="Arial" w:hAnsi="Arial"/>
          <w:sz w:val="18"/>
          <w:szCs w:val="18"/>
          <w:color w:val="auto"/>
        </w:rPr>
        <w:t>. BCTG received the fairness opinion of Canaccord</w:t>
      </w:r>
      <w:r>
        <w:rPr>
          <w:rFonts w:ascii="Arial" w:cs="Arial" w:eastAsia="Arial" w:hAnsi="Arial"/>
          <w:sz w:val="18"/>
          <w:szCs w:val="18"/>
          <w:b w:val="1"/>
          <w:bCs w:val="1"/>
          <w:color w:val="auto"/>
        </w:rPr>
        <w:t xml:space="preserve"> </w:t>
      </w:r>
      <w:r>
        <w:rPr>
          <w:rFonts w:ascii="Arial" w:cs="Arial" w:eastAsia="Arial" w:hAnsi="Arial"/>
          <w:sz w:val="18"/>
          <w:szCs w:val="18"/>
          <w:color w:val="auto"/>
        </w:rPr>
        <w:t>Genuity described below.</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6" w:name="page127"/>
    <w:bookmarkEnd w:id="12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959" w:firstLine="432"/>
        <w:spacing w:after="0" w:line="308" w:lineRule="auto"/>
        <w:rPr>
          <w:sz w:val="20"/>
          <w:szCs w:val="20"/>
          <w:color w:val="auto"/>
        </w:rPr>
      </w:pPr>
      <w:r>
        <w:rPr>
          <w:rFonts w:ascii="Arial" w:cs="Arial" w:eastAsia="Arial" w:hAnsi="Arial"/>
          <w:sz w:val="17"/>
          <w:szCs w:val="17"/>
          <w:color w:val="auto"/>
        </w:rPr>
        <w:t>The Board also considered a variety of uncertainties and risks and other potentially negative factors concerning the Business Combination, including, but not limited to, the following:</w:t>
      </w:r>
    </w:p>
    <w:p>
      <w:pPr>
        <w:spacing w:after="0" w:line="75" w:lineRule="exact"/>
        <w:rPr>
          <w:sz w:val="20"/>
          <w:szCs w:val="20"/>
          <w:color w:val="auto"/>
        </w:rPr>
      </w:pPr>
    </w:p>
    <w:p>
      <w:pPr>
        <w:ind w:left="1320" w:right="559" w:hanging="434"/>
        <w:spacing w:after="0" w:line="282" w:lineRule="auto"/>
        <w:tabs>
          <w:tab w:leader="none" w:pos="1311"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Benefits Not Achieved</w:t>
      </w:r>
      <w:r>
        <w:rPr>
          <w:rFonts w:ascii="Arial" w:cs="Arial" w:eastAsia="Arial" w:hAnsi="Arial"/>
          <w:sz w:val="18"/>
          <w:szCs w:val="18"/>
          <w:color w:val="auto"/>
        </w:rPr>
        <w:t>. The risk that the potential benefits of the Business Combination may not</w:t>
      </w:r>
      <w:r>
        <w:rPr>
          <w:rFonts w:ascii="Arial" w:cs="Arial" w:eastAsia="Arial" w:hAnsi="Arial"/>
          <w:sz w:val="18"/>
          <w:szCs w:val="18"/>
          <w:b w:val="1"/>
          <w:bCs w:val="1"/>
          <w:color w:val="auto"/>
        </w:rPr>
        <w:t xml:space="preserve"> </w:t>
      </w:r>
      <w:r>
        <w:rPr>
          <w:rFonts w:ascii="Arial" w:cs="Arial" w:eastAsia="Arial" w:hAnsi="Arial"/>
          <w:sz w:val="18"/>
          <w:szCs w:val="18"/>
          <w:color w:val="auto"/>
        </w:rPr>
        <w:t>be fully achieved, or may not be achieved within the expected timeframe.</w:t>
      </w:r>
    </w:p>
    <w:p>
      <w:pPr>
        <w:spacing w:after="0" w:line="94" w:lineRule="exact"/>
        <w:rPr>
          <w:rFonts w:ascii="Arial" w:cs="Arial" w:eastAsia="Arial" w:hAnsi="Arial"/>
          <w:sz w:val="18"/>
          <w:szCs w:val="18"/>
          <w:color w:val="auto"/>
        </w:rPr>
      </w:pPr>
    </w:p>
    <w:p>
      <w:pPr>
        <w:ind w:left="1320" w:right="679" w:hanging="434"/>
        <w:spacing w:after="0" w:line="261" w:lineRule="auto"/>
        <w:tabs>
          <w:tab w:leader="none" w:pos="1311"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Liquidation of BCTG</w:t>
      </w:r>
      <w:r>
        <w:rPr>
          <w:rFonts w:ascii="Arial" w:cs="Arial" w:eastAsia="Arial" w:hAnsi="Arial"/>
          <w:sz w:val="18"/>
          <w:szCs w:val="18"/>
          <w:color w:val="auto"/>
        </w:rPr>
        <w:t>. The risks and costs to BCTG if the Business Combination is not</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including the risk of diverting management focus and resources from other businesses combination opportunities, which could result in BCTG being unable to effect a business combination by September 2022 and force BCTG to liquidate.</w:t>
      </w:r>
    </w:p>
    <w:p>
      <w:pPr>
        <w:spacing w:after="0" w:line="98" w:lineRule="exact"/>
        <w:rPr>
          <w:rFonts w:ascii="Arial" w:cs="Arial" w:eastAsia="Arial" w:hAnsi="Arial"/>
          <w:sz w:val="18"/>
          <w:szCs w:val="18"/>
          <w:color w:val="auto"/>
        </w:rPr>
      </w:pPr>
    </w:p>
    <w:p>
      <w:pPr>
        <w:ind w:left="1320" w:right="559" w:hanging="434"/>
        <w:spacing w:after="0" w:line="258" w:lineRule="auto"/>
        <w:tabs>
          <w:tab w:leader="none" w:pos="1311"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No Survival of Remedies for Breach of Representations, Warranties or Covenants of Tango</w:t>
      </w:r>
      <w:r>
        <w:rPr>
          <w:rFonts w:ascii="Arial" w:cs="Arial" w:eastAsia="Arial" w:hAnsi="Arial"/>
          <w:sz w:val="18"/>
          <w:szCs w:val="18"/>
          <w:color w:val="auto"/>
        </w:rPr>
        <w:t>. The risk that BCTG will not have any surviving remedies against Tango’s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after the closing of the Business Combination to recover for losses as a result of any inaccuracies or breaches of Tango’s representations, warranties or covenants set forth in the merger agreement.</w:t>
      </w:r>
    </w:p>
    <w:p>
      <w:pPr>
        <w:spacing w:after="0" w:line="115" w:lineRule="exact"/>
        <w:rPr>
          <w:rFonts w:ascii="Arial" w:cs="Arial" w:eastAsia="Arial" w:hAnsi="Arial"/>
          <w:sz w:val="18"/>
          <w:szCs w:val="18"/>
          <w:color w:val="auto"/>
        </w:rPr>
      </w:pPr>
    </w:p>
    <w:p>
      <w:pPr>
        <w:ind w:left="1320" w:right="619" w:hanging="434"/>
        <w:spacing w:after="0" w:line="282" w:lineRule="auto"/>
        <w:tabs>
          <w:tab w:leader="none" w:pos="1311"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Stockholder Vote</w:t>
      </w:r>
      <w:r>
        <w:rPr>
          <w:rFonts w:ascii="Arial" w:cs="Arial" w:eastAsia="Arial" w:hAnsi="Arial"/>
          <w:sz w:val="18"/>
          <w:szCs w:val="18"/>
          <w:color w:val="auto"/>
        </w:rPr>
        <w:t>. The risk that BCTG’s stockholders may fail to provide the votes necessary to</w:t>
      </w:r>
      <w:r>
        <w:rPr>
          <w:rFonts w:ascii="Arial" w:cs="Arial" w:eastAsia="Arial" w:hAnsi="Arial"/>
          <w:sz w:val="18"/>
          <w:szCs w:val="18"/>
          <w:b w:val="1"/>
          <w:bCs w:val="1"/>
          <w:color w:val="auto"/>
        </w:rPr>
        <w:t xml:space="preserve"> </w:t>
      </w:r>
      <w:r>
        <w:rPr>
          <w:rFonts w:ascii="Arial" w:cs="Arial" w:eastAsia="Arial" w:hAnsi="Arial"/>
          <w:sz w:val="18"/>
          <w:szCs w:val="18"/>
          <w:color w:val="auto"/>
        </w:rPr>
        <w:t>effect the Business Combination.</w:t>
      </w:r>
    </w:p>
    <w:p>
      <w:pPr>
        <w:spacing w:after="0" w:line="94" w:lineRule="exact"/>
        <w:rPr>
          <w:rFonts w:ascii="Arial" w:cs="Arial" w:eastAsia="Arial" w:hAnsi="Arial"/>
          <w:sz w:val="18"/>
          <w:szCs w:val="18"/>
          <w:color w:val="auto"/>
        </w:rPr>
      </w:pPr>
    </w:p>
    <w:p>
      <w:pPr>
        <w:ind w:left="1320" w:right="579" w:hanging="434"/>
        <w:spacing w:after="0" w:line="312" w:lineRule="auto"/>
        <w:tabs>
          <w:tab w:leader="none" w:pos="1311" w:val="left"/>
        </w:tabs>
        <w:numPr>
          <w:ilvl w:val="0"/>
          <w:numId w:val="176"/>
        </w:numPr>
        <w:rPr>
          <w:rFonts w:ascii="Arial" w:cs="Arial" w:eastAsia="Arial" w:hAnsi="Arial"/>
          <w:sz w:val="17"/>
          <w:szCs w:val="17"/>
          <w:color w:val="auto"/>
        </w:rPr>
      </w:pPr>
      <w:r>
        <w:rPr>
          <w:rFonts w:ascii="Arial" w:cs="Arial" w:eastAsia="Arial" w:hAnsi="Arial"/>
          <w:sz w:val="17"/>
          <w:szCs w:val="17"/>
          <w:b w:val="1"/>
          <w:bCs w:val="1"/>
          <w:color w:val="auto"/>
        </w:rPr>
        <w:t>Closing Conditions</w:t>
      </w:r>
      <w:r>
        <w:rPr>
          <w:rFonts w:ascii="Arial" w:cs="Arial" w:eastAsia="Arial" w:hAnsi="Arial"/>
          <w:sz w:val="17"/>
          <w:szCs w:val="17"/>
          <w:color w:val="auto"/>
        </w:rPr>
        <w:t>. The fact that completion of the Business Combination is conditioned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satisfaction of certain closing conditions that are not within the Company’s control.</w:t>
      </w:r>
    </w:p>
    <w:p>
      <w:pPr>
        <w:spacing w:after="0" w:line="58" w:lineRule="exact"/>
        <w:rPr>
          <w:rFonts w:ascii="Arial" w:cs="Arial" w:eastAsia="Arial" w:hAnsi="Arial"/>
          <w:sz w:val="17"/>
          <w:szCs w:val="17"/>
          <w:color w:val="auto"/>
        </w:rPr>
      </w:pPr>
    </w:p>
    <w:p>
      <w:pPr>
        <w:ind w:left="1320" w:right="619" w:hanging="434"/>
        <w:spacing w:after="0" w:line="266" w:lineRule="auto"/>
        <w:tabs>
          <w:tab w:leader="none" w:pos="1311"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Litigation</w:t>
      </w:r>
      <w:r>
        <w:rPr>
          <w:rFonts w:ascii="Arial" w:cs="Arial" w:eastAsia="Arial" w:hAnsi="Arial"/>
          <w:sz w:val="18"/>
          <w:szCs w:val="18"/>
          <w:color w:val="auto"/>
        </w:rPr>
        <w:t>. The possibility of litigation challenging the Business Combination or that an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 granting permanent injunctive relief could indefinitely enjoin consummation of the Business Combination.</w:t>
      </w:r>
    </w:p>
    <w:p>
      <w:pPr>
        <w:spacing w:after="0" w:line="108" w:lineRule="exact"/>
        <w:rPr>
          <w:rFonts w:ascii="Arial" w:cs="Arial" w:eastAsia="Arial" w:hAnsi="Arial"/>
          <w:sz w:val="18"/>
          <w:szCs w:val="18"/>
          <w:color w:val="auto"/>
        </w:rPr>
      </w:pPr>
    </w:p>
    <w:p>
      <w:pPr>
        <w:ind w:left="1320" w:right="1499" w:hanging="434"/>
        <w:spacing w:after="0" w:line="282" w:lineRule="auto"/>
        <w:tabs>
          <w:tab w:leader="none" w:pos="1311"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Fees and Expenses</w:t>
      </w:r>
      <w:r>
        <w:rPr>
          <w:rFonts w:ascii="Arial" w:cs="Arial" w:eastAsia="Arial" w:hAnsi="Arial"/>
          <w:sz w:val="18"/>
          <w:szCs w:val="18"/>
          <w:color w:val="auto"/>
        </w:rPr>
        <w:t>. The fees and expenses associated with completing the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w:t>
      </w:r>
    </w:p>
    <w:p>
      <w:pPr>
        <w:spacing w:after="0" w:line="94" w:lineRule="exact"/>
        <w:rPr>
          <w:rFonts w:ascii="Arial" w:cs="Arial" w:eastAsia="Arial" w:hAnsi="Arial"/>
          <w:sz w:val="18"/>
          <w:szCs w:val="18"/>
          <w:color w:val="auto"/>
        </w:rPr>
      </w:pPr>
    </w:p>
    <w:p>
      <w:pPr>
        <w:ind w:left="1320" w:right="699" w:hanging="434"/>
        <w:spacing w:after="0" w:line="312" w:lineRule="auto"/>
        <w:tabs>
          <w:tab w:leader="none" w:pos="1311" w:val="left"/>
        </w:tabs>
        <w:numPr>
          <w:ilvl w:val="0"/>
          <w:numId w:val="176"/>
        </w:numPr>
        <w:rPr>
          <w:rFonts w:ascii="Arial" w:cs="Arial" w:eastAsia="Arial" w:hAnsi="Arial"/>
          <w:sz w:val="17"/>
          <w:szCs w:val="17"/>
          <w:color w:val="auto"/>
        </w:rPr>
      </w:pPr>
      <w:r>
        <w:rPr>
          <w:rFonts w:ascii="Arial" w:cs="Arial" w:eastAsia="Arial" w:hAnsi="Arial"/>
          <w:sz w:val="17"/>
          <w:szCs w:val="17"/>
          <w:b w:val="1"/>
          <w:bCs w:val="1"/>
          <w:color w:val="auto"/>
        </w:rPr>
        <w:t>Other Risks</w:t>
      </w:r>
      <w:r>
        <w:rPr>
          <w:rFonts w:ascii="Arial" w:cs="Arial" w:eastAsia="Arial" w:hAnsi="Arial"/>
          <w:sz w:val="17"/>
          <w:szCs w:val="17"/>
          <w:color w:val="auto"/>
        </w:rPr>
        <w:t>. Various other risks associated with the Business Combination, the business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the business of Tango described under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63"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 xml:space="preserve">In addition to considering the factors described above, the Board also considered that some officers and directors of the Company may have interests in the Business Combination as individuals that are in addition to, and that may be different from, the interests of the Company’s stockholders (see </w:t>
      </w:r>
      <w:r>
        <w:rPr>
          <w:rFonts w:ascii="Arial" w:cs="Arial" w:eastAsia="Arial" w:hAnsi="Arial"/>
          <w:sz w:val="17"/>
          <w:szCs w:val="17"/>
          <w:b w:val="1"/>
          <w:bCs w:val="1"/>
          <w:color w:val="auto"/>
        </w:rPr>
        <w:t>“</w:t>
      </w:r>
      <w:r>
        <w:rPr>
          <w:rFonts w:ascii="Arial" w:cs="Arial" w:eastAsia="Arial" w:hAnsi="Arial"/>
          <w:sz w:val="17"/>
          <w:szCs w:val="17"/>
          <w:i w:val="1"/>
          <w:iCs w:val="1"/>
          <w:color w:val="auto"/>
        </w:rPr>
        <w:t>Risk Factors — Risks Related</w:t>
      </w:r>
      <w:r>
        <w:rPr>
          <w:rFonts w:ascii="Arial" w:cs="Arial" w:eastAsia="Arial" w:hAnsi="Arial"/>
          <w:sz w:val="17"/>
          <w:szCs w:val="17"/>
          <w:color w:val="auto"/>
        </w:rPr>
        <w:t xml:space="preserve"> </w:t>
      </w:r>
      <w:r>
        <w:rPr>
          <w:rFonts w:ascii="Arial" w:cs="Arial" w:eastAsia="Arial" w:hAnsi="Arial"/>
          <w:sz w:val="17"/>
          <w:szCs w:val="17"/>
          <w:i w:val="1"/>
          <w:iCs w:val="1"/>
          <w:color w:val="auto"/>
        </w:rPr>
        <w:t>to BCTG and the Business Combination</w:t>
      </w:r>
      <w:r>
        <w:rPr>
          <w:rFonts w:ascii="Arial" w:cs="Arial" w:eastAsia="Arial" w:hAnsi="Arial"/>
          <w:sz w:val="17"/>
          <w:szCs w:val="17"/>
          <w:b w:val="1"/>
          <w:bCs w:val="1"/>
          <w:color w:val="auto"/>
        </w:rPr>
        <w:t>”)</w:t>
      </w:r>
      <w:r>
        <w:rPr>
          <w:rFonts w:ascii="Arial" w:cs="Arial" w:eastAsia="Arial" w:hAnsi="Arial"/>
          <w:sz w:val="17"/>
          <w:szCs w:val="17"/>
          <w:color w:val="auto"/>
        </w:rPr>
        <w:t>. Our Subcommittee of independent directors reviewed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considered these interests during the negotiation of the Business Combination and in evaluating and unanimously approving, as members of the Board, the Merger Agreement and the Business Combination. The Subcommittee and the Board concluded that the potential benefits that it expected BCTG and its stockholders to achieve as a result of the Business Combination outweighed the potentially negative factors associated with the Business Combination. Accordingly, the Subcommittee and the Board unanimously determined that the merger agreement and the Business Combination were advisable, fair to, and in the best interests of, BCTG and its stockholders.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Board recommends a vote “FOR” the Business Combination Proposal and each of the</w:t>
      </w:r>
    </w:p>
    <w:p>
      <w:pPr>
        <w:spacing w:after="0" w:line="23" w:lineRule="exact"/>
        <w:rPr>
          <w:sz w:val="20"/>
          <w:szCs w:val="20"/>
          <w:color w:val="auto"/>
        </w:rPr>
      </w:pPr>
    </w:p>
    <w:p>
      <w:pPr>
        <w:ind w:left="460" w:right="479"/>
        <w:spacing w:after="0" w:line="277" w:lineRule="auto"/>
        <w:rPr>
          <w:sz w:val="20"/>
          <w:szCs w:val="20"/>
          <w:color w:val="auto"/>
        </w:rPr>
      </w:pPr>
      <w:r>
        <w:rPr>
          <w:rFonts w:ascii="Arial" w:cs="Arial" w:eastAsia="Arial" w:hAnsi="Arial"/>
          <w:sz w:val="17"/>
          <w:szCs w:val="17"/>
          <w:color w:val="auto"/>
        </w:rPr>
        <w:t>other Proposals — the members of the Board and officers of BCTG have interests that may be different from, or in addition to your interests as a shareholder. See “</w:t>
      </w:r>
      <w:r>
        <w:rPr>
          <w:rFonts w:ascii="Arial" w:cs="Arial" w:eastAsia="Arial" w:hAnsi="Arial"/>
          <w:sz w:val="17"/>
          <w:szCs w:val="17"/>
          <w:i w:val="1"/>
          <w:iCs w:val="1"/>
          <w:color w:val="auto"/>
        </w:rPr>
        <w:t>The Business Combination Proposal — Interests of BCTG’s</w:t>
      </w:r>
      <w:r>
        <w:rPr>
          <w:rFonts w:ascii="Arial" w:cs="Arial" w:eastAsia="Arial" w:hAnsi="Arial"/>
          <w:sz w:val="17"/>
          <w:szCs w:val="17"/>
          <w:color w:val="auto"/>
        </w:rPr>
        <w:t xml:space="preserve"> </w:t>
      </w:r>
      <w:r>
        <w:rPr>
          <w:rFonts w:ascii="Arial" w:cs="Arial" w:eastAsia="Arial" w:hAnsi="Arial"/>
          <w:sz w:val="17"/>
          <w:szCs w:val="17"/>
          <w:i w:val="1"/>
          <w:iCs w:val="1"/>
          <w:color w:val="auto"/>
        </w:rPr>
        <w:t>Directors and Officers and Others in the Business Combination</w:t>
      </w:r>
      <w:r>
        <w:rPr>
          <w:rFonts w:ascii="Arial" w:cs="Arial" w:eastAsia="Arial" w:hAnsi="Arial"/>
          <w:sz w:val="17"/>
          <w:szCs w:val="17"/>
          <w:color w:val="auto"/>
        </w:rPr>
        <w:t>” for further information.</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Engagement of Financial Advisor to BCTG</w:t>
      </w:r>
    </w:p>
    <w:p>
      <w:pPr>
        <w:spacing w:after="0" w:line="162"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BCTG retained Canaccord Genuity to provide a fairness opinion to the Board. On April 13, 2021, Canaccord Genuity orally rendered its opinion to the Subcommittee and the Board (which was subsequently confirmed in writing by delivery of Canaccord Genuity written Opinion addressed to the Board dated April 13, 2021), as to the fairness, from a financial point of view and as of the date of the opinion, to BCTG of the Base Purchase Price pursuant to the Merger Agreement.</w:t>
      </w:r>
    </w:p>
    <w:p>
      <w:pPr>
        <w:spacing w:after="0" w:line="107" w:lineRule="exact"/>
        <w:rPr>
          <w:sz w:val="20"/>
          <w:szCs w:val="20"/>
          <w:color w:val="auto"/>
        </w:rPr>
      </w:pPr>
    </w:p>
    <w:p>
      <w:pPr>
        <w:ind w:left="460" w:right="619" w:firstLine="432"/>
        <w:spacing w:after="0" w:line="296" w:lineRule="auto"/>
        <w:rPr>
          <w:sz w:val="20"/>
          <w:szCs w:val="20"/>
          <w:color w:val="auto"/>
        </w:rPr>
      </w:pPr>
      <w:r>
        <w:rPr>
          <w:rFonts w:ascii="Arial" w:cs="Arial" w:eastAsia="Arial" w:hAnsi="Arial"/>
          <w:sz w:val="16"/>
          <w:szCs w:val="16"/>
          <w:color w:val="auto"/>
        </w:rPr>
        <w:t>In selecting Canaccord Genuity, the Board considered, among other things, the fact that Canaccord Genuity is a reputable investment banking firm with substantial experience advising companies. Canaccord Genuity, as part of its investment banking business, is continuously engaged in the valuation of businesses and their securities in connection with mergers and acquisitions, negotiated underwritings, secondary distributions of listed and unlisted securities, private placements and valuations for corporate and other purposes.</w:t>
      </w:r>
    </w:p>
    <w:p>
      <w:pPr>
        <w:sectPr>
          <w:pgSz w:w="11900" w:h="16838" w:orient="portrait"/>
          <w:cols w:equalWidth="0" w:num="1">
            <w:col w:w="9019"/>
          </w:cols>
          <w:pgMar w:left="1440" w:top="274" w:right="1440" w:bottom="1440"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7" w:name="page128"/>
    <w:bookmarkEnd w:id="12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of BCTG’s Financial Advisor</w:t>
      </w:r>
    </w:p>
    <w:p>
      <w:pPr>
        <w:spacing w:after="0" w:line="148"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Canaccord Genuity is acting as financial advisor to BCTG in connection with the Transaction. At a meeting of the Subcommittee and Board held on April 13, 2021 to evaluate the proposed Business Combination, Canaccord Genuity delivered to the Board an oral opinion, which opinion was confirmed by delivery of a written opinion, dated April 13, 2021, to the effect that, as of that date and based upon and subject to certain assumptions, factors and qualifications set forth in the written opinion, the Base Purchase Price, as defined in and pursuant to the Merger Agreement is fair, from a financial point of view, to BCTG.</w:t>
      </w:r>
    </w:p>
    <w:p>
      <w:pPr>
        <w:spacing w:after="0" w:line="93"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b w:val="1"/>
          <w:bCs w:val="1"/>
          <w:color w:val="auto"/>
        </w:rPr>
        <w:t xml:space="preserve">The full text of Canaccord Genuity’s written opinion is attached to this proxy statement as </w:t>
      </w:r>
      <w:r>
        <w:rPr>
          <w:rFonts w:ascii="Arial" w:cs="Arial" w:eastAsia="Arial" w:hAnsi="Arial"/>
          <w:sz w:val="16"/>
          <w:szCs w:val="16"/>
          <w:b w:val="1"/>
          <w:bCs w:val="1"/>
          <w:i w:val="1"/>
          <w:iCs w:val="1"/>
          <w:color w:val="auto"/>
        </w:rPr>
        <w:t>Annex E</w:t>
      </w:r>
      <w:r>
        <w:rPr>
          <w:rFonts w:ascii="Arial" w:cs="Arial" w:eastAsia="Arial" w:hAnsi="Arial"/>
          <w:sz w:val="16"/>
          <w:szCs w:val="16"/>
          <w:b w:val="1"/>
          <w:bCs w:val="1"/>
          <w:color w:val="auto"/>
        </w:rPr>
        <w:t xml:space="preserve"> and is incorporated into this proxy statement/prospectus by reference. The description of Canaccord Genuity’s opinion set forth in this proxy statement/prospectus is qualified in its entirety by reference to the full text of such opinion. BCTG’s stockholders are encouraged to read Canaccord Genuity’s opinion carefully and in its entirety for a description of the procedures followed, assumptions made, matters considered and qualifications and limitations on the review undertaken by Canaccord Genuity in connection with its opinion. Canaccord Genuity’s opinion was addressed to the Board, was only one of many factors considered by the Board in its evaluation of the Business Combination, and is limited to and addresses only the fairness, from a financial point of view and as of the date of the opinion, to BCTG of the Base Purchase Price pursuant to the Merger Agreement. Canaccord Genuity’s opinion did not express any view on and did not address any other term or aspect of any other agreements or arrangements contemplated by the Merger Agreement or entered into in connection with the Business Combination. Canaccord Genuity’s opinion does not address the relative merits of the Business Combination as compared to other business strategies or transactions that might be available to BCTG, nor does it address the underlying business decision of BCTG to proceed with the Business Combination or any view on another term or aspect of the Merger Agreement. Canaccord Genuity’s opinion was directed to and for the information of the Board only (in its capacity as such) in connection with its evaluation of the Business Combination and did not constitute advice or a recommendation to any stockholder as to how such stockholder should vote with respect to the Business Combination or any other aspect of the Business Combination or how such stockholders should otherwise act on any matter relating to the Business Combination. Canaccord Genuity’s opinion was rendered on the basis of securities, economic, market and monetary conditions prevailing as of April 13, 2021, the date of its opinion, and on the prospects, financial and otherwise, of BCTG known to Canaccord Genuity as of such date. Subsequent developments may affect the conclusions expressed in Canaccord Genuity’s opinion if such opinion were rendered as of a later date. Canaccord Genuity assumes no responsibility for updating, revising or reaffirming its opinion based on circumstances or events occurring after the date of the opinion.</w:t>
      </w:r>
    </w:p>
    <w:p>
      <w:pPr>
        <w:spacing w:after="0" w:line="32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connection with Canaccord Genuity’s review of the Business Combination and developing its opinion,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Canaccord Genuity, among other things:</w:t>
      </w:r>
    </w:p>
    <w:p>
      <w:pPr>
        <w:spacing w:after="0" w:line="130" w:lineRule="exact"/>
        <w:rPr>
          <w:sz w:val="20"/>
          <w:szCs w:val="20"/>
          <w:color w:val="auto"/>
        </w:rPr>
      </w:pPr>
    </w:p>
    <w:p>
      <w:pPr>
        <w:ind w:left="1300" w:hanging="414"/>
        <w:spacing w:after="0"/>
        <w:tabs>
          <w:tab w:leader="none" w:pos="13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Tango;</w:t>
      </w:r>
    </w:p>
    <w:p>
      <w:pPr>
        <w:spacing w:after="0" w:line="157" w:lineRule="exact"/>
        <w:rPr>
          <w:rFonts w:ascii="Arial" w:cs="Arial" w:eastAsia="Arial" w:hAnsi="Arial"/>
          <w:sz w:val="18"/>
          <w:szCs w:val="18"/>
          <w:color w:val="auto"/>
        </w:rPr>
      </w:pPr>
    </w:p>
    <w:p>
      <w:pPr>
        <w:jc w:val="both"/>
        <w:ind w:left="1320" w:right="1159" w:hanging="434"/>
        <w:spacing w:after="0" w:line="263" w:lineRule="auto"/>
        <w:tabs>
          <w:tab w:leader="none" w:pos="131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analyzed certain internal financial statements and other business and financial information, including certain historical financial and operating data prepared by Tango and provided to Canaccord Genuity by BCTG;</w:t>
      </w:r>
    </w:p>
    <w:p>
      <w:pPr>
        <w:spacing w:after="0" w:line="116" w:lineRule="exact"/>
        <w:rPr>
          <w:rFonts w:ascii="Arial" w:cs="Arial" w:eastAsia="Arial" w:hAnsi="Arial"/>
          <w:sz w:val="18"/>
          <w:szCs w:val="18"/>
          <w:color w:val="auto"/>
        </w:rPr>
      </w:pPr>
    </w:p>
    <w:p>
      <w:pPr>
        <w:ind w:left="1320" w:right="779" w:hanging="434"/>
        <w:spacing w:after="0" w:line="277" w:lineRule="auto"/>
        <w:tabs>
          <w:tab w:leader="none" w:pos="131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conducted discussions with members of senior management of Tango regarding past and current operations and financial condition and the prospects of Tango;</w:t>
      </w:r>
    </w:p>
    <w:p>
      <w:pPr>
        <w:spacing w:after="0" w:line="89"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reviewed financial and stock market data of certain publicly traded companies Canaccord Genuity deemed to be relevant and comparable to Tango;</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reviewed financial terms of certain initial public offerings executed by certain companies Canaccord Genuity deemed to be relevant to Tango;</w:t>
      </w:r>
    </w:p>
    <w:p>
      <w:pPr>
        <w:spacing w:after="0" w:line="102" w:lineRule="exact"/>
        <w:rPr>
          <w:rFonts w:ascii="Arial" w:cs="Arial" w:eastAsia="Arial" w:hAnsi="Arial"/>
          <w:sz w:val="18"/>
          <w:szCs w:val="18"/>
          <w:color w:val="auto"/>
        </w:rPr>
      </w:pPr>
    </w:p>
    <w:p>
      <w:pPr>
        <w:ind w:left="1320" w:right="599" w:hanging="434"/>
        <w:spacing w:after="0" w:line="263" w:lineRule="auto"/>
        <w:tabs>
          <w:tab w:leader="none" w:pos="131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compared the financial terms of the Business Combination with the financial terms of certain other acquisitions Canaccord Genuity deemed to be relevant and comparable to the Business Combination;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reviewed the terms of the Merger Agreement furnished to Canaccord Genuity by BCTG; and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659" w:hanging="434"/>
        <w:spacing w:after="0" w:line="286" w:lineRule="auto"/>
        <w:tabs>
          <w:tab w:leader="none" w:pos="1311" w:val="left"/>
        </w:tabs>
        <w:numPr>
          <w:ilvl w:val="0"/>
          <w:numId w:val="178"/>
        </w:numPr>
        <w:rPr>
          <w:rFonts w:ascii="Arial" w:cs="Arial" w:eastAsia="Arial" w:hAnsi="Arial"/>
          <w:sz w:val="17"/>
          <w:szCs w:val="17"/>
          <w:color w:val="auto"/>
        </w:rPr>
      </w:pPr>
      <w:r>
        <w:rPr>
          <w:rFonts w:ascii="Arial" w:cs="Arial" w:eastAsia="Arial" w:hAnsi="Arial"/>
          <w:sz w:val="17"/>
          <w:szCs w:val="17"/>
          <w:color w:val="auto"/>
        </w:rPr>
        <w:t>reviewed such other financial studies and analyses, performed such other investigations, and took into account such other matters as Canaccord Genuity deemed necessary, including an assessment of general economic, market and monetary conditions.</w:t>
      </w:r>
    </w:p>
    <w:p>
      <w:pPr>
        <w:spacing w:after="0" w:line="98"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In connection with Canaccord Genuity’s review and arriving at its opinion, Canaccord Genuity has not independently verified any of the foregoing information, has relied on such information, has assumed that all such information is complete and accurate in all material respects, and has relied on assurances of the management of BCTG and Tango that they are not aware of any facts that would make such information misleading in any material respect. With respect to the internal financial forecasts and other forward-looking financial information provided to Canaccord Genuity by senior management of BCTG and Tango, Canaccord Genuity has assumed, with BCTG’s consent, that they have been reasonably prepared on bases reflecting the best currently available estimates and judgments of such management. Canaccord Genuity has also assumed that the Business Combination will be consummated upon the terms set forth in the Merger Agreement, without waiver, modification or amendment of any material term, condition or agreement therein which would be in any way meaningful to its analysis. Canaccord Genuity has also assumed that, in the course of obtaining necessary regulatory and third-party approvals and consents for the Business Combination, no modification, delay, limitation, restriction or conditions will be imposed that will have an adverse effect on BCTG or Tango or the contemplated benefits of the Transaction in any way meaningful to its analysis.</w:t>
      </w:r>
    </w:p>
    <w:p>
      <w:pPr>
        <w:spacing w:after="0" w:line="103"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Canaccord Genuity’s opinion is limited to the fairness, from a financial point of view, to BCTG of the Base Purchase Price, and it expresses no opinion as to the fairness of the Business Combination to the holders of any class of securities, creditors or other constituencies of BCTG. Canaccord Genuity’s opinion does not address the relative merits of the Business Combination as compared to other business strategies or transactions that might be available to BCTG, nor does it address the underlying business decision of BCTG to proceed with the Business Combination or any view on any other term or aspect of the Merger Agreement. Canaccord Genuity also notes that it is not a legal, accounting, regulatory or tax expert and has relied on the assessments made by BCTG and its advisors with respect to such matters. Canaccord Genuity has not considered, and it expresses no opinion as to, the fairness of the amount or nature of the compensation to be paid to any BCTG officers, directors or employees, or class of such persons. Further, Canaccord Genuity expresses no view or opinion as to in the future what the value of BCTG Common Stock actually will be when issued or the price or range of prices at which BCTG Common Stock or any other securities may trade or otherwise be transferable at any time, including following announcement or consummation of the Business Combination.</w:t>
      </w:r>
    </w:p>
    <w:p>
      <w:pPr>
        <w:spacing w:after="0" w:line="93"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color w:val="auto"/>
        </w:rPr>
        <w:t>Canaccord Genuity was not requested to conduct and did not conduct, nor has Canaccord Genuity relied upon, any independent valuation or appraisal of any of the assets of Tango. Canaccord Genuity also has not evaluated the solvency of any party to the Merger Agreement under any state or federal laws, rules or regulations relating to bankruptcy, insolvency or similar matters. Canaccord Genuity assumed, with BCTG’s consent, that any material liabilities (contingent or otherwise, known or unknown) of Tango are as set forth in the financial statements of Tango provided to Canaccord Genuity.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Summary of Financial Analyses</w:t>
      </w:r>
    </w:p>
    <w:p>
      <w:pPr>
        <w:spacing w:after="0" w:line="158"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The following is a summary of the material financial analyses performed by Canaccord Genuity in connection with rendering its opinion dated April 13, 2021 described above. The following summary, however, does not purport to be a complete description of the factors considered or financial analyses performed by Canaccord Genuity, nor does the order of analyses described represent relative importance or weight given to those analyses by Canaccord Genuity. Some of these summaries of the financial analyses include information presented in tabular format. The tables must be read together with the full text of each summary and are alone not a complete description of Canaccord Genuity’s financial analyses. In performing its analyses, Canaccord Genuity made numerous assumptions with respect to industry performance, general business and economic conditions and other matters, many of which are beyond the control of Tango or any other parties to the Merger Agreement. Any estimates contained in these analyses are not necessarily indicative of actual values or predictive of future results or values, which may be significantly more or less favorable than as set forth below. Except as otherwise noted, the following quantitative information, to the extent that it is based on market data, is based on market data as it existed on or before April 12, 2021 (the date immediately prior to delivery of Canaccord Genuity’s opinion) and is not necessarily indicative of current market conditions.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9" w:name="page130"/>
    <w:bookmarkEnd w:id="12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i w:val="1"/>
          <w:iCs w:val="1"/>
          <w:color w:val="auto"/>
        </w:rPr>
        <w:t xml:space="preserve">Selected Initial Public Offering Precedent Analysis. </w:t>
      </w:r>
      <w:r>
        <w:rPr>
          <w:rFonts w:ascii="Arial" w:cs="Arial" w:eastAsia="Arial" w:hAnsi="Arial"/>
          <w:sz w:val="17"/>
          <w:szCs w:val="17"/>
          <w:color w:val="auto"/>
        </w:rPr>
        <w:t>Canaccord Genuity reviewed certain publicly</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financial information related to initial public offerings (IPOs) of selected preclinical / IND oncology companies since January 2019 that, based on Canaccord Genuity’s experience and professional judgment, share similar business characteristics to Tango. No company utilized in the selected precedent IPO analysis is directly comparable to Tango and certain of these companies may have financial, business and/or operating characteristics that are materially different from those of Tango. However, the companies were selected, among other reasons, because they are recent issuers in IPOs with businesses that, for purposes of Canaccord Genuity’s analysis, may be considered similar to that of Tango based on industry sector and the stage of development of key products.</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selected IPOs are listed below:</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291"/>
              <w:spacing w:after="0"/>
              <w:rPr>
                <w:sz w:val="20"/>
                <w:szCs w:val="20"/>
                <w:color w:val="auto"/>
              </w:rPr>
            </w:pPr>
            <w:r>
              <w:rPr>
                <w:rFonts w:ascii="Arial" w:cs="Arial" w:eastAsia="Arial" w:hAnsi="Arial"/>
                <w:sz w:val="16"/>
                <w:szCs w:val="16"/>
                <w:b w:val="1"/>
                <w:bCs w:val="1"/>
                <w:color w:val="auto"/>
                <w:w w:val="99"/>
              </w:rPr>
              <w:t>Implied</w:t>
            </w:r>
          </w:p>
        </w:tc>
        <w:tc>
          <w:tcPr>
            <w:tcW w:w="0" w:type="dxa"/>
            <w:vAlign w:val="bottom"/>
          </w:tcPr>
          <w:p>
            <w:pPr>
              <w:spacing w:after="0"/>
              <w:rPr>
                <w:sz w:val="1"/>
                <w:szCs w:val="1"/>
                <w:color w:val="auto"/>
              </w:rPr>
            </w:pPr>
          </w:p>
        </w:tc>
      </w:tr>
      <w:tr>
        <w:trPr>
          <w:trHeight w:val="207"/>
        </w:trPr>
        <w:tc>
          <w:tcPr>
            <w:tcW w:w="2560" w:type="dxa"/>
            <w:vAlign w:val="bottom"/>
            <w:vMerge w:val="restart"/>
          </w:tcPr>
          <w:p>
            <w:pPr>
              <w:spacing w:after="0"/>
              <w:rPr>
                <w:sz w:val="20"/>
                <w:szCs w:val="20"/>
                <w:color w:val="auto"/>
              </w:rPr>
            </w:pPr>
            <w:r>
              <w:rPr>
                <w:rFonts w:ascii="Arial" w:cs="Arial" w:eastAsia="Arial" w:hAnsi="Arial"/>
                <w:sz w:val="16"/>
                <w:szCs w:val="16"/>
                <w:b w:val="1"/>
                <w:bCs w:val="1"/>
                <w:color w:val="auto"/>
              </w:rPr>
              <w:t>IPO Pricing Date</w:t>
            </w:r>
          </w:p>
        </w:tc>
        <w:tc>
          <w:tcPr>
            <w:tcW w:w="100" w:type="dxa"/>
            <w:vAlign w:val="bottom"/>
          </w:tcPr>
          <w:p>
            <w:pPr>
              <w:spacing w:after="0"/>
              <w:rPr>
                <w:sz w:val="17"/>
                <w:szCs w:val="17"/>
                <w:color w:val="auto"/>
              </w:rPr>
            </w:pPr>
          </w:p>
        </w:tc>
        <w:tc>
          <w:tcPr>
            <w:tcW w:w="4060" w:type="dxa"/>
            <w:vAlign w:val="bottom"/>
            <w:vMerge w:val="restart"/>
          </w:tcPr>
          <w:p>
            <w:pPr>
              <w:ind w:left="1820"/>
              <w:spacing w:after="0"/>
              <w:rPr>
                <w:sz w:val="20"/>
                <w:szCs w:val="20"/>
                <w:color w:val="auto"/>
              </w:rPr>
            </w:pPr>
            <w:r>
              <w:rPr>
                <w:rFonts w:ascii="Arial" w:cs="Arial" w:eastAsia="Arial" w:hAnsi="Arial"/>
                <w:sz w:val="16"/>
                <w:szCs w:val="16"/>
                <w:b w:val="1"/>
                <w:bCs w:val="1"/>
                <w:color w:val="auto"/>
              </w:rPr>
              <w:t>Issuer</w:t>
            </w:r>
          </w:p>
        </w:tc>
        <w:tc>
          <w:tcPr>
            <w:tcW w:w="1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Enterprise Value</w:t>
            </w:r>
          </w:p>
        </w:tc>
        <w:tc>
          <w:tcPr>
            <w:tcW w:w="0" w:type="dxa"/>
            <w:vAlign w:val="bottom"/>
          </w:tcPr>
          <w:p>
            <w:pPr>
              <w:spacing w:after="0"/>
              <w:rPr>
                <w:sz w:val="1"/>
                <w:szCs w:val="1"/>
                <w:color w:val="auto"/>
              </w:rPr>
            </w:pPr>
          </w:p>
        </w:tc>
      </w:tr>
      <w:tr>
        <w:trPr>
          <w:trHeight w:val="206"/>
        </w:trPr>
        <w:tc>
          <w:tcPr>
            <w:tcW w:w="2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vMerge w:val="continue"/>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b w:val="1"/>
                <w:bCs w:val="1"/>
                <w:i w:val="1"/>
                <w:iCs w:val="1"/>
                <w:color w:val="auto"/>
              </w:rPr>
              <w:t>($</w:t>
            </w:r>
          </w:p>
        </w:tc>
        <w:tc>
          <w:tcPr>
            <w:tcW w:w="960" w:type="dxa"/>
            <w:vAlign w:val="bottom"/>
          </w:tcPr>
          <w:p>
            <w:pPr>
              <w:jc w:val="right"/>
              <w:ind w:right="91"/>
              <w:spacing w:after="0"/>
              <w:rPr>
                <w:sz w:val="20"/>
                <w:szCs w:val="20"/>
                <w:color w:val="auto"/>
              </w:rPr>
            </w:pPr>
            <w:r>
              <w:rPr>
                <w:rFonts w:ascii="Arial" w:cs="Arial" w:eastAsia="Arial" w:hAnsi="Arial"/>
                <w:sz w:val="16"/>
                <w:szCs w:val="16"/>
                <w:b w:val="1"/>
                <w:bCs w:val="1"/>
                <w:i w:val="1"/>
                <w:iCs w:val="1"/>
                <w:color w:val="auto"/>
                <w:w w:val="89"/>
              </w:rPr>
              <w:t>in millions)</w:t>
            </w:r>
          </w:p>
        </w:tc>
        <w:tc>
          <w:tcPr>
            <w:tcW w:w="0" w:type="dxa"/>
            <w:vAlign w:val="bottom"/>
          </w:tcPr>
          <w:p>
            <w:pPr>
              <w:spacing w:after="0"/>
              <w:rPr>
                <w:sz w:val="1"/>
                <w:szCs w:val="1"/>
                <w:color w:val="auto"/>
              </w:rPr>
            </w:pPr>
          </w:p>
        </w:tc>
      </w:tr>
      <w:tr>
        <w:trPr>
          <w:trHeight w:val="47"/>
        </w:trPr>
        <w:tc>
          <w:tcPr>
            <w:tcW w:w="2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03/25/21</w:t>
            </w:r>
          </w:p>
        </w:tc>
        <w:tc>
          <w:tcPr>
            <w:tcW w:w="10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Ikena Oncology, Inc.</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0"/>
                <w:szCs w:val="20"/>
                <w:color w:val="auto"/>
              </w:rPr>
            </w:pPr>
            <w:r>
              <w:rPr>
                <w:rFonts w:ascii="Arial" w:cs="Arial" w:eastAsia="Arial" w:hAnsi="Arial"/>
                <w:sz w:val="18"/>
                <w:szCs w:val="18"/>
                <w:color w:val="auto"/>
              </w:rPr>
              <w:t>03/24/21</w:t>
            </w:r>
          </w:p>
        </w:tc>
        <w:tc>
          <w:tcPr>
            <w:tcW w:w="4160" w:type="dxa"/>
            <w:vAlign w:val="bottom"/>
            <w:gridSpan w:val="2"/>
          </w:tcPr>
          <w:p>
            <w:pPr>
              <w:ind w:left="100"/>
              <w:spacing w:after="0"/>
              <w:rPr>
                <w:sz w:val="20"/>
                <w:szCs w:val="20"/>
                <w:color w:val="auto"/>
              </w:rPr>
            </w:pPr>
            <w:r>
              <w:rPr>
                <w:rFonts w:ascii="Arial" w:cs="Arial" w:eastAsia="Arial" w:hAnsi="Arial"/>
                <w:sz w:val="18"/>
                <w:szCs w:val="18"/>
                <w:color w:val="auto"/>
              </w:rPr>
              <w:t>Lava Therapeutics N.V.</w:t>
            </w:r>
          </w:p>
        </w:tc>
        <w:tc>
          <w:tcPr>
            <w:tcW w:w="42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40"/>
        </w:trPr>
        <w:tc>
          <w:tcPr>
            <w:tcW w:w="2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02/04/21</w:t>
            </w:r>
          </w:p>
        </w:tc>
        <w:tc>
          <w:tcPr>
            <w:tcW w:w="41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Vor Biopharma Inc.</w:t>
            </w:r>
          </w:p>
        </w:tc>
        <w:tc>
          <w:tcPr>
            <w:tcW w:w="420" w:type="dxa"/>
            <w:vAlign w:val="bottom"/>
            <w:tcBorders>
              <w:bottom w:val="single" w:sz="8" w:color="CCEEFF"/>
            </w:tcBorders>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0"/>
                <w:szCs w:val="20"/>
                <w:color w:val="auto"/>
              </w:rPr>
            </w:pPr>
            <w:r>
              <w:rPr>
                <w:rFonts w:ascii="Arial" w:cs="Arial" w:eastAsia="Arial" w:hAnsi="Arial"/>
                <w:sz w:val="18"/>
                <w:szCs w:val="18"/>
                <w:color w:val="auto"/>
              </w:rPr>
              <w:t>12/02/20</w:t>
            </w:r>
          </w:p>
        </w:tc>
        <w:tc>
          <w:tcPr>
            <w:tcW w:w="4160" w:type="dxa"/>
            <w:vAlign w:val="bottom"/>
            <w:gridSpan w:val="2"/>
          </w:tcPr>
          <w:p>
            <w:pPr>
              <w:ind w:left="100"/>
              <w:spacing w:after="0"/>
              <w:rPr>
                <w:sz w:val="20"/>
                <w:szCs w:val="20"/>
                <w:color w:val="auto"/>
              </w:rPr>
            </w:pPr>
            <w:r>
              <w:rPr>
                <w:rFonts w:ascii="Arial" w:cs="Arial" w:eastAsia="Arial" w:hAnsi="Arial"/>
                <w:sz w:val="18"/>
                <w:szCs w:val="18"/>
                <w:color w:val="auto"/>
              </w:rPr>
              <w:t>Kinnate Biopharma Inc.</w:t>
            </w:r>
          </w:p>
        </w:tc>
        <w:tc>
          <w:tcPr>
            <w:tcW w:w="42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553.3</w:t>
            </w:r>
          </w:p>
        </w:tc>
        <w:tc>
          <w:tcPr>
            <w:tcW w:w="0" w:type="dxa"/>
            <w:vAlign w:val="bottom"/>
          </w:tcPr>
          <w:p>
            <w:pPr>
              <w:spacing w:after="0"/>
              <w:rPr>
                <w:sz w:val="1"/>
                <w:szCs w:val="1"/>
                <w:color w:val="auto"/>
              </w:rPr>
            </w:pPr>
          </w:p>
        </w:tc>
      </w:tr>
      <w:tr>
        <w:trPr>
          <w:trHeight w:val="40"/>
        </w:trPr>
        <w:tc>
          <w:tcPr>
            <w:tcW w:w="2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10/22/20</w:t>
            </w:r>
          </w:p>
        </w:tc>
        <w:tc>
          <w:tcPr>
            <w:tcW w:w="41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Foghorn Therapeutics Inc.</w:t>
            </w:r>
          </w:p>
        </w:tc>
        <w:tc>
          <w:tcPr>
            <w:tcW w:w="420" w:type="dxa"/>
            <w:vAlign w:val="bottom"/>
            <w:tcBorders>
              <w:bottom w:val="single" w:sz="8" w:color="CCEEFF"/>
            </w:tcBorders>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0"/>
                <w:szCs w:val="20"/>
                <w:color w:val="auto"/>
              </w:rPr>
            </w:pPr>
            <w:r>
              <w:rPr>
                <w:rFonts w:ascii="Arial" w:cs="Arial" w:eastAsia="Arial" w:hAnsi="Arial"/>
                <w:sz w:val="18"/>
                <w:szCs w:val="18"/>
                <w:color w:val="auto"/>
              </w:rPr>
              <w:t>10/01/20</w:t>
            </w:r>
          </w:p>
        </w:tc>
        <w:tc>
          <w:tcPr>
            <w:tcW w:w="4160" w:type="dxa"/>
            <w:vAlign w:val="bottom"/>
            <w:gridSpan w:val="2"/>
          </w:tcPr>
          <w:p>
            <w:pPr>
              <w:ind w:left="100"/>
              <w:spacing w:after="0"/>
              <w:rPr>
                <w:sz w:val="20"/>
                <w:szCs w:val="20"/>
                <w:color w:val="auto"/>
              </w:rPr>
            </w:pPr>
            <w:r>
              <w:rPr>
                <w:rFonts w:ascii="Arial" w:cs="Arial" w:eastAsia="Arial" w:hAnsi="Arial"/>
                <w:sz w:val="18"/>
                <w:szCs w:val="18"/>
                <w:color w:val="auto"/>
              </w:rPr>
              <w:t>C4 Therapeutics, Inc.</w:t>
            </w:r>
          </w:p>
        </w:tc>
        <w:tc>
          <w:tcPr>
            <w:tcW w:w="42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476.4</w:t>
            </w:r>
          </w:p>
        </w:tc>
        <w:tc>
          <w:tcPr>
            <w:tcW w:w="0" w:type="dxa"/>
            <w:vAlign w:val="bottom"/>
          </w:tcPr>
          <w:p>
            <w:pPr>
              <w:spacing w:after="0"/>
              <w:rPr>
                <w:sz w:val="1"/>
                <w:szCs w:val="1"/>
                <w:color w:val="auto"/>
              </w:rPr>
            </w:pPr>
          </w:p>
        </w:tc>
      </w:tr>
      <w:tr>
        <w:trPr>
          <w:trHeight w:val="41"/>
        </w:trPr>
        <w:tc>
          <w:tcPr>
            <w:tcW w:w="2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09/24/20</w:t>
            </w:r>
          </w:p>
        </w:tc>
        <w:tc>
          <w:tcPr>
            <w:tcW w:w="41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PMV Pharmaceuticals, Inc.</w:t>
            </w:r>
          </w:p>
        </w:tc>
        <w:tc>
          <w:tcPr>
            <w:tcW w:w="420" w:type="dxa"/>
            <w:vAlign w:val="bottom"/>
            <w:tcBorders>
              <w:bottom w:val="single" w:sz="8" w:color="CCEEFF"/>
            </w:tcBorders>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0"/>
                <w:szCs w:val="20"/>
                <w:color w:val="auto"/>
              </w:rPr>
            </w:pPr>
            <w:r>
              <w:rPr>
                <w:rFonts w:ascii="Arial" w:cs="Arial" w:eastAsia="Arial" w:hAnsi="Arial"/>
                <w:sz w:val="18"/>
                <w:szCs w:val="18"/>
                <w:color w:val="auto"/>
              </w:rPr>
              <w:t>07/23/20</w:t>
            </w:r>
          </w:p>
        </w:tc>
        <w:tc>
          <w:tcPr>
            <w:tcW w:w="4160" w:type="dxa"/>
            <w:vAlign w:val="bottom"/>
            <w:gridSpan w:val="2"/>
          </w:tcPr>
          <w:p>
            <w:pPr>
              <w:ind w:left="100"/>
              <w:spacing w:after="0"/>
              <w:rPr>
                <w:sz w:val="20"/>
                <w:szCs w:val="20"/>
                <w:color w:val="auto"/>
              </w:rPr>
            </w:pPr>
            <w:r>
              <w:rPr>
                <w:rFonts w:ascii="Arial" w:cs="Arial" w:eastAsia="Arial" w:hAnsi="Arial"/>
                <w:sz w:val="18"/>
                <w:szCs w:val="18"/>
                <w:color w:val="auto"/>
              </w:rPr>
              <w:t>Nurix Therapeutics, Inc.</w:t>
            </w:r>
          </w:p>
        </w:tc>
        <w:tc>
          <w:tcPr>
            <w:tcW w:w="42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40"/>
        </w:trPr>
        <w:tc>
          <w:tcPr>
            <w:tcW w:w="2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07/09/20</w:t>
            </w:r>
          </w:p>
        </w:tc>
        <w:tc>
          <w:tcPr>
            <w:tcW w:w="41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Nkarta, Inc.</w:t>
            </w:r>
          </w:p>
        </w:tc>
        <w:tc>
          <w:tcPr>
            <w:tcW w:w="420" w:type="dxa"/>
            <w:vAlign w:val="bottom"/>
            <w:tcBorders>
              <w:bottom w:val="single" w:sz="8" w:color="CCEEFF"/>
            </w:tcBorders>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0"/>
                <w:szCs w:val="20"/>
                <w:color w:val="auto"/>
              </w:rPr>
            </w:pPr>
            <w:r>
              <w:rPr>
                <w:rFonts w:ascii="Arial" w:cs="Arial" w:eastAsia="Arial" w:hAnsi="Arial"/>
                <w:sz w:val="18"/>
                <w:szCs w:val="18"/>
                <w:color w:val="auto"/>
              </w:rPr>
              <w:t>06/18/20</w:t>
            </w:r>
          </w:p>
        </w:tc>
        <w:tc>
          <w:tcPr>
            <w:tcW w:w="4160" w:type="dxa"/>
            <w:vAlign w:val="bottom"/>
            <w:gridSpan w:val="2"/>
          </w:tcPr>
          <w:p>
            <w:pPr>
              <w:ind w:left="100"/>
              <w:spacing w:after="0"/>
              <w:rPr>
                <w:sz w:val="20"/>
                <w:szCs w:val="20"/>
                <w:color w:val="auto"/>
              </w:rPr>
            </w:pPr>
            <w:r>
              <w:rPr>
                <w:rFonts w:ascii="Arial" w:cs="Arial" w:eastAsia="Arial" w:hAnsi="Arial"/>
                <w:sz w:val="18"/>
                <w:szCs w:val="18"/>
                <w:color w:val="auto"/>
              </w:rPr>
              <w:t>Repare Therapeutics, Inc.</w:t>
            </w:r>
          </w:p>
        </w:tc>
        <w:tc>
          <w:tcPr>
            <w:tcW w:w="42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411.3</w:t>
            </w:r>
          </w:p>
        </w:tc>
        <w:tc>
          <w:tcPr>
            <w:tcW w:w="0" w:type="dxa"/>
            <w:vAlign w:val="bottom"/>
          </w:tcPr>
          <w:p>
            <w:pPr>
              <w:spacing w:after="0"/>
              <w:rPr>
                <w:sz w:val="1"/>
                <w:szCs w:val="1"/>
                <w:color w:val="auto"/>
              </w:rPr>
            </w:pPr>
          </w:p>
        </w:tc>
      </w:tr>
      <w:tr>
        <w:trPr>
          <w:trHeight w:val="40"/>
        </w:trPr>
        <w:tc>
          <w:tcPr>
            <w:tcW w:w="2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02/05/20</w:t>
            </w:r>
          </w:p>
        </w:tc>
        <w:tc>
          <w:tcPr>
            <w:tcW w:w="41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Shrödinger, Inc.</w:t>
            </w:r>
          </w:p>
        </w:tc>
        <w:tc>
          <w:tcPr>
            <w:tcW w:w="420" w:type="dxa"/>
            <w:vAlign w:val="bottom"/>
            <w:tcBorders>
              <w:bottom w:val="single" w:sz="8" w:color="CCEEFF"/>
            </w:tcBorders>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836.8</w:t>
            </w: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0"/>
                <w:szCs w:val="20"/>
                <w:color w:val="auto"/>
              </w:rPr>
            </w:pPr>
            <w:r>
              <w:rPr>
                <w:rFonts w:ascii="Arial" w:cs="Arial" w:eastAsia="Arial" w:hAnsi="Arial"/>
                <w:sz w:val="18"/>
                <w:szCs w:val="18"/>
                <w:color w:val="auto"/>
              </w:rPr>
              <w:t>09/17/19</w:t>
            </w:r>
          </w:p>
        </w:tc>
        <w:tc>
          <w:tcPr>
            <w:tcW w:w="4160" w:type="dxa"/>
            <w:vAlign w:val="bottom"/>
            <w:gridSpan w:val="2"/>
          </w:tcPr>
          <w:p>
            <w:pPr>
              <w:ind w:left="100"/>
              <w:spacing w:after="0"/>
              <w:rPr>
                <w:sz w:val="20"/>
                <w:szCs w:val="20"/>
                <w:color w:val="auto"/>
              </w:rPr>
            </w:pPr>
            <w:r>
              <w:rPr>
                <w:rFonts w:ascii="Arial" w:cs="Arial" w:eastAsia="Arial" w:hAnsi="Arial"/>
                <w:sz w:val="18"/>
                <w:szCs w:val="18"/>
                <w:color w:val="auto"/>
              </w:rPr>
              <w:t>IGM Boisciences, Inc.</w:t>
            </w:r>
          </w:p>
        </w:tc>
        <w:tc>
          <w:tcPr>
            <w:tcW w:w="42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40"/>
        </w:trPr>
        <w:tc>
          <w:tcPr>
            <w:tcW w:w="2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06/19/19</w:t>
            </w:r>
          </w:p>
        </w:tc>
        <w:tc>
          <w:tcPr>
            <w:tcW w:w="41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Atreca, Inc.</w:t>
            </w:r>
          </w:p>
        </w:tc>
        <w:tc>
          <w:tcPr>
            <w:tcW w:w="420" w:type="dxa"/>
            <w:vAlign w:val="bottom"/>
            <w:tcBorders>
              <w:bottom w:val="single" w:sz="8" w:color="CCEEFF"/>
            </w:tcBorders>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0"/>
                <w:szCs w:val="20"/>
                <w:color w:val="auto"/>
              </w:rPr>
            </w:pPr>
            <w:r>
              <w:rPr>
                <w:rFonts w:ascii="Arial" w:cs="Arial" w:eastAsia="Arial" w:hAnsi="Arial"/>
                <w:sz w:val="18"/>
                <w:szCs w:val="18"/>
                <w:color w:val="auto"/>
              </w:rPr>
              <w:t>03/27/19</w:t>
            </w:r>
          </w:p>
        </w:tc>
        <w:tc>
          <w:tcPr>
            <w:tcW w:w="4160" w:type="dxa"/>
            <w:vAlign w:val="bottom"/>
            <w:gridSpan w:val="2"/>
          </w:tcPr>
          <w:p>
            <w:pPr>
              <w:ind w:left="100"/>
              <w:spacing w:after="0"/>
              <w:rPr>
                <w:sz w:val="20"/>
                <w:szCs w:val="20"/>
                <w:color w:val="auto"/>
              </w:rPr>
            </w:pPr>
            <w:r>
              <w:rPr>
                <w:rFonts w:ascii="Arial" w:cs="Arial" w:eastAsia="Arial" w:hAnsi="Arial"/>
                <w:sz w:val="18"/>
                <w:szCs w:val="18"/>
                <w:color w:val="auto"/>
              </w:rPr>
              <w:t>Precision BioSciences, Inc.</w:t>
            </w:r>
          </w:p>
        </w:tc>
        <w:tc>
          <w:tcPr>
            <w:tcW w:w="42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40"/>
        </w:trPr>
        <w:tc>
          <w:tcPr>
            <w:tcW w:w="2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02/13/19</w:t>
            </w: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TCR2 Therapeutics, Inc.</w:t>
            </w:r>
          </w:p>
        </w:tc>
        <w:tc>
          <w:tcPr>
            <w:tcW w:w="42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40"/>
        </w:trPr>
        <w:tc>
          <w:tcPr>
            <w:tcW w:w="2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Canaccord Genuity calculated the pre-money implied enterprise value of the issuer in each of the IPOs at the time of pricing of such IPO based on information obtained from filings with the SEC, the Capital IQ database, and other public sources. For this analysis, Canaccord Genuity calculated enterprise value as fully-diluted, pre-money equity value based on the IPO offer price and the pre-offer outstanding shares of the issuer on a fully-diluted basis (determined using the treasury stock method), plus total debt (including warrant liabilities, as applicable), minus cash and cash equivalents. Based on its analysis and other considerations that Canaccord Genuity deemed relevant in its experience and professional judgment, Canaccord Genuity derived a range of implied enterprise values for Tango based on the first quartile and third quartile enterprise values of the issuers in the selected IPOs of $263.6 million and $479.5 million, respectively. Applying this range of implied enterprise values and adding to such range Tango’s unaudited cash and cash equivalents of $207.0 million and subtracting from it Tango’s total debt of $0.0 million (in each case as of March 31, 2021 and provided by Tango’s management), Canaccord Genuity derived a range of implied equity values for Tango of $470.6 million to $686.6 million.</w:t>
      </w:r>
    </w:p>
    <w:p>
      <w:pPr>
        <w:spacing w:after="0" w:line="105" w:lineRule="exact"/>
        <w:rPr>
          <w:sz w:val="20"/>
          <w:szCs w:val="20"/>
          <w:color w:val="auto"/>
        </w:rPr>
      </w:pPr>
    </w:p>
    <w:p>
      <w:pPr>
        <w:ind w:left="460" w:right="639" w:firstLine="432"/>
        <w:spacing w:after="0" w:line="290" w:lineRule="auto"/>
        <w:rPr>
          <w:sz w:val="20"/>
          <w:szCs w:val="20"/>
          <w:color w:val="auto"/>
        </w:rPr>
      </w:pPr>
      <w:r>
        <w:rPr>
          <w:rFonts w:ascii="Arial" w:cs="Arial" w:eastAsia="Arial" w:hAnsi="Arial"/>
          <w:sz w:val="16"/>
          <w:szCs w:val="16"/>
          <w:i w:val="1"/>
          <w:iCs w:val="1"/>
          <w:color w:val="auto"/>
        </w:rPr>
        <w:t xml:space="preserve">Selected Public Companies Analysis. </w:t>
      </w:r>
      <w:r>
        <w:rPr>
          <w:rFonts w:ascii="Arial" w:cs="Arial" w:eastAsia="Arial" w:hAnsi="Arial"/>
          <w:sz w:val="16"/>
          <w:szCs w:val="16"/>
          <w:color w:val="auto"/>
        </w:rPr>
        <w:t>Canaccord Genuity reviewed certain publicly available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for selected public oncology companies with no phase 1 data that, based on its experience and professional judgment, share similar business characteristics to Tango. No company utilized in the selected public companies analysis is directly comparable to Tango and certain of these companies may have financial, business and/or operating characteristics that are materially different from those of Tango. However, the companies were selected, among other reasons, because they are publicly-traded companies with businesses that, for purposes of Canaccord Genuity’s analysis, may be considered similar to that of Tango based on industry sector and the stage of development of key products.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0" w:name="page131"/>
    <w:bookmarkEnd w:id="13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selected public companies are listed below:</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31"/>
              <w:spacing w:after="0"/>
              <w:rPr>
                <w:sz w:val="20"/>
                <w:szCs w:val="20"/>
                <w:color w:val="auto"/>
              </w:rPr>
            </w:pPr>
            <w:r>
              <w:rPr>
                <w:rFonts w:ascii="Arial" w:cs="Arial" w:eastAsia="Arial" w:hAnsi="Arial"/>
                <w:sz w:val="16"/>
                <w:szCs w:val="16"/>
                <w:b w:val="1"/>
                <w:bCs w:val="1"/>
                <w:color w:val="auto"/>
              </w:rPr>
              <w:t>Implied Enterprise</w:t>
            </w:r>
          </w:p>
        </w:tc>
      </w:tr>
      <w:tr>
        <w:trPr>
          <w:trHeight w:val="210"/>
        </w:trPr>
        <w:tc>
          <w:tcPr>
            <w:tcW w:w="6560" w:type="dxa"/>
            <w:vAlign w:val="bottom"/>
            <w:gridSpan w:val="2"/>
          </w:tcPr>
          <w:p>
            <w:pPr>
              <w:spacing w:after="0"/>
              <w:rPr>
                <w:sz w:val="20"/>
                <w:szCs w:val="20"/>
                <w:color w:val="auto"/>
              </w:rPr>
            </w:pPr>
            <w:r>
              <w:rPr>
                <w:rFonts w:ascii="Arial" w:cs="Arial" w:eastAsia="Arial" w:hAnsi="Arial"/>
                <w:sz w:val="16"/>
                <w:szCs w:val="16"/>
                <w:b w:val="1"/>
                <w:bCs w:val="1"/>
                <w:color w:val="auto"/>
              </w:rPr>
              <w:t>Issuer</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 xml:space="preserve">Value </w:t>
            </w:r>
            <w:r>
              <w:rPr>
                <w:rFonts w:ascii="Arial" w:cs="Arial" w:eastAsia="Arial" w:hAnsi="Arial"/>
                <w:sz w:val="16"/>
                <w:szCs w:val="16"/>
                <w:b w:val="1"/>
                <w:bCs w:val="1"/>
                <w:i w:val="1"/>
                <w:i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i w:val="1"/>
                <w:iCs w:val="1"/>
                <w:color w:val="auto"/>
                <w:w w:val="92"/>
              </w:rPr>
              <w:t>in millions)</w:t>
            </w:r>
          </w:p>
        </w:tc>
      </w:tr>
      <w:tr>
        <w:trPr>
          <w:trHeight w:val="46"/>
        </w:trPr>
        <w:tc>
          <w:tcPr>
            <w:tcW w:w="6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43"/>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C4 Therapeutics, Inc.</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982.0</w:t>
            </w:r>
          </w:p>
        </w:tc>
      </w:tr>
      <w:tr>
        <w:trPr>
          <w:trHeight w:val="243"/>
        </w:trPr>
        <w:tc>
          <w:tcPr>
            <w:tcW w:w="6560" w:type="dxa"/>
            <w:vAlign w:val="bottom"/>
            <w:gridSpan w:val="2"/>
          </w:tcPr>
          <w:p>
            <w:pPr>
              <w:spacing w:after="0"/>
              <w:rPr>
                <w:sz w:val="20"/>
                <w:szCs w:val="20"/>
                <w:color w:val="auto"/>
              </w:rPr>
            </w:pPr>
            <w:r>
              <w:rPr>
                <w:rFonts w:ascii="Arial" w:cs="Arial" w:eastAsia="Arial" w:hAnsi="Arial"/>
                <w:sz w:val="18"/>
                <w:szCs w:val="18"/>
                <w:color w:val="auto"/>
              </w:rPr>
              <w:t>Kinnate Biopharma Inc.</w:t>
            </w: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921.4</w:t>
            </w:r>
          </w:p>
        </w:tc>
      </w:tr>
      <w:tr>
        <w:trPr>
          <w:trHeight w:val="40"/>
        </w:trPr>
        <w:tc>
          <w:tcPr>
            <w:tcW w:w="6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6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Vor Biopharma Inc.</w:t>
            </w:r>
          </w:p>
        </w:tc>
        <w:tc>
          <w:tcPr>
            <w:tcW w:w="660" w:type="dxa"/>
            <w:vAlign w:val="bottom"/>
            <w:tcBorders>
              <w:bottom w:val="single" w:sz="8" w:color="CCEEFF"/>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913.2</w:t>
            </w:r>
          </w:p>
        </w:tc>
      </w:tr>
      <w:tr>
        <w:trPr>
          <w:trHeight w:val="243"/>
        </w:trPr>
        <w:tc>
          <w:tcPr>
            <w:tcW w:w="6560" w:type="dxa"/>
            <w:vAlign w:val="bottom"/>
            <w:gridSpan w:val="2"/>
          </w:tcPr>
          <w:p>
            <w:pPr>
              <w:spacing w:after="0"/>
              <w:rPr>
                <w:sz w:val="20"/>
                <w:szCs w:val="20"/>
                <w:color w:val="auto"/>
              </w:rPr>
            </w:pPr>
            <w:r>
              <w:rPr>
                <w:rFonts w:ascii="Arial" w:cs="Arial" w:eastAsia="Arial" w:hAnsi="Arial"/>
                <w:sz w:val="18"/>
                <w:szCs w:val="18"/>
                <w:color w:val="auto"/>
              </w:rPr>
              <w:t>Repare Therapeutics Inc.</w:t>
            </w: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901.3</w:t>
            </w:r>
          </w:p>
        </w:tc>
      </w:tr>
      <w:tr>
        <w:trPr>
          <w:trHeight w:val="41"/>
        </w:trPr>
        <w:tc>
          <w:tcPr>
            <w:tcW w:w="6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Nurix Therapeutics, Inc.</w:t>
            </w:r>
          </w:p>
        </w:tc>
        <w:tc>
          <w:tcPr>
            <w:tcW w:w="660" w:type="dxa"/>
            <w:vAlign w:val="bottom"/>
            <w:tcBorders>
              <w:bottom w:val="single" w:sz="8" w:color="CCEEFF"/>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721.7</w:t>
            </w:r>
          </w:p>
        </w:tc>
      </w:tr>
      <w:tr>
        <w:trPr>
          <w:trHeight w:val="243"/>
        </w:trPr>
        <w:tc>
          <w:tcPr>
            <w:tcW w:w="6560" w:type="dxa"/>
            <w:vAlign w:val="bottom"/>
            <w:gridSpan w:val="2"/>
          </w:tcPr>
          <w:p>
            <w:pPr>
              <w:spacing w:after="0"/>
              <w:rPr>
                <w:sz w:val="20"/>
                <w:szCs w:val="20"/>
                <w:color w:val="auto"/>
              </w:rPr>
            </w:pPr>
            <w:r>
              <w:rPr>
                <w:rFonts w:ascii="Arial" w:cs="Arial" w:eastAsia="Arial" w:hAnsi="Arial"/>
                <w:sz w:val="18"/>
                <w:szCs w:val="18"/>
                <w:color w:val="auto"/>
              </w:rPr>
              <w:t>Immunome, Inc.</w:t>
            </w: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317.3</w:t>
            </w:r>
          </w:p>
        </w:tc>
      </w:tr>
      <w:tr>
        <w:trPr>
          <w:trHeight w:val="40"/>
        </w:trPr>
        <w:tc>
          <w:tcPr>
            <w:tcW w:w="6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43"/>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Lava Therapeutics N.V.</w:t>
            </w:r>
          </w:p>
        </w:tc>
        <w:tc>
          <w:tcPr>
            <w:tcW w:w="660" w:type="dxa"/>
            <w:vAlign w:val="bottom"/>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r>
      <w:tr>
        <w:trPr>
          <w:trHeight w:val="40"/>
        </w:trPr>
        <w:tc>
          <w:tcPr>
            <w:tcW w:w="6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Canaccord Genuity calculated the implied enterprise value of each of the selected public companies based on information obtained from filings with the SEC, the Capital IQ database, and other public sources. For this analysis, Canaccord Genuity calculated enterprise value as fully-diluted equity value (determined using the treasury stock method and adjusted for financings), plus total debt (adjusted for financings and warrant liabilities, as applicable), minus cash and cash equivalents (adjusted for financings and milestone payments, as applicable). Based on its analysis and other considerations that Canaccord Genuity deemed relevant in its experience and professional judgment, Canaccord Genuity derived a range of enterprise values for Tango based on the first quartile and third quartile enterprise values of the selected public companies of $519.5 million and $917.3 million, respectively. Applying this range of enterprise values and adding to such range Tango’s unaudited cash and cash equivalents of $207.0 million and subtracting from it Tango’s total debt of $0.0 million (in each case as of March 31, 2021 and provided by Tango’s management), Canaccord Genuity derived a range of equity values for Tango of $726.5 million to $1,124.3 million.</w:t>
      </w:r>
    </w:p>
    <w:p>
      <w:pPr>
        <w:spacing w:after="0" w:line="100"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i w:val="1"/>
          <w:iCs w:val="1"/>
          <w:color w:val="auto"/>
        </w:rPr>
        <w:t>Selected Precedent Transaction Analysis</w:t>
      </w:r>
      <w:r>
        <w:rPr>
          <w:rFonts w:ascii="Arial" w:cs="Arial" w:eastAsia="Arial" w:hAnsi="Arial"/>
          <w:sz w:val="17"/>
          <w:szCs w:val="17"/>
          <w:color w:val="auto"/>
        </w:rPr>
        <w:t>. Canaccord Genuity reviewed certain publicly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information for selected transactions involving oncology companies that, based on its experience and professional judgment, involved companies that share similar business characteristics to Tango. No company utilized in the selected transactions analysis is directly comparable to Tango and certain of these companies may have financial, business and/or operating characteristics that are materially different from those of Tango. However, the transactions were selected, among other reasons, because they involved companies with businesses that, for purposes of Canaccord Genuity’s analysis, may be considered similar to that of Tango based on industry sector and the stage of development of key products. Each of these transactions was publicly announced on or after May 2, 2018.</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selected transactions are listed below:</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w w:val="95"/>
              </w:rPr>
              <w:t>Implied Enterprise</w:t>
            </w:r>
          </w:p>
        </w:tc>
      </w:tr>
      <w:tr>
        <w:trPr>
          <w:trHeight w:val="210"/>
        </w:trPr>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Announcement Date</w:t>
            </w:r>
          </w:p>
        </w:tc>
        <w:tc>
          <w:tcPr>
            <w:tcW w:w="2380" w:type="dxa"/>
            <w:vAlign w:val="bottom"/>
            <w:gridSpan w:val="2"/>
          </w:tcPr>
          <w:p>
            <w:pPr>
              <w:ind w:left="920"/>
              <w:spacing w:after="0"/>
              <w:rPr>
                <w:sz w:val="20"/>
                <w:szCs w:val="20"/>
                <w:color w:val="auto"/>
              </w:rPr>
            </w:pPr>
            <w:r>
              <w:rPr>
                <w:rFonts w:ascii="Arial" w:cs="Arial" w:eastAsia="Arial" w:hAnsi="Arial"/>
                <w:sz w:val="16"/>
                <w:szCs w:val="16"/>
                <w:b w:val="1"/>
                <w:bCs w:val="1"/>
                <w:color w:val="auto"/>
              </w:rPr>
              <w:t>Target</w:t>
            </w:r>
          </w:p>
        </w:tc>
        <w:tc>
          <w:tcPr>
            <w:tcW w:w="2720" w:type="dxa"/>
            <w:vAlign w:val="bottom"/>
            <w:gridSpan w:val="2"/>
          </w:tcPr>
          <w:p>
            <w:pPr>
              <w:ind w:left="1000"/>
              <w:spacing w:after="0"/>
              <w:rPr>
                <w:sz w:val="20"/>
                <w:szCs w:val="20"/>
                <w:color w:val="auto"/>
              </w:rPr>
            </w:pPr>
            <w:r>
              <w:rPr>
                <w:rFonts w:ascii="Arial" w:cs="Arial" w:eastAsia="Arial" w:hAnsi="Arial"/>
                <w:sz w:val="16"/>
                <w:szCs w:val="16"/>
                <w:b w:val="1"/>
                <w:bCs w:val="1"/>
                <w:color w:val="auto"/>
              </w:rPr>
              <w:t>Acquiror</w:t>
            </w:r>
          </w:p>
        </w:tc>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 xml:space="preserve">Value </w:t>
            </w:r>
            <w:r>
              <w:rPr>
                <w:rFonts w:ascii="Arial" w:cs="Arial" w:eastAsia="Arial" w:hAnsi="Arial"/>
                <w:sz w:val="16"/>
                <w:szCs w:val="16"/>
                <w:b w:val="1"/>
                <w:bCs w:val="1"/>
                <w:i w:val="1"/>
                <w:iCs w:val="1"/>
                <w:color w:val="auto"/>
                <w:w w:val="91"/>
              </w:rPr>
              <w:t>($ in millions)</w:t>
            </w:r>
          </w:p>
        </w:tc>
      </w:tr>
      <w:tr>
        <w:trPr>
          <w:trHeight w:val="47"/>
        </w:trPr>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3"/>
        </w:trPr>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02/26/21</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Silicon Therapeutics LLC</w:t>
            </w:r>
          </w:p>
        </w:tc>
        <w:tc>
          <w:tcPr>
            <w:tcW w:w="10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Roivant Sciences, Inc.</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43"/>
        </w:trPr>
        <w:tc>
          <w:tcPr>
            <w:tcW w:w="1480" w:type="dxa"/>
            <w:vAlign w:val="bottom"/>
          </w:tcPr>
          <w:p>
            <w:pPr>
              <w:spacing w:after="0"/>
              <w:rPr>
                <w:sz w:val="20"/>
                <w:szCs w:val="20"/>
                <w:color w:val="auto"/>
              </w:rPr>
            </w:pPr>
            <w:r>
              <w:rPr>
                <w:rFonts w:ascii="Arial" w:cs="Arial" w:eastAsia="Arial" w:hAnsi="Arial"/>
                <w:sz w:val="18"/>
                <w:szCs w:val="18"/>
                <w:color w:val="auto"/>
              </w:rPr>
              <w:t>01/08/21</w:t>
            </w:r>
          </w:p>
        </w:tc>
        <w:tc>
          <w:tcPr>
            <w:tcW w:w="100" w:type="dxa"/>
            <w:vAlign w:val="bottom"/>
          </w:tcPr>
          <w:p>
            <w:pPr>
              <w:spacing w:after="0"/>
              <w:rPr>
                <w:sz w:val="21"/>
                <w:szCs w:val="21"/>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Celularity Inc.</w:t>
            </w:r>
          </w:p>
        </w:tc>
        <w:tc>
          <w:tcPr>
            <w:tcW w:w="2720" w:type="dxa"/>
            <w:vAlign w:val="bottom"/>
            <w:gridSpan w:val="2"/>
          </w:tcPr>
          <w:p>
            <w:pPr>
              <w:spacing w:after="0"/>
              <w:rPr>
                <w:sz w:val="20"/>
                <w:szCs w:val="20"/>
                <w:color w:val="auto"/>
              </w:rPr>
            </w:pPr>
            <w:r>
              <w:rPr>
                <w:rFonts w:ascii="Arial" w:cs="Arial" w:eastAsia="Arial" w:hAnsi="Arial"/>
                <w:sz w:val="18"/>
                <w:szCs w:val="18"/>
                <w:color w:val="auto"/>
              </w:rPr>
              <w:t>GX Acquisition Corp.</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1,226.3</w:t>
            </w:r>
          </w:p>
        </w:tc>
      </w:tr>
      <w:tr>
        <w:trPr>
          <w:trHeight w:val="40"/>
        </w:trPr>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02"/>
        </w:trPr>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 Boehringer Sohn AG &amp; Co.</w:t>
            </w: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51"/>
        </w:trPr>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12/10/20</w:t>
            </w: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NBE-Therapeutics GmbH</w:t>
            </w:r>
          </w:p>
        </w:tc>
        <w:tc>
          <w:tcPr>
            <w:tcW w:w="2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KG</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1,432.8</w:t>
            </w:r>
          </w:p>
        </w:tc>
      </w:tr>
      <w:tr>
        <w:trPr>
          <w:trHeight w:val="243"/>
        </w:trPr>
        <w:tc>
          <w:tcPr>
            <w:tcW w:w="1480" w:type="dxa"/>
            <w:vAlign w:val="bottom"/>
          </w:tcPr>
          <w:p>
            <w:pPr>
              <w:spacing w:after="0"/>
              <w:rPr>
                <w:sz w:val="20"/>
                <w:szCs w:val="20"/>
                <w:color w:val="auto"/>
              </w:rPr>
            </w:pPr>
            <w:r>
              <w:rPr>
                <w:rFonts w:ascii="Arial" w:cs="Arial" w:eastAsia="Arial" w:hAnsi="Arial"/>
                <w:sz w:val="18"/>
                <w:szCs w:val="18"/>
                <w:color w:val="auto"/>
              </w:rPr>
              <w:t>10/21/20</w:t>
            </w:r>
          </w:p>
        </w:tc>
        <w:tc>
          <w:tcPr>
            <w:tcW w:w="100" w:type="dxa"/>
            <w:vAlign w:val="bottom"/>
          </w:tcPr>
          <w:p>
            <w:pPr>
              <w:spacing w:after="0"/>
              <w:rPr>
                <w:sz w:val="21"/>
                <w:szCs w:val="21"/>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Nuvation Bio, Inc.</w:t>
            </w:r>
          </w:p>
        </w:tc>
        <w:tc>
          <w:tcPr>
            <w:tcW w:w="2720" w:type="dxa"/>
            <w:vAlign w:val="bottom"/>
            <w:gridSpan w:val="2"/>
          </w:tcPr>
          <w:p>
            <w:pPr>
              <w:spacing w:after="0"/>
              <w:rPr>
                <w:sz w:val="20"/>
                <w:szCs w:val="20"/>
                <w:color w:val="auto"/>
              </w:rPr>
            </w:pPr>
            <w:r>
              <w:rPr>
                <w:rFonts w:ascii="Arial" w:cs="Arial" w:eastAsia="Arial" w:hAnsi="Arial"/>
                <w:sz w:val="18"/>
                <w:szCs w:val="18"/>
                <w:color w:val="auto"/>
              </w:rPr>
              <w:t>Panacea Acquisition Corp.</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1,322.0</w:t>
            </w:r>
          </w:p>
        </w:tc>
      </w:tr>
      <w:tr>
        <w:trPr>
          <w:trHeight w:val="40"/>
        </w:trPr>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02"/>
        </w:trPr>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Pionyr Immunotherapeutics</w:t>
            </w:r>
          </w:p>
        </w:tc>
        <w:tc>
          <w:tcPr>
            <w:tcW w:w="2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51"/>
        </w:trPr>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06/23/20</w:t>
            </w: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w:t>
            </w:r>
          </w:p>
        </w:tc>
        <w:tc>
          <w:tcPr>
            <w:tcW w:w="2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Gilead Sciences, Inc.</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1,796.0</w:t>
            </w:r>
          </w:p>
        </w:tc>
      </w:tr>
      <w:tr>
        <w:trPr>
          <w:trHeight w:val="243"/>
        </w:trPr>
        <w:tc>
          <w:tcPr>
            <w:tcW w:w="1480" w:type="dxa"/>
            <w:vAlign w:val="bottom"/>
          </w:tcPr>
          <w:p>
            <w:pPr>
              <w:spacing w:after="0"/>
              <w:rPr>
                <w:sz w:val="20"/>
                <w:szCs w:val="20"/>
                <w:color w:val="auto"/>
              </w:rPr>
            </w:pPr>
            <w:r>
              <w:rPr>
                <w:rFonts w:ascii="Arial" w:cs="Arial" w:eastAsia="Arial" w:hAnsi="Arial"/>
                <w:sz w:val="18"/>
                <w:szCs w:val="18"/>
                <w:color w:val="auto"/>
              </w:rPr>
              <w:t>12/26/19</w:t>
            </w:r>
          </w:p>
        </w:tc>
        <w:tc>
          <w:tcPr>
            <w:tcW w:w="100" w:type="dxa"/>
            <w:vAlign w:val="bottom"/>
          </w:tcPr>
          <w:p>
            <w:pPr>
              <w:spacing w:after="0"/>
              <w:rPr>
                <w:sz w:val="21"/>
                <w:szCs w:val="21"/>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Xyphos Biosciences, Inc.</w:t>
            </w:r>
          </w:p>
        </w:tc>
        <w:tc>
          <w:tcPr>
            <w:tcW w:w="2720" w:type="dxa"/>
            <w:vAlign w:val="bottom"/>
            <w:gridSpan w:val="2"/>
          </w:tcPr>
          <w:p>
            <w:pPr>
              <w:spacing w:after="0"/>
              <w:rPr>
                <w:sz w:val="20"/>
                <w:szCs w:val="20"/>
                <w:color w:val="auto"/>
              </w:rPr>
            </w:pPr>
            <w:r>
              <w:rPr>
                <w:rFonts w:ascii="Arial" w:cs="Arial" w:eastAsia="Arial" w:hAnsi="Arial"/>
                <w:sz w:val="18"/>
                <w:szCs w:val="18"/>
                <w:color w:val="auto"/>
              </w:rPr>
              <w:t>Astellas Pharma Inc.</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665.0</w:t>
            </w:r>
          </w:p>
        </w:tc>
      </w:tr>
      <w:tr>
        <w:trPr>
          <w:trHeight w:val="40"/>
        </w:trPr>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12/09/19</w:t>
            </w:r>
          </w:p>
        </w:tc>
        <w:tc>
          <w:tcPr>
            <w:tcW w:w="10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Synthorx, Inc.</w:t>
            </w:r>
          </w:p>
        </w:tc>
        <w:tc>
          <w:tcPr>
            <w:tcW w:w="2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Sanofi</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2,350.0</w:t>
            </w:r>
          </w:p>
        </w:tc>
      </w:tr>
      <w:tr>
        <w:trPr>
          <w:trHeight w:val="243"/>
        </w:trPr>
        <w:tc>
          <w:tcPr>
            <w:tcW w:w="1480" w:type="dxa"/>
            <w:vAlign w:val="bottom"/>
          </w:tcPr>
          <w:p>
            <w:pPr>
              <w:spacing w:after="0"/>
              <w:rPr>
                <w:sz w:val="20"/>
                <w:szCs w:val="20"/>
                <w:color w:val="auto"/>
              </w:rPr>
            </w:pPr>
            <w:r>
              <w:rPr>
                <w:rFonts w:ascii="Arial" w:cs="Arial" w:eastAsia="Arial" w:hAnsi="Arial"/>
                <w:sz w:val="18"/>
                <w:szCs w:val="18"/>
                <w:color w:val="auto"/>
              </w:rPr>
              <w:t>06/10/19</w:t>
            </w:r>
          </w:p>
        </w:tc>
        <w:tc>
          <w:tcPr>
            <w:tcW w:w="100" w:type="dxa"/>
            <w:vAlign w:val="bottom"/>
          </w:tcPr>
          <w:p>
            <w:pPr>
              <w:spacing w:after="0"/>
              <w:rPr>
                <w:sz w:val="21"/>
                <w:szCs w:val="21"/>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Tilos Therapeutics, Inc.</w:t>
            </w:r>
          </w:p>
        </w:tc>
        <w:tc>
          <w:tcPr>
            <w:tcW w:w="2720" w:type="dxa"/>
            <w:vAlign w:val="bottom"/>
            <w:gridSpan w:val="2"/>
          </w:tcPr>
          <w:p>
            <w:pPr>
              <w:spacing w:after="0"/>
              <w:rPr>
                <w:sz w:val="20"/>
                <w:szCs w:val="20"/>
                <w:color w:val="auto"/>
              </w:rPr>
            </w:pPr>
            <w:r>
              <w:rPr>
                <w:rFonts w:ascii="Arial" w:cs="Arial" w:eastAsia="Arial" w:hAnsi="Arial"/>
                <w:sz w:val="18"/>
                <w:szCs w:val="18"/>
                <w:color w:val="auto"/>
              </w:rPr>
              <w:t>Merck &amp; Co., Inc.</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773.0</w:t>
            </w:r>
          </w:p>
        </w:tc>
      </w:tr>
      <w:tr>
        <w:trPr>
          <w:trHeight w:val="40"/>
        </w:trPr>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4"/>
        </w:trPr>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09/28/18</w:t>
            </w:r>
          </w:p>
        </w:tc>
        <w:tc>
          <w:tcPr>
            <w:tcW w:w="10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Tusk Therapeutics Ltd</w:t>
            </w:r>
          </w:p>
        </w:tc>
        <w:tc>
          <w:tcPr>
            <w:tcW w:w="2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Roche Holding AG</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758.0</w:t>
            </w:r>
          </w:p>
        </w:tc>
      </w:tr>
      <w:tr>
        <w:trPr>
          <w:trHeight w:val="243"/>
        </w:trPr>
        <w:tc>
          <w:tcPr>
            <w:tcW w:w="1480" w:type="dxa"/>
            <w:vAlign w:val="bottom"/>
          </w:tcPr>
          <w:p>
            <w:pPr>
              <w:spacing w:after="0"/>
              <w:rPr>
                <w:sz w:val="20"/>
                <w:szCs w:val="20"/>
                <w:color w:val="auto"/>
              </w:rPr>
            </w:pPr>
            <w:r>
              <w:rPr>
                <w:rFonts w:ascii="Arial" w:cs="Arial" w:eastAsia="Arial" w:hAnsi="Arial"/>
                <w:sz w:val="18"/>
                <w:szCs w:val="18"/>
                <w:color w:val="auto"/>
              </w:rPr>
              <w:t>05/14/18</w:t>
            </w:r>
          </w:p>
        </w:tc>
        <w:tc>
          <w:tcPr>
            <w:tcW w:w="100" w:type="dxa"/>
            <w:vAlign w:val="bottom"/>
          </w:tcPr>
          <w:p>
            <w:pPr>
              <w:spacing w:after="0"/>
              <w:rPr>
                <w:sz w:val="21"/>
                <w:szCs w:val="21"/>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AurKa Pharma Inc.</w:t>
            </w:r>
          </w:p>
        </w:tc>
        <w:tc>
          <w:tcPr>
            <w:tcW w:w="2720" w:type="dxa"/>
            <w:vAlign w:val="bottom"/>
            <w:gridSpan w:val="2"/>
          </w:tcPr>
          <w:p>
            <w:pPr>
              <w:spacing w:after="0"/>
              <w:rPr>
                <w:sz w:val="20"/>
                <w:szCs w:val="20"/>
                <w:color w:val="auto"/>
              </w:rPr>
            </w:pPr>
            <w:r>
              <w:rPr>
                <w:rFonts w:ascii="Arial" w:cs="Arial" w:eastAsia="Arial" w:hAnsi="Arial"/>
                <w:sz w:val="18"/>
                <w:szCs w:val="18"/>
                <w:color w:val="auto"/>
              </w:rPr>
              <w:t>Eli Lilly and Company</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575.0</w:t>
            </w:r>
          </w:p>
        </w:tc>
      </w:tr>
      <w:tr>
        <w:trPr>
          <w:trHeight w:val="41"/>
        </w:trPr>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43"/>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05/02/18</w:t>
            </w:r>
          </w:p>
        </w:tc>
        <w:tc>
          <w:tcPr>
            <w:tcW w:w="100" w:type="dxa"/>
            <w:vAlign w:val="bottom"/>
            <w:shd w:val="clear" w:color="auto" w:fill="CCEEFF"/>
          </w:tcPr>
          <w:p>
            <w:pPr>
              <w:spacing w:after="0"/>
              <w:rPr>
                <w:sz w:val="21"/>
                <w:szCs w:val="21"/>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Benevir Biopharm, Inc.</w:t>
            </w: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Janssen Biotech, Inc.</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w:t>
            </w:r>
          </w:p>
        </w:tc>
      </w:tr>
      <w:tr>
        <w:trPr>
          <w:trHeight w:val="41"/>
        </w:trPr>
        <w:tc>
          <w:tcPr>
            <w:tcW w:w="1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Canaccord Genuity calculated the implied enterprise value of each of the public companies in the selected transactions based on information obtained from filings with the SEC, the Capital IQ database, BioCentury, Pitchbook, and other public sources. For this analysis, Canaccord Genuity calculated implied enterprise value as pre-announcement, fully-diluted equity value (determined using the treasury stock method), plus total debt</w:t>
      </w:r>
    </w:p>
    <w:p>
      <w:pPr>
        <w:sectPr>
          <w:pgSz w:w="11900" w:h="16838" w:orient="portrait"/>
          <w:cols w:equalWidth="0" w:num="1">
            <w:col w:w="9019"/>
          </w:cols>
          <w:pgMar w:left="1440" w:top="274" w:right="1440"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1" w:name="page132"/>
    <w:bookmarkEnd w:id="13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459"/>
        <w:spacing w:after="0" w:line="271" w:lineRule="auto"/>
        <w:rPr>
          <w:sz w:val="20"/>
          <w:szCs w:val="20"/>
          <w:color w:val="auto"/>
        </w:rPr>
      </w:pPr>
      <w:r>
        <w:rPr>
          <w:rFonts w:ascii="Arial" w:cs="Arial" w:eastAsia="Arial" w:hAnsi="Arial"/>
          <w:sz w:val="17"/>
          <w:szCs w:val="17"/>
          <w:color w:val="auto"/>
        </w:rPr>
        <w:t>(including warrant liabilities, as applicable), minus cash and cash equivalents. Based on its analysis and other considerations that Canaccord Genuity deemed relevant in its experience and professional judgment, Canaccord Genuity derived a range of implied enterprise values for Tango based on the first quartile and third quartile enterprise values of the companies in the selected transactions of $711.5 million and $1,377.4 million, respectively. Applying this range of implied enterprise values and adding to such range Tango’s unaudited cash and cash equivalents of $207.0 million and subtracting from it Tango’s total debt of $0.0 million (in each case as of March 31, 2021 and provided by Tango’s management), Canaccord Genuity derived a range of implied equity values for Tango of $918.5 million to $1,584.4 million.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4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Canaccord Genuity’s opinion. In arriving at its fairness determination, Canaccord Genuity considered the results of all of its analyses and did not attribute any particular weight to any factor or analysis considered by it. Rather, Canaccord Genuity made its determination as to fairness on the basis of its experience and professional judgment after considering the results of all of its analyses, taken as a whole. No company or transaction used in the above analyses as a comparison is directly comparable to Tango or the Transaction. The reasons for and the circumstances surrounding each of the selected companies and transactions analyzed were diverse and there are inherent differences in the business, operations, financial condition and prospects of Tango and the companies included in those analyses.</w:t>
      </w:r>
    </w:p>
    <w:p>
      <w:pPr>
        <w:spacing w:after="0" w:line="236" w:lineRule="exact"/>
        <w:rPr>
          <w:sz w:val="20"/>
          <w:szCs w:val="20"/>
          <w:color w:val="auto"/>
        </w:rPr>
      </w:pPr>
    </w:p>
    <w:p>
      <w:pPr>
        <w:ind w:left="1740" w:right="1839" w:firstLine="216"/>
        <w:spacing w:after="0" w:line="255" w:lineRule="auto"/>
        <w:rPr>
          <w:sz w:val="20"/>
          <w:szCs w:val="20"/>
          <w:color w:val="auto"/>
        </w:rPr>
      </w:pPr>
      <w:r>
        <w:rPr>
          <w:rFonts w:ascii="Arial" w:cs="Arial" w:eastAsia="Arial" w:hAnsi="Arial"/>
          <w:sz w:val="18"/>
          <w:szCs w:val="18"/>
          <w:i w:val="1"/>
          <w:iCs w:val="1"/>
          <w:color w:val="auto"/>
        </w:rPr>
        <w:t>Canaccord Genuity prepared these analyses for purposes of providing its opinion to the Board as to the fairness, from a financial point of view and as of the date of the opinion, to Parent of the Base Purchase Price pursuant to the Merger Agreement. These analyses do not purport to be appraisals, nor do they necessarily reflect the prices at which businesses or securities actually may be sold.</w:t>
      </w:r>
    </w:p>
    <w:p>
      <w:pPr>
        <w:spacing w:after="0" w:line="287"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The Base Purchase Price was determined through negotiations between BCTG and Tango and was approved by the Board. Canaccord Genuity did not provide advice to the Board during these negotiations. Canaccord Genuity did not recommend any specific amount of consideration to BCTG or the Board or that any specific amount of consideration constituted the only appropriate consideration for the Transaction.</w:t>
      </w:r>
    </w:p>
    <w:p>
      <w:pPr>
        <w:spacing w:after="0" w:line="104" w:lineRule="exact"/>
        <w:rPr>
          <w:sz w:val="20"/>
          <w:szCs w:val="20"/>
          <w:color w:val="auto"/>
        </w:rPr>
      </w:pPr>
    </w:p>
    <w:p>
      <w:pPr>
        <w:ind w:left="460" w:right="679" w:firstLine="432"/>
        <w:spacing w:after="0" w:line="293" w:lineRule="auto"/>
        <w:rPr>
          <w:sz w:val="20"/>
          <w:szCs w:val="20"/>
          <w:color w:val="auto"/>
        </w:rPr>
      </w:pPr>
      <w:r>
        <w:rPr>
          <w:rFonts w:ascii="Arial" w:cs="Arial" w:eastAsia="Arial" w:hAnsi="Arial"/>
          <w:sz w:val="16"/>
          <w:szCs w:val="16"/>
          <w:color w:val="auto"/>
        </w:rPr>
        <w:t xml:space="preserve">As described above, Canaccord Genuity’s opinion to the Board was one of many factors taken into consideration by the Board in making its determination to approve the Merger Agreement. The foregoing summary does not purport to be a complete description of the factors considered or financial analyses performed by Canaccord Genuity in connection with its opinion and is qualified in its entirety by reference to the full text of the written opinion of Canaccord Genuity attached to this proxy statement as </w:t>
      </w:r>
      <w:r>
        <w:rPr>
          <w:rFonts w:ascii="Arial" w:cs="Arial" w:eastAsia="Arial" w:hAnsi="Arial"/>
          <w:sz w:val="16"/>
          <w:szCs w:val="16"/>
          <w:i w:val="1"/>
          <w:iCs w:val="1"/>
          <w:color w:val="auto"/>
        </w:rPr>
        <w:t>Annex E</w:t>
      </w:r>
      <w:r>
        <w:rPr>
          <w:rFonts w:ascii="Arial" w:cs="Arial" w:eastAsia="Arial" w:hAnsi="Arial"/>
          <w:sz w:val="16"/>
          <w:szCs w:val="16"/>
          <w:color w:val="auto"/>
        </w:rPr>
        <w:t>. The issuance of Canaccord Genuity’s opinion was approved by a fairness committee of Canaccord Genuity.</w:t>
      </w:r>
    </w:p>
    <w:p>
      <w:pPr>
        <w:spacing w:after="0" w:line="83"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Canaccord Genuity, as part of its investment banking activities, is regularly engaged in the valuation of businesses and their securities in connection with mergers and acquisitions, negotiated underwritings, secondary distributions of listed and unlisted securities, private placements and valuations for corporate and other purposes. In the ordinary course of business, Canaccord Genuity and its affiliates may acquire, hold or sell, for its and its affiliates’ own accounts and the accounts of customers, equity, debt and other securities and financial instruments (including bank loans and other obligations) of BCTG and Tango, certain of their respective affiliates and any other company that may be involved in the Business Combination, as well as provide investment banking and other financial services to such companies.</w:t>
      </w:r>
    </w:p>
    <w:p>
      <w:pPr>
        <w:spacing w:after="0" w:line="111"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During the two years preceding the date of its opinion, Canaccord Genuity had not received any compensation from BCTG or Tango. Canaccord Genuity may provide investment banking and other services to or with respect to BCTG and its affiliates.</w:t>
      </w:r>
    </w:p>
    <w:p>
      <w:pPr>
        <w:spacing w:after="0" w:line="116"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Canaccord Genuity acted as financial advisor to BCTG in connection with the Business Combination, and was selected as BCTG’s financial advisor because it is a nationally recognized investment banking firm that has substantial experience in transactions similar to the Business Combination. Pursuant to a letter agreement, dated as of March 18, 2021, BCTG engaged Canaccord Genuity to act as its financial advisor in connection with the Business Combination and the delivery of a fairness opinion as described above. Pursuant to the terms of such letter agreement, BCTG agreed</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2" w:name="page133"/>
    <w:bookmarkEnd w:id="13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301" w:lineRule="auto"/>
        <w:rPr>
          <w:sz w:val="20"/>
          <w:szCs w:val="20"/>
          <w:color w:val="auto"/>
        </w:rPr>
      </w:pPr>
      <w:r>
        <w:rPr>
          <w:rFonts w:ascii="Arial" w:cs="Arial" w:eastAsia="Arial" w:hAnsi="Arial"/>
          <w:sz w:val="16"/>
          <w:szCs w:val="16"/>
          <w:color w:val="auto"/>
        </w:rPr>
        <w:t>to pay Canaccord Genuity a fee of $500,000 for its services, $250,000 payable upon delivery by Canaccord Genuity of its opinion dated April 13, 2021 and $250,000 contingent upon the successful completion of the Business Combination. In addition, BCTG has agreed to reimburse Canaccord Genuity for certain expenses and to indemnify Canaccord Genuity and related persons for liabilities relating to or arising out of its engagement.</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Satisfaction of 80% Test</w:t>
      </w:r>
    </w:p>
    <w:p>
      <w:pPr>
        <w:spacing w:after="0" w:line="162"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 xml:space="preserve">It is a requirement under the Nasdaq Rules that the business or assets acquired in BCTG’s initial business combination have a fair market value equal to at least 80% of BCTG’s assets held in the Trust Account (excluding taxes payable on the income earned on the Trust Account) at the time of the execution of a definitive agreement for such initial business combination. As of April 13, 2021, the date of the execution of the Merger Agreement, the fair value of marketable securities held in the Trust Account was approximately $167 million and 80% thereof represents approximately $134 million. In reaching its conclusion that the Business Combination meets the 80% asset test, the Board reviewed the consideration being paid to former Tango stockholders of approximately $550,000,000. In determining whether the amount being paid represents the fair market value of Tango, the Board considered all of the factors described in this section and the section of this proxy statement/prospectus titled </w:t>
      </w:r>
      <w:r>
        <w:rPr>
          <w:rFonts w:ascii="Arial" w:cs="Arial" w:eastAsia="Arial" w:hAnsi="Arial"/>
          <w:sz w:val="17"/>
          <w:szCs w:val="17"/>
          <w:i w:val="1"/>
          <w:iCs w:val="1"/>
          <w:color w:val="auto"/>
        </w:rPr>
        <w:t>“The Business Combination Proposal — The Merger Agreement,”</w:t>
      </w:r>
      <w:r>
        <w:rPr>
          <w:rFonts w:ascii="Arial" w:cs="Arial" w:eastAsia="Arial" w:hAnsi="Arial"/>
          <w:sz w:val="17"/>
          <w:szCs w:val="17"/>
          <w:color w:val="auto"/>
        </w:rPr>
        <w:t xml:space="preserve"> including the fairness opinion, and that the amount being paid was determined as a result of arm’s length negotiations. As a result, the Board concluded that the fair market value of the equity acquired was significantly in excess of 80% of the assets held in the Trust Account (excluding taxes payable on the income earned on the Trust Account).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Merger Agreement</w:t>
      </w:r>
    </w:p>
    <w:p>
      <w:pPr>
        <w:spacing w:after="0" w:line="158"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 xml:space="preserve">The subsections that follow this subsection describe the material provisions of the Merger Agreement, but do not purport to describe all of the terms of the Merger Agreement. The following summary is qualified in its entirety by reference to the complete text of the Merger Agreement, a copy of which is attached as </w:t>
      </w:r>
      <w:r>
        <w:rPr>
          <w:rFonts w:ascii="Arial" w:cs="Arial" w:eastAsia="Arial" w:hAnsi="Arial"/>
          <w:sz w:val="16"/>
          <w:szCs w:val="16"/>
          <w:i w:val="1"/>
          <w:iCs w:val="1"/>
          <w:u w:val="single" w:color="auto"/>
          <w:color w:val="auto"/>
        </w:rPr>
        <w:t>Annex A</w:t>
      </w:r>
      <w:r>
        <w:rPr>
          <w:rFonts w:ascii="Arial" w:cs="Arial" w:eastAsia="Arial" w:hAnsi="Arial"/>
          <w:sz w:val="16"/>
          <w:szCs w:val="16"/>
          <w:color w:val="auto"/>
        </w:rPr>
        <w:t xml:space="preserve"> hereto, which is incorporated herein by reference. BCTG stockholders and other interested parties are urged to read the Merger Agreement carefully and in its entirety (and, if appropriate, with the advice of financial and legal counsel) because it is the primary legal document that governs the Business Combination.</w:t>
      </w:r>
    </w:p>
    <w:p>
      <w:pPr>
        <w:spacing w:after="0" w:line="83" w:lineRule="exact"/>
        <w:rPr>
          <w:sz w:val="20"/>
          <w:szCs w:val="20"/>
          <w:color w:val="auto"/>
        </w:rPr>
      </w:pPr>
    </w:p>
    <w:p>
      <w:pPr>
        <w:ind w:left="460" w:right="599" w:firstLine="432"/>
        <w:spacing w:after="0" w:line="288" w:lineRule="auto"/>
        <w:rPr>
          <w:sz w:val="20"/>
          <w:szCs w:val="20"/>
          <w:color w:val="auto"/>
        </w:rPr>
      </w:pPr>
      <w:r>
        <w:rPr>
          <w:rFonts w:ascii="Arial" w:cs="Arial" w:eastAsia="Arial" w:hAnsi="Arial"/>
          <w:sz w:val="16"/>
          <w:szCs w:val="16"/>
          <w:color w:val="auto"/>
        </w:rPr>
        <w:t>The Merger Agreement contains representations, warranties and covenants that the respective parties made to each other as of the date of the Merger Agreement or other specific dates, which may be updated prior to the closing of the Business Combination. The assertions embodied in those representations, warranties and covenants were made for purposes of the contract among the respective parties and are subject to important qualifications and limitations agreed to by the parties in connection with negotiating the Merger Agreement. The representations, warranties and covenants in the Merger Agreement are also modified in important part by the disclosure schedules attached thereto which are not filed publicly and which are subject to a contractual standard of materiality different from that generally applicable to stockholders. The disclosure schedules were used for the purpose of allocating risk among the parties rather than establishing matters as facts. We do not believe that the disclosure schedules contain information that is material to an investment decision.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 Description of the Merger Agreement</w:t>
      </w:r>
    </w:p>
    <w:p>
      <w:pPr>
        <w:spacing w:after="0" w:line="162"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On April 13, 2021, BCTG, Tango Merger Sub entered into the Merger Agreement. The Merger Agreement was unanimously approved by BCTG’s board of directors on April 13, 2021. Pursuant to the terms of the Merger Agreement, at the closing of the transactions contemplated thereby, Merger Sub will merge with and into Tango, with Tango being the surviving corporation and following the merger Tango will be a wholly owned subsidiary of Tango. In connection with the Business Combination, BCTG shall be renamed “Tango Therapeutics, Inc.”</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Consideration</w:t>
      </w:r>
    </w:p>
    <w:p>
      <w:pPr>
        <w:spacing w:after="0" w:line="158"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Under the Merger Agreement, BCTG has agreed to acquire all of the outstanding shares of Tango common stock in exchange for $550,000,000 in aggregate consideration, comprising of 55,000,000 shares of BCTG common stock, based on a price of $10.00 per shares (such shares being referred to herein as the “</w:t>
      </w:r>
      <w:r>
        <w:rPr>
          <w:rFonts w:ascii="Arial" w:cs="Arial" w:eastAsia="Arial" w:hAnsi="Arial"/>
          <w:sz w:val="18"/>
          <w:szCs w:val="18"/>
          <w:b w:val="1"/>
          <w:bCs w:val="1"/>
          <w:color w:val="auto"/>
        </w:rPr>
        <w:t>Merger Consideration</w:t>
      </w:r>
      <w:r>
        <w:rPr>
          <w:rFonts w:ascii="Arial" w:cs="Arial" w:eastAsia="Arial" w:hAnsi="Arial"/>
          <w:sz w:val="18"/>
          <w:szCs w:val="18"/>
          <w:color w:val="auto"/>
        </w:rPr>
        <w:t>”).</w:t>
      </w:r>
    </w:p>
    <w:p>
      <w:pPr>
        <w:spacing w:after="0" w:line="106"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At the Effective Time, by virtue of the Merger and without any further action on the part of BCTG, Merger Sub or Tango (after Tango causes each share of Tango preferred stock that is issued and outstanding immediately prior to the consummation of the Business Combination to be automatically converted immediately prior to the consummation</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3" w:name="page134"/>
    <w:bookmarkEnd w:id="13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spacing w:after="0" w:line="286" w:lineRule="auto"/>
        <w:rPr>
          <w:sz w:val="20"/>
          <w:szCs w:val="20"/>
          <w:color w:val="auto"/>
        </w:rPr>
      </w:pPr>
      <w:r>
        <w:rPr>
          <w:rFonts w:ascii="Arial" w:cs="Arial" w:eastAsia="Arial" w:hAnsi="Arial"/>
          <w:sz w:val="16"/>
          <w:szCs w:val="16"/>
          <w:color w:val="auto"/>
        </w:rPr>
        <w:t>of the Business Combination into a number of shares of Tango common stock at the then-effective conversation rate as calculated in accordance with Tango’s organizational documents), each share of Tango common stock issued and outstanding immediately prior to the Effective Time (other than (i) any shares of Tango Stock subject to Tango Options, (ii) any shares of Tango Stock held in the treasury of Tango, which treasury shares shall be canceled as part of the Merger, and (iii) any shares of Tango Stock held by held by Tango stockholders who is entitled to demand and has properly exercised appraisal rights of such shares in accordance with Section 262 of the DGCL) shall be canceled and automatically converted into the right to receive a number of shares of BCTG equal in value to the quotient of the Merger Consideration divided by the fully diluted capitalization of Tango (the “</w:t>
      </w:r>
      <w:r>
        <w:rPr>
          <w:rFonts w:ascii="Arial" w:cs="Arial" w:eastAsia="Arial" w:hAnsi="Arial"/>
          <w:sz w:val="16"/>
          <w:szCs w:val="16"/>
          <w:b w:val="1"/>
          <w:bCs w:val="1"/>
          <w:color w:val="auto"/>
        </w:rPr>
        <w:t>Exchange Ratio</w:t>
      </w:r>
      <w:r>
        <w:rPr>
          <w:rFonts w:ascii="Arial" w:cs="Arial" w:eastAsia="Arial" w:hAnsi="Arial"/>
          <w:sz w:val="16"/>
          <w:szCs w:val="16"/>
          <w:color w:val="auto"/>
        </w:rPr>
        <w:t>”) without interest. If any shares of Tango Stock issued and outstanding immediately prior to the Effective Time are shares of Tango restricted stock, then the shares of BCTG Common Stock issued in exchange for such Tango restricted stock pursuant to the immediately preceding sentence shall to the same extent be unvested and subject to the same repurchase option or risk of forfeiture as in effect immediately prior to the Effective Time, and the certificates and/or book entries representing such shares of BCTG Common Stock shall accordingly be marked with appropriate legends.</w:t>
      </w:r>
    </w:p>
    <w:p>
      <w:pPr>
        <w:spacing w:after="0" w:line="103"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No certificates or scrip representing fractional shares of BCTG Common Stock will be issued pursuant to the Merger, and instead any such fractional share that would otherwise be issued will be rounded to the nearest whole share, with a holder of Tango’s capital stock’s portion of the Merger Consideration that would result in a fractional share of 0.50 or greater rounding up and a holder of Tango’s capital stock’s portion of the Merger Consideration that would result in a fractional share of less than 0.50 rounding down.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Treatment of Tango Options</w:t>
      </w:r>
    </w:p>
    <w:p>
      <w:pPr>
        <w:spacing w:after="0" w:line="15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Each Tango Option that is then outstanding shall be converted into an option relating to shares of BCTG Common Stock upon substantially the same terms and conditions as are in effect with respect to such option immediately prior to the Effective Time, including with respect to vesting and termination-related provisions (each, a “</w:t>
      </w:r>
      <w:r>
        <w:rPr>
          <w:rFonts w:ascii="Arial" w:cs="Arial" w:eastAsia="Arial" w:hAnsi="Arial"/>
          <w:sz w:val="17"/>
          <w:szCs w:val="17"/>
          <w:b w:val="1"/>
          <w:bCs w:val="1"/>
          <w:color w:val="auto"/>
        </w:rPr>
        <w:t>BCTG Option</w:t>
      </w:r>
      <w:r>
        <w:rPr>
          <w:rFonts w:ascii="Arial" w:cs="Arial" w:eastAsia="Arial" w:hAnsi="Arial"/>
          <w:sz w:val="17"/>
          <w:szCs w:val="17"/>
          <w:color w:val="auto"/>
        </w:rPr>
        <w:t>”) except that (a) such BCTG Option shall relate to that whole number of shares of BCTG Common Stock (rounded down to the nearest whole share) equal to the number of shares of Tango Stock (subject to such Tango Option), multiplied by the Exchange Ratio, and (b) the exercise price per share for each such BCTG Option shall be equal to the exercise price per share of such Tango Option in effect immediately prior to the Effective Time, divided by the Exchange Ratio (the exercise price per share, as so determined, being rounded up to the nearest full cent); provided, however, that the conversion of the Tango Options will be made in a manner consistent with Treasury Regulation Section 1.424-1, such that such conversion will not constitute a “modification” of such Tango Options for purposes of Section 409A or Section 424 of the Internal Revenue Code of 1986, as amended, or the Code.</w:t>
      </w:r>
    </w:p>
    <w:p>
      <w:pPr>
        <w:spacing w:after="0" w:line="98" w:lineRule="exact"/>
        <w:rPr>
          <w:sz w:val="20"/>
          <w:szCs w:val="20"/>
          <w:color w:val="auto"/>
        </w:rPr>
      </w:pPr>
    </w:p>
    <w:p>
      <w:pPr>
        <w:ind w:left="460" w:right="459" w:firstLine="474"/>
        <w:spacing w:after="0" w:line="257" w:lineRule="auto"/>
        <w:rPr>
          <w:sz w:val="20"/>
          <w:szCs w:val="20"/>
          <w:color w:val="auto"/>
        </w:rPr>
      </w:pPr>
      <w:r>
        <w:rPr>
          <w:rFonts w:ascii="Arial" w:cs="Arial" w:eastAsia="Arial" w:hAnsi="Arial"/>
          <w:sz w:val="18"/>
          <w:szCs w:val="18"/>
          <w:color w:val="auto"/>
        </w:rPr>
        <w:t>Tango shall also deliver to BCTG two business days prior to the Closing an equity allocation schedule setting forth each holder of Tango Stock and each holder of Tango Options, such stockholder’s or optionholder’s respective percentage of the Merger Consideration and corresponding number of shares of BCTG Common Stock (or options to purchase BCTG Common Stock) to be issued at Closing to each such stockholder or optionholder.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BCTG Post-Closing Board of Directors and Executive Officers</w:t>
      </w:r>
    </w:p>
    <w:p>
      <w:pPr>
        <w:spacing w:after="0" w:line="158"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Immediately following the Closing, BCTG’s board of directors will consist of seven directors, consisting of Barbara Weber, Reid Huber, Alexis Borisy, Malte Peters, Aaron Davis, Mace Rothenberg and Lesley Calhoun. At the closing, all of the executive officers of BCTG shall resign and the individuals serving as executive officers of BCTG immediately after the closing will be the same individuals (in the same offices) as those of Tango immediately prior to the closing.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Conditions to the Closing of the Merger</w:t>
      </w:r>
    </w:p>
    <w:p>
      <w:pPr>
        <w:spacing w:after="0" w:line="158" w:lineRule="exact"/>
        <w:rPr>
          <w:sz w:val="20"/>
          <w:szCs w:val="20"/>
          <w:color w:val="auto"/>
        </w:rPr>
      </w:pPr>
    </w:p>
    <w:p>
      <w:pPr>
        <w:ind w:left="460" w:right="919" w:firstLine="432"/>
        <w:spacing w:after="0" w:line="263" w:lineRule="auto"/>
        <w:rPr>
          <w:sz w:val="20"/>
          <w:szCs w:val="20"/>
          <w:color w:val="auto"/>
        </w:rPr>
      </w:pPr>
      <w:r>
        <w:rPr>
          <w:rFonts w:ascii="Arial" w:cs="Arial" w:eastAsia="Arial" w:hAnsi="Arial"/>
          <w:sz w:val="18"/>
          <w:szCs w:val="18"/>
          <w:color w:val="auto"/>
        </w:rPr>
        <w:t>Each party’s obligation to complete the Merger is subject to the satisfaction or waiver by each of the parties, at or prior to the closing of the Merger, of various conditions, which include, in addition to other customary closing conditions, the following: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Mutual Conditions</w:t>
      </w:r>
    </w:p>
    <w:p>
      <w:pPr>
        <w:spacing w:after="0" w:line="144" w:lineRule="exact"/>
        <w:rPr>
          <w:sz w:val="20"/>
          <w:szCs w:val="20"/>
          <w:color w:val="auto"/>
        </w:rPr>
      </w:pPr>
    </w:p>
    <w:p>
      <w:pPr>
        <w:ind w:left="1320" w:right="479" w:hanging="434"/>
        <w:spacing w:after="0" w:line="277" w:lineRule="auto"/>
        <w:tabs>
          <w:tab w:leader="none" w:pos="131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there shall not be any order or law in effect that restrains, enjoins, prevents, prohibits or make illegal the consummation of the Merger;</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4" w:name="page135"/>
    <w:bookmarkEnd w:id="13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1279" w:hanging="434"/>
        <w:spacing w:after="0" w:line="342" w:lineRule="auto"/>
        <w:tabs>
          <w:tab w:leader="none" w:pos="1311"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Merger and the Proposals shall have been approved by the required number of BCTG stockholders in accordance with BCTG’s organizational documents and the DGCL;</w:t>
      </w:r>
    </w:p>
    <w:p>
      <w:pPr>
        <w:spacing w:after="0" w:line="56" w:lineRule="exact"/>
        <w:rPr>
          <w:rFonts w:ascii="Arial" w:cs="Arial" w:eastAsia="Arial" w:hAnsi="Arial"/>
          <w:sz w:val="16"/>
          <w:szCs w:val="16"/>
          <w:color w:val="auto"/>
        </w:rPr>
      </w:pPr>
    </w:p>
    <w:p>
      <w:pPr>
        <w:ind w:left="1320" w:right="839" w:hanging="434"/>
        <w:spacing w:after="0" w:line="263" w:lineRule="auto"/>
        <w:tabs>
          <w:tab w:leader="none" w:pos="131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BCTG’s initial listing application in connection with the Business Combination shall have been approved by Nasdaq so that immediately following the Merger, BCTG satisfies any applicable initial and continuing listing requirements of Nasdaq;</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BCTG shall have net tangible assets of at least $5,000,001 upon consummation of the Merger;</w:t>
      </w:r>
    </w:p>
    <w:p>
      <w:pPr>
        <w:spacing w:after="0" w:line="155" w:lineRule="exact"/>
        <w:rPr>
          <w:rFonts w:ascii="Arial" w:cs="Arial" w:eastAsia="Arial" w:hAnsi="Arial"/>
          <w:sz w:val="17"/>
          <w:szCs w:val="17"/>
          <w:color w:val="auto"/>
        </w:rPr>
      </w:pPr>
    </w:p>
    <w:p>
      <w:pPr>
        <w:ind w:left="1320" w:right="1039" w:hanging="434"/>
        <w:spacing w:after="0" w:line="342" w:lineRule="auto"/>
        <w:tabs>
          <w:tab w:leader="none" w:pos="1311"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all consents, approvals and actions of, filings with and notices to any governmental authority required to consummate the Business Combination shall have been made or obtained;</w:t>
      </w:r>
    </w:p>
    <w:p>
      <w:pPr>
        <w:spacing w:after="0" w:line="56" w:lineRule="exact"/>
        <w:rPr>
          <w:rFonts w:ascii="Arial" w:cs="Arial" w:eastAsia="Arial" w:hAnsi="Arial"/>
          <w:sz w:val="16"/>
          <w:szCs w:val="16"/>
          <w:color w:val="auto"/>
        </w:rPr>
      </w:pPr>
    </w:p>
    <w:p>
      <w:pPr>
        <w:ind w:left="1320" w:right="619" w:hanging="434"/>
        <w:spacing w:after="0" w:line="277" w:lineRule="auto"/>
        <w:tabs>
          <w:tab w:leader="none" w:pos="131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Offer (as defined in the Merger Agreement) shall have been completed in accordance with the terms hereof and this proxy statement/prospectus; and</w:t>
      </w:r>
    </w:p>
    <w:p>
      <w:pPr>
        <w:spacing w:after="0" w:line="102" w:lineRule="exact"/>
        <w:rPr>
          <w:rFonts w:ascii="Arial" w:cs="Arial" w:eastAsia="Arial" w:hAnsi="Arial"/>
          <w:sz w:val="18"/>
          <w:szCs w:val="18"/>
          <w:color w:val="auto"/>
        </w:rPr>
      </w:pPr>
    </w:p>
    <w:p>
      <w:pPr>
        <w:ind w:left="1320" w:right="479" w:hanging="434"/>
        <w:spacing w:after="0" w:line="259" w:lineRule="auto"/>
        <w:tabs>
          <w:tab w:leader="none" w:pos="131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all required filings under the HSR Act shall have been completed and any applicable waiting period, any extensions thereof, and any commitments by the parties not to close before a certain date under a timing agreement entered into with a governmental authority shall have expired or otherwise been terminated.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Additional Conditions to BCTG and Merger Sub’s Obligation to Close</w:t>
      </w:r>
    </w:p>
    <w:p>
      <w:pPr>
        <w:spacing w:after="0" w:line="144"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The obligation of BCTG and Merger Sub to complete the Merger is further subject to the satisfaction or waiver of the following additional conditions:</w:t>
      </w:r>
    </w:p>
    <w:p>
      <w:pPr>
        <w:spacing w:after="0" w:line="103" w:lineRule="exact"/>
        <w:rPr>
          <w:sz w:val="20"/>
          <w:szCs w:val="20"/>
          <w:color w:val="auto"/>
        </w:rPr>
      </w:pPr>
    </w:p>
    <w:p>
      <w:pPr>
        <w:ind w:left="1320" w:right="499" w:hanging="434"/>
        <w:spacing w:after="0" w:line="257" w:lineRule="auto"/>
        <w:tabs>
          <w:tab w:leader="none" w:pos="131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certain fundamental representations and warranties of Tango that are qualified by materiality or material adverse effect standards shall be true and correct in all respects as of the date of the Merger Agreement and shall be true and correct on the Closing Date, except for the fundamental representations made as of an earlier date or time, which need be true and correct only as of such earlier date or time;</w:t>
      </w:r>
    </w:p>
    <w:p>
      <w:pPr>
        <w:spacing w:after="0" w:line="120" w:lineRule="exact"/>
        <w:rPr>
          <w:rFonts w:ascii="Arial" w:cs="Arial" w:eastAsia="Arial" w:hAnsi="Arial"/>
          <w:sz w:val="18"/>
          <w:szCs w:val="18"/>
          <w:color w:val="auto"/>
        </w:rPr>
      </w:pPr>
    </w:p>
    <w:p>
      <w:pPr>
        <w:ind w:left="1320" w:right="599" w:hanging="434"/>
        <w:spacing w:after="0" w:line="296" w:lineRule="auto"/>
        <w:tabs>
          <w:tab w:leader="none" w:pos="1311" w:val="left"/>
        </w:tabs>
        <w:numPr>
          <w:ilvl w:val="0"/>
          <w:numId w:val="181"/>
        </w:numPr>
        <w:rPr>
          <w:rFonts w:ascii="Arial" w:cs="Arial" w:eastAsia="Arial" w:hAnsi="Arial"/>
          <w:sz w:val="16"/>
          <w:szCs w:val="16"/>
          <w:color w:val="auto"/>
        </w:rPr>
      </w:pPr>
      <w:r>
        <w:rPr>
          <w:rFonts w:ascii="Arial" w:cs="Arial" w:eastAsia="Arial" w:hAnsi="Arial"/>
          <w:sz w:val="16"/>
          <w:szCs w:val="16"/>
          <w:color w:val="auto"/>
        </w:rPr>
        <w:t>certain representations of Tango, other than the fundamental representations, shall be true and correct as of the date of the Merger Agreement and shall be true and correct on the Closing Date except (i) for representations and warranties that speak as of a specific date or time (which need be true and correct only as of such date or time) and (ii) for breaches of such representations and warranties that, in the aggregate, would not have a material adverse effect;</w:t>
      </w:r>
    </w:p>
    <w:p>
      <w:pPr>
        <w:spacing w:after="0" w:line="80" w:lineRule="exact"/>
        <w:rPr>
          <w:rFonts w:ascii="Arial" w:cs="Arial" w:eastAsia="Arial" w:hAnsi="Arial"/>
          <w:sz w:val="16"/>
          <w:szCs w:val="16"/>
          <w:color w:val="auto"/>
        </w:rPr>
      </w:pPr>
    </w:p>
    <w:p>
      <w:pPr>
        <w:ind w:left="1320" w:right="759" w:hanging="434"/>
        <w:spacing w:after="0" w:line="277" w:lineRule="auto"/>
        <w:tabs>
          <w:tab w:leader="none" w:pos="131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Tango shall have performed in all material respects all obligations required to be performed by it under the Merger Agreement at or prior to the Closing Date;</w:t>
      </w:r>
    </w:p>
    <w:p>
      <w:pPr>
        <w:spacing w:after="0" w:line="102" w:lineRule="exact"/>
        <w:rPr>
          <w:rFonts w:ascii="Arial" w:cs="Arial" w:eastAsia="Arial" w:hAnsi="Arial"/>
          <w:sz w:val="18"/>
          <w:szCs w:val="18"/>
          <w:color w:val="auto"/>
        </w:rPr>
      </w:pPr>
    </w:p>
    <w:p>
      <w:pPr>
        <w:ind w:left="1320" w:right="499" w:hanging="434"/>
        <w:spacing w:after="0" w:line="342" w:lineRule="auto"/>
        <w:tabs>
          <w:tab w:leader="none" w:pos="1311" w:val="left"/>
        </w:tabs>
        <w:numPr>
          <w:ilvl w:val="0"/>
          <w:numId w:val="181"/>
        </w:numPr>
        <w:rPr>
          <w:rFonts w:ascii="Arial" w:cs="Arial" w:eastAsia="Arial" w:hAnsi="Arial"/>
          <w:sz w:val="16"/>
          <w:szCs w:val="16"/>
          <w:color w:val="auto"/>
        </w:rPr>
      </w:pPr>
      <w:r>
        <w:rPr>
          <w:rFonts w:ascii="Arial" w:cs="Arial" w:eastAsia="Arial" w:hAnsi="Arial"/>
          <w:sz w:val="16"/>
          <w:szCs w:val="16"/>
          <w:color w:val="auto"/>
        </w:rPr>
        <w:t>since the date of the Merger Agreement, there shall not be any event that is continuing that would individually, or in the aggregate, reasonably be expected to have a material adverse effect on Tango;</w:t>
      </w:r>
    </w:p>
    <w:p>
      <w:pPr>
        <w:spacing w:after="0" w:line="56" w:lineRule="exact"/>
        <w:rPr>
          <w:rFonts w:ascii="Arial" w:cs="Arial" w:eastAsia="Arial" w:hAnsi="Arial"/>
          <w:sz w:val="16"/>
          <w:szCs w:val="16"/>
          <w:color w:val="auto"/>
        </w:rPr>
      </w:pPr>
    </w:p>
    <w:p>
      <w:pPr>
        <w:ind w:left="1320" w:right="539" w:hanging="434"/>
        <w:spacing w:after="0" w:line="277" w:lineRule="auto"/>
        <w:tabs>
          <w:tab w:leader="none" w:pos="131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BCTG and Merger Sub shall have received a certificate attesting to the satisfaction of the foregoing conditions;</w:t>
      </w:r>
    </w:p>
    <w:p>
      <w:pPr>
        <w:spacing w:after="0" w:line="89" w:lineRule="exact"/>
        <w:rPr>
          <w:rFonts w:ascii="Arial" w:cs="Arial" w:eastAsia="Arial" w:hAnsi="Arial"/>
          <w:sz w:val="18"/>
          <w:szCs w:val="18"/>
          <w:color w:val="auto"/>
        </w:rPr>
      </w:pPr>
    </w:p>
    <w:p>
      <w:pPr>
        <w:ind w:left="1320" w:right="579" w:hanging="434"/>
        <w:spacing w:after="0" w:line="277" w:lineRule="auto"/>
        <w:tabs>
          <w:tab w:leader="none" w:pos="131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Tango shall have delivered a counterpart of each of the transaction documents to which it is a party to BCTG;</w:t>
      </w:r>
    </w:p>
    <w:p>
      <w:pPr>
        <w:spacing w:after="0" w:line="102" w:lineRule="exact"/>
        <w:rPr>
          <w:rFonts w:ascii="Arial" w:cs="Arial" w:eastAsia="Arial" w:hAnsi="Arial"/>
          <w:sz w:val="18"/>
          <w:szCs w:val="18"/>
          <w:color w:val="auto"/>
        </w:rPr>
      </w:pPr>
    </w:p>
    <w:p>
      <w:pPr>
        <w:ind w:left="1320" w:right="559" w:hanging="434"/>
        <w:spacing w:after="0" w:line="277" w:lineRule="auto"/>
        <w:tabs>
          <w:tab w:leader="none" w:pos="131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certain stockholders of Tango shall have executed and delivered to BCTG the lock-up agreement in the form attached to the Merger Agreement as Exhibit D;</w:t>
      </w:r>
    </w:p>
    <w:p>
      <w:pPr>
        <w:spacing w:after="0" w:line="102" w:lineRule="exact"/>
        <w:rPr>
          <w:rFonts w:ascii="Arial" w:cs="Arial" w:eastAsia="Arial" w:hAnsi="Arial"/>
          <w:sz w:val="18"/>
          <w:szCs w:val="18"/>
          <w:color w:val="auto"/>
        </w:rPr>
      </w:pPr>
    </w:p>
    <w:p>
      <w:pPr>
        <w:ind w:left="1320" w:right="459" w:hanging="434"/>
        <w:spacing w:after="0" w:line="259" w:lineRule="auto"/>
        <w:tabs>
          <w:tab w:leader="none" w:pos="131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BCTG shall have received copies of third party consents required under the Merger Agreement in form and substance reasonably satisfactory to BCTG, and no such consents have been revoked and the PIPE Financing and such listing shall have been approved by Nasdaq subject to official notice of issuance;</w:t>
      </w:r>
    </w:p>
    <w:p>
      <w:pPr>
        <w:spacing w:after="0" w:line="105" w:lineRule="exact"/>
        <w:rPr>
          <w:rFonts w:ascii="Arial" w:cs="Arial" w:eastAsia="Arial" w:hAnsi="Arial"/>
          <w:sz w:val="18"/>
          <w:szCs w:val="18"/>
          <w:color w:val="auto"/>
        </w:rPr>
      </w:pPr>
    </w:p>
    <w:p>
      <w:pPr>
        <w:ind w:left="1320" w:right="539" w:hanging="434"/>
        <w:spacing w:after="0" w:line="255" w:lineRule="auto"/>
        <w:tabs>
          <w:tab w:leader="none" w:pos="131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BCTG shall have received a certificate, signed by an officer of Tango, certifying that true, complete and correct copies of the resolutions of the directors of Tango authorizing the execution and delivery of the Merger Agreement and the other transaction documents to which it is a party and performance by Tango of the transactions underlying the Business Combination, including the Merger, having been duly and validly adopted and being in full force and effect as of the Closing Date, are attached to such certificate; and</w:t>
      </w:r>
    </w:p>
    <w:p>
      <w:pPr>
        <w:spacing w:after="0" w:line="124"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Tango shall have delivered to BCTG a certificate of good standing with respect to BCTG from State of Delaware</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5" w:name="page136"/>
    <w:bookmarkEnd w:id="13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Additional Conditions to Tango’s Obligation to Close</w:t>
      </w:r>
    </w:p>
    <w:p>
      <w:pPr>
        <w:spacing w:after="0" w:line="144" w:lineRule="exact"/>
        <w:rPr>
          <w:sz w:val="20"/>
          <w:szCs w:val="20"/>
          <w:color w:val="auto"/>
        </w:rPr>
      </w:pPr>
    </w:p>
    <w:p>
      <w:pPr>
        <w:ind w:left="460" w:right="899" w:firstLine="432"/>
        <w:spacing w:after="0" w:line="277" w:lineRule="auto"/>
        <w:rPr>
          <w:sz w:val="20"/>
          <w:szCs w:val="20"/>
          <w:color w:val="auto"/>
        </w:rPr>
      </w:pPr>
      <w:r>
        <w:rPr>
          <w:rFonts w:ascii="Arial" w:cs="Arial" w:eastAsia="Arial" w:hAnsi="Arial"/>
          <w:sz w:val="18"/>
          <w:szCs w:val="18"/>
          <w:color w:val="auto"/>
        </w:rPr>
        <w:t>The obligation of Tango to complete the Merger is further subject to the satisfaction or waiver of the following additional conditions:</w:t>
      </w:r>
    </w:p>
    <w:p>
      <w:pPr>
        <w:spacing w:after="0" w:line="103" w:lineRule="exact"/>
        <w:rPr>
          <w:sz w:val="20"/>
          <w:szCs w:val="20"/>
          <w:color w:val="auto"/>
        </w:rPr>
      </w:pPr>
    </w:p>
    <w:p>
      <w:pPr>
        <w:ind w:left="1320" w:right="519" w:hanging="434"/>
        <w:spacing w:after="0" w:line="296" w:lineRule="auto"/>
        <w:tabs>
          <w:tab w:leader="none" w:pos="1311"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representations and warranties of BCTG and Merger Sub set forth in the Merger Agreement shall be true and correct in all material respects, on and as of the Closing Date, as though made on and as of the Closing Date, except (i) to the extent of changes or developments contemplated by the terms of this Agreement and (ii) for such representations and warranties that speak as of a specific date or time (which need be true and correct only as of such date or time);</w:t>
      </w:r>
    </w:p>
    <w:p>
      <w:pPr>
        <w:spacing w:after="0" w:line="93" w:lineRule="exact"/>
        <w:rPr>
          <w:rFonts w:ascii="Arial" w:cs="Arial" w:eastAsia="Arial" w:hAnsi="Arial"/>
          <w:sz w:val="16"/>
          <w:szCs w:val="16"/>
          <w:color w:val="auto"/>
        </w:rPr>
      </w:pPr>
    </w:p>
    <w:p>
      <w:pPr>
        <w:ind w:left="1320" w:right="679" w:hanging="434"/>
        <w:spacing w:after="0" w:line="277" w:lineRule="auto"/>
        <w:tabs>
          <w:tab w:leader="none" w:pos="131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BCTG and Merger Sub shall have performed in all material respects all obligations required to be performed by them under this Agreement at or prior to the Closing Date;</w:t>
      </w:r>
    </w:p>
    <w:p>
      <w:pPr>
        <w:spacing w:after="0" w:line="89" w:lineRule="exact"/>
        <w:rPr>
          <w:rFonts w:ascii="Arial" w:cs="Arial" w:eastAsia="Arial" w:hAnsi="Arial"/>
          <w:sz w:val="18"/>
          <w:szCs w:val="18"/>
          <w:color w:val="auto"/>
        </w:rPr>
      </w:pPr>
    </w:p>
    <w:p>
      <w:pPr>
        <w:ind w:left="1320" w:right="459" w:hanging="434"/>
        <w:spacing w:after="0" w:line="342" w:lineRule="auto"/>
        <w:tabs>
          <w:tab w:leader="none" w:pos="1311" w:val="left"/>
        </w:tabs>
        <w:numPr>
          <w:ilvl w:val="0"/>
          <w:numId w:val="182"/>
        </w:numPr>
        <w:rPr>
          <w:rFonts w:ascii="Arial" w:cs="Arial" w:eastAsia="Arial" w:hAnsi="Arial"/>
          <w:sz w:val="16"/>
          <w:szCs w:val="16"/>
          <w:color w:val="auto"/>
        </w:rPr>
      </w:pPr>
      <w:r>
        <w:rPr>
          <w:rFonts w:ascii="Arial" w:cs="Arial" w:eastAsia="Arial" w:hAnsi="Arial"/>
          <w:sz w:val="16"/>
          <w:szCs w:val="16"/>
          <w:color w:val="auto"/>
        </w:rPr>
        <w:t>Since the date of the Merger Agreement, here shall not be any event that is continuing that would individually, or in the aggregate, reasonably be expected to have a material adverse effect on BCTG;</w:t>
      </w:r>
    </w:p>
    <w:p>
      <w:pPr>
        <w:spacing w:after="0" w:line="56" w:lineRule="exact"/>
        <w:rPr>
          <w:rFonts w:ascii="Arial" w:cs="Arial" w:eastAsia="Arial" w:hAnsi="Arial"/>
          <w:sz w:val="16"/>
          <w:szCs w:val="16"/>
          <w:color w:val="auto"/>
        </w:rPr>
      </w:pPr>
    </w:p>
    <w:p>
      <w:pPr>
        <w:ind w:left="1320" w:right="579" w:hanging="434"/>
        <w:spacing w:after="0" w:line="277" w:lineRule="auto"/>
        <w:tabs>
          <w:tab w:leader="none" w:pos="131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BCTG shall have executed and delivered to Tango a copy of each transaction document to which it is a party;</w:t>
      </w:r>
    </w:p>
    <w:p>
      <w:pPr>
        <w:spacing w:after="0" w:line="102" w:lineRule="exact"/>
        <w:rPr>
          <w:rFonts w:ascii="Arial" w:cs="Arial" w:eastAsia="Arial" w:hAnsi="Arial"/>
          <w:sz w:val="18"/>
          <w:szCs w:val="18"/>
          <w:color w:val="auto"/>
        </w:rPr>
      </w:pPr>
    </w:p>
    <w:p>
      <w:pPr>
        <w:ind w:left="1320" w:right="539" w:hanging="434"/>
        <w:spacing w:after="0" w:line="268" w:lineRule="auto"/>
        <w:tabs>
          <w:tab w:leader="none" w:pos="1311" w:val="left"/>
        </w:tabs>
        <w:numPr>
          <w:ilvl w:val="0"/>
          <w:numId w:val="182"/>
        </w:numPr>
        <w:rPr>
          <w:rFonts w:ascii="Arial" w:cs="Arial" w:eastAsia="Arial" w:hAnsi="Arial"/>
          <w:sz w:val="17"/>
          <w:szCs w:val="17"/>
          <w:color w:val="auto"/>
        </w:rPr>
      </w:pPr>
      <w:r>
        <w:rPr>
          <w:rFonts w:ascii="Arial" w:cs="Arial" w:eastAsia="Arial" w:hAnsi="Arial"/>
          <w:sz w:val="17"/>
          <w:szCs w:val="17"/>
          <w:color w:val="auto"/>
        </w:rPr>
        <w:t>BCTG shall have delivered to Tango a certificate, signed by an officer of BCTG, certifying true, complete and correct copies of (i) the resolutions duly adopted by the required number of BCTG stockholders required to consummate the Business Combination and by the sole stockholder of the Merger Sub approving the Merger and the consummation of the transactions contemplated by the Merger Agreement and the other transaction documents; (ii) certified copies of the resolutions duly adopted by BCTG’s board of directors and Merger Sub’s board of directors authorizing the execution, delivery and performance of the Merger Agreement and the other transaction documents to which each is a party and performance by BCTG and the Merger Sub of the transactions underlying the Business Combination, including the Merger, each having been duly and validly adopted and being in full force and effect as of the Closing Date; and (iii) written resignations, in forms satisfactory to Tango, dated as of the Closing Date and effective as of the Closing, executed by (X) all officers of BCTG and (Y) all persons serving as directors of BCTG immediately prior to the Closing;</w:t>
      </w:r>
    </w:p>
    <w:p>
      <w:pPr>
        <w:spacing w:after="0" w:line="105" w:lineRule="exact"/>
        <w:rPr>
          <w:rFonts w:ascii="Arial" w:cs="Arial" w:eastAsia="Arial" w:hAnsi="Arial"/>
          <w:sz w:val="17"/>
          <w:szCs w:val="17"/>
          <w:color w:val="auto"/>
        </w:rPr>
      </w:pPr>
    </w:p>
    <w:p>
      <w:pPr>
        <w:jc w:val="both"/>
        <w:ind w:left="1320" w:right="519" w:hanging="434"/>
        <w:spacing w:after="0" w:line="263" w:lineRule="auto"/>
        <w:tabs>
          <w:tab w:leader="none" w:pos="131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BCTG shall have delivered to Tango a certificate, signed by an officer of BCTG certifying that true, complete and correct copies of the organizational documents of BCTG and Merger Sub, as in effect on the Closing Date, are attached to such certificate;</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BCTG shall have delivered to Tango certificates of good standing with respect to BCTG and Merger Sub from their respective applicable jurisdictions of incorporation;</w:t>
      </w:r>
    </w:p>
    <w:p>
      <w:pPr>
        <w:spacing w:after="0" w:line="102" w:lineRule="exact"/>
        <w:rPr>
          <w:rFonts w:ascii="Arial" w:cs="Arial" w:eastAsia="Arial" w:hAnsi="Arial"/>
          <w:sz w:val="18"/>
          <w:szCs w:val="18"/>
          <w:color w:val="auto"/>
        </w:rPr>
      </w:pPr>
    </w:p>
    <w:p>
      <w:pPr>
        <w:ind w:left="1320" w:right="639" w:hanging="434"/>
        <w:spacing w:after="0" w:line="286" w:lineRule="auto"/>
        <w:tabs>
          <w:tab w:leader="none" w:pos="1311" w:val="left"/>
        </w:tabs>
        <w:numPr>
          <w:ilvl w:val="0"/>
          <w:numId w:val="182"/>
        </w:numPr>
        <w:rPr>
          <w:rFonts w:ascii="Arial" w:cs="Arial" w:eastAsia="Arial" w:hAnsi="Arial"/>
          <w:sz w:val="17"/>
          <w:szCs w:val="17"/>
          <w:color w:val="auto"/>
        </w:rPr>
      </w:pPr>
      <w:r>
        <w:rPr>
          <w:rFonts w:ascii="Arial" w:cs="Arial" w:eastAsia="Arial" w:hAnsi="Arial"/>
          <w:sz w:val="17"/>
          <w:szCs w:val="17"/>
          <w:color w:val="auto"/>
        </w:rPr>
        <w:t>BCTG and any person that is currently an affiliate of Tango that will be deemed an affiliate of BCTG after Closing shall have entered into an amended and restated registration rights agreement in substantially the form attached to the Merger Agreement as Exhibit G;</w:t>
      </w:r>
    </w:p>
    <w:p>
      <w:pPr>
        <w:spacing w:after="0" w:line="84" w:lineRule="exact"/>
        <w:rPr>
          <w:rFonts w:ascii="Arial" w:cs="Arial" w:eastAsia="Arial" w:hAnsi="Arial"/>
          <w:sz w:val="17"/>
          <w:szCs w:val="17"/>
          <w:color w:val="auto"/>
        </w:rPr>
      </w:pPr>
    </w:p>
    <w:p>
      <w:pPr>
        <w:ind w:left="1320" w:right="499" w:hanging="434"/>
        <w:spacing w:after="0" w:line="263" w:lineRule="auto"/>
        <w:tabs>
          <w:tab w:leader="none" w:pos="131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supplemental listing shall have been filed with Nasdaq as of the Closing Date to list the shares constituting the Merger Consideration and such listing shall have been approved by Nasdaq, subject to official notice of issuance;</w:t>
      </w:r>
    </w:p>
    <w:p>
      <w:pPr>
        <w:spacing w:after="0" w:line="116" w:lineRule="exact"/>
        <w:rPr>
          <w:rFonts w:ascii="Arial" w:cs="Arial" w:eastAsia="Arial" w:hAnsi="Arial"/>
          <w:sz w:val="18"/>
          <w:szCs w:val="18"/>
          <w:color w:val="auto"/>
        </w:rPr>
      </w:pPr>
    </w:p>
    <w:p>
      <w:pPr>
        <w:ind w:left="1320" w:right="579" w:hanging="434"/>
        <w:spacing w:after="0" w:line="301" w:lineRule="auto"/>
        <w:tabs>
          <w:tab w:leader="none" w:pos="1311" w:val="left"/>
        </w:tabs>
        <w:numPr>
          <w:ilvl w:val="0"/>
          <w:numId w:val="182"/>
        </w:numPr>
        <w:rPr>
          <w:rFonts w:ascii="Arial" w:cs="Arial" w:eastAsia="Arial" w:hAnsi="Arial"/>
          <w:sz w:val="16"/>
          <w:szCs w:val="16"/>
          <w:color w:val="auto"/>
        </w:rPr>
      </w:pPr>
      <w:r>
        <w:rPr>
          <w:rFonts w:ascii="Arial" w:cs="Arial" w:eastAsia="Arial" w:hAnsi="Arial"/>
          <w:sz w:val="16"/>
          <w:szCs w:val="16"/>
          <w:color w:val="auto"/>
        </w:rPr>
        <w:t>except for shares of BCTG Common Stock (i) issued pursuant to the PIPE Financing, and (ii) to be issued pursuant to the Merger Agreement, from the date of the Merger Agreement through the Closing, no shares of BCTG Common Stock shall have been issued to any person or entity in an amount or on terms other than those approved with the prior written consent of Tango;</w:t>
      </w:r>
    </w:p>
    <w:p>
      <w:pPr>
        <w:spacing w:after="0" w:line="89" w:lineRule="exact"/>
        <w:rPr>
          <w:rFonts w:ascii="Arial" w:cs="Arial" w:eastAsia="Arial" w:hAnsi="Arial"/>
          <w:sz w:val="16"/>
          <w:szCs w:val="16"/>
          <w:color w:val="auto"/>
        </w:rPr>
      </w:pPr>
    </w:p>
    <w:p>
      <w:pPr>
        <w:ind w:left="1300" w:hanging="414"/>
        <w:spacing w:after="0"/>
        <w:tabs>
          <w:tab w:leader="none" w:pos="13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Tango shall have received the resignation letters of each of the directors and officers of BCTG;</w:t>
      </w:r>
    </w:p>
    <w:p>
      <w:pPr>
        <w:spacing w:after="0" w:line="155" w:lineRule="exact"/>
        <w:rPr>
          <w:rFonts w:ascii="Arial" w:cs="Arial" w:eastAsia="Arial" w:hAnsi="Arial"/>
          <w:sz w:val="17"/>
          <w:szCs w:val="17"/>
          <w:color w:val="auto"/>
        </w:rPr>
      </w:pPr>
    </w:p>
    <w:p>
      <w:pPr>
        <w:ind w:left="1320" w:right="759" w:hanging="434"/>
        <w:spacing w:after="0" w:line="277" w:lineRule="auto"/>
        <w:tabs>
          <w:tab w:leader="none" w:pos="131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BCTG’s board of directors shall have adopted and approved the BCTG’s Amended and Restated Bylaws, a form of which is attached as Exhibit F to the Merger Agreement;</w:t>
      </w:r>
    </w:p>
    <w:p>
      <w:pPr>
        <w:spacing w:after="0" w:line="102" w:lineRule="exact"/>
        <w:rPr>
          <w:rFonts w:ascii="Arial" w:cs="Arial" w:eastAsia="Arial" w:hAnsi="Arial"/>
          <w:sz w:val="18"/>
          <w:szCs w:val="18"/>
          <w:color w:val="auto"/>
        </w:rPr>
      </w:pPr>
    </w:p>
    <w:p>
      <w:pPr>
        <w:ind w:left="1320" w:right="579" w:hanging="434"/>
        <w:spacing w:after="0" w:line="277" w:lineRule="auto"/>
        <w:tabs>
          <w:tab w:leader="none" w:pos="131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Closing Parent Cash (as defined in the Merger Agreement) shall be no less than $300,000,000;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6" w:name="page137"/>
    <w:bookmarkEnd w:id="13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79" w:hanging="434"/>
        <w:spacing w:after="0" w:line="259" w:lineRule="auto"/>
        <w:tabs>
          <w:tab w:leader="none" w:pos="131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BCTG shall have taken all action necessary, including causing the executive officers of BCTG to resign, so that the individuals serving as executive officers of BCTG immediately after the Closing will be the same individuals (in the same offices) as those of Tango immediately prior to the Closing.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Representations and Warranties</w:t>
      </w:r>
    </w:p>
    <w:p>
      <w:pPr>
        <w:spacing w:after="0" w:line="158" w:lineRule="exact"/>
        <w:rPr>
          <w:sz w:val="20"/>
          <w:szCs w:val="20"/>
          <w:color w:val="auto"/>
        </w:rPr>
      </w:pPr>
    </w:p>
    <w:p>
      <w:pPr>
        <w:ind w:left="460" w:right="479" w:firstLine="432"/>
        <w:spacing w:after="0" w:line="308" w:lineRule="auto"/>
        <w:rPr>
          <w:sz w:val="20"/>
          <w:szCs w:val="20"/>
          <w:color w:val="auto"/>
        </w:rPr>
      </w:pPr>
      <w:r>
        <w:rPr>
          <w:rFonts w:ascii="Arial" w:cs="Arial" w:eastAsia="Arial" w:hAnsi="Arial"/>
          <w:sz w:val="17"/>
          <w:szCs w:val="17"/>
          <w:color w:val="auto"/>
        </w:rPr>
        <w:t>In the Merger Agreement, Tango makes certain representations and warranties (with certain exceptions set forth in the disclosure schedule to the Merger Agreement) relating to, among other things:</w:t>
      </w:r>
    </w:p>
    <w:p>
      <w:pPr>
        <w:spacing w:after="0" w:line="79" w:lineRule="exact"/>
        <w:rPr>
          <w:sz w:val="20"/>
          <w:szCs w:val="20"/>
          <w:color w:val="auto"/>
        </w:rPr>
      </w:pPr>
    </w:p>
    <w:p>
      <w:pPr>
        <w:ind w:left="1320" w:right="479" w:hanging="434"/>
        <w:spacing w:after="0" w:line="279" w:lineRule="auto"/>
        <w:tabs>
          <w:tab w:leader="none" w:pos="1311"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its corporate organization, qualification to do business in each jurisdiction in which its properties are owned or leased by it or the operation of its business as currently conducted, good standing and corporate power required to own and operate its properties and assets and to carry out the business as presently conducted and as proposed to be conducted;</w:t>
      </w:r>
    </w:p>
    <w:p>
      <w:pPr>
        <w:spacing w:after="0" w:line="90" w:lineRule="exact"/>
        <w:rPr>
          <w:rFonts w:ascii="Arial" w:cs="Arial" w:eastAsia="Arial" w:hAnsi="Arial"/>
          <w:sz w:val="17"/>
          <w:szCs w:val="17"/>
          <w:color w:val="auto"/>
        </w:rPr>
      </w:pPr>
    </w:p>
    <w:p>
      <w:pPr>
        <w:ind w:left="1320" w:right="859" w:hanging="434"/>
        <w:spacing w:after="0" w:line="277" w:lineRule="auto"/>
        <w:tabs>
          <w:tab w:leader="none" w:pos="131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its having requisite corporate authority to enter into the Merger Agreement and to complete the Business Combination;</w:t>
      </w:r>
    </w:p>
    <w:p>
      <w:pPr>
        <w:spacing w:after="0" w:line="102" w:lineRule="exact"/>
        <w:rPr>
          <w:rFonts w:ascii="Arial" w:cs="Arial" w:eastAsia="Arial" w:hAnsi="Arial"/>
          <w:sz w:val="18"/>
          <w:szCs w:val="18"/>
          <w:color w:val="auto"/>
        </w:rPr>
      </w:pPr>
    </w:p>
    <w:p>
      <w:pPr>
        <w:ind w:left="1320" w:right="1019" w:hanging="434"/>
        <w:spacing w:after="0" w:line="277" w:lineRule="auto"/>
        <w:tabs>
          <w:tab w:leader="none" w:pos="131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required consents and approvals that Tango must obtain for the Merger Agreement and to consummate the Business Combination;</w:t>
      </w:r>
    </w:p>
    <w:p>
      <w:pPr>
        <w:spacing w:after="0" w:line="102" w:lineRule="exact"/>
        <w:rPr>
          <w:rFonts w:ascii="Arial" w:cs="Arial" w:eastAsia="Arial" w:hAnsi="Arial"/>
          <w:sz w:val="18"/>
          <w:szCs w:val="18"/>
          <w:color w:val="auto"/>
        </w:rPr>
      </w:pPr>
    </w:p>
    <w:p>
      <w:pPr>
        <w:jc w:val="both"/>
        <w:ind w:left="1320" w:right="699" w:hanging="434"/>
        <w:spacing w:after="0" w:line="263" w:lineRule="auto"/>
        <w:tabs>
          <w:tab w:leader="none" w:pos="131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absence of conflicts with its organizational documents, applicable laws or certain agreements and instruments as a result of entering into the Merger Agreement or consummating the Business Combination;</w:t>
      </w:r>
    </w:p>
    <w:p>
      <w:pPr>
        <w:spacing w:after="0" w:line="102" w:lineRule="exact"/>
        <w:rPr>
          <w:rFonts w:ascii="Arial" w:cs="Arial" w:eastAsia="Arial" w:hAnsi="Arial"/>
          <w:sz w:val="18"/>
          <w:szCs w:val="18"/>
          <w:color w:val="auto"/>
        </w:rPr>
      </w:pPr>
    </w:p>
    <w:p>
      <w:pPr>
        <w:ind w:left="1320" w:right="519" w:hanging="434"/>
        <w:spacing w:after="0" w:line="259" w:lineRule="auto"/>
        <w:tabs>
          <w:tab w:leader="none" w:pos="131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its capital structure, including with respect to (i) the duly authorized and validly issued and outstanding shares of capital stock of Tango; (ii) common stock reserved for issuance under its outstanding unexercised options and equity incentive plans; and (iii) additional matters with respect to its options;</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that Tango and its subsidiary are not involved in any bankruptcy proceeding;</w:t>
      </w:r>
    </w:p>
    <w:p>
      <w:pPr>
        <w:spacing w:after="0" w:line="157"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accuracy of its corporate records, including the approvals of its board of directors, including all committees thereof, stockholders, and all consents to actions taken thereby;</w:t>
      </w:r>
    </w:p>
    <w:p>
      <w:pPr>
        <w:spacing w:after="0" w:line="89" w:lineRule="exact"/>
        <w:rPr>
          <w:rFonts w:ascii="Arial" w:cs="Arial" w:eastAsia="Arial" w:hAnsi="Arial"/>
          <w:sz w:val="18"/>
          <w:szCs w:val="18"/>
          <w:color w:val="auto"/>
        </w:rPr>
      </w:pPr>
    </w:p>
    <w:p>
      <w:pPr>
        <w:ind w:left="1320" w:right="539" w:hanging="434"/>
        <w:spacing w:after="0" w:line="259" w:lineRule="auto"/>
        <w:tabs>
          <w:tab w:leader="none" w:pos="131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Tango’s financial statements for the periods ended December 31, 2019 and December 31, 2020 fairly present, in all material respects, the financial position of Tango as of the dates thereof and the results of operations of Tango for the periods reflected therein, and have been prepared in conformity with U.S. GAAP applied on a consistent basis;</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absence of certain liabilities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absence of certain developments as of the date thereof;</w:t>
      </w:r>
    </w:p>
    <w:p>
      <w:pPr>
        <w:spacing w:after="0" w:line="144"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it is in compliance with all applicable laws, including, without limitation, those relating to foreign corrupt practices, sanctions, money laundering and environmental matters;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Tango has good and marketable title to the tangible assets and properties it owns or leases;</w:t>
      </w:r>
    </w:p>
    <w:p>
      <w:pPr>
        <w:spacing w:after="0" w:line="169" w:lineRule="exact"/>
        <w:rPr>
          <w:rFonts w:ascii="Arial" w:cs="Arial" w:eastAsia="Arial" w:hAnsi="Arial"/>
          <w:sz w:val="17"/>
          <w:szCs w:val="17"/>
          <w:color w:val="auto"/>
        </w:rPr>
      </w:pPr>
    </w:p>
    <w:p>
      <w:pPr>
        <w:ind w:left="1320" w:right="479" w:hanging="434"/>
        <w:spacing w:after="0" w:line="269" w:lineRule="auto"/>
        <w:tabs>
          <w:tab w:leader="none" w:pos="1311" w:val="left"/>
        </w:tabs>
        <w:numPr>
          <w:ilvl w:val="0"/>
          <w:numId w:val="184"/>
        </w:numPr>
        <w:rPr>
          <w:rFonts w:ascii="Arial" w:cs="Arial" w:eastAsia="Arial" w:hAnsi="Arial"/>
          <w:sz w:val="17"/>
          <w:szCs w:val="17"/>
          <w:color w:val="auto"/>
        </w:rPr>
      </w:pPr>
      <w:r>
        <w:rPr>
          <w:rFonts w:ascii="Arial" w:cs="Arial" w:eastAsia="Arial" w:hAnsi="Arial"/>
          <w:sz w:val="17"/>
          <w:szCs w:val="17"/>
          <w:color w:val="auto"/>
        </w:rPr>
        <w:t>various matters related to taxes, including that Tango has filed (taking into account all applicable extensions) when due all income and other material tax returns required by applicable law to be filed with respect to Tango and its subsidiary, and all material taxes (whether or not shown on any tax returns) of the company and its subsidiaries have been paid, other than taxes being contested in good faith and for which adequate reserves have been established in accordance with GAAP, and all such tax returns were true, complete and correct in all material respects as of the time of such filing, there is no proceeding, audit or claim now pending against, or with respect to, Tango or its subsidiary in respect of any tax or assessment, nor is any proceeding for additional tax or assessment asserted in writing by any governmental authority that has not been resolved or settled in full, no written claim has been made by any governmental authority in a jurisdiction where Tango or its subsidiary has not filed a tax return that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7" w:name="page138"/>
    <w:bookmarkEnd w:id="13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99"/>
        <w:spacing w:after="0" w:line="283" w:lineRule="auto"/>
        <w:rPr>
          <w:sz w:val="20"/>
          <w:szCs w:val="20"/>
          <w:color w:val="auto"/>
        </w:rPr>
      </w:pPr>
      <w:r>
        <w:rPr>
          <w:rFonts w:ascii="Arial" w:cs="Arial" w:eastAsia="Arial" w:hAnsi="Arial"/>
          <w:sz w:val="16"/>
          <w:szCs w:val="16"/>
          <w:color w:val="auto"/>
        </w:rPr>
        <w:t>it is or may be subject to tax by such jurisdiction, nor is any such assertion, to the knowledge of Tango, threatened; neither Tango nor its subsidiary is a party to any contract (other than any such agreement solely between Tango and its existing subsidiary and any contracts entered into in the ordinary course not relating primarily to taxes) providing for the payment of taxes, payment for tax losses, entitlements to refunds or similar tax matters; except as disclosed to BCTG, Tango and its subsidiary have withheld and paid all taxes required to be withheld in connection with any amounts paid or owing to any employee, creditor, independent contractor or other third party, there is no outstanding request for any extension of time within which to pay any taxes or file any tax returns (other than extensions requested in ordinary course), and there has been no waiver or extension of any applicable statute of limitations for the assessment or collection of any taxes of Tango or its subsidiary that will remain outstanding as of the Closing; neither Tango nor its subsidiary has distributed the stock of another person, or had its stock distributed by another person, in a transaction that was purported or intended to be governed in whole or in part by Section 355 or Section 361 of the Code; there are no liens for taxes upon any assets of the Tango nor its subsidiary other than as permitted by the Merger Agreement; neither Tango nor its subsidiary has been a party to or bound by any closing agreement, private letter rulings, technical advice memoranda, offer in compromise, or any other agreement with any Governmental Authority in respect of which Tango could have any material tax liability after the Closing.; neither Tango nor its subsidiary (i) has been a member of an affiliated group filing a consolidated U.S. federal income tax return (other than a group the common parent of which was Tango) or other comparable group for state, local or foreign tax purposes and (ii) has liability for the taxes of any person (other than Tango or its subsidiary) under treasury regulations Section 1.1502-6 (or any similar provision of state, local, or foreign law), as a transferee or successor, by contract (other than contracts entered into in the ordinary course and not relating primarily to taxes), neither Tango nor its subsidiary has participated in a “listed transaction” required to be disclosed pursuant to Treasury Regulations Section 1.6011-4(b), neither Tango nor its subsidiary will be required to include any item of income in, or exclude any item of deduction from, taxable income for any Tax period (or portion thereof) ending after the Closing as a result of any: (i) use of an improper or change in method of accounting for a tax period ending prior to the Closing; (ii) “closing agreement” as described in Section 7121 of the Code (or any comparable or similar provisions of applicable Law) executed prior to the Closing; (iii) installment sale or open transaction disposition made prior to the Closing; (iv) deferred intercompany gain or any excess loss account described in Treasury Regulations under Section 1502 of the Code (or any predecessor provision or any similar provision of state, local or foreign law); or (v) prepaid amount received or deferred revenue accrued on or prior to the Closing outside the ordinary course; neither Tango nor its subsidiary is required to include in income any amounts determined pursuant to Section 965 of the Code, or to make any deferred payments with respect thereto including pursuant to Section 965(h) of the Code; neither the Tango nor its subsidiary has claimed any tax credit or deferral pursuant to a COVID-19 law;</w:t>
      </w:r>
    </w:p>
    <w:p>
      <w:pPr>
        <w:spacing w:after="0" w:line="329" w:lineRule="exact"/>
        <w:rPr>
          <w:sz w:val="20"/>
          <w:szCs w:val="20"/>
          <w:color w:val="auto"/>
        </w:rPr>
      </w:pPr>
    </w:p>
    <w:p>
      <w:pPr>
        <w:ind w:left="1320" w:right="559" w:hanging="434"/>
        <w:spacing w:after="0" w:line="259" w:lineRule="auto"/>
        <w:tabs>
          <w:tab w:leader="none" w:pos="131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certain matters relating to Tango’s intellectual property including ownership or appropriate licenses to use intellectual property used in its business, including with respect to the absence of rights of third parties to any of its intellectual property rights, and any infringement by a third party of Tango’s intellectual property rights;</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certain matters relating to Tango’s compliance with standard setting organizations;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its maintenance of proper insurance policies;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its maintenance of bank accounts;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matters relating to its largest vendors;</w:t>
      </w:r>
    </w:p>
    <w:p>
      <w:pPr>
        <w:spacing w:after="0" w:line="144" w:lineRule="exact"/>
        <w:rPr>
          <w:rFonts w:ascii="Arial" w:cs="Arial" w:eastAsia="Arial" w:hAnsi="Arial"/>
          <w:sz w:val="18"/>
          <w:szCs w:val="18"/>
          <w:color w:val="auto"/>
        </w:rPr>
      </w:pPr>
    </w:p>
    <w:p>
      <w:pPr>
        <w:ind w:left="1320" w:right="619" w:hanging="434"/>
        <w:spacing w:after="0" w:line="263" w:lineRule="auto"/>
        <w:tabs>
          <w:tab w:leader="none" w:pos="131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matters related to labor matters and its employees as well as its compliance with applicable laws related to employment matters, proper tax withholding and employee benefit plans, including with respect to ERISA and tax matters relating thereto;</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absence of related party transactions other than those that Tango has disclosed;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8" w:name="page139"/>
    <w:bookmarkEnd w:id="13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759" w:hanging="434"/>
        <w:spacing w:after="0" w:line="263" w:lineRule="auto"/>
        <w:tabs>
          <w:tab w:leader="none" w:pos="131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that each of its material contracts (i) is a valid and binding agreement, (ii) in full force and effect and (iii) enforceable by the parties thereto, and there are no known breaches of such materials contracts;</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compliance with certain privacy laws;</w:t>
      </w:r>
    </w:p>
    <w:p>
      <w:pPr>
        <w:spacing w:after="0" w:line="157" w:lineRule="exact"/>
        <w:rPr>
          <w:rFonts w:ascii="Arial" w:cs="Arial" w:eastAsia="Arial" w:hAnsi="Arial"/>
          <w:sz w:val="18"/>
          <w:szCs w:val="18"/>
          <w:color w:val="auto"/>
        </w:rPr>
      </w:pPr>
    </w:p>
    <w:p>
      <w:pPr>
        <w:ind w:left="1320" w:right="579" w:hanging="434"/>
        <w:spacing w:after="0" w:line="277" w:lineRule="auto"/>
        <w:tabs>
          <w:tab w:leader="none" w:pos="131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Tango’s compliance in all material respects with rules and regulations of the FDA, other regulatory matters and all applicable healthcare laws;</w:t>
      </w:r>
    </w:p>
    <w:p>
      <w:pPr>
        <w:spacing w:after="0" w:line="89" w:lineRule="exact"/>
        <w:rPr>
          <w:rFonts w:ascii="Arial" w:cs="Arial" w:eastAsia="Arial" w:hAnsi="Arial"/>
          <w:sz w:val="18"/>
          <w:szCs w:val="18"/>
          <w:color w:val="auto"/>
        </w:rPr>
      </w:pPr>
    </w:p>
    <w:p>
      <w:pPr>
        <w:ind w:left="1320" w:right="559" w:hanging="434"/>
        <w:spacing w:after="0" w:line="311" w:lineRule="auto"/>
        <w:tabs>
          <w:tab w:leader="none" w:pos="1311" w:val="left"/>
        </w:tabs>
        <w:numPr>
          <w:ilvl w:val="0"/>
          <w:numId w:val="186"/>
        </w:numPr>
        <w:rPr>
          <w:rFonts w:ascii="Arial" w:cs="Arial" w:eastAsia="Arial" w:hAnsi="Arial"/>
          <w:sz w:val="16"/>
          <w:szCs w:val="16"/>
          <w:color w:val="auto"/>
        </w:rPr>
      </w:pPr>
      <w:r>
        <w:rPr>
          <w:rFonts w:ascii="Arial" w:cs="Arial" w:eastAsia="Arial" w:hAnsi="Arial"/>
          <w:sz w:val="16"/>
          <w:szCs w:val="16"/>
          <w:color w:val="auto"/>
        </w:rPr>
        <w:t>except as disclosed by Tango, no investment banker, broker, finder or other intermediary which has been retained by or is authorized to act on behalf of Tango and its affiliates will be entitled to any fee or commissions from Tango upon consummation of the Business Combination; and</w:t>
      </w:r>
    </w:p>
    <w:p>
      <w:pPr>
        <w:spacing w:after="0" w:line="81" w:lineRule="exact"/>
        <w:rPr>
          <w:rFonts w:ascii="Arial" w:cs="Arial" w:eastAsia="Arial" w:hAnsi="Arial"/>
          <w:sz w:val="16"/>
          <w:szCs w:val="16"/>
          <w:color w:val="auto"/>
        </w:rPr>
      </w:pPr>
    </w:p>
    <w:p>
      <w:pPr>
        <w:ind w:left="1300" w:hanging="414"/>
        <w:spacing w:after="0"/>
        <w:tabs>
          <w:tab w:leader="none" w:pos="13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other customary representations and warranties.</w:t>
      </w:r>
    </w:p>
    <w:p>
      <w:pPr>
        <w:spacing w:after="0" w:line="158" w:lineRule="exact"/>
        <w:rPr>
          <w:sz w:val="20"/>
          <w:szCs w:val="20"/>
          <w:color w:val="auto"/>
        </w:rPr>
      </w:pPr>
    </w:p>
    <w:p>
      <w:pPr>
        <w:ind w:left="460" w:right="699" w:firstLine="432"/>
        <w:spacing w:after="0" w:line="301" w:lineRule="auto"/>
        <w:rPr>
          <w:sz w:val="20"/>
          <w:szCs w:val="20"/>
          <w:color w:val="auto"/>
        </w:rPr>
      </w:pPr>
      <w:r>
        <w:rPr>
          <w:rFonts w:ascii="Arial" w:cs="Arial" w:eastAsia="Arial" w:hAnsi="Arial"/>
          <w:sz w:val="16"/>
          <w:szCs w:val="16"/>
          <w:color w:val="auto"/>
        </w:rPr>
        <w:t>Certain of these representations and warranties are qualified as to “materiality” or “material adverse effect”. Material Adverse Effect with respect to Tango means a material adverse change or a material adverse effect upon the assets, liabilities, financial condition, net worth, management, earnings, cash flows, business, operations or properties of Tango and its business, subject to customary exceptions.</w:t>
      </w:r>
    </w:p>
    <w:p>
      <w:pPr>
        <w:spacing w:after="0" w:line="76"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In the Merger Agreement, BCTG makes certain representations and warranties relating to, among other things:</w:t>
      </w:r>
    </w:p>
    <w:p>
      <w:pPr>
        <w:spacing w:after="0" w:line="103" w:lineRule="exact"/>
        <w:rPr>
          <w:sz w:val="20"/>
          <w:szCs w:val="20"/>
          <w:color w:val="auto"/>
        </w:rPr>
      </w:pPr>
    </w:p>
    <w:p>
      <w:pPr>
        <w:ind w:left="1300" w:hanging="414"/>
        <w:spacing w:after="0"/>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its proper corporate organization and similar corporate matters;</w:t>
      </w:r>
    </w:p>
    <w:p>
      <w:pPr>
        <w:spacing w:after="0" w:line="157" w:lineRule="exact"/>
        <w:rPr>
          <w:rFonts w:ascii="Arial" w:cs="Arial" w:eastAsia="Arial" w:hAnsi="Arial"/>
          <w:sz w:val="18"/>
          <w:szCs w:val="18"/>
          <w:color w:val="auto"/>
        </w:rPr>
      </w:pPr>
    </w:p>
    <w:p>
      <w:pPr>
        <w:ind w:left="1320" w:right="519" w:hanging="434"/>
        <w:spacing w:after="0" w:line="277" w:lineRule="auto"/>
        <w:tabs>
          <w:tab w:leader="none" w:pos="131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authorization, execution, delivery and enforceability of the Merger Agreement and other transaction documents;</w:t>
      </w:r>
    </w:p>
    <w:p>
      <w:pPr>
        <w:spacing w:after="0" w:line="89" w:lineRule="exact"/>
        <w:rPr>
          <w:rFonts w:ascii="Arial" w:cs="Arial" w:eastAsia="Arial" w:hAnsi="Arial"/>
          <w:sz w:val="18"/>
          <w:szCs w:val="18"/>
          <w:color w:val="auto"/>
        </w:rPr>
      </w:pPr>
    </w:p>
    <w:p>
      <w:pPr>
        <w:jc w:val="both"/>
        <w:ind w:left="1320" w:right="699" w:hanging="434"/>
        <w:spacing w:after="0" w:line="263" w:lineRule="auto"/>
        <w:tabs>
          <w:tab w:leader="none" w:pos="131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absence of conflicts with its organizational documents, applicable laws or certain agreements and instruments as a result of entering into the Merger Agreement or consummating the Business Combination;</w:t>
      </w:r>
    </w:p>
    <w:p>
      <w:pPr>
        <w:spacing w:after="0" w:line="116" w:lineRule="exact"/>
        <w:rPr>
          <w:rFonts w:ascii="Arial" w:cs="Arial" w:eastAsia="Arial" w:hAnsi="Arial"/>
          <w:sz w:val="18"/>
          <w:szCs w:val="18"/>
          <w:color w:val="auto"/>
        </w:rPr>
      </w:pPr>
    </w:p>
    <w:p>
      <w:pPr>
        <w:ind w:left="1320" w:right="539" w:hanging="434"/>
        <w:spacing w:after="0" w:line="286" w:lineRule="auto"/>
        <w:tabs>
          <w:tab w:leader="none" w:pos="1311" w:val="left"/>
        </w:tabs>
        <w:numPr>
          <w:ilvl w:val="0"/>
          <w:numId w:val="187"/>
        </w:numPr>
        <w:rPr>
          <w:rFonts w:ascii="Arial" w:cs="Arial" w:eastAsia="Arial" w:hAnsi="Arial"/>
          <w:sz w:val="17"/>
          <w:szCs w:val="17"/>
          <w:color w:val="auto"/>
        </w:rPr>
      </w:pPr>
      <w:r>
        <w:rPr>
          <w:rFonts w:ascii="Arial" w:cs="Arial" w:eastAsia="Arial" w:hAnsi="Arial"/>
          <w:sz w:val="17"/>
          <w:szCs w:val="17"/>
          <w:color w:val="auto"/>
        </w:rPr>
        <w:t>except as disclosed by BCTG, no investment banker, broker, finder or other intermediary which has been retained by or is authorized to act on behalf of BCTG and its affiliates will be entitled to any fee or commissions from BCTG upon consummation of the Business Combination;</w:t>
      </w:r>
    </w:p>
    <w:p>
      <w:pPr>
        <w:spacing w:after="0" w:line="97" w:lineRule="exact"/>
        <w:rPr>
          <w:rFonts w:ascii="Arial" w:cs="Arial" w:eastAsia="Arial" w:hAnsi="Arial"/>
          <w:sz w:val="17"/>
          <w:szCs w:val="17"/>
          <w:color w:val="auto"/>
        </w:rPr>
      </w:pPr>
    </w:p>
    <w:p>
      <w:pPr>
        <w:jc w:val="both"/>
        <w:ind w:left="1320" w:right="499" w:hanging="434"/>
        <w:spacing w:after="0" w:line="287" w:lineRule="auto"/>
        <w:tabs>
          <w:tab w:leader="none" w:pos="1311"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its capital structure, including with respect to the duly authorized and validly issued and outstanding shares of capital stock of BCTG and Merger Sub; (ii) absence of any other shares of capital stock or other voting securities of BCTG that are issued, reserved for issuance or outstanding; and</w:t>
      </w:r>
    </w:p>
    <w:p>
      <w:pPr>
        <w:spacing w:after="0" w:line="2" w:lineRule="exact"/>
        <w:rPr>
          <w:rFonts w:ascii="Arial" w:cs="Arial" w:eastAsia="Arial" w:hAnsi="Arial"/>
          <w:sz w:val="16"/>
          <w:szCs w:val="16"/>
          <w:color w:val="auto"/>
        </w:rPr>
      </w:pPr>
    </w:p>
    <w:p>
      <w:pPr>
        <w:ind w:left="1320" w:right="579"/>
        <w:spacing w:after="0" w:line="255" w:lineRule="auto"/>
        <w:rPr>
          <w:rFonts w:ascii="Arial" w:cs="Arial" w:eastAsia="Arial" w:hAnsi="Arial"/>
          <w:sz w:val="16"/>
          <w:szCs w:val="16"/>
          <w:color w:val="auto"/>
        </w:rPr>
      </w:pPr>
      <w:r>
        <w:rPr>
          <w:rFonts w:ascii="Arial" w:cs="Arial" w:eastAsia="Arial" w:hAnsi="Arial"/>
          <w:sz w:val="18"/>
          <w:szCs w:val="18"/>
          <w:color w:val="auto"/>
        </w:rPr>
        <w:t>(iii) except as disclosed by BCTG’s organizational documents, there are no outstanding contractual obligations of BCTG to repurchase, redeem or otherwise acquire any shares of BCTG Common Stock or any capital equity of BCTG;</w:t>
      </w:r>
    </w:p>
    <w:p>
      <w:pPr>
        <w:spacing w:after="0" w:line="108" w:lineRule="exact"/>
        <w:rPr>
          <w:rFonts w:ascii="Arial" w:cs="Arial" w:eastAsia="Arial" w:hAnsi="Arial"/>
          <w:sz w:val="16"/>
          <w:szCs w:val="16"/>
          <w:color w:val="auto"/>
        </w:rPr>
      </w:pPr>
    </w:p>
    <w:p>
      <w:pPr>
        <w:ind w:left="1300" w:hanging="414"/>
        <w:spacing w:after="0"/>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validity of its share issuance;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minimum trust fund amount at Closing, including the validity of the trust agreement;</w:t>
      </w:r>
    </w:p>
    <w:p>
      <w:pPr>
        <w:spacing w:after="0" w:line="157" w:lineRule="exact"/>
        <w:rPr>
          <w:rFonts w:ascii="Arial" w:cs="Arial" w:eastAsia="Arial" w:hAnsi="Arial"/>
          <w:sz w:val="18"/>
          <w:szCs w:val="18"/>
          <w:color w:val="auto"/>
        </w:rPr>
      </w:pPr>
    </w:p>
    <w:p>
      <w:pPr>
        <w:ind w:left="1320" w:right="479" w:hanging="434"/>
        <w:spacing w:after="0" w:line="269" w:lineRule="auto"/>
        <w:tabs>
          <w:tab w:leader="none" w:pos="1311" w:val="left"/>
        </w:tabs>
        <w:numPr>
          <w:ilvl w:val="0"/>
          <w:numId w:val="187"/>
        </w:numPr>
        <w:rPr>
          <w:rFonts w:ascii="Arial" w:cs="Arial" w:eastAsia="Arial" w:hAnsi="Arial"/>
          <w:sz w:val="17"/>
          <w:szCs w:val="17"/>
          <w:color w:val="auto"/>
        </w:rPr>
      </w:pPr>
      <w:r>
        <w:rPr>
          <w:rFonts w:ascii="Arial" w:cs="Arial" w:eastAsia="Arial" w:hAnsi="Arial"/>
          <w:sz w:val="17"/>
          <w:szCs w:val="17"/>
          <w:color w:val="auto"/>
        </w:rPr>
        <w:t>various matters related to taxes, including that (i) BCTG has filed (taking into account all applicable extensions) when due all income or other material tax returns required by applicable Law to be filed by BCTG, all material taxes (whether or not shown on any tax returns) due and owing by BCTG have been paid, other than taxes being contested in good faith and for which adequate reserves have been established in accordance with GAAP, and all such tax returns were complete and correct in all material respects as of the time of such filing, there is no material proceeding, audit or claim now in progress against BCTG in respect of any tax, nor has any proceeding for additional tax been asserted in writing by any governmental authority that has not been resolved or settled in full, no written claim has been made by any governmental authority in a jurisdiction where BCTG has not filed a tax return that it is or may be subject to tax by such jurisdiction, nor is any such assertion, to the knowledge of the parent, threatened.</w:t>
      </w:r>
    </w:p>
    <w:p>
      <w:pPr>
        <w:spacing w:after="0" w:line="100" w:lineRule="exact"/>
        <w:rPr>
          <w:rFonts w:ascii="Arial" w:cs="Arial" w:eastAsia="Arial" w:hAnsi="Arial"/>
          <w:sz w:val="17"/>
          <w:szCs w:val="17"/>
          <w:color w:val="auto"/>
        </w:rPr>
      </w:pPr>
    </w:p>
    <w:p>
      <w:pPr>
        <w:ind w:left="1320" w:right="539" w:hanging="434"/>
        <w:spacing w:after="0" w:line="257" w:lineRule="auto"/>
        <w:tabs>
          <w:tab w:leader="none" w:pos="131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parent is not a party to any tax sharing agreement, tax indemnification agreement, tax allocation agreement or similar agreement (other than contracts entered into in the ordinary course and not relating primarily to taxes), BCTG has withheld and paid all material taxes required to be withheld in connection with any amounts paid or owing to any employee, creditor, independent contractor or other third party,</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9" w:name="page140"/>
    <w:bookmarkEnd w:id="13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99"/>
        <w:spacing w:after="0" w:line="282" w:lineRule="auto"/>
        <w:rPr>
          <w:sz w:val="20"/>
          <w:szCs w:val="20"/>
          <w:color w:val="auto"/>
        </w:rPr>
      </w:pPr>
      <w:r>
        <w:rPr>
          <w:rFonts w:ascii="Arial" w:cs="Arial" w:eastAsia="Arial" w:hAnsi="Arial"/>
          <w:sz w:val="16"/>
          <w:szCs w:val="16"/>
          <w:color w:val="auto"/>
        </w:rPr>
        <w:t>there is no outstanding request for any extension of time within which to pay any material taxes or file any material tax returns (other than extensions requested in the ordinary course), and there has been no waiver or extension of any applicable statute of limitations for the assessment or collection of any material taxes of parent that will remain outstanding as of the Closing, BCTG t has not distributed the stock of another person, or had its stock distributed by another person, in a transaction that was purported or intended to be governed in whole or in part by Section 355 or Section 361 of the Code, there are no Liens for taxes upon any assets of BCTG other than permitted liens, BCTG has not been a party to or bound by any closing agreement, private letter rulings, technical advice memoranda, offer in compromise, or any similar agreement with any governmental authority in respect of which BCTG could have any material tax liability after the Closing, BCTG does not have any request for a ruling in respect of taxes pending between BCTG and any governmental authority, BCTG (i) has not been a member of an affiliated group filing a consolidated U.S. federal income tax return or other comparable group for state, local or foreign tax purposes and (ii) has no liability for the taxes of any person (other than BCTG) under treasury regulations Section 1.1502-6 (or any similar provision of state, local, or foreign law), as a transferee or successor, by contract (other than contracts entered into in the ordinary course and not relating primarily to taxes), or otherwise by law, BCTG has not participated in a “listed transaction” required to be disclosed pursuant to treasury regulations Section 1.6011-4(b), BCTG will not be required to include any material item of income in, or exclude any material item of deduction from, taxable income for any tax period (or portion thereof) ending after the Closing as a result of any:</w:t>
      </w:r>
    </w:p>
    <w:p>
      <w:pPr>
        <w:spacing w:after="0" w:line="11" w:lineRule="exact"/>
        <w:rPr>
          <w:sz w:val="20"/>
          <w:szCs w:val="20"/>
          <w:color w:val="auto"/>
        </w:rPr>
      </w:pPr>
    </w:p>
    <w:p>
      <w:pPr>
        <w:ind w:left="1320" w:right="459"/>
        <w:spacing w:after="0" w:line="267" w:lineRule="auto"/>
        <w:rPr>
          <w:sz w:val="20"/>
          <w:szCs w:val="20"/>
          <w:color w:val="auto"/>
        </w:rPr>
      </w:pPr>
      <w:r>
        <w:rPr>
          <w:rFonts w:ascii="Arial" w:cs="Arial" w:eastAsia="Arial" w:hAnsi="Arial"/>
          <w:sz w:val="17"/>
          <w:szCs w:val="17"/>
          <w:color w:val="auto"/>
        </w:rPr>
        <w:t>(i) use of an improper or change in method of accounting for a tax period ending prior to the Closing; (ii) “closing agreement” as described in Section 7121 of the Code (or any comparable or similar provisions of applicable law) executed prior to the Closing; (iii) installment sale or open transaction disposition made prior to the Closing; (iv) deferred intercompany gain or any excess loss account described in Treasury Regulations under Section 1502 of the Code (or any predecessor provision or any similar provision of state, local or foreign law); or (v) prepaid amount received or deferred revenue accrued on or prior to the Closing, BCTG is not required to include in income any amounts determined pursuant to Section 965 of the Code, or to make any deferred payments with respect to Section 965(h) of the Code, BCTG has not claimed any tax credit or deferral pursuant to a COVID-19 law, and BCTG is not aware of the existence of any fact, nor has taken or agreed to take any action, that would reasonably be expected to prevent or impede the Merger from qualifying for the intended tax treatment;</w:t>
      </w:r>
    </w:p>
    <w:p>
      <w:pPr>
        <w:spacing w:after="0" w:line="116" w:lineRule="exact"/>
        <w:rPr>
          <w:sz w:val="20"/>
          <w:szCs w:val="20"/>
          <w:color w:val="auto"/>
        </w:rPr>
      </w:pPr>
    </w:p>
    <w:p>
      <w:pPr>
        <w:ind w:left="1300" w:hanging="414"/>
        <w:spacing w:after="0"/>
        <w:tabs>
          <w:tab w:leader="none" w:pos="13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certain matters relating to BCTG’s employees;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Nasdaq listing of BCTG Common Stock, with trading ticker “BCTG”;</w:t>
      </w:r>
    </w:p>
    <w:p>
      <w:pPr>
        <w:spacing w:after="0" w:line="144" w:lineRule="exact"/>
        <w:rPr>
          <w:rFonts w:ascii="Arial" w:cs="Arial" w:eastAsia="Arial" w:hAnsi="Arial"/>
          <w:sz w:val="18"/>
          <w:szCs w:val="18"/>
          <w:color w:val="auto"/>
        </w:rPr>
      </w:pPr>
    </w:p>
    <w:p>
      <w:pPr>
        <w:ind w:left="1320" w:right="779" w:hanging="434"/>
        <w:spacing w:after="0" w:line="277" w:lineRule="auto"/>
        <w:tabs>
          <w:tab w:leader="none" w:pos="131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that BCTG is a publicly held company subject to reporting obligations pursuant to the Exchange Act;</w:t>
      </w:r>
    </w:p>
    <w:p>
      <w:pPr>
        <w:spacing w:after="0" w:line="102" w:lineRule="exact"/>
        <w:rPr>
          <w:rFonts w:ascii="Arial" w:cs="Arial" w:eastAsia="Arial" w:hAnsi="Arial"/>
          <w:sz w:val="18"/>
          <w:szCs w:val="18"/>
          <w:color w:val="auto"/>
        </w:rPr>
      </w:pPr>
    </w:p>
    <w:p>
      <w:pPr>
        <w:ind w:left="1320" w:right="479" w:hanging="434"/>
        <w:spacing w:after="0" w:line="273" w:lineRule="auto"/>
        <w:tabs>
          <w:tab w:leader="none" w:pos="1311" w:val="left"/>
        </w:tabs>
        <w:numPr>
          <w:ilvl w:val="0"/>
          <w:numId w:val="188"/>
        </w:numPr>
        <w:rPr>
          <w:rFonts w:ascii="Arial" w:cs="Arial" w:eastAsia="Arial" w:hAnsi="Arial"/>
          <w:sz w:val="17"/>
          <w:szCs w:val="17"/>
          <w:color w:val="auto"/>
        </w:rPr>
      </w:pPr>
      <w:r>
        <w:rPr>
          <w:rFonts w:ascii="Arial" w:cs="Arial" w:eastAsia="Arial" w:hAnsi="Arial"/>
          <w:sz w:val="17"/>
          <w:szCs w:val="17"/>
          <w:color w:val="auto"/>
        </w:rPr>
        <w:t>SEC filing requirements, including that BCTG has filed all forms, reports, schedules, statements and other documents, including any exhibits thereto, required to be filed or furnished by BCTG with the SEC since BCTG’s formation under the Exchange Act or the Securities Act, together with any amendments, restatements or supplements thereto, and will use commercially reasonable efforts to file all such forms, reports, schedules, statements and other documents required to be filed subsequent to the date of the Merger Agreement;</w:t>
      </w:r>
    </w:p>
    <w:p>
      <w:pPr>
        <w:spacing w:after="0" w:line="110" w:lineRule="exact"/>
        <w:rPr>
          <w:rFonts w:ascii="Arial" w:cs="Arial" w:eastAsia="Arial" w:hAnsi="Arial"/>
          <w:sz w:val="17"/>
          <w:szCs w:val="17"/>
          <w:color w:val="auto"/>
        </w:rPr>
      </w:pPr>
    </w:p>
    <w:p>
      <w:pPr>
        <w:ind w:left="1320" w:right="679" w:hanging="434"/>
        <w:spacing w:after="0" w:line="277" w:lineRule="auto"/>
        <w:tabs>
          <w:tab w:leader="none" w:pos="131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that it has not conducted any business activities other than activities directed toward completing a business combination;</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except as disclosed to the SEC, BCTG is not party to any contract;</w:t>
      </w:r>
    </w:p>
    <w:p>
      <w:pPr>
        <w:spacing w:after="0" w:line="157" w:lineRule="exact"/>
        <w:rPr>
          <w:rFonts w:ascii="Arial" w:cs="Arial" w:eastAsia="Arial" w:hAnsi="Arial"/>
          <w:sz w:val="18"/>
          <w:szCs w:val="18"/>
          <w:color w:val="auto"/>
        </w:rPr>
      </w:pPr>
    </w:p>
    <w:p>
      <w:pPr>
        <w:ind w:left="1320" w:right="859" w:hanging="434"/>
        <w:spacing w:after="0" w:line="277" w:lineRule="auto"/>
        <w:tabs>
          <w:tab w:leader="none" w:pos="131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that BCTG has delivered and executed certain documents required for the PIPE transaction and certain matters related thereto;</w:t>
      </w:r>
    </w:p>
    <w:p>
      <w:pPr>
        <w:spacing w:after="0" w:line="102" w:lineRule="exact"/>
        <w:rPr>
          <w:rFonts w:ascii="Arial" w:cs="Arial" w:eastAsia="Arial" w:hAnsi="Arial"/>
          <w:sz w:val="18"/>
          <w:szCs w:val="18"/>
          <w:color w:val="auto"/>
        </w:rPr>
      </w:pPr>
    </w:p>
    <w:p>
      <w:pPr>
        <w:ind w:left="1320" w:right="1079" w:hanging="434"/>
        <w:spacing w:after="0" w:line="342" w:lineRule="auto"/>
        <w:tabs>
          <w:tab w:leader="none" w:pos="1311"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there is no pending litigation against BCTG o rMerger Sub or action with any governmental authority that would challenge the Merger Agreement or the Business Combination;</w:t>
      </w:r>
    </w:p>
    <w:p>
      <w:pPr>
        <w:spacing w:after="0" w:line="42" w:lineRule="exact"/>
        <w:rPr>
          <w:rFonts w:ascii="Arial" w:cs="Arial" w:eastAsia="Arial" w:hAnsi="Arial"/>
          <w:sz w:val="16"/>
          <w:szCs w:val="16"/>
          <w:color w:val="auto"/>
        </w:rPr>
      </w:pPr>
    </w:p>
    <w:p>
      <w:pPr>
        <w:ind w:left="1320" w:right="899" w:hanging="434"/>
        <w:spacing w:after="0" w:line="342" w:lineRule="auto"/>
        <w:tabs>
          <w:tab w:leader="none" w:pos="1311"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that BCTG conducted its own independent review and analysis of the business, operations, enrollment, assets, liabilities, results of operations, financial condition and prospects of Tango;</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0" w:name="page141"/>
    <w:bookmarkEnd w:id="14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54" w:lineRule="auto"/>
        <w:tabs>
          <w:tab w:leader="none" w:pos="131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that none of the information supplied or to be supplied by BCTG expressly for inclusion or incorporation by reference in the filings with the SEC and mailings to BCTG’s stockholders with respect to the solicitation of proxies to approve the Merger Agreement and Business Combination will, at the date of filing and/or mailing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BCTG or that is included in SEC douments);</w:t>
      </w:r>
    </w:p>
    <w:p>
      <w:pPr>
        <w:spacing w:after="0" w:line="124" w:lineRule="exact"/>
        <w:rPr>
          <w:rFonts w:ascii="Arial" w:cs="Arial" w:eastAsia="Arial" w:hAnsi="Arial"/>
          <w:sz w:val="18"/>
          <w:szCs w:val="18"/>
          <w:color w:val="auto"/>
        </w:rPr>
      </w:pPr>
    </w:p>
    <w:p>
      <w:pPr>
        <w:ind w:left="1320" w:right="499" w:hanging="434"/>
        <w:spacing w:after="0" w:line="259" w:lineRule="auto"/>
        <w:tabs>
          <w:tab w:leader="none" w:pos="131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that BCTG is not and will not be an “investment company,” a company controlled by an “investment company,” or an “affiliated person” of, or “promoter” or “principal underwriter” for, an “investment company,” as such terms are defined in the Investment Company Act of 1940, as amended;</w:t>
      </w:r>
    </w:p>
    <w:p>
      <w:pPr>
        <w:spacing w:after="0" w:line="119"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certain matters relating to existing lock up agreements and other letter agreements between BCTG and any of the BCTG stockholders;</w:t>
      </w:r>
    </w:p>
    <w:p>
      <w:pPr>
        <w:spacing w:after="0" w:line="89"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that BCTG’s Board has approved the Merger Agreement and other matters relating to the Business Combination;</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certain matters relating to the vote required by BCTG’s stockholders necessary to obtain approval of the Merger Agreement and Business Combination;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other customary representations and warranties.</w:t>
      </w:r>
    </w:p>
    <w:p>
      <w:pPr>
        <w:spacing w:after="0" w:line="144" w:lineRule="exact"/>
        <w:rPr>
          <w:sz w:val="20"/>
          <w:szCs w:val="20"/>
          <w:color w:val="auto"/>
        </w:rPr>
      </w:pPr>
    </w:p>
    <w:p>
      <w:pPr>
        <w:ind w:left="460" w:right="499" w:firstLine="432"/>
        <w:spacing w:after="0" w:line="284" w:lineRule="auto"/>
        <w:rPr>
          <w:sz w:val="20"/>
          <w:szCs w:val="20"/>
          <w:color w:val="auto"/>
        </w:rPr>
      </w:pPr>
      <w:r>
        <w:rPr>
          <w:rFonts w:ascii="Arial" w:cs="Arial" w:eastAsia="Arial" w:hAnsi="Arial"/>
          <w:sz w:val="16"/>
          <w:szCs w:val="16"/>
          <w:color w:val="auto"/>
        </w:rPr>
        <w:t>This summary and the copy of the Merger Agreement attached to this proxy statement/prospectus as Annex A are included solely to provide investors with information regarding the terms of the Merger Agreement. They are not intended to provide factual information about the parties or any of their respective subsidiaries or affiliates. The Merger Agreement contains representations and warranties by BCTG and Tango, which were made only for purposes of that agreement and as of specific dates. The representations, warranties and covenants in the Merger Agreement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generally applicable to investors. Investors are not third-party beneficiaries under the Merger Agreement, and in reviewing the representations, warranties and covenants contained in the Merger Agreement or any descriptions thereof in this summary, it is important to bear in mind that such representations, warranties and covenants or any descriptions thereof were not intended by the parties to the Merger Agreement to be characterizations of the actual state of facts or condition of BCTG, Tango or any of their respective subsidiaries or affiliates. Moreover, information concerning the subject matter of the representations, warranties and covenants may change after the date of the Merger Agreement. To the extent that prior to the effective date of this proxy statement/prospectus, material information that contradicts the representations, warranties, and covenants in the Merger Agreement has come to our attention, we have provided corrective disclosure in this proxy statement/prospectus. Furthermore, if subsequent to the effective date of this proxy statement/prospectus, material information concerning the subject matter of the representations, warranties, and covenants in the Merger Agreement comes to our attention and such information has not been previously disclosed in our public filings, our public filings will be updated to include any material information necessary to provide our stockholders with a materially complete understanding of the disclosures in the Merger Agreement.</w:t>
      </w:r>
    </w:p>
    <w:p>
      <w:pPr>
        <w:spacing w:after="0" w:line="325" w:lineRule="exact"/>
        <w:rPr>
          <w:sz w:val="20"/>
          <w:szCs w:val="20"/>
          <w:color w:val="auto"/>
        </w:rPr>
      </w:pPr>
    </w:p>
    <w:p>
      <w:pPr>
        <w:jc w:val="both"/>
        <w:ind w:left="460" w:right="739" w:firstLine="432"/>
        <w:spacing w:after="0" w:line="263" w:lineRule="auto"/>
        <w:rPr>
          <w:sz w:val="20"/>
          <w:szCs w:val="20"/>
          <w:color w:val="auto"/>
        </w:rPr>
      </w:pPr>
      <w:r>
        <w:rPr>
          <w:rFonts w:ascii="Arial" w:cs="Arial" w:eastAsia="Arial" w:hAnsi="Arial"/>
          <w:sz w:val="18"/>
          <w:szCs w:val="18"/>
          <w:color w:val="auto"/>
        </w:rPr>
        <w:t>The representations and warranties are, in many respects, qualified by materiality and knowledge, and will not survive the Merger, but their accuracy forms the basis of some of the conditions to the obligations of BCTG, Merger Sub and Tango to complete the Merger.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Material Adverse Effect</w:t>
      </w:r>
    </w:p>
    <w:p>
      <w:pPr>
        <w:spacing w:after="0" w:line="15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Under the Merger Agreement, (i) certain representations and warranties of Tango are qualified in whole or in part by a material adverse effect standard for purposes of determining whether a breach of such representations and warranties has occurred, and (ii) certain representations and warranties of BCTG are qualified in whole or in part by a material adverse effect on the ability of BCTG to enter into and perform its obligations under the Merger Agreement standard for purposes of determining whether a breach of such representations and warranties has occurred.</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1" w:name="page142"/>
    <w:bookmarkEnd w:id="14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With respect to and its subsidiaries, a material adverse effect under the Merger Agreement means any change, development, circumstance, effect, event or fact that has had, or would reasonably be expected to have, individually or in the aggregate, a material adverse effect upon the financial condition, business, liabilities or results of operations of Tango and its subsidiaries, taken as a whole. However, in no event would any of the following, alone or in combination, be deemed to constitute, or be taken into account in determining whether there has been or will be,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 unless, such change, development, circumstance, effect, event or fact has a disproportionate effect on Tango and its subsidiaries, taken as a whole, compared to other persons or entities in the industry or geographic regions in which Tango or its subsidiaries conducts business, but only to the extent of such disproportionate effect:</w:t>
      </w:r>
    </w:p>
    <w:p>
      <w:pPr>
        <w:spacing w:after="0" w:line="86" w:lineRule="exact"/>
        <w:rPr>
          <w:sz w:val="20"/>
          <w:szCs w:val="20"/>
          <w:color w:val="auto"/>
        </w:rPr>
      </w:pPr>
    </w:p>
    <w:p>
      <w:pPr>
        <w:ind w:left="1320" w:right="839" w:hanging="434"/>
        <w:spacing w:after="0" w:line="277" w:lineRule="auto"/>
        <w:tabs>
          <w:tab w:leader="none" w:pos="131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conditions affecting the economy, financial, credit, debt, capital, or securities markets generally (including with respect to or as a result of COVID-19);</w:t>
      </w:r>
    </w:p>
    <w:p>
      <w:pPr>
        <w:spacing w:after="0" w:line="75" w:lineRule="exact"/>
        <w:rPr>
          <w:rFonts w:ascii="Arial" w:cs="Arial" w:eastAsia="Arial" w:hAnsi="Arial"/>
          <w:sz w:val="18"/>
          <w:szCs w:val="18"/>
          <w:color w:val="auto"/>
        </w:rPr>
      </w:pPr>
    </w:p>
    <w:p>
      <w:pPr>
        <w:ind w:left="1320" w:right="479" w:hanging="434"/>
        <w:spacing w:after="0" w:line="263" w:lineRule="auto"/>
        <w:tabs>
          <w:tab w:leader="none" w:pos="131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global, national or regional political conditions, including national or international hostilities, acts of terror or acts of war, sabotage or terrorism or military actions or any escalation or worsening of any hostilities, acts of war, sabotage or terrorism or military actions</w:t>
      </w:r>
    </w:p>
    <w:p>
      <w:pPr>
        <w:spacing w:after="0" w:line="75" w:lineRule="exact"/>
        <w:rPr>
          <w:rFonts w:ascii="Arial" w:cs="Arial" w:eastAsia="Arial" w:hAnsi="Arial"/>
          <w:sz w:val="18"/>
          <w:szCs w:val="18"/>
          <w:color w:val="auto"/>
        </w:rPr>
      </w:pPr>
    </w:p>
    <w:p>
      <w:pPr>
        <w:ind w:left="1300" w:hanging="41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changes or proposed changes in GAAP;</w:t>
      </w:r>
    </w:p>
    <w:p>
      <w:pPr>
        <w:spacing w:after="0" w:line="130" w:lineRule="exact"/>
        <w:rPr>
          <w:rFonts w:ascii="Arial" w:cs="Arial" w:eastAsia="Arial" w:hAnsi="Arial"/>
          <w:sz w:val="18"/>
          <w:szCs w:val="18"/>
          <w:color w:val="auto"/>
        </w:rPr>
      </w:pPr>
    </w:p>
    <w:p>
      <w:pPr>
        <w:ind w:left="1320" w:right="699" w:hanging="434"/>
        <w:spacing w:after="0" w:line="277" w:lineRule="auto"/>
        <w:tabs>
          <w:tab w:leader="none" w:pos="131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changes or proposed changes in any Law or other binding directives issued by any Governmental Authority;</w:t>
      </w:r>
    </w:p>
    <w:p>
      <w:pPr>
        <w:spacing w:after="0" w:line="75" w:lineRule="exact"/>
        <w:rPr>
          <w:rFonts w:ascii="Arial" w:cs="Arial" w:eastAsia="Arial" w:hAnsi="Arial"/>
          <w:sz w:val="18"/>
          <w:szCs w:val="18"/>
          <w:color w:val="auto"/>
        </w:rPr>
      </w:pPr>
    </w:p>
    <w:p>
      <w:pPr>
        <w:ind w:left="1320" w:right="999" w:hanging="434"/>
        <w:spacing w:after="0" w:line="277" w:lineRule="auto"/>
        <w:tabs>
          <w:tab w:leader="none" w:pos="131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general conditions in the industry in which Tango and its subsidiaries operate (including with respect to or as a result of COVID-19);</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actions or omissions taken by BCTG or its affiliates;</w:t>
      </w:r>
    </w:p>
    <w:p>
      <w:pPr>
        <w:spacing w:after="0" w:line="130" w:lineRule="exact"/>
        <w:rPr>
          <w:rFonts w:ascii="Arial" w:cs="Arial" w:eastAsia="Arial" w:hAnsi="Arial"/>
          <w:sz w:val="18"/>
          <w:szCs w:val="18"/>
          <w:color w:val="auto"/>
        </w:rPr>
      </w:pPr>
    </w:p>
    <w:p>
      <w:pPr>
        <w:ind w:left="1320" w:right="1079" w:hanging="434"/>
        <w:spacing w:after="0" w:line="342" w:lineRule="auto"/>
        <w:tabs>
          <w:tab w:leader="none" w:pos="1311"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actions or omissions taken by Tango or any of its Subsidiaries that is required by the Merger Agreement or any transaction document or taken with the prior written consent of BCTG;</w:t>
      </w:r>
    </w:p>
    <w:p>
      <w:pPr>
        <w:spacing w:after="0" w:line="29" w:lineRule="exact"/>
        <w:rPr>
          <w:rFonts w:ascii="Arial" w:cs="Arial" w:eastAsia="Arial" w:hAnsi="Arial"/>
          <w:sz w:val="16"/>
          <w:szCs w:val="16"/>
          <w:color w:val="auto"/>
        </w:rPr>
      </w:pPr>
    </w:p>
    <w:p>
      <w:pPr>
        <w:ind w:left="1320" w:right="539" w:hanging="434"/>
        <w:spacing w:after="0" w:line="277" w:lineRule="auto"/>
        <w:tabs>
          <w:tab w:leader="none" w:pos="131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public announcement of the transactions underlying the Business Combination or the identity of BCTG or Tango in connection with the Business Combination;</w:t>
      </w:r>
    </w:p>
    <w:p>
      <w:pPr>
        <w:spacing w:after="0" w:line="62"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failure to meet any projections, forecasts, guidance, estimates, milestones, budgets or financial or operating predictions of revenue, earnings, cash flow or cash position;</w:t>
      </w:r>
    </w:p>
    <w:p>
      <w:pPr>
        <w:spacing w:after="0" w:line="75" w:lineRule="exact"/>
        <w:rPr>
          <w:rFonts w:ascii="Arial" w:cs="Arial" w:eastAsia="Arial" w:hAnsi="Arial"/>
          <w:sz w:val="18"/>
          <w:szCs w:val="18"/>
          <w:color w:val="auto"/>
        </w:rPr>
      </w:pPr>
    </w:p>
    <w:p>
      <w:pPr>
        <w:ind w:left="1300" w:hanging="41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pandemics, earthquakes, hurricanes, tornados or other natural disasters; or</w:t>
      </w:r>
    </w:p>
    <w:p>
      <w:pPr>
        <w:spacing w:after="0" w:line="130"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failure by Tango to take any action that is prohibited by the Merger Agreement unless BCTG has consented in writing to the taking thereof.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Covenants and Agreements</w:t>
      </w:r>
    </w:p>
    <w:p>
      <w:pPr>
        <w:spacing w:after="0" w:line="144" w:lineRule="exact"/>
        <w:rPr>
          <w:sz w:val="20"/>
          <w:szCs w:val="20"/>
          <w:color w:val="auto"/>
        </w:rPr>
      </w:pPr>
    </w:p>
    <w:p>
      <w:pPr>
        <w:jc w:val="both"/>
        <w:ind w:left="460" w:right="759" w:firstLine="432"/>
        <w:spacing w:after="0" w:line="263" w:lineRule="auto"/>
        <w:rPr>
          <w:sz w:val="20"/>
          <w:szCs w:val="20"/>
          <w:color w:val="auto"/>
        </w:rPr>
      </w:pPr>
      <w:r>
        <w:rPr>
          <w:rFonts w:ascii="Arial" w:cs="Arial" w:eastAsia="Arial" w:hAnsi="Arial"/>
          <w:sz w:val="18"/>
          <w:szCs w:val="18"/>
          <w:color w:val="auto"/>
        </w:rPr>
        <w:t>Tango has made covenants relating to, among other things, conduct of business, access to information, employment matters, preparation and delivery of certain audited and unaudited financial statements, lock-up agreements, notice of changes and affiliate agreements.</w:t>
      </w:r>
    </w:p>
    <w:p>
      <w:pPr>
        <w:spacing w:after="0" w:line="116"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BCTG has made covenants relating to, among other things, BCTG’s conduct of business, Nasdaq listing, trust account, insider letter agreement, public filings and SEC reporting obligations, notice of changes and adoption of the BCTG Equity Incentive Plan.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Conduct of Business by Tango</w:t>
      </w:r>
    </w:p>
    <w:p>
      <w:pPr>
        <w:spacing w:after="0" w:line="158"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Tango has agreed that, except as contemplated by the Merger Agreement, as set forth on the disclosure schedules to the Merger Agreement, or as required by applicable law, during the period from the date of the Merger Agreement until the earlier of the Effective Time or valid termination of the Merger Agreement, without the prior written consent of BCTG (which consent shall not be unreasonably withheld, conditioned or delayed and may be given as set forth below), Tango and each of its subsidiaries (a) shall use commercially reasonable efforts to (i) conduct its business in the ordinary course, and (ii) preserve its goodwill, keep available the services of its officers and employees, and maintain satisfactory relationships with customers and vendors and</w:t>
      </w:r>
    </w:p>
    <w:p>
      <w:pPr>
        <w:spacing w:after="0" w:line="2" w:lineRule="exact"/>
        <w:rPr>
          <w:sz w:val="20"/>
          <w:szCs w:val="20"/>
          <w:color w:val="auto"/>
        </w:rPr>
      </w:pPr>
    </w:p>
    <w:p>
      <w:pPr>
        <w:ind w:left="700" w:hanging="246"/>
        <w:spacing w:after="0"/>
        <w:tabs>
          <w:tab w:leader="none" w:pos="7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shall not:</w:t>
      </w:r>
    </w:p>
    <w:p>
      <w:pPr>
        <w:spacing w:after="0" w:line="129" w:lineRule="exact"/>
        <w:rPr>
          <w:rFonts w:ascii="Arial" w:cs="Arial" w:eastAsia="Arial" w:hAnsi="Arial"/>
          <w:sz w:val="18"/>
          <w:szCs w:val="18"/>
          <w:color w:val="auto"/>
        </w:rPr>
      </w:pPr>
    </w:p>
    <w:p>
      <w:pPr>
        <w:ind w:left="1300" w:hanging="414"/>
        <w:spacing w:after="0"/>
        <w:tabs>
          <w:tab w:leader="none" w:pos="13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amend its organizational documents;</w:t>
      </w:r>
    </w:p>
    <w:p>
      <w:pPr>
        <w:spacing w:after="0" w:line="157" w:lineRule="exact"/>
        <w:rPr>
          <w:rFonts w:ascii="Arial" w:cs="Arial" w:eastAsia="Arial" w:hAnsi="Arial"/>
          <w:sz w:val="18"/>
          <w:szCs w:val="18"/>
          <w:color w:val="auto"/>
        </w:rPr>
      </w:pPr>
    </w:p>
    <w:p>
      <w:pPr>
        <w:ind w:left="1320" w:right="759" w:hanging="434"/>
        <w:spacing w:after="0" w:line="263" w:lineRule="auto"/>
        <w:tabs>
          <w:tab w:leader="none" w:pos="131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adopt a plan or agreement of liquidation, dissolution, restructuring, merger, consolidation, recapitalization or other reorganization, or otherwise merge or consolidate with or into any other person;</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2" w:name="page143"/>
    <w:bookmarkEnd w:id="14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19" w:hanging="434"/>
        <w:spacing w:after="0" w:line="269" w:lineRule="auto"/>
        <w:tabs>
          <w:tab w:leader="none" w:pos="1311"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 issue, sell, pledge, amend, grant, create a Lien (as defined in the Merger Agreement) upon, or authorize the issuance, sale, pledge, amendment, grant or creation of a Lien upon, any equity interests of Tango or any of its subsidiaries, or Tango Options, convertible securities, or other commitments or instruments pursuant to which Tango or any of its subsidiaries may become obligated to issue or sell any of its shares of capital stock or other securities, or the holders may have the right to vote (or convertible into, or exchangeable for, securities having the right to vote) on any matters on which stockholders of Tango or its subsidiaries may vote, subject to certain exceptions; (B) split, combine, subdivide or reclassify any of its shares of capital stock, (C) declare, set aside or pay any dividend or other distribution with respect to shares of its capital stock other than dividends from a subsidiary of Tango, or (D) redeem, purchase or otherwise acquire any of its shares of capital stock, subject to certain exceptions;</w:t>
      </w:r>
    </w:p>
    <w:p>
      <w:pPr>
        <w:spacing w:after="0" w:line="114" w:lineRule="exact"/>
        <w:rPr>
          <w:rFonts w:ascii="Arial" w:cs="Arial" w:eastAsia="Arial" w:hAnsi="Arial"/>
          <w:sz w:val="17"/>
          <w:szCs w:val="17"/>
          <w:color w:val="auto"/>
        </w:rPr>
      </w:pPr>
    </w:p>
    <w:p>
      <w:pPr>
        <w:ind w:left="1320" w:right="499" w:hanging="434"/>
        <w:spacing w:after="0" w:line="263" w:lineRule="auto"/>
        <w:tabs>
          <w:tab w:leader="none" w:pos="131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make, cancel or compromise any loans, advances, guarantees or capital contributions to any person, subject to certain exceptions; or (B) incur, assume, accelerate or guarantee any Indebtedness (defined in the Merger Agreement), subject to certain exceptions;</w:t>
      </w:r>
    </w:p>
    <w:p>
      <w:pPr>
        <w:spacing w:after="0" w:line="116" w:lineRule="exact"/>
        <w:rPr>
          <w:rFonts w:ascii="Arial" w:cs="Arial" w:eastAsia="Arial" w:hAnsi="Arial"/>
          <w:sz w:val="18"/>
          <w:szCs w:val="18"/>
          <w:color w:val="auto"/>
        </w:rPr>
      </w:pPr>
    </w:p>
    <w:p>
      <w:pPr>
        <w:ind w:left="1320" w:right="699" w:hanging="434"/>
        <w:spacing w:after="0" w:line="263" w:lineRule="auto"/>
        <w:tabs>
          <w:tab w:leader="none" w:pos="131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make or commit to make any capital expenditures except (A) as contemplated by Tango’s current budget, (B) in the ordinary course, or (C) such expenditures as do not exceed $500,000 in the aggregate;</w:t>
      </w:r>
    </w:p>
    <w:p>
      <w:pPr>
        <w:spacing w:after="0" w:line="102" w:lineRule="exact"/>
        <w:rPr>
          <w:rFonts w:ascii="Arial" w:cs="Arial" w:eastAsia="Arial" w:hAnsi="Arial"/>
          <w:sz w:val="18"/>
          <w:szCs w:val="18"/>
          <w:color w:val="auto"/>
        </w:rPr>
      </w:pPr>
    </w:p>
    <w:p>
      <w:pPr>
        <w:ind w:left="1320" w:right="499" w:hanging="434"/>
        <w:spacing w:after="0" w:line="275" w:lineRule="auto"/>
        <w:tabs>
          <w:tab w:leader="none" w:pos="1311"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acquire, transfer, mortgage, assign, sell, lease, create a lien upon (other than liens expressly permitted under the Merger Agreement or otherwise dispose of or pledge, any asset of Tango or any of its subsidiaries other than (A) in the ordinary course. (B) any such tangible assets at the end of their useful lives, (C) out of redundancy, (D) pursuant to contracts Tango is party to in effect as of the date hereof, or (E) in the aggregate up to $500,000;</w:t>
      </w:r>
    </w:p>
    <w:p>
      <w:pPr>
        <w:spacing w:after="0" w:line="108" w:lineRule="exact"/>
        <w:rPr>
          <w:rFonts w:ascii="Arial" w:cs="Arial" w:eastAsia="Arial" w:hAnsi="Arial"/>
          <w:sz w:val="17"/>
          <w:szCs w:val="17"/>
          <w:color w:val="auto"/>
        </w:rPr>
      </w:pPr>
    </w:p>
    <w:p>
      <w:pPr>
        <w:ind w:left="1320" w:right="519" w:hanging="434"/>
        <w:spacing w:after="0" w:line="259" w:lineRule="auto"/>
        <w:tabs>
          <w:tab w:leader="none" w:pos="131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commence any Proceeding (as defined in the Merger Agreement) or release, assign, compromise, settle, waive or abandon any pending or threatened Proceeding, other than any such Proceeding that would not reasonably be expected to result in damages or otherwise have a value, individually in excess of $500,000;</w:t>
      </w:r>
    </w:p>
    <w:p>
      <w:pPr>
        <w:spacing w:after="0" w:line="119" w:lineRule="exact"/>
        <w:rPr>
          <w:rFonts w:ascii="Arial" w:cs="Arial" w:eastAsia="Arial" w:hAnsi="Arial"/>
          <w:sz w:val="18"/>
          <w:szCs w:val="18"/>
          <w:color w:val="auto"/>
        </w:rPr>
      </w:pPr>
    </w:p>
    <w:p>
      <w:pPr>
        <w:ind w:left="1320" w:right="519" w:hanging="434"/>
        <w:spacing w:after="0" w:line="273" w:lineRule="auto"/>
        <w:tabs>
          <w:tab w:leader="none" w:pos="1311" w:val="left"/>
        </w:tabs>
        <w:numPr>
          <w:ilvl w:val="0"/>
          <w:numId w:val="192"/>
        </w:numPr>
        <w:rPr>
          <w:rFonts w:ascii="Arial" w:cs="Arial" w:eastAsia="Arial" w:hAnsi="Arial"/>
          <w:sz w:val="17"/>
          <w:szCs w:val="17"/>
          <w:color w:val="auto"/>
        </w:rPr>
      </w:pPr>
      <w:r>
        <w:rPr>
          <w:rFonts w:ascii="Arial" w:cs="Arial" w:eastAsia="Arial" w:hAnsi="Arial"/>
          <w:sz w:val="17"/>
          <w:szCs w:val="17"/>
          <w:color w:val="auto"/>
        </w:rPr>
        <w:t>subject to certain exceptions, (1) grant or announce any increase in salaries, bonuses, severance, termination, retention or change-in-control pay, or other compensation and benefits payable or to become payable by Tango or any of its subsidiaries to any current or former employee, or (2) adopt, establish or enter into any plan, policy or arrangement that would constitute a Benefit Arrangement (as defined in the Merger Agreement) if it were in existence on the date hereof, other than in the case of the renewal of group health or welfare plans;</w:t>
      </w:r>
    </w:p>
    <w:p>
      <w:pPr>
        <w:spacing w:after="0" w:line="96" w:lineRule="exact"/>
        <w:rPr>
          <w:rFonts w:ascii="Arial" w:cs="Arial" w:eastAsia="Arial" w:hAnsi="Arial"/>
          <w:sz w:val="17"/>
          <w:szCs w:val="17"/>
          <w:color w:val="auto"/>
        </w:rPr>
      </w:pPr>
    </w:p>
    <w:p>
      <w:pPr>
        <w:ind w:left="1320" w:right="599" w:hanging="434"/>
        <w:spacing w:after="0" w:line="277" w:lineRule="auto"/>
        <w:tabs>
          <w:tab w:leader="none" w:pos="131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enter into, amend, terminate or extend any collective bargaining agreement or any other agreement with, a labor or trade union, employee association or works council;</w:t>
      </w:r>
    </w:p>
    <w:p>
      <w:pPr>
        <w:spacing w:after="0" w:line="102" w:lineRule="exact"/>
        <w:rPr>
          <w:rFonts w:ascii="Arial" w:cs="Arial" w:eastAsia="Arial" w:hAnsi="Arial"/>
          <w:sz w:val="18"/>
          <w:szCs w:val="18"/>
          <w:color w:val="auto"/>
        </w:rPr>
      </w:pPr>
    </w:p>
    <w:p>
      <w:pPr>
        <w:ind w:left="1320" w:right="619" w:hanging="434"/>
        <w:spacing w:after="0" w:line="277" w:lineRule="auto"/>
        <w:tabs>
          <w:tab w:leader="none" w:pos="131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change its fiscal year or any material method of accounting or material accounting practice, except for any such change required by GAAP;</w:t>
      </w:r>
    </w:p>
    <w:p>
      <w:pPr>
        <w:spacing w:after="0" w:line="102" w:lineRule="exact"/>
        <w:rPr>
          <w:rFonts w:ascii="Arial" w:cs="Arial" w:eastAsia="Arial" w:hAnsi="Arial"/>
          <w:sz w:val="18"/>
          <w:szCs w:val="18"/>
          <w:color w:val="auto"/>
        </w:rPr>
      </w:pPr>
    </w:p>
    <w:p>
      <w:pPr>
        <w:jc w:val="both"/>
        <w:ind w:left="1320" w:right="779" w:hanging="434"/>
        <w:spacing w:after="0" w:line="263" w:lineRule="auto"/>
        <w:tabs>
          <w:tab w:leader="none" w:pos="131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terminate (other than expiration in accordance with its terms) or amend any material term of any Material Contract (as defined in the Merger Agreement) in a manner that would adversely affect Tango following the Closing;</w:t>
      </w:r>
    </w:p>
    <w:p>
      <w:pPr>
        <w:spacing w:after="0" w:line="102" w:lineRule="exact"/>
        <w:rPr>
          <w:rFonts w:ascii="Arial" w:cs="Arial" w:eastAsia="Arial" w:hAnsi="Arial"/>
          <w:sz w:val="18"/>
          <w:szCs w:val="18"/>
          <w:color w:val="auto"/>
        </w:rPr>
      </w:pPr>
    </w:p>
    <w:p>
      <w:pPr>
        <w:ind w:left="1320" w:right="959" w:hanging="434"/>
        <w:spacing w:after="0" w:line="308" w:lineRule="auto"/>
        <w:tabs>
          <w:tab w:leader="none" w:pos="1311"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assign, transfer, abandon, modify, waive, terminate, fail to renew, let lapse or otherwise fail to maintain or otherwise change any material permit, except in the ordinary course;</w:t>
      </w:r>
    </w:p>
    <w:p>
      <w:pPr>
        <w:spacing w:after="0" w:line="78" w:lineRule="exact"/>
        <w:rPr>
          <w:rFonts w:ascii="Arial" w:cs="Arial" w:eastAsia="Arial" w:hAnsi="Arial"/>
          <w:sz w:val="17"/>
          <w:szCs w:val="17"/>
          <w:color w:val="auto"/>
        </w:rPr>
      </w:pPr>
    </w:p>
    <w:p>
      <w:pPr>
        <w:ind w:left="1320" w:right="459" w:hanging="434"/>
        <w:spacing w:after="0" w:line="293" w:lineRule="auto"/>
        <w:tabs>
          <w:tab w:leader="none" w:pos="1311" w:val="left"/>
        </w:tabs>
        <w:numPr>
          <w:ilvl w:val="0"/>
          <w:numId w:val="192"/>
        </w:numPr>
        <w:rPr>
          <w:rFonts w:ascii="Arial" w:cs="Arial" w:eastAsia="Arial" w:hAnsi="Arial"/>
          <w:sz w:val="16"/>
          <w:szCs w:val="16"/>
          <w:color w:val="auto"/>
        </w:rPr>
      </w:pPr>
      <w:r>
        <w:rPr>
          <w:rFonts w:ascii="Arial" w:cs="Arial" w:eastAsia="Arial" w:hAnsi="Arial"/>
          <w:sz w:val="16"/>
          <w:szCs w:val="16"/>
          <w:color w:val="auto"/>
        </w:rPr>
        <w:t>make (inconsistent with past practices), revoke or change any tax election, adopt or change any tax accounting method or period, file an amended tax return, enter into any closing agreement or settlement, settle any tax claim or assessment, in each case unless such action would not have the effect of materially increasing the tax liability of BCTG, Tango or their affiliates for any taxable period (or portion thereof) beginning after the Closing Date or such action is required as a result of a final determination by a governmental authority or as otherwise required by applicable law;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3" w:name="page144"/>
    <w:bookmarkEnd w:id="14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93" w:lineRule="auto"/>
        <w:tabs>
          <w:tab w:leader="none" w:pos="1311" w:val="left"/>
        </w:tabs>
        <w:numPr>
          <w:ilvl w:val="0"/>
          <w:numId w:val="193"/>
        </w:numPr>
        <w:rPr>
          <w:rFonts w:ascii="Arial" w:cs="Arial" w:eastAsia="Arial" w:hAnsi="Arial"/>
          <w:sz w:val="16"/>
          <w:szCs w:val="16"/>
          <w:color w:val="auto"/>
        </w:rPr>
      </w:pPr>
      <w:r>
        <w:rPr>
          <w:rFonts w:ascii="Arial" w:cs="Arial" w:eastAsia="Arial" w:hAnsi="Arial"/>
          <w:sz w:val="16"/>
          <w:szCs w:val="16"/>
          <w:color w:val="auto"/>
        </w:rPr>
        <w:t>grant, modify, abandon, dispose of or terminate any rights relating to any intellectual property of Tango or its subsidiaries, other than in the ordinary course, or otherwise permit any of its rights relating to any intellectual property to lapse (other than in the ordinary course, as required under any IP Contract (as defined in the Merger Agreement) made available to BCTG prior to the execution of the Merger Agreement, or registrations for trademarks that are no longer in use by, are not planned to be used in the future by, and are no longer being maintained by Tango and its subsidiaries);</w:t>
      </w:r>
    </w:p>
    <w:p>
      <w:pPr>
        <w:spacing w:after="0" w:line="96" w:lineRule="exact"/>
        <w:rPr>
          <w:rFonts w:ascii="Arial" w:cs="Arial" w:eastAsia="Arial" w:hAnsi="Arial"/>
          <w:sz w:val="16"/>
          <w:szCs w:val="16"/>
          <w:color w:val="auto"/>
        </w:rPr>
      </w:pPr>
    </w:p>
    <w:p>
      <w:pPr>
        <w:ind w:left="1320" w:right="699" w:hanging="434"/>
        <w:spacing w:after="0" w:line="263" w:lineRule="auto"/>
        <w:tabs>
          <w:tab w:leader="none" w:pos="131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take any action, or knowingly fail to take any action, where such action or failure to act would reasonably be expected to prevent the Merger from qualifying for the Intended Tax Treatment (as defined in the Merger Agreement); or</w:t>
      </w:r>
    </w:p>
    <w:p>
      <w:pPr>
        <w:spacing w:after="0" w:line="116" w:lineRule="exact"/>
        <w:rPr>
          <w:rFonts w:ascii="Arial" w:cs="Arial" w:eastAsia="Arial" w:hAnsi="Arial"/>
          <w:sz w:val="18"/>
          <w:szCs w:val="18"/>
          <w:color w:val="auto"/>
        </w:rPr>
      </w:pPr>
    </w:p>
    <w:p>
      <w:pPr>
        <w:ind w:left="1320" w:right="739" w:hanging="434"/>
        <w:spacing w:after="0" w:line="277" w:lineRule="auto"/>
        <w:tabs>
          <w:tab w:leader="none" w:pos="131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agree or commit to do, or resolve, authorize or approve any action to do, any of the foregoing, or take any action or omission that would result in any of the foregoing.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Conduct of Business by BCTG</w:t>
      </w:r>
    </w:p>
    <w:p>
      <w:pPr>
        <w:spacing w:after="0" w:line="144"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BCTG has agreed that, between the date hereof and the Closing, and except as contemplated by the Merger Agreement or with the prior written approval of Tango (which consent shall not be unreasonably withheld, conditioned or delayed and may be given as set forth below), BCTG shall, and shall cause Merger Sub</w:t>
      </w:r>
    </w:p>
    <w:p>
      <w:pPr>
        <w:spacing w:after="0" w:line="2" w:lineRule="exact"/>
        <w:rPr>
          <w:sz w:val="20"/>
          <w:szCs w:val="20"/>
          <w:color w:val="auto"/>
        </w:rPr>
      </w:pPr>
    </w:p>
    <w:p>
      <w:pPr>
        <w:ind w:left="700" w:hanging="246"/>
        <w:spacing w:after="0"/>
        <w:tabs>
          <w:tab w:leader="none" w:pos="7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to use commercially reasonable efforts to (i) conduct their respective businesses in the ordinary course and</w:t>
      </w:r>
    </w:p>
    <w:p>
      <w:pPr>
        <w:spacing w:after="0" w:line="32" w:lineRule="exact"/>
        <w:rPr>
          <w:rFonts w:ascii="Arial" w:cs="Arial" w:eastAsia="Arial" w:hAnsi="Arial"/>
          <w:sz w:val="16"/>
          <w:szCs w:val="16"/>
          <w:color w:val="auto"/>
        </w:rPr>
      </w:pPr>
    </w:p>
    <w:p>
      <w:pPr>
        <w:ind w:left="720" w:hanging="266"/>
        <w:spacing w:after="0"/>
        <w:tabs>
          <w:tab w:leader="none" w:pos="72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keep available the services of their respective officers, and (b) to not take any of the following actions:</w:t>
      </w:r>
    </w:p>
    <w:p>
      <w:pPr>
        <w:spacing w:after="0" w:line="154" w:lineRule="exact"/>
        <w:rPr>
          <w:rFonts w:ascii="Arial" w:cs="Arial" w:eastAsia="Arial" w:hAnsi="Arial"/>
          <w:sz w:val="17"/>
          <w:szCs w:val="17"/>
          <w:color w:val="auto"/>
        </w:rPr>
      </w:pPr>
    </w:p>
    <w:p>
      <w:pPr>
        <w:jc w:val="both"/>
        <w:ind w:left="1320" w:right="519" w:hanging="434"/>
        <w:spacing w:after="0" w:line="263" w:lineRule="auto"/>
        <w:tabs>
          <w:tab w:leader="none" w:pos="1311" w:val="left"/>
        </w:tabs>
        <w:numPr>
          <w:ilvl w:val="1"/>
          <w:numId w:val="195"/>
        </w:numPr>
        <w:rPr>
          <w:rFonts w:ascii="Arial" w:cs="Arial" w:eastAsia="Arial" w:hAnsi="Arial"/>
          <w:sz w:val="18"/>
          <w:szCs w:val="18"/>
          <w:color w:val="auto"/>
        </w:rPr>
      </w:pPr>
      <w:r>
        <w:rPr>
          <w:rFonts w:ascii="Arial" w:cs="Arial" w:eastAsia="Arial" w:hAnsi="Arial"/>
          <w:sz w:val="18"/>
          <w:szCs w:val="18"/>
          <w:color w:val="auto"/>
        </w:rPr>
        <w:t>make any amendment or modification to any of BCTG’s organizational documents or Merger Sub’s organizational documents, other than in connection with an amendment to extend the date by which the Merger may be consummated;</w:t>
      </w:r>
    </w:p>
    <w:p>
      <w:pPr>
        <w:spacing w:after="0" w:line="116" w:lineRule="exact"/>
        <w:rPr>
          <w:rFonts w:ascii="Arial" w:cs="Arial" w:eastAsia="Arial" w:hAnsi="Arial"/>
          <w:sz w:val="18"/>
          <w:szCs w:val="18"/>
          <w:color w:val="auto"/>
        </w:rPr>
      </w:pPr>
    </w:p>
    <w:p>
      <w:pPr>
        <w:ind w:left="1320" w:right="599" w:hanging="434"/>
        <w:spacing w:after="0" w:line="263" w:lineRule="auto"/>
        <w:tabs>
          <w:tab w:leader="none" w:pos="1311"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take any action in violation or contravention of any of BCTG’s organizational documents, Merger Sub’s organizational documents, applicable law or any applicable rules and regulations of the SEC or Nasdaq;</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terminate or amend any material provision of any contract to which BCTG is party to;</w:t>
      </w:r>
    </w:p>
    <w:p>
      <w:pPr>
        <w:spacing w:after="0" w:line="157" w:lineRule="exact"/>
        <w:rPr>
          <w:rFonts w:ascii="Arial" w:cs="Arial" w:eastAsia="Arial" w:hAnsi="Arial"/>
          <w:sz w:val="18"/>
          <w:szCs w:val="18"/>
          <w:color w:val="auto"/>
        </w:rPr>
      </w:pPr>
    </w:p>
    <w:p>
      <w:pPr>
        <w:ind w:left="1320" w:right="499" w:hanging="434"/>
        <w:spacing w:after="0" w:line="272" w:lineRule="auto"/>
        <w:tabs>
          <w:tab w:leader="none" w:pos="1311" w:val="left"/>
        </w:tabs>
        <w:numPr>
          <w:ilvl w:val="1"/>
          <w:numId w:val="195"/>
        </w:numPr>
        <w:rPr>
          <w:rFonts w:ascii="Arial" w:cs="Arial" w:eastAsia="Arial" w:hAnsi="Arial"/>
          <w:sz w:val="17"/>
          <w:szCs w:val="17"/>
          <w:color w:val="auto"/>
        </w:rPr>
      </w:pPr>
      <w:r>
        <w:rPr>
          <w:rFonts w:ascii="Arial" w:cs="Arial" w:eastAsia="Arial" w:hAnsi="Arial"/>
          <w:sz w:val="17"/>
          <w:szCs w:val="17"/>
          <w:color w:val="auto"/>
        </w:rPr>
        <w:t>authorize for issuance, issue, grant, sell, pledge, dispose of or propose to issue, grant, sell, pledge or dispose of any of its equity securities or any options, warrants, commitments, subscriptions or rights of any kind to acquire or sell any of its equity securities, or other security interests, including any securities convertible into or exchangeable for any of its equity securities or other security interests of any class and any other equity-based awards, or engage in any hedging transaction with a third person with respect to such equity securities or other security interests, other than in connection with the PIPE Financing;</w:t>
      </w:r>
    </w:p>
    <w:p>
      <w:pPr>
        <w:spacing w:after="0" w:line="109" w:lineRule="exact"/>
        <w:rPr>
          <w:rFonts w:ascii="Arial" w:cs="Arial" w:eastAsia="Arial" w:hAnsi="Arial"/>
          <w:sz w:val="17"/>
          <w:szCs w:val="17"/>
          <w:color w:val="auto"/>
        </w:rPr>
      </w:pPr>
    </w:p>
    <w:p>
      <w:pPr>
        <w:ind w:left="1320" w:right="599" w:hanging="434"/>
        <w:spacing w:after="0" w:line="277" w:lineRule="auto"/>
        <w:tabs>
          <w:tab w:leader="none" w:pos="1311" w:val="left"/>
        </w:tabs>
        <w:numPr>
          <w:ilvl w:val="1"/>
          <w:numId w:val="195"/>
        </w:numPr>
        <w:rPr>
          <w:rFonts w:ascii="Arial" w:cs="Arial" w:eastAsia="Arial" w:hAnsi="Arial"/>
          <w:sz w:val="18"/>
          <w:szCs w:val="18"/>
          <w:color w:val="auto"/>
        </w:rPr>
      </w:pPr>
      <w:r>
        <w:rPr>
          <w:rFonts w:ascii="Arial" w:cs="Arial" w:eastAsia="Arial" w:hAnsi="Arial"/>
          <w:sz w:val="18"/>
          <w:szCs w:val="18"/>
          <w:color w:val="auto"/>
        </w:rPr>
        <w:t>make any redemption or purchase of its equity interests, except pursuant to the Offer (as defined in the Merger Agreement);</w:t>
      </w:r>
    </w:p>
    <w:p>
      <w:pPr>
        <w:spacing w:after="0" w:line="89" w:lineRule="exact"/>
        <w:rPr>
          <w:rFonts w:ascii="Arial" w:cs="Arial" w:eastAsia="Arial" w:hAnsi="Arial"/>
          <w:sz w:val="18"/>
          <w:szCs w:val="18"/>
          <w:color w:val="auto"/>
        </w:rPr>
      </w:pPr>
    </w:p>
    <w:p>
      <w:pPr>
        <w:ind w:left="1320" w:right="719" w:hanging="434"/>
        <w:spacing w:after="0" w:line="263" w:lineRule="auto"/>
        <w:tabs>
          <w:tab w:leader="none" w:pos="1311"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amend, modify, waive any provision of, terminate prior to its scheduled expiration date, or otherwise compromise in any way, the Trust Agreement (as defined in the Merger Agreement) or any other contract related to the Trust Account;</w:t>
      </w:r>
    </w:p>
    <w:p>
      <w:pPr>
        <w:spacing w:after="0" w:line="116" w:lineRule="exact"/>
        <w:rPr>
          <w:rFonts w:ascii="Arial" w:cs="Arial" w:eastAsia="Arial" w:hAnsi="Arial"/>
          <w:sz w:val="18"/>
          <w:szCs w:val="18"/>
          <w:color w:val="auto"/>
        </w:rPr>
      </w:pPr>
    </w:p>
    <w:p>
      <w:pPr>
        <w:ind w:left="1320" w:right="539" w:hanging="434"/>
        <w:spacing w:after="0" w:line="263" w:lineRule="auto"/>
        <w:tabs>
          <w:tab w:leader="none" w:pos="1311" w:val="left"/>
        </w:tabs>
        <w:numPr>
          <w:ilvl w:val="1"/>
          <w:numId w:val="195"/>
        </w:numPr>
        <w:rPr>
          <w:rFonts w:ascii="Arial" w:cs="Arial" w:eastAsia="Arial" w:hAnsi="Arial"/>
          <w:sz w:val="18"/>
          <w:szCs w:val="18"/>
          <w:color w:val="auto"/>
        </w:rPr>
      </w:pPr>
      <w:r>
        <w:rPr>
          <w:rFonts w:ascii="Arial" w:cs="Arial" w:eastAsia="Arial" w:hAnsi="Arial"/>
          <w:sz w:val="18"/>
          <w:szCs w:val="18"/>
          <w:color w:val="auto"/>
        </w:rPr>
        <w:t>make or allow to be made any reduction or increase in the Trust Amount (as defined in the Merger Agreement), other than as expressly permitted by BCTG’s Organizational Documents and the Trust Agreement;</w:t>
      </w:r>
    </w:p>
    <w:p>
      <w:pPr>
        <w:spacing w:after="0" w:line="116" w:lineRule="exact"/>
        <w:rPr>
          <w:rFonts w:ascii="Arial" w:cs="Arial" w:eastAsia="Arial" w:hAnsi="Arial"/>
          <w:sz w:val="18"/>
          <w:szCs w:val="18"/>
          <w:color w:val="auto"/>
        </w:rPr>
      </w:pPr>
    </w:p>
    <w:p>
      <w:pPr>
        <w:ind w:left="1320" w:right="1019" w:hanging="434"/>
        <w:spacing w:after="0" w:line="277" w:lineRule="auto"/>
        <w:tabs>
          <w:tab w:leader="none" w:pos="1311"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amend, modify, waive any provision of, terminate, or otherwise compromise in any way, any Subscription Agreement;</w:t>
      </w:r>
    </w:p>
    <w:p>
      <w:pPr>
        <w:spacing w:after="0" w:line="89" w:lineRule="exact"/>
        <w:rPr>
          <w:rFonts w:ascii="Arial" w:cs="Arial" w:eastAsia="Arial" w:hAnsi="Arial"/>
          <w:sz w:val="18"/>
          <w:szCs w:val="18"/>
          <w:color w:val="auto"/>
        </w:rPr>
      </w:pPr>
    </w:p>
    <w:p>
      <w:pPr>
        <w:ind w:left="1320" w:right="459" w:hanging="434"/>
        <w:spacing w:after="0" w:line="311" w:lineRule="auto"/>
        <w:tabs>
          <w:tab w:leader="none" w:pos="1311" w:val="left"/>
        </w:tabs>
        <w:numPr>
          <w:ilvl w:val="1"/>
          <w:numId w:val="195"/>
        </w:numPr>
        <w:rPr>
          <w:rFonts w:ascii="Arial" w:cs="Arial" w:eastAsia="Arial" w:hAnsi="Arial"/>
          <w:sz w:val="16"/>
          <w:szCs w:val="16"/>
          <w:color w:val="auto"/>
        </w:rPr>
      </w:pPr>
      <w:r>
        <w:rPr>
          <w:rFonts w:ascii="Arial" w:cs="Arial" w:eastAsia="Arial" w:hAnsi="Arial"/>
          <w:sz w:val="16"/>
          <w:szCs w:val="16"/>
          <w:color w:val="auto"/>
        </w:rPr>
        <w:t>incur any loan or indebtedness or issue or sell any debt securities or warrants or rights to acquire any debt securities of BCTG or Merger Sub or assume, guarantee, endorse or otherwise as an accommodation become responsible for the obligations of any person or entity for indebtedness;</w:t>
      </w:r>
    </w:p>
    <w:p>
      <w:pPr>
        <w:spacing w:after="0" w:line="81" w:lineRule="exact"/>
        <w:rPr>
          <w:rFonts w:ascii="Arial" w:cs="Arial" w:eastAsia="Arial" w:hAnsi="Arial"/>
          <w:sz w:val="16"/>
          <w:szCs w:val="16"/>
          <w:color w:val="auto"/>
        </w:rPr>
      </w:pPr>
    </w:p>
    <w:p>
      <w:pPr>
        <w:ind w:left="1320" w:right="879" w:hanging="434"/>
        <w:spacing w:after="0" w:line="263" w:lineRule="auto"/>
        <w:tabs>
          <w:tab w:leader="none" w:pos="1311" w:val="left"/>
        </w:tabs>
        <w:numPr>
          <w:ilvl w:val="1"/>
          <w:numId w:val="195"/>
        </w:numPr>
        <w:rPr>
          <w:rFonts w:ascii="Arial" w:cs="Arial" w:eastAsia="Arial" w:hAnsi="Arial"/>
          <w:sz w:val="18"/>
          <w:szCs w:val="18"/>
          <w:color w:val="auto"/>
        </w:rPr>
      </w:pPr>
      <w:r>
        <w:rPr>
          <w:rFonts w:ascii="Arial" w:cs="Arial" w:eastAsia="Arial" w:hAnsi="Arial"/>
          <w:sz w:val="18"/>
          <w:szCs w:val="18"/>
          <w:color w:val="auto"/>
        </w:rPr>
        <w:t>merge or consolidate with or acquire any other person. entity or business or be acquired by any other person or entity or enter into any joint venture, partnership, joint marketing or joint development with another person or entity;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4" w:name="page145"/>
    <w:bookmarkEnd w:id="14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699" w:hanging="434"/>
        <w:spacing w:after="0" w:line="263" w:lineRule="auto"/>
        <w:tabs>
          <w:tab w:leader="none" w:pos="131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take any action or enter into any transaction, the effect of which might reasonably be expected to impair, delay, or prevent any required approvals, including expiration of the waiting period of the HSR Act, under antitrust or competition law;</w:t>
      </w:r>
    </w:p>
    <w:p>
      <w:pPr>
        <w:spacing w:after="0" w:line="116" w:lineRule="exact"/>
        <w:rPr>
          <w:rFonts w:ascii="Arial" w:cs="Arial" w:eastAsia="Arial" w:hAnsi="Arial"/>
          <w:sz w:val="18"/>
          <w:szCs w:val="18"/>
          <w:color w:val="auto"/>
        </w:rPr>
      </w:pPr>
    </w:p>
    <w:p>
      <w:pPr>
        <w:ind w:left="1320" w:right="819" w:hanging="434"/>
        <w:spacing w:after="0" w:line="277" w:lineRule="auto"/>
        <w:tabs>
          <w:tab w:leader="none" w:pos="131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restructuring, recapitalization or other reorganization;</w:t>
      </w:r>
    </w:p>
    <w:p>
      <w:pPr>
        <w:spacing w:after="0" w:line="102" w:lineRule="exact"/>
        <w:rPr>
          <w:rFonts w:ascii="Arial" w:cs="Arial" w:eastAsia="Arial" w:hAnsi="Arial"/>
          <w:sz w:val="18"/>
          <w:szCs w:val="18"/>
          <w:color w:val="auto"/>
        </w:rPr>
      </w:pPr>
    </w:p>
    <w:p>
      <w:pPr>
        <w:ind w:left="1320" w:right="559" w:hanging="434"/>
        <w:spacing w:after="0" w:line="263" w:lineRule="auto"/>
        <w:tabs>
          <w:tab w:leader="none" w:pos="131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adopt any Benefit Arrangements not in existence as of the date hereof (excluding any renewal or replacement of any Benefit Arrangements in existence as of the date hereof in the ordinary course), other than the Equity Incentive Plan;</w:t>
      </w:r>
    </w:p>
    <w:p>
      <w:pPr>
        <w:spacing w:after="0" w:line="102" w:lineRule="exact"/>
        <w:rPr>
          <w:rFonts w:ascii="Arial" w:cs="Arial" w:eastAsia="Arial" w:hAnsi="Arial"/>
          <w:sz w:val="18"/>
          <w:szCs w:val="18"/>
          <w:color w:val="auto"/>
        </w:rPr>
      </w:pPr>
    </w:p>
    <w:p>
      <w:pPr>
        <w:ind w:left="1320" w:right="479" w:hanging="434"/>
        <w:spacing w:after="0" w:line="293" w:lineRule="auto"/>
        <w:tabs>
          <w:tab w:leader="none" w:pos="1311" w:val="left"/>
        </w:tabs>
        <w:numPr>
          <w:ilvl w:val="0"/>
          <w:numId w:val="196"/>
        </w:numPr>
        <w:rPr>
          <w:rFonts w:ascii="Arial" w:cs="Arial" w:eastAsia="Arial" w:hAnsi="Arial"/>
          <w:sz w:val="16"/>
          <w:szCs w:val="16"/>
          <w:color w:val="auto"/>
        </w:rPr>
      </w:pPr>
      <w:r>
        <w:rPr>
          <w:rFonts w:ascii="Arial" w:cs="Arial" w:eastAsia="Arial" w:hAnsi="Arial"/>
          <w:sz w:val="16"/>
          <w:szCs w:val="16"/>
          <w:color w:val="auto"/>
        </w:rPr>
        <w:t>declare, set aside, make or pay any dividend or other distribution, payable in cash, stock, property or otherwise, with respect to any of its equity securities or any options, warrants, commitments, subscriptions or rights of any kind to acquire or sell any of its equity securities, or other security interests, including any securities convertible into or exchangeable for any of its equity securities or other security interests of any class and any other equity-based awards, except for redemptions from the Trust Account that are required pursuant to BCTG’s organizational documents;</w:t>
      </w:r>
    </w:p>
    <w:p>
      <w:pPr>
        <w:spacing w:after="0" w:line="96" w:lineRule="exact"/>
        <w:rPr>
          <w:rFonts w:ascii="Arial" w:cs="Arial" w:eastAsia="Arial" w:hAnsi="Arial"/>
          <w:sz w:val="16"/>
          <w:szCs w:val="16"/>
          <w:color w:val="auto"/>
        </w:rPr>
      </w:pPr>
    </w:p>
    <w:p>
      <w:pPr>
        <w:ind w:left="1320" w:right="499" w:hanging="434"/>
        <w:spacing w:after="0" w:line="273" w:lineRule="auto"/>
        <w:tabs>
          <w:tab w:leader="none" w:pos="1311" w:val="left"/>
        </w:tabs>
        <w:numPr>
          <w:ilvl w:val="0"/>
          <w:numId w:val="196"/>
        </w:numPr>
        <w:rPr>
          <w:rFonts w:ascii="Arial" w:cs="Arial" w:eastAsia="Arial" w:hAnsi="Arial"/>
          <w:sz w:val="17"/>
          <w:szCs w:val="17"/>
          <w:color w:val="auto"/>
        </w:rPr>
      </w:pPr>
      <w:r>
        <w:rPr>
          <w:rFonts w:ascii="Arial" w:cs="Arial" w:eastAsia="Arial" w:hAnsi="Arial"/>
          <w:sz w:val="17"/>
          <w:szCs w:val="17"/>
          <w:color w:val="auto"/>
        </w:rPr>
        <w:t>reclassify, combine, split, subdivide or redeem, or purchase or otherwise acquire, directly or indirectly, any of its equity securities or any options, warrants, commitments, subscriptions or rights of any kind to acquire or sell any of its equity securities, or other security interests, including any securities convertible into or exchangeable for any of its equity securities or other security interests of any class and any other equity-based awards, except for redemptions from the Trust Account that are required pursuant to BCTG’s organizational documents;</w:t>
      </w:r>
    </w:p>
    <w:p>
      <w:pPr>
        <w:spacing w:after="0" w:line="110" w:lineRule="exact"/>
        <w:rPr>
          <w:rFonts w:ascii="Arial" w:cs="Arial" w:eastAsia="Arial" w:hAnsi="Arial"/>
          <w:sz w:val="17"/>
          <w:szCs w:val="17"/>
          <w:color w:val="auto"/>
        </w:rPr>
      </w:pPr>
    </w:p>
    <w:p>
      <w:pPr>
        <w:ind w:left="1320" w:right="619" w:hanging="434"/>
        <w:spacing w:after="0" w:line="277" w:lineRule="auto"/>
        <w:tabs>
          <w:tab w:leader="none" w:pos="131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change its fiscal year or any material method of accounting or material accounting practice, except for any such change required by GAAP;</w:t>
      </w:r>
    </w:p>
    <w:p>
      <w:pPr>
        <w:spacing w:after="0" w:line="89" w:lineRule="exact"/>
        <w:rPr>
          <w:rFonts w:ascii="Arial" w:cs="Arial" w:eastAsia="Arial" w:hAnsi="Arial"/>
          <w:sz w:val="18"/>
          <w:szCs w:val="18"/>
          <w:color w:val="auto"/>
        </w:rPr>
      </w:pPr>
    </w:p>
    <w:p>
      <w:pPr>
        <w:ind w:left="1320" w:right="599" w:hanging="434"/>
        <w:spacing w:after="0" w:line="311" w:lineRule="auto"/>
        <w:tabs>
          <w:tab w:leader="none" w:pos="1311" w:val="left"/>
        </w:tabs>
        <w:numPr>
          <w:ilvl w:val="0"/>
          <w:numId w:val="196"/>
        </w:numPr>
        <w:rPr>
          <w:rFonts w:ascii="Arial" w:cs="Arial" w:eastAsia="Arial" w:hAnsi="Arial"/>
          <w:sz w:val="16"/>
          <w:szCs w:val="16"/>
          <w:color w:val="auto"/>
        </w:rPr>
      </w:pPr>
      <w:r>
        <w:rPr>
          <w:rFonts w:ascii="Arial" w:cs="Arial" w:eastAsia="Arial" w:hAnsi="Arial"/>
          <w:sz w:val="16"/>
          <w:szCs w:val="16"/>
          <w:color w:val="auto"/>
        </w:rPr>
        <w:t>make (inconsistent with past practice), revoke or change any material tax election, adopt or change any material tax accounting method or period, file an amended material tax Return, enter into any material closing agreement, settlement or settle any material tax claim or assessment;</w:t>
      </w:r>
    </w:p>
    <w:p>
      <w:pPr>
        <w:spacing w:after="0" w:line="81" w:lineRule="exact"/>
        <w:rPr>
          <w:rFonts w:ascii="Arial" w:cs="Arial" w:eastAsia="Arial" w:hAnsi="Arial"/>
          <w:sz w:val="16"/>
          <w:szCs w:val="16"/>
          <w:color w:val="auto"/>
        </w:rPr>
      </w:pPr>
    </w:p>
    <w:p>
      <w:pPr>
        <w:ind w:left="1320" w:right="699" w:hanging="434"/>
        <w:spacing w:after="0" w:line="263" w:lineRule="auto"/>
        <w:tabs>
          <w:tab w:leader="none" w:pos="131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take any action, or knowingly fail to take any action, where such action or failure to act would reasonably be expected to prevent the Merger from qualifying for the Intended Tax Treatment (as defined in the Merger Agreement; or</w:t>
      </w:r>
    </w:p>
    <w:p>
      <w:pPr>
        <w:spacing w:after="0" w:line="116" w:lineRule="exact"/>
        <w:rPr>
          <w:rFonts w:ascii="Arial" w:cs="Arial" w:eastAsia="Arial" w:hAnsi="Arial"/>
          <w:sz w:val="18"/>
          <w:szCs w:val="18"/>
          <w:color w:val="auto"/>
        </w:rPr>
      </w:pPr>
    </w:p>
    <w:p>
      <w:pPr>
        <w:ind w:left="1320" w:right="739" w:hanging="434"/>
        <w:spacing w:after="0" w:line="277" w:lineRule="auto"/>
        <w:tabs>
          <w:tab w:leader="none" w:pos="131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agree or commit to do, or resolve, authorize or approve any action to do, any of the foregoing, or take any action or omission that would result in any of the foregoing.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Covenants of Tango</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Pursuant to the Merger Agreement, Tango has agreed, among other things, to:</w:t>
      </w:r>
    </w:p>
    <w:p>
      <w:pPr>
        <w:spacing w:after="0" w:line="158" w:lineRule="exact"/>
        <w:rPr>
          <w:sz w:val="20"/>
          <w:szCs w:val="20"/>
          <w:color w:val="auto"/>
        </w:rPr>
      </w:pPr>
    </w:p>
    <w:p>
      <w:pPr>
        <w:ind w:left="1320" w:right="479" w:hanging="434"/>
        <w:spacing w:after="0" w:line="288" w:lineRule="auto"/>
        <w:tabs>
          <w:tab w:leader="none" w:pos="1311" w:val="left"/>
        </w:tabs>
        <w:numPr>
          <w:ilvl w:val="0"/>
          <w:numId w:val="197"/>
        </w:numPr>
        <w:rPr>
          <w:rFonts w:ascii="Arial" w:cs="Arial" w:eastAsia="Arial" w:hAnsi="Arial"/>
          <w:sz w:val="16"/>
          <w:szCs w:val="16"/>
          <w:color w:val="auto"/>
        </w:rPr>
      </w:pPr>
      <w:r>
        <w:rPr>
          <w:rFonts w:ascii="Arial" w:cs="Arial" w:eastAsia="Arial" w:hAnsi="Arial"/>
          <w:sz w:val="16"/>
          <w:szCs w:val="16"/>
          <w:color w:val="auto"/>
        </w:rPr>
        <w:t>from and after the date of the Merger Agreement until the earlier of the Closing or the termination of the Merger Agreement in accordance with its terms, upon reasonable advance written notice, provide to BCTG and its authorized representatives reasonable access (which access will be under the supervision of the Company’s personnel) to the personnel, books, records, properties, financial statements, internal and external audit reports, regulatory reports, Contracts, Permits, commitments and any other reasonably requested documents and other information of Tango and its subsidiaries during normal business hours (in a manner so as to not interfere with the normal business operations of the Company or any of its Subsidiaries) and use commercially reasonable efforts to cause the employees, legal counsel, accountants and representatives of the Company to reasonably cooperate with the Parent in its investigation of the Company;</w:t>
      </w:r>
    </w:p>
    <w:p>
      <w:pPr>
        <w:spacing w:after="0" w:line="100" w:lineRule="exact"/>
        <w:rPr>
          <w:rFonts w:ascii="Arial" w:cs="Arial" w:eastAsia="Arial" w:hAnsi="Arial"/>
          <w:sz w:val="16"/>
          <w:szCs w:val="16"/>
          <w:color w:val="auto"/>
        </w:rPr>
      </w:pPr>
    </w:p>
    <w:p>
      <w:pPr>
        <w:ind w:left="1320" w:right="479" w:hanging="434"/>
        <w:spacing w:after="0" w:line="275" w:lineRule="auto"/>
        <w:tabs>
          <w:tab w:leader="none" w:pos="1311" w:val="left"/>
        </w:tabs>
        <w:numPr>
          <w:ilvl w:val="0"/>
          <w:numId w:val="197"/>
        </w:numPr>
        <w:rPr>
          <w:rFonts w:ascii="Arial" w:cs="Arial" w:eastAsia="Arial" w:hAnsi="Arial"/>
          <w:sz w:val="17"/>
          <w:szCs w:val="17"/>
          <w:color w:val="auto"/>
        </w:rPr>
      </w:pPr>
      <w:r>
        <w:rPr>
          <w:rFonts w:ascii="Arial" w:cs="Arial" w:eastAsia="Arial" w:hAnsi="Arial"/>
          <w:sz w:val="17"/>
          <w:szCs w:val="17"/>
          <w:color w:val="auto"/>
        </w:rPr>
        <w:t>within five Business Days following the execution of the Merger Agreement, provide BCTG with Tango’s audited financial statements for the twelve month periods ended, December 31, 2020 and 2019 consisting of the audited consolidated balance sheets as of such dates, the audited consolidated income statements for the twelve month period ended on such date, and the audited consolidated cash flow statements for the twelve month period ended on such date;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5" w:name="page146"/>
    <w:bookmarkEnd w:id="14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99" w:hanging="434"/>
        <w:spacing w:after="0" w:line="259" w:lineRule="auto"/>
        <w:tabs>
          <w:tab w:leader="none" w:pos="131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cause certain stockholders of Tango to enter into an agreement with BCTG to be effective as of the Closing, pursuant to which the Merger Consideration shall be subject to a lock-up for a period of 180 days from the Closing Date in substantially the form attached as Exhibit D to the Merger Agreement; and</w:t>
      </w:r>
    </w:p>
    <w:p>
      <w:pPr>
        <w:spacing w:after="0" w:line="119" w:lineRule="exact"/>
        <w:rPr>
          <w:rFonts w:ascii="Arial" w:cs="Arial" w:eastAsia="Arial" w:hAnsi="Arial"/>
          <w:sz w:val="18"/>
          <w:szCs w:val="18"/>
          <w:color w:val="auto"/>
        </w:rPr>
      </w:pPr>
    </w:p>
    <w:p>
      <w:pPr>
        <w:ind w:left="1320" w:right="499" w:hanging="434"/>
        <w:spacing w:after="0" w:line="284" w:lineRule="auto"/>
        <w:tabs>
          <w:tab w:leader="none" w:pos="1311" w:val="left"/>
        </w:tabs>
        <w:numPr>
          <w:ilvl w:val="0"/>
          <w:numId w:val="198"/>
        </w:numPr>
        <w:rPr>
          <w:rFonts w:ascii="Arial" w:cs="Arial" w:eastAsia="Arial" w:hAnsi="Arial"/>
          <w:sz w:val="16"/>
          <w:szCs w:val="16"/>
          <w:color w:val="auto"/>
        </w:rPr>
      </w:pPr>
      <w:r>
        <w:rPr>
          <w:rFonts w:ascii="Arial" w:cs="Arial" w:eastAsia="Arial" w:hAnsi="Arial"/>
          <w:sz w:val="16"/>
          <w:szCs w:val="16"/>
          <w:color w:val="auto"/>
        </w:rPr>
        <w:t>give prompt written notice to BCTG of (a) any representation or warranty made by Tango contained in the Merger Agreement becoming untrue or inaccurate such that the condition set forth in Section 8.2(a) of the Merger Agreement would not be satisfied, (b) any breach of any covenant or agreement of Tango contained in the Merger Agreement such that the condition set forth in Section 8.2(b) of the Merger Agreement would not be satisfied (c) any event, circumstance or development that would reasonably be expected to have a Material Adverse Effect on Tango and</w:t>
      </w:r>
    </w:p>
    <w:p>
      <w:pPr>
        <w:spacing w:after="0" w:line="4" w:lineRule="exact"/>
        <w:rPr>
          <w:rFonts w:ascii="Arial" w:cs="Arial" w:eastAsia="Arial" w:hAnsi="Arial"/>
          <w:sz w:val="16"/>
          <w:szCs w:val="16"/>
          <w:color w:val="auto"/>
        </w:rPr>
      </w:pPr>
    </w:p>
    <w:p>
      <w:pPr>
        <w:ind w:left="1320" w:right="579"/>
        <w:spacing w:after="0" w:line="268" w:lineRule="auto"/>
        <w:rPr>
          <w:rFonts w:ascii="Arial" w:cs="Arial" w:eastAsia="Arial" w:hAnsi="Arial"/>
          <w:sz w:val="16"/>
          <w:szCs w:val="16"/>
          <w:color w:val="auto"/>
        </w:rPr>
      </w:pPr>
      <w:r>
        <w:rPr>
          <w:rFonts w:ascii="Arial" w:cs="Arial" w:eastAsia="Arial" w:hAnsi="Arial"/>
          <w:sz w:val="17"/>
          <w:szCs w:val="17"/>
          <w:color w:val="auto"/>
        </w:rPr>
        <w:t>(d) any proceeding initiated by or against Tango or its subsidiaries or any of their predecessors or against any officer or director of Tango or any of its subsidiaries in their capacity as such in an amount in controversy equal to or greater than $500,000 as set out in the filings related to such proceeding; provided, however, that in each case (i) no such notification shall affect the representations, warranties, covenants, agreements or conditions to the obligations of the parties under the Merger Agreement and (ii) no such notification shall be deemed to amend or supplement the disclosure schedules or to cure any breach of any covenant or agreement or inaccuracy of any representation or warranty.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Covenants of BCTG</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Pursuant to the Merger Agreement, BCTG has agreed, among other things, to:</w:t>
      </w:r>
    </w:p>
    <w:p>
      <w:pPr>
        <w:spacing w:after="0" w:line="144" w:lineRule="exact"/>
        <w:rPr>
          <w:sz w:val="20"/>
          <w:szCs w:val="20"/>
          <w:color w:val="auto"/>
        </w:rPr>
      </w:pPr>
    </w:p>
    <w:p>
      <w:pPr>
        <w:ind w:left="1320" w:right="479" w:hanging="434"/>
        <w:spacing w:after="0" w:line="269" w:lineRule="auto"/>
        <w:tabs>
          <w:tab w:leader="none" w:pos="1311" w:val="left"/>
        </w:tabs>
        <w:numPr>
          <w:ilvl w:val="0"/>
          <w:numId w:val="199"/>
        </w:numPr>
        <w:rPr>
          <w:rFonts w:ascii="Arial" w:cs="Arial" w:eastAsia="Arial" w:hAnsi="Arial"/>
          <w:sz w:val="17"/>
          <w:szCs w:val="17"/>
          <w:color w:val="auto"/>
        </w:rPr>
      </w:pPr>
      <w:r>
        <w:rPr>
          <w:rFonts w:ascii="Arial" w:cs="Arial" w:eastAsia="Arial" w:hAnsi="Arial"/>
          <w:sz w:val="17"/>
          <w:szCs w:val="17"/>
          <w:color w:val="auto"/>
        </w:rPr>
        <w:t>use its commercially reasonable efforts: (i) to maintain its existing listing on The Nasdaq Capital Market until the Closing Date and to obtain approval of the listing of the combined company on The Nasdaq Capital Market; (ii) without derogating from the generality of the requirements of clause “(i)” and to the extent required by the rules and regulations of Nasdaq, to (x) prepare and submit to Nasdaq a notification form for the listing of the shares of Parent Common Stock to be issued in the Merger and (y) to cause such shares to be approved for listing (subject to notice of issuance) on The Nasdaq Capital Market; and (iii) to the extent required by Nasdaq Marketplace Rule 5110, to file an initial listing application for the Parent Common Stock on Nasdaq (the “</w:t>
      </w:r>
      <w:r>
        <w:rPr>
          <w:rFonts w:ascii="Arial" w:cs="Arial" w:eastAsia="Arial" w:hAnsi="Arial"/>
          <w:sz w:val="17"/>
          <w:szCs w:val="17"/>
          <w:b w:val="1"/>
          <w:bCs w:val="1"/>
          <w:color w:val="auto"/>
        </w:rPr>
        <w:t>Nasdaq Listing</w:t>
      </w:r>
      <w:r>
        <w:rPr>
          <w:rFonts w:ascii="Arial" w:cs="Arial" w:eastAsia="Arial" w:hAnsi="Arial"/>
          <w:sz w:val="17"/>
          <w:szCs w:val="17"/>
          <w:color w:val="auto"/>
        </w:rPr>
        <w:t xml:space="preserve"> </w:t>
      </w:r>
      <w:r>
        <w:rPr>
          <w:rFonts w:ascii="Arial" w:cs="Arial" w:eastAsia="Arial" w:hAnsi="Arial"/>
          <w:sz w:val="17"/>
          <w:szCs w:val="17"/>
          <w:b w:val="1"/>
          <w:bCs w:val="1"/>
          <w:color w:val="auto"/>
        </w:rPr>
        <w:t>Application</w:t>
      </w:r>
      <w:r>
        <w:rPr>
          <w:rFonts w:ascii="Arial" w:cs="Arial" w:eastAsia="Arial" w:hAnsi="Arial"/>
          <w:sz w:val="17"/>
          <w:szCs w:val="17"/>
          <w:color w:val="auto"/>
        </w:rPr>
        <w:t>”) and to cause such Nasdaq Listing Application to be conditionally approved prior to</w:t>
      </w:r>
      <w:r>
        <w:rPr>
          <w:rFonts w:ascii="Arial" w:cs="Arial" w:eastAsia="Arial" w:hAnsi="Arial"/>
          <w:sz w:val="17"/>
          <w:szCs w:val="17"/>
          <w:b w:val="1"/>
          <w:bCs w:val="1"/>
          <w:color w:val="auto"/>
        </w:rPr>
        <w:t xml:space="preserve"> </w:t>
      </w:r>
      <w:r>
        <w:rPr>
          <w:rFonts w:ascii="Arial" w:cs="Arial" w:eastAsia="Arial" w:hAnsi="Arial"/>
          <w:sz w:val="17"/>
          <w:szCs w:val="17"/>
          <w:color w:val="auto"/>
        </w:rPr>
        <w:t>the Effective Time;</w:t>
      </w:r>
    </w:p>
    <w:p>
      <w:pPr>
        <w:spacing w:after="0" w:line="117" w:lineRule="exact"/>
        <w:rPr>
          <w:rFonts w:ascii="Arial" w:cs="Arial" w:eastAsia="Arial" w:hAnsi="Arial"/>
          <w:sz w:val="17"/>
          <w:szCs w:val="17"/>
          <w:color w:val="auto"/>
        </w:rPr>
      </w:pPr>
    </w:p>
    <w:p>
      <w:pPr>
        <w:ind w:left="1320" w:right="559" w:hanging="434"/>
        <w:spacing w:after="0" w:line="286" w:lineRule="auto"/>
        <w:tabs>
          <w:tab w:leader="none" w:pos="1311" w:val="left"/>
        </w:tabs>
        <w:numPr>
          <w:ilvl w:val="0"/>
          <w:numId w:val="199"/>
        </w:numPr>
        <w:rPr>
          <w:rFonts w:ascii="Arial" w:cs="Arial" w:eastAsia="Arial" w:hAnsi="Arial"/>
          <w:sz w:val="17"/>
          <w:szCs w:val="17"/>
          <w:color w:val="auto"/>
        </w:rPr>
      </w:pPr>
      <w:r>
        <w:rPr>
          <w:rFonts w:ascii="Arial" w:cs="Arial" w:eastAsia="Arial" w:hAnsi="Arial"/>
          <w:sz w:val="17"/>
          <w:szCs w:val="17"/>
          <w:color w:val="auto"/>
        </w:rPr>
        <w:t>prior to the Closing, disburse monies from the Trust Account only (x) to pay income and other tax obligations from any interest income earned in the Trust Account or (y) to redeem BCTG Common Stock in accordance with the provisions of BCTG’s organizational documents;</w:t>
      </w:r>
    </w:p>
    <w:p>
      <w:pPr>
        <w:spacing w:after="0" w:line="97" w:lineRule="exact"/>
        <w:rPr>
          <w:rFonts w:ascii="Arial" w:cs="Arial" w:eastAsia="Arial" w:hAnsi="Arial"/>
          <w:sz w:val="17"/>
          <w:szCs w:val="17"/>
          <w:color w:val="auto"/>
        </w:rPr>
      </w:pPr>
    </w:p>
    <w:p>
      <w:pPr>
        <w:ind w:left="1320" w:right="619" w:hanging="434"/>
        <w:spacing w:after="0" w:line="279" w:lineRule="auto"/>
        <w:tabs>
          <w:tab w:leader="none" w:pos="1311" w:val="left"/>
        </w:tabs>
        <w:numPr>
          <w:ilvl w:val="0"/>
          <w:numId w:val="199"/>
        </w:numPr>
        <w:rPr>
          <w:rFonts w:ascii="Arial" w:cs="Arial" w:eastAsia="Arial" w:hAnsi="Arial"/>
          <w:sz w:val="17"/>
          <w:szCs w:val="17"/>
          <w:color w:val="auto"/>
        </w:rPr>
      </w:pPr>
      <w:r>
        <w:rPr>
          <w:rFonts w:ascii="Arial" w:cs="Arial" w:eastAsia="Arial" w:hAnsi="Arial"/>
          <w:sz w:val="17"/>
          <w:szCs w:val="17"/>
          <w:color w:val="auto"/>
        </w:rPr>
        <w:t>ensure that the Insider Letter Agreement (as defined in the Merger Agreement) shall not be amended, modified, terminated, waived or supplemented and shall remain in full force and effect, and that the directors, officers and founders of BCTG shall vote in favor of the Merger Agreement and the Merger and the Proposals in accordance with the terms thereof;</w:t>
      </w:r>
    </w:p>
    <w:p>
      <w:pPr>
        <w:spacing w:after="0" w:line="90" w:lineRule="exact"/>
        <w:rPr>
          <w:rFonts w:ascii="Arial" w:cs="Arial" w:eastAsia="Arial" w:hAnsi="Arial"/>
          <w:sz w:val="17"/>
          <w:szCs w:val="17"/>
          <w:color w:val="auto"/>
        </w:rPr>
      </w:pPr>
    </w:p>
    <w:p>
      <w:pPr>
        <w:ind w:left="1320" w:right="559" w:hanging="434"/>
        <w:spacing w:after="0" w:line="263" w:lineRule="auto"/>
        <w:tabs>
          <w:tab w:leader="none" w:pos="131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from the date of the Merger Agreement through the Closing, to keep current and timely file all reports required to be filed or furnished with the SEC and otherwise comply in all material respects with its reporting obligations under applicable Laws;</w:t>
      </w:r>
    </w:p>
    <w:p>
      <w:pPr>
        <w:spacing w:after="0" w:line="116" w:lineRule="exact"/>
        <w:rPr>
          <w:rFonts w:ascii="Arial" w:cs="Arial" w:eastAsia="Arial" w:hAnsi="Arial"/>
          <w:sz w:val="18"/>
          <w:szCs w:val="18"/>
          <w:color w:val="auto"/>
        </w:rPr>
      </w:pPr>
    </w:p>
    <w:p>
      <w:pPr>
        <w:ind w:left="1320" w:right="479" w:hanging="434"/>
        <w:spacing w:after="0" w:line="291" w:lineRule="auto"/>
        <w:tabs>
          <w:tab w:leader="none" w:pos="1311" w:val="left"/>
        </w:tabs>
        <w:numPr>
          <w:ilvl w:val="0"/>
          <w:numId w:val="199"/>
        </w:numPr>
        <w:rPr>
          <w:rFonts w:ascii="Arial" w:cs="Arial" w:eastAsia="Arial" w:hAnsi="Arial"/>
          <w:sz w:val="16"/>
          <w:szCs w:val="16"/>
          <w:color w:val="auto"/>
        </w:rPr>
      </w:pPr>
      <w:r>
        <w:rPr>
          <w:rFonts w:ascii="Arial" w:cs="Arial" w:eastAsia="Arial" w:hAnsi="Arial"/>
          <w:sz w:val="16"/>
          <w:szCs w:val="16"/>
          <w:color w:val="auto"/>
        </w:rPr>
        <w:t>prior to the Closing, the board of directors of BCTG, or an appropriate committee of “non-employee directors” (as defined in Rule 16b-3 of the Exchange Act) thereof, shall adopt a resolution consistent with the interpretive guidance of the SEC so that the acquisition of Merger Consideration pursuant to the Merger Agreement and the other agreements contemplated hereby, by any person owning securities of Tango who is expected to become a director or officer (as defined under Rule 16a-1(f) under the Exchange Act) of BCTG following the Closing shall be an exempt transaction for purposes of Section 16(b) of the Exchange Act pursuant to Rule 16b-3 thereunder;</w:t>
      </w:r>
    </w:p>
    <w:p>
      <w:pPr>
        <w:spacing w:after="0" w:line="98" w:lineRule="exact"/>
        <w:rPr>
          <w:rFonts w:ascii="Arial" w:cs="Arial" w:eastAsia="Arial" w:hAnsi="Arial"/>
          <w:sz w:val="16"/>
          <w:szCs w:val="16"/>
          <w:color w:val="auto"/>
        </w:rPr>
      </w:pPr>
    </w:p>
    <w:p>
      <w:pPr>
        <w:ind w:left="1320" w:right="479" w:hanging="434"/>
        <w:spacing w:after="0" w:line="255" w:lineRule="auto"/>
        <w:tabs>
          <w:tab w:leader="none" w:pos="131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give prompt written notice to Tango of (a) any representation or warranty made by BCTG or Merger Sub contained in the Merger Agreement becoming untrue or inaccurate such that the condition set forth in Section 8.3(a) of the Merger Agreement would not be satisfied, (b) any breach of any covenant or agreement of BCTG or Merger Sub contained in the Merger Agreement such that the condition set forth in Section 8.3(b) of the Merger Agreement would not be satisfied, (c) any event, circumstance or development</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6" w:name="page147"/>
    <w:bookmarkEnd w:id="14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19"/>
        <w:spacing w:after="0" w:line="272" w:lineRule="auto"/>
        <w:rPr>
          <w:sz w:val="20"/>
          <w:szCs w:val="20"/>
          <w:color w:val="auto"/>
        </w:rPr>
      </w:pPr>
      <w:r>
        <w:rPr>
          <w:rFonts w:ascii="Arial" w:cs="Arial" w:eastAsia="Arial" w:hAnsi="Arial"/>
          <w:sz w:val="17"/>
          <w:szCs w:val="17"/>
          <w:color w:val="auto"/>
        </w:rPr>
        <w:t>that would reasonably be expected to have a material adverse effect on BCTG; and (d) any proceeding initiated by or against BCTG or its subsidiaries or any of their predecessors or against any officer or director of BCTG or any of its subsidiaries in their capacity; provided, however, that in each case (i) no such notification shall affect the representations, warranties, covenants, agreements or conditions to the obligations of the parties under the Merger Agreement and (ii) no such notification shall be deemed to cure any breach of any covenant or agreement or inaccuracy of any representation or warranty;</w:t>
      </w:r>
    </w:p>
    <w:p>
      <w:pPr>
        <w:spacing w:after="0" w:line="110" w:lineRule="exact"/>
        <w:rPr>
          <w:sz w:val="20"/>
          <w:szCs w:val="20"/>
          <w:color w:val="auto"/>
        </w:rPr>
      </w:pPr>
    </w:p>
    <w:p>
      <w:pPr>
        <w:ind w:left="1320" w:right="479" w:hanging="434"/>
        <w:spacing w:after="0" w:line="255" w:lineRule="auto"/>
        <w:tabs>
          <w:tab w:leader="none" w:pos="131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prior to the Closing Date approve and adopt an Equity Incentive Plan in substantially the form attached to the Merger Agreement as Exhibit H and an employee stock purchase plan in substantially in the form attached to the Merger Agreement as Exhibit I with share reserves and shares issuable to be included in the respective plans (as applicable) as are mutually agreed to by the parties prior to the Closing, subject to any applicable SEC disclosure requirements in connection therewith;</w:t>
      </w:r>
    </w:p>
    <w:p>
      <w:pPr>
        <w:spacing w:after="0" w:line="124" w:lineRule="exact"/>
        <w:rPr>
          <w:rFonts w:ascii="Arial" w:cs="Arial" w:eastAsia="Arial" w:hAnsi="Arial"/>
          <w:sz w:val="18"/>
          <w:szCs w:val="18"/>
          <w:color w:val="auto"/>
        </w:rPr>
      </w:pPr>
    </w:p>
    <w:p>
      <w:pPr>
        <w:ind w:left="1320" w:right="619" w:hanging="434"/>
        <w:spacing w:after="0" w:line="279" w:lineRule="auto"/>
        <w:tabs>
          <w:tab w:leader="none" w:pos="1311" w:val="left"/>
        </w:tabs>
        <w:numPr>
          <w:ilvl w:val="0"/>
          <w:numId w:val="200"/>
        </w:numPr>
        <w:rPr>
          <w:rFonts w:ascii="Arial" w:cs="Arial" w:eastAsia="Arial" w:hAnsi="Arial"/>
          <w:sz w:val="17"/>
          <w:szCs w:val="17"/>
          <w:color w:val="auto"/>
        </w:rPr>
      </w:pPr>
      <w:r>
        <w:rPr>
          <w:rFonts w:ascii="Arial" w:cs="Arial" w:eastAsia="Arial" w:hAnsi="Arial"/>
          <w:sz w:val="17"/>
          <w:szCs w:val="17"/>
          <w:color w:val="auto"/>
        </w:rPr>
        <w:t>not permit any amendment or modification to be made to, any waiver (in whole or in part) of, or provide consent to modify (including consent to terminate), any provision or remedy under, or any replacements of, any of the Subscription Agreements, in each case, other than as a result of any assignment or transfer contemplated therein or permitted thereby;</w:t>
      </w:r>
    </w:p>
    <w:p>
      <w:pPr>
        <w:spacing w:after="0" w:line="90" w:lineRule="exact"/>
        <w:rPr>
          <w:rFonts w:ascii="Arial" w:cs="Arial" w:eastAsia="Arial" w:hAnsi="Arial"/>
          <w:sz w:val="17"/>
          <w:szCs w:val="17"/>
          <w:color w:val="auto"/>
        </w:rPr>
      </w:pPr>
    </w:p>
    <w:p>
      <w:pPr>
        <w:ind w:left="1320" w:right="499" w:hanging="434"/>
        <w:spacing w:after="0" w:line="290" w:lineRule="auto"/>
        <w:tabs>
          <w:tab w:leader="none" w:pos="1311" w:val="left"/>
        </w:tabs>
        <w:numPr>
          <w:ilvl w:val="0"/>
          <w:numId w:val="200"/>
        </w:numPr>
        <w:rPr>
          <w:rFonts w:ascii="Arial" w:cs="Arial" w:eastAsia="Arial" w:hAnsi="Arial"/>
          <w:sz w:val="16"/>
          <w:szCs w:val="16"/>
          <w:color w:val="auto"/>
        </w:rPr>
      </w:pPr>
      <w:r>
        <w:rPr>
          <w:rFonts w:ascii="Arial" w:cs="Arial" w:eastAsia="Arial" w:hAnsi="Arial"/>
          <w:sz w:val="16"/>
          <w:szCs w:val="16"/>
          <w:color w:val="auto"/>
        </w:rPr>
        <w:t>in the event that any litigation related to the Merger Agreement, or the transactions contemplated hereby or thereby is brought, or threatened in writing, against BCTG or its board of directors by any of BCTG’s stockholders prior to the Closing, promptly notify Tango of any such litigation and keep Tango reasonably informed with respect to the status thereof and BCTG shall provide Tango the opportunity to participate in (subject to a customary joint defense agreement), but not control, the defense of any such litigation, shall give due consideration to Tango’s advice with respect to such litigation and shall not settle any such litigation without prior written consent of Tango, such consent not to be unreasonably withheld, conditioned or delayed; and</w:t>
      </w:r>
    </w:p>
    <w:p>
      <w:pPr>
        <w:spacing w:after="0" w:line="97" w:lineRule="exact"/>
        <w:rPr>
          <w:rFonts w:ascii="Arial" w:cs="Arial" w:eastAsia="Arial" w:hAnsi="Arial"/>
          <w:sz w:val="16"/>
          <w:szCs w:val="16"/>
          <w:color w:val="auto"/>
        </w:rPr>
      </w:pPr>
    </w:p>
    <w:p>
      <w:pPr>
        <w:ind w:left="1320" w:right="599" w:hanging="434"/>
        <w:spacing w:after="0" w:line="270" w:lineRule="auto"/>
        <w:tabs>
          <w:tab w:leader="none" w:pos="1311" w:val="left"/>
        </w:tabs>
        <w:numPr>
          <w:ilvl w:val="0"/>
          <w:numId w:val="200"/>
        </w:numPr>
        <w:rPr>
          <w:rFonts w:ascii="Arial" w:cs="Arial" w:eastAsia="Arial" w:hAnsi="Arial"/>
          <w:sz w:val="17"/>
          <w:szCs w:val="17"/>
          <w:color w:val="auto"/>
        </w:rPr>
      </w:pPr>
      <w:r>
        <w:rPr>
          <w:rFonts w:ascii="Arial" w:cs="Arial" w:eastAsia="Arial" w:hAnsi="Arial"/>
          <w:sz w:val="17"/>
          <w:szCs w:val="17"/>
          <w:color w:val="auto"/>
        </w:rPr>
        <w:t>from and after the Closing Date through the sixth anniversary of the Closing Date, cause (i) the BCTG’s organizational documents to contain provisions no less favorable to the current or former directors, managers, officers or employees of Tango or BCTG (collectively, “</w:t>
      </w:r>
      <w:r>
        <w:rPr>
          <w:rFonts w:ascii="Arial" w:cs="Arial" w:eastAsia="Arial" w:hAnsi="Arial"/>
          <w:sz w:val="17"/>
          <w:szCs w:val="17"/>
          <w:b w:val="1"/>
          <w:bCs w:val="1"/>
          <w:color w:val="auto"/>
        </w:rPr>
        <w:t>D&amp;O Indemnitees</w:t>
      </w:r>
      <w:r>
        <w:rPr>
          <w:rFonts w:ascii="Arial" w:cs="Arial" w:eastAsia="Arial" w:hAnsi="Arial"/>
          <w:sz w:val="17"/>
          <w:szCs w:val="17"/>
          <w:color w:val="auto"/>
        </w:rPr>
        <w:t>”) with respect to limitation of certain liabilities, advancement of expenses and indemnification than are set forth as of the date of the Merger Agreement in the organizational documents of Tango and BCTG, as applicable, which provisions in each case, except as required by law, shall not be amended, repealed or otherwise modified in a manner that would adversely affect the rights thereunder of the D&amp;O Indemnitees with respect to any acts or omissions occurring at or prior to the Closing.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Joint Covenants of BCTG and Tango</w:t>
      </w:r>
    </w:p>
    <w:p>
      <w:pPr>
        <w:spacing w:after="0" w:line="158"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In addition, each of Tango and BCTG has agreed, among other things, to take certain actions set forth below:</w:t>
      </w:r>
    </w:p>
    <w:p>
      <w:pPr>
        <w:spacing w:after="0" w:line="89" w:lineRule="exact"/>
        <w:rPr>
          <w:sz w:val="20"/>
          <w:szCs w:val="20"/>
          <w:color w:val="auto"/>
        </w:rPr>
      </w:pPr>
    </w:p>
    <w:p>
      <w:pPr>
        <w:jc w:val="both"/>
        <w:ind w:left="1320" w:right="539" w:hanging="434"/>
        <w:spacing w:after="0" w:line="263" w:lineRule="auto"/>
        <w:tabs>
          <w:tab w:leader="none" w:pos="131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use reasonable best efforts to take, or cause to be taken, all action and to do, or cause to be done, all things reasonably necessary, proper or advisable to consummate and make effective as promptly as practicable the Merger;</w:t>
      </w:r>
    </w:p>
    <w:p>
      <w:pPr>
        <w:spacing w:after="0" w:line="116" w:lineRule="exact"/>
        <w:rPr>
          <w:rFonts w:ascii="Arial" w:cs="Arial" w:eastAsia="Arial" w:hAnsi="Arial"/>
          <w:sz w:val="18"/>
          <w:szCs w:val="18"/>
          <w:color w:val="auto"/>
        </w:rPr>
      </w:pPr>
    </w:p>
    <w:p>
      <w:pPr>
        <w:ind w:left="1320" w:right="479" w:hanging="434"/>
        <w:spacing w:after="0" w:line="257" w:lineRule="auto"/>
        <w:tabs>
          <w:tab w:leader="none" w:pos="131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use reasonable best efforts to obtain consents of any governmental authority necessary to consummate the Transactions, including to make all filings contemplated under the HSR Act as promptly as practicable and, in any event, shall each file the Notification and Report Form under the HSR Act, if required, no more than ten (10) Business Days after the as of the date of the Merger Agreement;</w:t>
      </w:r>
    </w:p>
    <w:p>
      <w:pPr>
        <w:spacing w:after="0" w:line="120" w:lineRule="exact"/>
        <w:rPr>
          <w:rFonts w:ascii="Arial" w:cs="Arial" w:eastAsia="Arial" w:hAnsi="Arial"/>
          <w:sz w:val="18"/>
          <w:szCs w:val="18"/>
          <w:color w:val="auto"/>
        </w:rPr>
      </w:pPr>
    </w:p>
    <w:p>
      <w:pPr>
        <w:ind w:left="1300" w:hanging="414"/>
        <w:spacing w:after="0"/>
        <w:tabs>
          <w:tab w:leader="none" w:pos="13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request at the time of filing early termination of the applicable waiting period under the HSR Act;</w:t>
      </w:r>
    </w:p>
    <w:p>
      <w:pPr>
        <w:spacing w:after="0" w:line="155" w:lineRule="exact"/>
        <w:rPr>
          <w:rFonts w:ascii="Arial" w:cs="Arial" w:eastAsia="Arial" w:hAnsi="Arial"/>
          <w:sz w:val="17"/>
          <w:szCs w:val="17"/>
          <w:color w:val="auto"/>
        </w:rPr>
      </w:pPr>
    </w:p>
    <w:p>
      <w:pPr>
        <w:ind w:left="1320" w:right="599" w:hanging="434"/>
        <w:spacing w:after="0" w:line="259" w:lineRule="auto"/>
        <w:tabs>
          <w:tab w:leader="none" w:pos="131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to use reasonable best efforts to (1) promptly notify the other of, and if in writing, furnish the other with copies of (or, in the case of oral communications, advise the other of) any communications from or with any governmental authority with respect to the Merger Agreement or the transactions contemplated hereby;</w:t>
      </w:r>
    </w:p>
    <w:p>
      <w:pPr>
        <w:spacing w:after="0" w:line="119" w:lineRule="exact"/>
        <w:rPr>
          <w:rFonts w:ascii="Arial" w:cs="Arial" w:eastAsia="Arial" w:hAnsi="Arial"/>
          <w:sz w:val="18"/>
          <w:szCs w:val="18"/>
          <w:color w:val="auto"/>
        </w:rPr>
      </w:pPr>
    </w:p>
    <w:p>
      <w:pPr>
        <w:ind w:left="1320" w:right="459" w:hanging="434"/>
        <w:spacing w:after="0" w:line="342" w:lineRule="auto"/>
        <w:tabs>
          <w:tab w:leader="none" w:pos="1311" w:val="left"/>
        </w:tabs>
        <w:numPr>
          <w:ilvl w:val="0"/>
          <w:numId w:val="201"/>
        </w:numPr>
        <w:rPr>
          <w:rFonts w:ascii="Arial" w:cs="Arial" w:eastAsia="Arial" w:hAnsi="Arial"/>
          <w:sz w:val="16"/>
          <w:szCs w:val="16"/>
          <w:color w:val="auto"/>
        </w:rPr>
      </w:pPr>
      <w:r>
        <w:rPr>
          <w:rFonts w:ascii="Arial" w:cs="Arial" w:eastAsia="Arial" w:hAnsi="Arial"/>
          <w:sz w:val="16"/>
          <w:szCs w:val="16"/>
          <w:color w:val="auto"/>
        </w:rPr>
        <w:t>permit the other to review and discuss in advance, and consider in good faith the view of the other in connection with, any proposed written or oral communication with any governmental authority;</w:t>
      </w:r>
    </w:p>
    <w:p>
      <w:pPr>
        <w:sectPr>
          <w:pgSz w:w="11900" w:h="16838" w:orient="portrait"/>
          <w:cols w:equalWidth="0" w:num="1">
            <w:col w:w="9019"/>
          </w:cols>
          <w:pgMar w:left="1440" w:top="274" w:right="1440" w:bottom="1440" w:gutter="0" w:footer="0" w:header="0"/>
        </w:sectPr>
      </w:pP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7" w:name="page148"/>
    <w:bookmarkEnd w:id="14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59" w:lineRule="auto"/>
        <w:tabs>
          <w:tab w:leader="none" w:pos="131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not participate in any substantive meeting or have any substantive communication with any governmental authority unless it has given the other party a reasonable opportunity to consult with it in advance and, to the extent permitted by such governmental authority, gives the other the opportunity to attend and participate therein;</w:t>
      </w:r>
    </w:p>
    <w:p>
      <w:pPr>
        <w:spacing w:after="0" w:line="119" w:lineRule="exact"/>
        <w:rPr>
          <w:rFonts w:ascii="Arial" w:cs="Arial" w:eastAsia="Arial" w:hAnsi="Arial"/>
          <w:sz w:val="18"/>
          <w:szCs w:val="18"/>
          <w:color w:val="auto"/>
        </w:rPr>
      </w:pPr>
    </w:p>
    <w:p>
      <w:pPr>
        <w:ind w:left="1320" w:right="899" w:hanging="434"/>
        <w:spacing w:after="0" w:line="263" w:lineRule="auto"/>
        <w:tabs>
          <w:tab w:leader="none" w:pos="131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furnish the other party’s outside legal counsel with copies of all filings and communications between it and any such governmental authority with respect to the Merger Agreement and the transactions contemplated hereby;</w:t>
      </w:r>
    </w:p>
    <w:p>
      <w:pPr>
        <w:spacing w:after="0" w:line="116" w:lineRule="exact"/>
        <w:rPr>
          <w:rFonts w:ascii="Arial" w:cs="Arial" w:eastAsia="Arial" w:hAnsi="Arial"/>
          <w:sz w:val="18"/>
          <w:szCs w:val="18"/>
          <w:color w:val="auto"/>
        </w:rPr>
      </w:pPr>
    </w:p>
    <w:p>
      <w:pPr>
        <w:ind w:left="1320" w:right="679" w:hanging="434"/>
        <w:spacing w:after="0" w:line="311" w:lineRule="auto"/>
        <w:tabs>
          <w:tab w:leader="none" w:pos="1311" w:val="left"/>
        </w:tabs>
        <w:numPr>
          <w:ilvl w:val="0"/>
          <w:numId w:val="202"/>
        </w:numPr>
        <w:rPr>
          <w:rFonts w:ascii="Arial" w:cs="Arial" w:eastAsia="Arial" w:hAnsi="Arial"/>
          <w:sz w:val="16"/>
          <w:szCs w:val="16"/>
          <w:color w:val="auto"/>
        </w:rPr>
      </w:pPr>
      <w:r>
        <w:rPr>
          <w:rFonts w:ascii="Arial" w:cs="Arial" w:eastAsia="Arial" w:hAnsi="Arial"/>
          <w:sz w:val="16"/>
          <w:szCs w:val="16"/>
          <w:color w:val="auto"/>
        </w:rPr>
        <w:t>furnish the other party’s outside legal counsel with such necessary information and reasonable assistance as the other party’s outside legal counsel may reasonably request in connection with its preparation of necessary submissions of information to any such governmental authority;</w:t>
      </w:r>
    </w:p>
    <w:p>
      <w:pPr>
        <w:spacing w:after="0" w:line="67" w:lineRule="exact"/>
        <w:rPr>
          <w:rFonts w:ascii="Arial" w:cs="Arial" w:eastAsia="Arial" w:hAnsi="Arial"/>
          <w:sz w:val="16"/>
          <w:szCs w:val="16"/>
          <w:color w:val="auto"/>
        </w:rPr>
      </w:pPr>
    </w:p>
    <w:p>
      <w:pPr>
        <w:ind w:left="1320" w:right="559" w:hanging="434"/>
        <w:spacing w:after="0" w:line="293" w:lineRule="auto"/>
        <w:tabs>
          <w:tab w:leader="none" w:pos="1311" w:val="left"/>
        </w:tabs>
        <w:numPr>
          <w:ilvl w:val="0"/>
          <w:numId w:val="202"/>
        </w:numPr>
        <w:rPr>
          <w:rFonts w:ascii="Arial" w:cs="Arial" w:eastAsia="Arial" w:hAnsi="Arial"/>
          <w:sz w:val="16"/>
          <w:szCs w:val="16"/>
          <w:color w:val="auto"/>
        </w:rPr>
      </w:pPr>
      <w:r>
        <w:rPr>
          <w:rFonts w:ascii="Arial" w:cs="Arial" w:eastAsia="Arial" w:hAnsi="Arial"/>
          <w:sz w:val="16"/>
          <w:szCs w:val="16"/>
          <w:color w:val="auto"/>
        </w:rPr>
        <w:t>in the event any proceeding by any governmental authority or other person or entity is commenced which questions the validity or legality of the Merger or seeks damages in connection therewith, BCTG, Merger Sub and Tango agree to cooperate and use their reasonable best efforts to defend against such proceeding and, if an injunction or other order is issued in any such proceeding, to use reasonable best efforts to have such injunction or other order lifted, and to cooperate reasonably regarding any other impediment to the consummation of the Merger; and</w:t>
      </w:r>
    </w:p>
    <w:p>
      <w:pPr>
        <w:spacing w:after="0" w:line="96" w:lineRule="exact"/>
        <w:rPr>
          <w:rFonts w:ascii="Arial" w:cs="Arial" w:eastAsia="Arial" w:hAnsi="Arial"/>
          <w:sz w:val="16"/>
          <w:szCs w:val="16"/>
          <w:color w:val="auto"/>
        </w:rPr>
      </w:pPr>
    </w:p>
    <w:p>
      <w:pPr>
        <w:ind w:left="1320" w:right="559" w:hanging="434"/>
        <w:spacing w:after="0" w:line="263" w:lineRule="auto"/>
        <w:tabs>
          <w:tab w:leader="none" w:pos="131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cause each of their respective affiliates to, not take any action that would reasonably be expected to prevent or impede the treatment of the Merger as a “reorganization” within the meaning of Section 368(a) of the Code.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Non-Solicitation Restrictions; Duty to Recommend</w:t>
      </w:r>
    </w:p>
    <w:p>
      <w:pPr>
        <w:spacing w:after="0" w:line="158" w:lineRule="exact"/>
        <w:rPr>
          <w:sz w:val="20"/>
          <w:szCs w:val="20"/>
          <w:color w:val="auto"/>
        </w:rPr>
      </w:pPr>
    </w:p>
    <w:p>
      <w:pPr>
        <w:ind w:left="460" w:right="559" w:firstLine="432"/>
        <w:spacing w:after="0" w:line="293" w:lineRule="auto"/>
        <w:rPr>
          <w:sz w:val="20"/>
          <w:szCs w:val="20"/>
          <w:color w:val="auto"/>
        </w:rPr>
      </w:pPr>
      <w:r>
        <w:rPr>
          <w:rFonts w:ascii="Arial" w:cs="Arial" w:eastAsia="Arial" w:hAnsi="Arial"/>
          <w:sz w:val="16"/>
          <w:szCs w:val="16"/>
          <w:color w:val="auto"/>
        </w:rPr>
        <w:t>Each of BCTG and Tango has agreed that from the date of the Merger Agreement to the Effective Time or, if earlier, the valid termination of the Merger Agreement in accordance with its terms, it will not initiate any negotiations with any party, or provide non-public information or data concerning it or its subsidiaries to any party relating to an Alternative Proposal or Alternative Transaction (as such terms are defined in the Merger Agreement) or enter into any agreement relating to such a proposal. Each of BCTG and Tango has also agreed to use its commercially reasonable efforts to prevent any of its representatives from doing the same.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Termination of the Merger Agreement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Merger Agreement may be terminated at any time prior to the Effective Time as follows:</w:t>
      </w:r>
    </w:p>
    <w:p>
      <w:pPr>
        <w:spacing w:after="0" w:line="158" w:lineRule="exact"/>
        <w:rPr>
          <w:sz w:val="20"/>
          <w:szCs w:val="20"/>
          <w:color w:val="auto"/>
        </w:rPr>
      </w:pPr>
    </w:p>
    <w:p>
      <w:pPr>
        <w:ind w:left="1320" w:right="939" w:hanging="434"/>
        <w:spacing w:after="0" w:line="277" w:lineRule="auto"/>
        <w:tabs>
          <w:tab w:leader="none" w:pos="1311"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by the mutual written consent of Tango and BCTG duly authorized by each of their respective boards of directors;</w:t>
      </w:r>
    </w:p>
    <w:p>
      <w:pPr>
        <w:spacing w:after="0" w:line="102" w:lineRule="exact"/>
        <w:rPr>
          <w:rFonts w:ascii="Arial" w:cs="Arial" w:eastAsia="Arial" w:hAnsi="Arial"/>
          <w:sz w:val="18"/>
          <w:szCs w:val="18"/>
          <w:color w:val="auto"/>
        </w:rPr>
      </w:pPr>
    </w:p>
    <w:p>
      <w:pPr>
        <w:ind w:left="1320" w:right="519" w:hanging="434"/>
        <w:spacing w:after="0" w:line="263" w:lineRule="auto"/>
        <w:tabs>
          <w:tab w:leader="none" w:pos="1311"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by either Tango or BCTG if the other party has breached any of its covenants or representations and warranties such that closing conditions would not be satisfied at the Closing (subject to a 30-day cure period);</w:t>
      </w:r>
    </w:p>
    <w:p>
      <w:pPr>
        <w:spacing w:after="0" w:line="102" w:lineRule="exact"/>
        <w:rPr>
          <w:rFonts w:ascii="Arial" w:cs="Arial" w:eastAsia="Arial" w:hAnsi="Arial"/>
          <w:sz w:val="18"/>
          <w:szCs w:val="18"/>
          <w:color w:val="auto"/>
        </w:rPr>
      </w:pPr>
    </w:p>
    <w:p>
      <w:pPr>
        <w:ind w:left="1320" w:right="499" w:hanging="434"/>
        <w:spacing w:after="0" w:line="259" w:lineRule="auto"/>
        <w:tabs>
          <w:tab w:leader="none" w:pos="1311"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by either Tango or BCTG if the transactions are not consummated on or before September 30, 2021, provided that the failure to consummate the transaction by that date is not due to a material breach by the party seeking to terminate and which such breach is the cause for the conditions to close not being satisfied;</w:t>
      </w:r>
    </w:p>
    <w:p>
      <w:pPr>
        <w:spacing w:after="0" w:line="119" w:lineRule="exact"/>
        <w:rPr>
          <w:rFonts w:ascii="Arial" w:cs="Arial" w:eastAsia="Arial" w:hAnsi="Arial"/>
          <w:sz w:val="18"/>
          <w:szCs w:val="18"/>
          <w:color w:val="auto"/>
        </w:rPr>
      </w:pPr>
    </w:p>
    <w:p>
      <w:pPr>
        <w:ind w:left="1320" w:right="519" w:hanging="434"/>
        <w:spacing w:after="0" w:line="301" w:lineRule="auto"/>
        <w:tabs>
          <w:tab w:leader="none" w:pos="1311" w:val="left"/>
        </w:tabs>
        <w:numPr>
          <w:ilvl w:val="0"/>
          <w:numId w:val="203"/>
        </w:numPr>
        <w:rPr>
          <w:rFonts w:ascii="Arial" w:cs="Arial" w:eastAsia="Arial" w:hAnsi="Arial"/>
          <w:sz w:val="16"/>
          <w:szCs w:val="16"/>
          <w:color w:val="auto"/>
        </w:rPr>
      </w:pPr>
      <w:r>
        <w:rPr>
          <w:rFonts w:ascii="Arial" w:cs="Arial" w:eastAsia="Arial" w:hAnsi="Arial"/>
          <w:sz w:val="16"/>
          <w:szCs w:val="16"/>
          <w:color w:val="auto"/>
        </w:rPr>
        <w:t>by either Tango or BCTG if a governmental entity shall have issued a law or final, non-appealable governmental order, rule or regulation permanently enjoining or prohibiting the consummation of the Merger, provided that, the party seeking to terminate cannot have breached its obligations under the Merger Agreement and such breach has caused the governmental action;</w:t>
      </w:r>
    </w:p>
    <w:p>
      <w:pPr>
        <w:spacing w:after="0" w:line="89" w:lineRule="exact"/>
        <w:rPr>
          <w:rFonts w:ascii="Arial" w:cs="Arial" w:eastAsia="Arial" w:hAnsi="Arial"/>
          <w:sz w:val="16"/>
          <w:szCs w:val="16"/>
          <w:color w:val="auto"/>
        </w:rPr>
      </w:pPr>
    </w:p>
    <w:p>
      <w:pPr>
        <w:ind w:left="1300" w:hanging="414"/>
        <w:spacing w:after="0"/>
        <w:tabs>
          <w:tab w:leader="none" w:pos="13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by either Tango or BCTG if any of the Proposals (other than the Proposals described in</w:t>
      </w:r>
    </w:p>
    <w:p>
      <w:pPr>
        <w:spacing w:after="0" w:line="23" w:lineRule="exact"/>
        <w:rPr>
          <w:rFonts w:ascii="Arial" w:cs="Arial" w:eastAsia="Arial" w:hAnsi="Arial"/>
          <w:sz w:val="18"/>
          <w:szCs w:val="18"/>
          <w:color w:val="auto"/>
        </w:rPr>
      </w:pPr>
    </w:p>
    <w:p>
      <w:pPr>
        <w:ind w:left="1320" w:right="779"/>
        <w:spacing w:after="0" w:line="323" w:lineRule="auto"/>
        <w:rPr>
          <w:rFonts w:ascii="Arial" w:cs="Arial" w:eastAsia="Arial" w:hAnsi="Arial"/>
          <w:sz w:val="18"/>
          <w:szCs w:val="18"/>
          <w:color w:val="auto"/>
        </w:rPr>
      </w:pPr>
      <w:r>
        <w:rPr>
          <w:rFonts w:ascii="Arial" w:cs="Arial" w:eastAsia="Arial" w:hAnsi="Arial"/>
          <w:sz w:val="16"/>
          <w:szCs w:val="16"/>
          <w:color w:val="auto"/>
        </w:rPr>
        <w:t>Section 7.4(e)(v)-(vii)) of the Merger Agreement shall fail to receive the required vote of BCTG stockholders necessary under BCTG’s organizational documents and the DGCL for approval;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8" w:name="page149"/>
    <w:bookmarkEnd w:id="14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39" w:hanging="434"/>
        <w:spacing w:after="0" w:line="311" w:lineRule="auto"/>
        <w:tabs>
          <w:tab w:leader="none" w:pos="1311" w:val="left"/>
        </w:tabs>
        <w:numPr>
          <w:ilvl w:val="0"/>
          <w:numId w:val="204"/>
        </w:numPr>
        <w:rPr>
          <w:rFonts w:ascii="Arial" w:cs="Arial" w:eastAsia="Arial" w:hAnsi="Arial"/>
          <w:sz w:val="16"/>
          <w:szCs w:val="16"/>
          <w:color w:val="auto"/>
        </w:rPr>
      </w:pPr>
      <w:r>
        <w:rPr>
          <w:rFonts w:ascii="Arial" w:cs="Arial" w:eastAsia="Arial" w:hAnsi="Arial"/>
          <w:sz w:val="16"/>
          <w:szCs w:val="16"/>
          <w:color w:val="auto"/>
        </w:rPr>
        <w:t>by Tango if there has been any withdrawal, amendment, qualification or modification of its recommendation to the BCTG stockholders of BCTG’s recommendation to the BCTG stockholders that the BCTG’s stockholders vote in favor of adopting and approving all Proposals; or</w:t>
      </w:r>
    </w:p>
    <w:p>
      <w:pPr>
        <w:spacing w:after="0" w:line="81" w:lineRule="exact"/>
        <w:rPr>
          <w:rFonts w:ascii="Arial" w:cs="Arial" w:eastAsia="Arial" w:hAnsi="Arial"/>
          <w:sz w:val="16"/>
          <w:szCs w:val="16"/>
          <w:color w:val="auto"/>
        </w:rPr>
      </w:pPr>
    </w:p>
    <w:p>
      <w:pPr>
        <w:ind w:left="1320" w:right="479" w:hanging="434"/>
        <w:spacing w:after="0" w:line="259" w:lineRule="auto"/>
        <w:tabs>
          <w:tab w:leader="none" w:pos="131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by BCTG if the required approval of the Tango stockholders pursuant to the Merger Agreement shall not have been obtained within five (5) Business Days of the delivery to the Tango stockholders of the prospectus that is part of this Form S-4, subject to certain exceptions as described in the Merger Agreement.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Effect of Termination</w:t>
      </w:r>
    </w:p>
    <w:p>
      <w:pPr>
        <w:spacing w:after="0" w:line="158"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In the event of the termination of the Merger Agreement, there shall be no liability on the part of BCTG, Merger Sub or Tango or their respective directors, officers and affiliates; provided, however, that nothing in the Merger Agreement will relieve any party from liability for any fraud, intentional misrepresentation or willful breach. For avoidance of doubt, the termination of this Agreement shall not affect the obligations of BCTG or its affiliates under that that certain Non-Disclosure and Confidentiality Agreement dated as of January 8, 2021 by and between BCTG and Tango.</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Fees and Expenses</w:t>
      </w:r>
    </w:p>
    <w:p>
      <w:pPr>
        <w:spacing w:after="0" w:line="144"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Each of BCTG, Merger Sub and Tango shall be responsible for and pay its own expenses incurred in connection with the Merger Agreement and the transactions contemplated thereby, including all fees of their respective legal counsel, financial advisers and accountants. However, if the Closing shall occur, BCTG shall pay or cause to be paid, the (a)(i) the fees and disbursements of outside counsel to Tango incurred in connection with the transactions underlying the Business Combination and (ii) the fees and expenses of any other agents, advisors, consultants, experts, financial advisors, accountants and other service providers engaged by Tango in connection with the transactions underlying the Business Combination and the (b) fees, expenses and disbursements incurred by or on behalf of Merger Sub or BCTG for outside counsel, agents, advisors, consultants, experts, financial advisors and other service providers engaged by or on behalf of BCTG or Merger Sub in connection with the transactions underlying the Business Combination. Notwithstanding the foregoing, fees for the HSR Filing shall be paid one-half by Tango and one-half by BCTG. Any payments to be made (or to cause to be made) by BCTG pursuant to the Merger Agreement shall be paid upon consummation of the Merger and release of proceeds from the Trust Account.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Amendments</w:t>
      </w:r>
    </w:p>
    <w:p>
      <w:pPr>
        <w:spacing w:after="0" w:line="158"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The Merger Agreement may only be amended, modified or supplemented by a duly authorized written agreement signed by each of BCTG, Merger Sub and Tango.</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Governing Law; Consent to Jurisdiction</w:t>
      </w:r>
    </w:p>
    <w:p>
      <w:pPr>
        <w:spacing w:after="0" w:line="158" w:lineRule="exact"/>
        <w:rPr>
          <w:sz w:val="20"/>
          <w:szCs w:val="20"/>
          <w:color w:val="auto"/>
        </w:rPr>
      </w:pPr>
    </w:p>
    <w:p>
      <w:pPr>
        <w:ind w:left="460" w:right="639" w:firstLine="432"/>
        <w:spacing w:after="0" w:line="275" w:lineRule="auto"/>
        <w:rPr>
          <w:sz w:val="20"/>
          <w:szCs w:val="20"/>
          <w:color w:val="auto"/>
        </w:rPr>
      </w:pPr>
      <w:r>
        <w:rPr>
          <w:rFonts w:ascii="Arial" w:cs="Arial" w:eastAsia="Arial" w:hAnsi="Arial"/>
          <w:sz w:val="17"/>
          <w:szCs w:val="17"/>
          <w:color w:val="auto"/>
        </w:rPr>
        <w:t>The Merger Agreement, and all claims or causes of action based upon, arising out of, or related to the Merger Agreement and/or the transactions underlying the Business Combination, will be governed by, and construed in accordance with, the laws of the State of Delaware, without giving effect to its principles or rules of conflict of laws. The parties to the Merger Agreement have irrevocably submitted to the exclusive jurisdiction of federal and state courts in the State of Delaware.</w:t>
      </w:r>
    </w:p>
    <w:p>
      <w:pPr>
        <w:spacing w:after="0" w:line="95" w:lineRule="exact"/>
        <w:rPr>
          <w:sz w:val="20"/>
          <w:szCs w:val="20"/>
          <w:color w:val="auto"/>
        </w:rPr>
      </w:pPr>
    </w:p>
    <w:p>
      <w:pPr>
        <w:ind w:left="460" w:right="639" w:firstLine="432"/>
        <w:spacing w:after="0" w:line="279" w:lineRule="auto"/>
        <w:rPr>
          <w:sz w:val="20"/>
          <w:szCs w:val="20"/>
          <w:color w:val="auto"/>
        </w:rPr>
      </w:pPr>
      <w:r>
        <w:rPr>
          <w:rFonts w:ascii="Arial" w:cs="Arial" w:eastAsia="Arial" w:hAnsi="Arial"/>
          <w:sz w:val="17"/>
          <w:szCs w:val="17"/>
          <w:color w:val="auto"/>
        </w:rPr>
        <w:t xml:space="preserve">The foregoing summary of the Merger Agreement does not purport to be complete and is qualified in its entirety by reference to the actual Merger Agreement, which is filed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hereto, and which is incorporated by reference in this report. Terms used herein as defined terms and not otherwise defined herein shall have the meanings ascribed to them in the Merger Agreement.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Treatment of the Business Combination</w:t>
      </w:r>
    </w:p>
    <w:p>
      <w:pPr>
        <w:spacing w:after="0" w:line="162" w:lineRule="exact"/>
        <w:rPr>
          <w:sz w:val="20"/>
          <w:szCs w:val="20"/>
          <w:color w:val="auto"/>
        </w:rPr>
      </w:pPr>
    </w:p>
    <w:p>
      <w:pPr>
        <w:ind w:left="460" w:right="759" w:firstLine="432"/>
        <w:spacing w:after="0" w:line="272" w:lineRule="auto"/>
        <w:rPr>
          <w:sz w:val="20"/>
          <w:szCs w:val="20"/>
          <w:color w:val="auto"/>
        </w:rPr>
      </w:pPr>
      <w:r>
        <w:rPr>
          <w:rFonts w:ascii="Arial" w:cs="Arial" w:eastAsia="Arial" w:hAnsi="Arial"/>
          <w:sz w:val="17"/>
          <w:szCs w:val="17"/>
          <w:color w:val="auto"/>
        </w:rPr>
        <w:t>The Business Combination will be accounted for as a “reverse recapitalization” in accordance with GAAP. Under this method of accounting BCTG will be treated as the “acquired” company for financial reporting purposes. This determination is primarily based on the fact that subsequent to the Business Combination, the stockholders of Tango Therapeutics are expected to have a majority of the voting power of New Tango, Tango will comprise all of the ongoing operations of New Tango, the designees of Tango will comprise a majority of the board of directors of New Tango, and Tango’s current senior management will comprise all of the senior management of New Tango.</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9" w:name="page150"/>
    <w:bookmarkEnd w:id="14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99"/>
        <w:spacing w:after="0" w:line="259" w:lineRule="auto"/>
        <w:rPr>
          <w:sz w:val="20"/>
          <w:szCs w:val="20"/>
          <w:color w:val="auto"/>
        </w:rPr>
      </w:pPr>
      <w:r>
        <w:rPr>
          <w:rFonts w:ascii="Arial" w:cs="Arial" w:eastAsia="Arial" w:hAnsi="Arial"/>
          <w:sz w:val="18"/>
          <w:szCs w:val="18"/>
          <w:color w:val="auto"/>
        </w:rPr>
        <w:t>Accordingly, for accounting purposes, the Business Combination will be treated as the equivalent of Tango issuing shares for the net assets of BCTG, accompanied by a recapitalization. The net assets of BCTG will be stated at historical costs. No goodwill or other intangible assets will be recorded. Operations prior to the Business Combination will be those of Tango.</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Agreements</w:t>
      </w:r>
    </w:p>
    <w:p>
      <w:pPr>
        <w:spacing w:after="0" w:line="162"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i w:val="1"/>
          <w:iCs w:val="1"/>
          <w:color w:val="auto"/>
        </w:rPr>
        <w:t>This section describes certain additional agreements entered into or to be entered into pursuant to the Merger Agreement, but does not purport to describe all of the terms thereof. The following summary is qualified in its entirety by reference to the complete text of each of the agreements. The full text of the Related Agreements, or forms thereof, are filed as annexes to this proxy statement/prospectus or as exhibits to the registration statement of which this proxy statement/prospectus forms a part, and the following descriptions are qualified in their entirety by the full text of such annexes and exhibits. Stockholders and other interested parties are urged to read such Related Agreements in their entirety prior to voting on the Proposals presented at the Special Meeting.</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PIPE Subscription Agreements</w:t>
      </w:r>
    </w:p>
    <w:p>
      <w:pPr>
        <w:spacing w:after="0" w:line="15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Concurrently with the execution of the Merger Agreement, BCTG entered into the Subscription Agreements with each of the PIPE Investors, pursuant to which the PIPE Investors have agreed to subscribe for and purchase, and BCTG has agreed to issue and sell to the PIPE Investors, an aggregate of 18,610,000 shares of BCTG Common Stock at a price of $10.00 per share, for aggregate gross proceeds of $186,100,000. BCTG’s Sponsor had agreed to fund $25,000,000 in the PIPE Investment. The shares of BCTG Common Stock to be issued pursuant to the Subscription Agreements have not been registered under the Securities Act in reliance upon the exemption provided in Section 4(a)(2) of the Securities Act. Pursuant to the Subscription Agreement, each PIPE Investor represented and warranted that it is either (i) a “qualified institutional buyer” or an “accredited investor” as defined in the applicable SEC regulation or (ii) a “qualified purchaser” as defined in the Investment Company Act of 1940, as amended.</w:t>
      </w:r>
    </w:p>
    <w:p>
      <w:pPr>
        <w:spacing w:after="0" w:line="104"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The obligation of the parties to consummate the purchase and sale of the shares of BCTG Common Stock pursuant to the Subscription Agreements is conditioned upon (i) there being no judgment, order, law, rule or regulation (whether temporary, preliminary or permanent) which is then in effect that has the effect of making the issuance and sale of the shares of BCTG Common Stock under the Subscription Agreements illegal or otherwise restraining or prohibiting the issuance and sale of the shares of BCTG Common Stock under the Subscription Agreements, or institution or threatening in writing of a proceeding seeking to impose any such restraint or prohibition, (ii) there being no suspension of the shares of BCTG Common Stock for the offering or sale or trading in any jurisdiction, including on the Nasdaq Capital Market, or initiation or threatening of any proceedings for any such purposes and (iii)(a) all conditions precedent to the closing of the Business Combination having been satisfied or waived and (b) the closing of the Business Combination being scheduled to occur substantially concurrently with the Closing (as defined in the Subscription Agreements).</w:t>
      </w:r>
    </w:p>
    <w:p>
      <w:pPr>
        <w:spacing w:after="0" w:line="104"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The Subscription Agreements provide that BCTG, at its sole cost and expense, is required to file with the SEC, within thirty (30) calendar days after the consummation of the transactions contemplated by the Merger Agreement, a registration statement to register under and in accordance with the Securities Act covering the resale of the shares of BCTG Common Stock to be sold under the Subscription Agreements. BCTG has agreed to use its commercially reasonable efforts to have such registration statement declared effective as soon as practicable after the filing thereof but no later than the earlier of (i) (1) the 60th calendar day after the consummation of the Business Combination (or 90th calendar day if the SEC notifies BCTG that it will “review” the Registration Statement) and (2) the fifth business day after the date BCTG is notified (orally or in writing, whichever is earlier) by the SEC that the Registration Statement will not be “reviewed” or will not be subject to further review</w:t>
      </w:r>
    </w:p>
    <w:p>
      <w:pPr>
        <w:spacing w:after="0" w:line="118"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Additionally, pursuant to the Subscription Agreements, the PIPE Investors agreed (i) to waive any right, title, interest or claim of any kind in or to any assets held in the Trust Account, and (ii) not make any claim against the Trust Account, as a result of, in connection with or relating in any way to this Subscription Agreement, and regardless of whether such claim arises based on contract, tort, equity or any other theory of legal liability.</w:t>
      </w:r>
    </w:p>
    <w:p>
      <w:pPr>
        <w:spacing w:after="0" w:line="107" w:lineRule="exact"/>
        <w:rPr>
          <w:sz w:val="20"/>
          <w:szCs w:val="20"/>
          <w:color w:val="auto"/>
        </w:rPr>
      </w:pPr>
    </w:p>
    <w:p>
      <w:pPr>
        <w:jc w:val="both"/>
        <w:ind w:left="460" w:right="639" w:firstLine="432"/>
        <w:spacing w:after="0" w:line="259" w:lineRule="auto"/>
        <w:rPr>
          <w:sz w:val="20"/>
          <w:szCs w:val="20"/>
          <w:color w:val="auto"/>
        </w:rPr>
      </w:pPr>
      <w:r>
        <w:rPr>
          <w:rFonts w:ascii="Arial" w:cs="Arial" w:eastAsia="Arial" w:hAnsi="Arial"/>
          <w:sz w:val="18"/>
          <w:szCs w:val="18"/>
          <w:color w:val="auto"/>
        </w:rPr>
        <w:t>The Subscription Agreements will terminate and be void and of no further force and effect and all rights and obligations of the parties thereunder will terminate without any further liability on the part of any party in respect thereof, upon the earliest to occur of (a) such date and time as the Merger Agreement is terminated in accordance</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0" w:name="page151"/>
    <w:bookmarkEnd w:id="15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39"/>
        <w:spacing w:after="0" w:line="293" w:lineRule="auto"/>
        <w:rPr>
          <w:sz w:val="20"/>
          <w:szCs w:val="20"/>
          <w:color w:val="auto"/>
        </w:rPr>
      </w:pPr>
      <w:r>
        <w:rPr>
          <w:rFonts w:ascii="Arial" w:cs="Arial" w:eastAsia="Arial" w:hAnsi="Arial"/>
          <w:sz w:val="16"/>
          <w:szCs w:val="16"/>
          <w:color w:val="auto"/>
        </w:rPr>
        <w:t>with its terms, (b) upon the mutual written agreement of each of the parties thereto to terminate such Subscription Agreement, (c) if the consummation of the Business Combination has not occurred on or before September 30, 2021; or (d) if any of the conditions to Closing (as defined in the Subscription Agreements) are not satisfied or waived, or are not capable of being satisfied, on or prior to the Closing (as defined in the Subscription Agreements) and, as a result thereof, the transactions contemplated by the Subscription Agreements will not be and are not consummated at the Closing (as defined in the Subscription Agreements.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Amended and Restated Registration and Stockholder Rights Agreement</w:t>
      </w:r>
    </w:p>
    <w:p>
      <w:pPr>
        <w:spacing w:after="0" w:line="16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Business Combination contemplates that, at the Closing, New Tango, the Sponsor, certain affiliates of the Sponsor and certain Tango stockholders will enter into an Amended and Restated Registration and Stockholder Rights Agreement, pursuant to which New Tango will agree to register for resale certain shares of New Tango Common Stock and other equity securities of New Tango that are held by the parties thereto from time to time.</w:t>
      </w:r>
    </w:p>
    <w:p>
      <w:pPr>
        <w:spacing w:after="0" w:line="120" w:lineRule="exact"/>
        <w:rPr>
          <w:sz w:val="20"/>
          <w:szCs w:val="20"/>
          <w:color w:val="auto"/>
        </w:rPr>
      </w:pPr>
    </w:p>
    <w:p>
      <w:pPr>
        <w:ind w:left="460" w:right="879" w:firstLine="432"/>
        <w:spacing w:after="0" w:line="263" w:lineRule="auto"/>
        <w:rPr>
          <w:sz w:val="20"/>
          <w:szCs w:val="20"/>
          <w:color w:val="auto"/>
        </w:rPr>
      </w:pPr>
      <w:r>
        <w:rPr>
          <w:rFonts w:ascii="Arial" w:cs="Arial" w:eastAsia="Arial" w:hAnsi="Arial"/>
          <w:sz w:val="18"/>
          <w:szCs w:val="18"/>
          <w:color w:val="auto"/>
        </w:rPr>
        <w:t>The Amended and Restated Registration and Stockholder Rights Agreement amends and restates the registration rights agreement that was entered into by BCTG, the Sponsor and the other parties thereto in connection with the BCTG IPO.</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Support Agreements</w:t>
      </w:r>
    </w:p>
    <w:p>
      <w:pPr>
        <w:spacing w:after="0" w:line="148"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In connection with the Merger Agreement, certain directors and holders of equity securities of Tango each entered into a support agreement (the “</w:t>
      </w:r>
      <w:r>
        <w:rPr>
          <w:rFonts w:ascii="Arial" w:cs="Arial" w:eastAsia="Arial" w:hAnsi="Arial"/>
          <w:sz w:val="16"/>
          <w:szCs w:val="16"/>
          <w:b w:val="1"/>
          <w:bCs w:val="1"/>
          <w:color w:val="auto"/>
        </w:rPr>
        <w:t>Company Support Agreement</w:t>
      </w:r>
      <w:r>
        <w:rPr>
          <w:rFonts w:ascii="Arial" w:cs="Arial" w:eastAsia="Arial" w:hAnsi="Arial"/>
          <w:sz w:val="16"/>
          <w:szCs w:val="16"/>
          <w:color w:val="auto"/>
        </w:rPr>
        <w:t>”) with BCTG and Tango, pursuant to which each such director and holder of equity securities of Tango agrees to vote the shares of Tango capital stock beneficially owned by them in favor of each of the proposals to be included in the applicable written consent of stockholders, to take all actions reasonably necessary to consummate the Business Combination and to vote against any proposal that would prevent the satisfaction of the conditions to the Business Combination set forth in the Merger Agreement. Promptly after the execution of the Merger Agreement, certain additional stockholders of Tango will enter into the Company Support Agreement.</w:t>
      </w:r>
    </w:p>
    <w:p>
      <w:pPr>
        <w:spacing w:after="0" w:line="98"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In connection with the execution of the Merger Agreement, the Sponsor entered into a support agreement (the “</w:t>
      </w:r>
      <w:r>
        <w:rPr>
          <w:rFonts w:ascii="Arial" w:cs="Arial" w:eastAsia="Arial" w:hAnsi="Arial"/>
          <w:sz w:val="18"/>
          <w:szCs w:val="18"/>
          <w:b w:val="1"/>
          <w:bCs w:val="1"/>
          <w:color w:val="auto"/>
        </w:rPr>
        <w:t>Parent Support Agreement</w:t>
      </w:r>
      <w:r>
        <w:rPr>
          <w:rFonts w:ascii="Arial" w:cs="Arial" w:eastAsia="Arial" w:hAnsi="Arial"/>
          <w:sz w:val="18"/>
          <w:szCs w:val="18"/>
          <w:color w:val="auto"/>
        </w:rPr>
        <w:t>”) with Tango and BCTG, pursuant to which the Sponsor agrees to vote all shares of BCTG common stock beneficially owned by it in favor of each of the Proposals to be presented at the Special Meeting, to take all actions reasonably necessary to consummate the Business Combination and to vote against any proposal that would prevent the satisfaction of the conditions to the Business Combination set forth in the Merger Agreement.</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Interests of BCTG’s Directors and Officers and Others in the Business Combination</w:t>
      </w:r>
    </w:p>
    <w:p>
      <w:pPr>
        <w:spacing w:after="0" w:line="158"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When you consider the recommendation of the Board in favor of approval of the Business Combination Proposal and the other proposals, you should keep in mind that the Sponsor and BCTG’s directors, officers and advisors, have interests in such proposals that are different from, or in addition to, your interests as a stockholder. These interests include, among other things:</w:t>
      </w:r>
    </w:p>
    <w:p>
      <w:pPr>
        <w:spacing w:after="0" w:line="106" w:lineRule="exact"/>
        <w:rPr>
          <w:sz w:val="20"/>
          <w:szCs w:val="20"/>
          <w:color w:val="auto"/>
        </w:rPr>
      </w:pPr>
    </w:p>
    <w:p>
      <w:pPr>
        <w:ind w:left="1320" w:right="499" w:hanging="434"/>
        <w:spacing w:after="0" w:line="311" w:lineRule="auto"/>
        <w:tabs>
          <w:tab w:leader="none" w:pos="1311" w:val="left"/>
        </w:tabs>
        <w:numPr>
          <w:ilvl w:val="0"/>
          <w:numId w:val="205"/>
        </w:numPr>
        <w:rPr>
          <w:rFonts w:ascii="Arial" w:cs="Arial" w:eastAsia="Arial" w:hAnsi="Arial"/>
          <w:sz w:val="16"/>
          <w:szCs w:val="16"/>
          <w:color w:val="auto"/>
        </w:rPr>
      </w:pPr>
      <w:r>
        <w:rPr>
          <w:rFonts w:ascii="Arial" w:cs="Arial" w:eastAsia="Arial" w:hAnsi="Arial"/>
          <w:sz w:val="16"/>
          <w:szCs w:val="16"/>
          <w:color w:val="auto"/>
        </w:rPr>
        <w:t>unless BCTG consummates an initial business combination, BCTG’s officers, directors and Sponsor will not receive reimbursement for any out-of-pocket expenses incurred by them to the extent that such expenses exceed the amount of available proceeds not deposited in the Trust Account;</w:t>
      </w:r>
    </w:p>
    <w:p>
      <w:pPr>
        <w:spacing w:after="0" w:line="81" w:lineRule="exact"/>
        <w:rPr>
          <w:rFonts w:ascii="Arial" w:cs="Arial" w:eastAsia="Arial" w:hAnsi="Arial"/>
          <w:sz w:val="16"/>
          <w:szCs w:val="16"/>
          <w:color w:val="auto"/>
        </w:rPr>
      </w:pPr>
    </w:p>
    <w:p>
      <w:pPr>
        <w:ind w:left="1320" w:right="499" w:hanging="434"/>
        <w:spacing w:after="0" w:line="269" w:lineRule="auto"/>
        <w:tabs>
          <w:tab w:leader="none" w:pos="1311" w:val="left"/>
        </w:tabs>
        <w:numPr>
          <w:ilvl w:val="0"/>
          <w:numId w:val="205"/>
        </w:numPr>
        <w:rPr>
          <w:rFonts w:ascii="Arial" w:cs="Arial" w:eastAsia="Arial" w:hAnsi="Arial"/>
          <w:sz w:val="17"/>
          <w:szCs w:val="17"/>
          <w:color w:val="auto"/>
        </w:rPr>
      </w:pPr>
      <w:r>
        <w:rPr>
          <w:rFonts w:ascii="Arial" w:cs="Arial" w:eastAsia="Arial" w:hAnsi="Arial"/>
          <w:sz w:val="17"/>
          <w:szCs w:val="17"/>
          <w:color w:val="auto"/>
        </w:rPr>
        <w:t>With certain limited exceptions, the Founders Shares will not be transferable, assignable by our Sponsor or our directors and executive officers until the earlier of: (A) one year after the completion of our initial business combination or (A) subsequent to our initial business combination, (x) if the last reported sale price of our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we complete a liquidation, merger, capital stock exchange, reorganization or other similar transaction that results in all of our stockholders having the right to exchange their shares of common stock for cash, securities or other property. If a business combination is not successfully completed prior to September 8, 2022, the Founders Shares will become worthless;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1" w:name="page152"/>
    <w:bookmarkEnd w:id="15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719" w:hanging="434"/>
        <w:spacing w:after="0" w:line="308" w:lineRule="auto"/>
        <w:tabs>
          <w:tab w:leader="none" w:pos="1311"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fact that the Sponsor paid an aggregate of $25,000 for its Founders Shares and such securities will have a significantly higher value at the time of the Business Combination;</w:t>
      </w:r>
    </w:p>
    <w:p>
      <w:pPr>
        <w:spacing w:after="0" w:line="78" w:lineRule="exact"/>
        <w:rPr>
          <w:rFonts w:ascii="Arial" w:cs="Arial" w:eastAsia="Arial" w:hAnsi="Arial"/>
          <w:sz w:val="17"/>
          <w:szCs w:val="17"/>
          <w:color w:val="auto"/>
        </w:rPr>
      </w:pPr>
    </w:p>
    <w:p>
      <w:pPr>
        <w:ind w:left="1320" w:right="599" w:hanging="434"/>
        <w:spacing w:after="0" w:line="308" w:lineRule="auto"/>
        <w:tabs>
          <w:tab w:leader="none" w:pos="1311"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fact that the Sponsor has agreed not to redeem any of the Founders Shares in connection with a stockholder vote to approve a proposed initial business combination; and</w:t>
      </w:r>
    </w:p>
    <w:p>
      <w:pPr>
        <w:spacing w:after="0" w:line="78" w:lineRule="exact"/>
        <w:rPr>
          <w:rFonts w:ascii="Arial" w:cs="Arial" w:eastAsia="Arial" w:hAnsi="Arial"/>
          <w:sz w:val="17"/>
          <w:szCs w:val="17"/>
          <w:color w:val="auto"/>
        </w:rPr>
      </w:pPr>
    </w:p>
    <w:p>
      <w:pPr>
        <w:ind w:left="1320" w:right="599" w:hanging="434"/>
        <w:spacing w:after="0" w:line="263" w:lineRule="auto"/>
        <w:tabs>
          <w:tab w:leader="none" w:pos="131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Boxer Capital, an affiliate of the Sponsor, has a seat on the Tango board of directors (occupied by Aaron Davis) and owns approximately 15% of Tango’s outstanding securities prior to the Business Combination.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Sources and Uses for the Business Combination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the sources and uses for funding the Business Combination.</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280" w:type="dxa"/>
            <w:vAlign w:val="bottom"/>
          </w:tcPr>
          <w:p>
            <w:pPr>
              <w:ind w:left="1360"/>
              <w:spacing w:after="0"/>
              <w:rPr>
                <w:sz w:val="20"/>
                <w:szCs w:val="20"/>
                <w:color w:val="auto"/>
              </w:rPr>
            </w:pPr>
            <w:r>
              <w:rPr>
                <w:rFonts w:ascii="Arial" w:cs="Arial" w:eastAsia="Arial" w:hAnsi="Arial"/>
                <w:sz w:val="16"/>
                <w:szCs w:val="16"/>
                <w:b w:val="1"/>
                <w:bCs w:val="1"/>
                <w:color w:val="auto"/>
              </w:rPr>
              <w:t>Sources of Funds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ind w:left="1840"/>
              <w:spacing w:after="0"/>
              <w:rPr>
                <w:sz w:val="20"/>
                <w:szCs w:val="20"/>
                <w:color w:val="auto"/>
              </w:rPr>
            </w:pPr>
            <w:r>
              <w:rPr>
                <w:rFonts w:ascii="Arial" w:cs="Arial" w:eastAsia="Arial" w:hAnsi="Arial"/>
                <w:sz w:val="16"/>
                <w:szCs w:val="16"/>
                <w:b w:val="1"/>
                <w:bCs w:val="1"/>
                <w:color w:val="auto"/>
              </w:rPr>
              <w:t>Uses</w:t>
            </w:r>
          </w:p>
        </w:tc>
        <w:tc>
          <w:tcPr>
            <w:tcW w:w="660" w:type="dxa"/>
            <w:vAlign w:val="bottom"/>
          </w:tcPr>
          <w:p>
            <w:pPr>
              <w:spacing w:after="0"/>
              <w:rPr>
                <w:sz w:val="18"/>
                <w:szCs w:val="18"/>
                <w:color w:val="auto"/>
              </w:rPr>
            </w:pPr>
          </w:p>
        </w:tc>
      </w:tr>
      <w:tr>
        <w:trPr>
          <w:trHeight w:val="46"/>
        </w:trPr>
        <w:tc>
          <w:tcPr>
            <w:tcW w:w="32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31"/>
        </w:trPr>
        <w:tc>
          <w:tcPr>
            <w:tcW w:w="3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ind w:left="1580"/>
              <w:spacing w:after="0"/>
              <w:rPr>
                <w:sz w:val="20"/>
                <w:szCs w:val="20"/>
                <w:color w:val="auto"/>
              </w:rPr>
            </w:pPr>
            <w:r>
              <w:rPr>
                <w:rFonts w:ascii="Arial" w:cs="Arial" w:eastAsia="Arial" w:hAnsi="Arial"/>
                <w:sz w:val="16"/>
                <w:szCs w:val="16"/>
                <w:b w:val="1"/>
                <w:bCs w:val="1"/>
                <w:color w:val="auto"/>
              </w:rPr>
              <w:t>(in millions)</w:t>
            </w:r>
          </w:p>
        </w:tc>
        <w:tc>
          <w:tcPr>
            <w:tcW w:w="660" w:type="dxa"/>
            <w:vAlign w:val="bottom"/>
          </w:tcPr>
          <w:p>
            <w:pPr>
              <w:spacing w:after="0"/>
              <w:rPr>
                <w:sz w:val="20"/>
                <w:szCs w:val="20"/>
                <w:color w:val="auto"/>
              </w:rPr>
            </w:pPr>
          </w:p>
        </w:tc>
      </w:tr>
      <w:tr>
        <w:trPr>
          <w:trHeight w:val="47"/>
        </w:trPr>
        <w:tc>
          <w:tcPr>
            <w:tcW w:w="3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36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6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Cash in Trust Account</w:t>
            </w: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Cash Consideration to Tango Equityholders</w:t>
            </w:r>
          </w:p>
        </w:tc>
        <w:tc>
          <w:tcPr>
            <w:tcW w:w="660" w:type="dxa"/>
            <w:vAlign w:val="bottom"/>
            <w:tcBorders>
              <w:bottom w:val="single" w:sz="8" w:color="CCEEFF"/>
            </w:tcBorders>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r>
      <w:tr>
        <w:trPr>
          <w:trHeight w:val="243"/>
        </w:trPr>
        <w:tc>
          <w:tcPr>
            <w:tcW w:w="3280" w:type="dxa"/>
            <w:vAlign w:val="bottom"/>
          </w:tcPr>
          <w:p>
            <w:pPr>
              <w:spacing w:after="0"/>
              <w:rPr>
                <w:sz w:val="20"/>
                <w:szCs w:val="20"/>
                <w:color w:val="auto"/>
              </w:rPr>
            </w:pPr>
            <w:r>
              <w:rPr>
                <w:rFonts w:ascii="Arial" w:cs="Arial" w:eastAsia="Arial" w:hAnsi="Arial"/>
                <w:sz w:val="18"/>
                <w:szCs w:val="18"/>
                <w:color w:val="auto"/>
              </w:rPr>
              <w:t>PIPE Financing</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4"/>
              </w:rPr>
              <w:t>Tango Equityholders’ Retained Equity Value</w:t>
            </w:r>
          </w:p>
        </w:tc>
        <w:tc>
          <w:tcPr>
            <w:tcW w:w="660" w:type="dxa"/>
            <w:vAlign w:val="bottom"/>
          </w:tcPr>
          <w:p>
            <w:pPr>
              <w:spacing w:after="0"/>
              <w:rPr>
                <w:sz w:val="21"/>
                <w:szCs w:val="21"/>
                <w:color w:val="auto"/>
              </w:rPr>
            </w:pPr>
          </w:p>
        </w:tc>
      </w:tr>
      <w:tr>
        <w:trPr>
          <w:trHeight w:val="40"/>
        </w:trPr>
        <w:tc>
          <w:tcPr>
            <w:tcW w:w="3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36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8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Tango Equityholders’ Retained Equity Value</w:t>
            </w: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BCTG Estimated Transaction Costs</w:t>
            </w:r>
          </w:p>
        </w:tc>
        <w:tc>
          <w:tcPr>
            <w:tcW w:w="660" w:type="dxa"/>
            <w:vAlign w:val="bottom"/>
            <w:tcBorders>
              <w:bottom w:val="single" w:sz="8" w:color="CCEEFF"/>
            </w:tcBorders>
            <w:shd w:val="clear" w:color="auto" w:fill="CCEEFF"/>
          </w:tcPr>
          <w:p>
            <w:pPr>
              <w:spacing w:after="0"/>
              <w:rPr>
                <w:sz w:val="24"/>
                <w:szCs w:val="24"/>
                <w:color w:val="auto"/>
              </w:rPr>
            </w:pPr>
          </w:p>
        </w:tc>
      </w:tr>
      <w:tr>
        <w:trPr>
          <w:trHeight w:val="244"/>
        </w:trPr>
        <w:tc>
          <w:tcPr>
            <w:tcW w:w="3280" w:type="dxa"/>
            <w:vAlign w:val="bottom"/>
          </w:tcPr>
          <w:p>
            <w:pPr>
              <w:spacing w:after="0"/>
              <w:rPr>
                <w:sz w:val="20"/>
                <w:szCs w:val="20"/>
                <w:color w:val="auto"/>
              </w:rPr>
            </w:pPr>
            <w:r>
              <w:rPr>
                <w:rFonts w:ascii="Arial" w:cs="Arial" w:eastAsia="Arial" w:hAnsi="Arial"/>
                <w:sz w:val="18"/>
                <w:szCs w:val="18"/>
                <w:color w:val="auto"/>
              </w:rPr>
              <w:t>Total Source</w:t>
            </w: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Total Uses</w:t>
            </w:r>
          </w:p>
        </w:tc>
        <w:tc>
          <w:tcPr>
            <w:tcW w:w="660" w:type="dxa"/>
            <w:vAlign w:val="bottom"/>
            <w:tcBorders>
              <w:top w:val="single" w:sz="8" w:color="auto"/>
              <w:bottom w:val="single" w:sz="8" w:color="auto"/>
            </w:tcBorders>
          </w:tcPr>
          <w:p>
            <w:pPr>
              <w:jc w:val="right"/>
              <w:ind w:right="507"/>
              <w:spacing w:after="0"/>
              <w:rPr>
                <w:sz w:val="20"/>
                <w:szCs w:val="20"/>
                <w:color w:val="auto"/>
              </w:rPr>
            </w:pPr>
            <w:r>
              <w:rPr>
                <w:rFonts w:ascii="Arial" w:cs="Arial" w:eastAsia="Arial" w:hAnsi="Arial"/>
                <w:sz w:val="15"/>
                <w:szCs w:val="15"/>
                <w:color w:val="auto"/>
                <w:w w:val="71"/>
              </w:rPr>
              <w:t>$</w:t>
            </w:r>
          </w:p>
        </w:tc>
      </w:tr>
      <w:tr>
        <w:trPr>
          <w:trHeight w:val="20"/>
        </w:trPr>
        <w:tc>
          <w:tcPr>
            <w:tcW w:w="3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Certificate of Incorporation; Bylaws</w:t>
      </w:r>
    </w:p>
    <w:p>
      <w:pPr>
        <w:spacing w:after="0" w:line="148"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Pursuant to the Merger Agreement, upon the Closing, BCTG’s bylaws will be amended and restated promptly to:</w:t>
      </w:r>
    </w:p>
    <w:p>
      <w:pPr>
        <w:spacing w:after="0" w:line="103" w:lineRule="exact"/>
        <w:rPr>
          <w:sz w:val="20"/>
          <w:szCs w:val="20"/>
          <w:color w:val="auto"/>
        </w:rPr>
      </w:pPr>
    </w:p>
    <w:p>
      <w:pPr>
        <w:ind w:left="1320" w:right="719" w:hanging="434"/>
        <w:spacing w:after="0" w:line="342" w:lineRule="auto"/>
        <w:tabs>
          <w:tab w:leader="none" w:pos="1311" w:val="left"/>
        </w:tabs>
        <w:numPr>
          <w:ilvl w:val="0"/>
          <w:numId w:val="207"/>
        </w:numPr>
        <w:rPr>
          <w:rFonts w:ascii="Arial" w:cs="Arial" w:eastAsia="Arial" w:hAnsi="Arial"/>
          <w:sz w:val="16"/>
          <w:szCs w:val="16"/>
          <w:color w:val="auto"/>
        </w:rPr>
      </w:pPr>
      <w:r>
        <w:rPr>
          <w:rFonts w:ascii="Arial" w:cs="Arial" w:eastAsia="Arial" w:hAnsi="Arial"/>
          <w:sz w:val="16"/>
          <w:szCs w:val="16"/>
          <w:color w:val="auto"/>
        </w:rPr>
        <w:t>reflect necessary changes and to be consistent with the Proposed Charter (for a full description of the proposed amendments to the charter see “</w:t>
      </w:r>
      <w:r>
        <w:rPr>
          <w:rFonts w:ascii="Arial" w:cs="Arial" w:eastAsia="Arial" w:hAnsi="Arial"/>
          <w:sz w:val="16"/>
          <w:szCs w:val="16"/>
          <w:i w:val="1"/>
          <w:iCs w:val="1"/>
          <w:color w:val="auto"/>
        </w:rPr>
        <w:t>The Charter Amendment Proposal</w:t>
      </w:r>
      <w:r>
        <w:rPr>
          <w:rFonts w:ascii="Arial" w:cs="Arial" w:eastAsia="Arial" w:hAnsi="Arial"/>
          <w:sz w:val="16"/>
          <w:szCs w:val="16"/>
          <w:color w:val="auto"/>
        </w:rPr>
        <w:t>”); and</w:t>
      </w:r>
    </w:p>
    <w:p>
      <w:pPr>
        <w:spacing w:after="0" w:line="56" w:lineRule="exact"/>
        <w:rPr>
          <w:rFonts w:ascii="Arial" w:cs="Arial" w:eastAsia="Arial" w:hAnsi="Arial"/>
          <w:sz w:val="16"/>
          <w:szCs w:val="16"/>
          <w:color w:val="auto"/>
        </w:rPr>
      </w:pPr>
    </w:p>
    <w:p>
      <w:pPr>
        <w:ind w:left="1300" w:hanging="414"/>
        <w:spacing w:after="0"/>
        <w:tabs>
          <w:tab w:leader="none" w:pos="13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make certain other changes that our Board deems appropriate for a public operating company.</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Name; Headquarters</w:t>
      </w:r>
    </w:p>
    <w:p>
      <w:pPr>
        <w:spacing w:after="0" w:line="148"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The name of the Combined Entity will be Tango Therapeutics, Inc. and its headquarters will be located at 100 Binney Street, Unit 700, Cambridge, MA 02142.</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Material U.S. Federal Income Tax Considerations of the Redemption</w:t>
      </w:r>
    </w:p>
    <w:p>
      <w:pPr>
        <w:spacing w:after="0" w:line="162" w:lineRule="exact"/>
        <w:rPr>
          <w:sz w:val="20"/>
          <w:szCs w:val="20"/>
          <w:color w:val="auto"/>
        </w:rPr>
      </w:pPr>
    </w:p>
    <w:p>
      <w:pPr>
        <w:ind w:left="460" w:right="819" w:firstLine="432"/>
        <w:spacing w:after="0" w:line="342" w:lineRule="auto"/>
        <w:rPr>
          <w:sz w:val="20"/>
          <w:szCs w:val="20"/>
          <w:color w:val="auto"/>
        </w:rPr>
      </w:pPr>
      <w:r>
        <w:rPr>
          <w:rFonts w:ascii="Arial" w:cs="Arial" w:eastAsia="Arial" w:hAnsi="Arial"/>
          <w:sz w:val="16"/>
          <w:szCs w:val="16"/>
          <w:color w:val="auto"/>
        </w:rPr>
        <w:t>The following is a discussion of the material U.S. federal income tax consequences of the exercise by BCTG public stockholders of their redemption rights in connection with the Business Combination.</w:t>
      </w:r>
    </w:p>
    <w:p>
      <w:pPr>
        <w:spacing w:after="0" w:line="56"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This discussion is based upon the Code, the regulations promulgated under the Code and court and administrative rulings and decisions, all as in effect on the date of this registration statement. These authorities may change, possibly retroactively, and any change could affect the accuracy of the statements and conclusions set forth in this discussion. This discussion addresses only those BCTG public stockholders that hold Public Shares, as “capital assets” within the meaning of Section 1221 of the Code (generally, property held for investment). This discussion does not address (i) the alternative minimum tax, special accounting rules under Section 451(b) of the Code, or any tax consequences arising as a result of the Medicare contribution tax on net investment income, (ii) any tax consequences arising under the laws of any state, local or non-U.S. jurisdiction, or under any U.S. federal laws other than those pertaining to the income tax or (iii) the tax considerations associated with the Business Combination. Further, this discussion does not address all aspects of U.S. federal income taxation that may be relevant to you in light of your individual circumstances or that may be applicable to you if you are subject to special treatment under the U.S. federal income tax laws, including if you are:.</w:t>
      </w:r>
    </w:p>
    <w:p>
      <w:pPr>
        <w:spacing w:after="0" w:line="73" w:lineRule="exact"/>
        <w:rPr>
          <w:sz w:val="20"/>
          <w:szCs w:val="20"/>
          <w:color w:val="auto"/>
        </w:rPr>
      </w:pPr>
    </w:p>
    <w:p>
      <w:pPr>
        <w:ind w:left="1300" w:hanging="414"/>
        <w:spacing w:after="0"/>
        <w:tabs>
          <w:tab w:leader="none" w:pos="13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real estate investment trust;</w:t>
      </w:r>
    </w:p>
    <w:p>
      <w:pPr>
        <w:spacing w:after="0" w:line="130" w:lineRule="exact"/>
        <w:rPr>
          <w:rFonts w:ascii="Arial" w:cs="Arial" w:eastAsia="Arial" w:hAnsi="Arial"/>
          <w:sz w:val="18"/>
          <w:szCs w:val="18"/>
          <w:color w:val="auto"/>
        </w:rPr>
      </w:pPr>
    </w:p>
    <w:p>
      <w:pPr>
        <w:ind w:left="1320" w:right="939" w:hanging="434"/>
        <w:spacing w:after="0" w:line="277" w:lineRule="auto"/>
        <w:tabs>
          <w:tab w:leader="none" w:pos="1311"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 S corporation or other pass-through entity (or an investor in an S corporation or other pass-through entity);</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2" w:name="page153"/>
    <w:bookmarkEnd w:id="15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1300" w:hanging="414"/>
        <w:spacing w:after="0"/>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regulated investment company or a mutual fund;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“controlled foreign corporation” or a “passive foreign investment company”;</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dealer or broker in stocks and securities, or currencies;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trader in securities that elects mark-to-market treatment;</w:t>
      </w:r>
    </w:p>
    <w:p>
      <w:pPr>
        <w:spacing w:after="0" w:line="157" w:lineRule="exact"/>
        <w:rPr>
          <w:rFonts w:ascii="Arial" w:cs="Arial" w:eastAsia="Arial" w:hAnsi="Arial"/>
          <w:sz w:val="18"/>
          <w:szCs w:val="18"/>
          <w:color w:val="auto"/>
        </w:rPr>
      </w:pPr>
    </w:p>
    <w:p>
      <w:pPr>
        <w:ind w:left="1320" w:right="819" w:hanging="434"/>
        <w:spacing w:after="0" w:line="308" w:lineRule="auto"/>
        <w:tabs>
          <w:tab w:leader="none" w:pos="1311"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 holder of Public Shares that received Public Shares through the exercise of an employee stock option, through a tax qualified retirement plan or otherwise as compensation;</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holder of Public Shares that has a functional currency other than the U.S. dollar;</w:t>
      </w:r>
    </w:p>
    <w:p>
      <w:pPr>
        <w:spacing w:after="0" w:line="144" w:lineRule="exact"/>
        <w:rPr>
          <w:rFonts w:ascii="Arial" w:cs="Arial" w:eastAsia="Arial" w:hAnsi="Arial"/>
          <w:sz w:val="18"/>
          <w:szCs w:val="18"/>
          <w:color w:val="auto"/>
        </w:rPr>
      </w:pPr>
    </w:p>
    <w:p>
      <w:pPr>
        <w:ind w:left="1320" w:right="1079" w:hanging="434"/>
        <w:spacing w:after="0" w:line="277" w:lineRule="auto"/>
        <w:tabs>
          <w:tab w:leader="none" w:pos="1311"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Public Stockholder that holds Public Shares, as part of a hedge, straddle, constructive sale, conversion or other integrated transaction; or</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holder of Public Shares that is a U.S. expatriate.</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For purposes of this discussion, the term “</w:t>
      </w:r>
      <w:r>
        <w:rPr>
          <w:rFonts w:ascii="Arial" w:cs="Arial" w:eastAsia="Arial" w:hAnsi="Arial"/>
          <w:sz w:val="16"/>
          <w:szCs w:val="16"/>
          <w:b w:val="1"/>
          <w:bCs w:val="1"/>
          <w:color w:val="auto"/>
        </w:rPr>
        <w:t>U.S. Holder</w:t>
      </w:r>
      <w:r>
        <w:rPr>
          <w:rFonts w:ascii="Arial" w:cs="Arial" w:eastAsia="Arial" w:hAnsi="Arial"/>
          <w:sz w:val="16"/>
          <w:szCs w:val="16"/>
          <w:color w:val="auto"/>
        </w:rPr>
        <w:t>” means a beneficial owner of Public Shares that is</w:t>
      </w:r>
    </w:p>
    <w:p>
      <w:pPr>
        <w:spacing w:after="0" w:line="50" w:lineRule="exact"/>
        <w:rPr>
          <w:sz w:val="20"/>
          <w:szCs w:val="20"/>
          <w:color w:val="auto"/>
        </w:rPr>
      </w:pPr>
    </w:p>
    <w:p>
      <w:pPr>
        <w:jc w:val="both"/>
        <w:ind w:left="460" w:right="539" w:hanging="6"/>
        <w:spacing w:after="0" w:line="281" w:lineRule="auto"/>
        <w:tabs>
          <w:tab w:leader="none" w:pos="71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an individual citizen or resident of the United States as determined for U.S. federal income tax purposes, (2 a corporation (or any other entity treated as a corporation for U.S. federal income tax purposes) created or organized in or under the laws of the United States or any state thereof or the District of Columbia, (3) a trust if</w:t>
      </w:r>
    </w:p>
    <w:p>
      <w:pPr>
        <w:spacing w:after="0" w:line="1" w:lineRule="exact"/>
        <w:rPr>
          <w:rFonts w:ascii="Arial" w:cs="Arial" w:eastAsia="Arial" w:hAnsi="Arial"/>
          <w:sz w:val="16"/>
          <w:szCs w:val="16"/>
          <w:color w:val="auto"/>
        </w:rPr>
      </w:pPr>
    </w:p>
    <w:p>
      <w:pPr>
        <w:ind w:left="460" w:right="479"/>
        <w:spacing w:after="0" w:line="290" w:lineRule="auto"/>
        <w:rPr>
          <w:rFonts w:ascii="Arial" w:cs="Arial" w:eastAsia="Arial" w:hAnsi="Arial"/>
          <w:sz w:val="16"/>
          <w:szCs w:val="16"/>
          <w:color w:val="auto"/>
        </w:rPr>
      </w:pPr>
      <w:r>
        <w:rPr>
          <w:rFonts w:ascii="Arial" w:cs="Arial" w:eastAsia="Arial" w:hAnsi="Arial"/>
          <w:sz w:val="16"/>
          <w:szCs w:val="16"/>
          <w:color w:val="auto"/>
        </w:rPr>
        <w:t>(a) a court within the United States is able to exercise primary supervision over the administration of the trust and one or more U.S. persons have the authority to control all substantial decisions of the trust or (b) such trust has made a valid election to be treated as a U.S. person for U.S. federal income tax purposes or (4) an estate, the income of which is includible in gross income for U.S. federal income tax purposes regardless of its source. A “</w:t>
      </w:r>
      <w:r>
        <w:rPr>
          <w:rFonts w:ascii="Arial" w:cs="Arial" w:eastAsia="Arial" w:hAnsi="Arial"/>
          <w:sz w:val="16"/>
          <w:szCs w:val="16"/>
          <w:b w:val="1"/>
          <w:bCs w:val="1"/>
          <w:color w:val="auto"/>
        </w:rPr>
        <w:t>Non-U.S. Holder</w:t>
      </w:r>
      <w:r>
        <w:rPr>
          <w:rFonts w:ascii="Arial" w:cs="Arial" w:eastAsia="Arial" w:hAnsi="Arial"/>
          <w:sz w:val="16"/>
          <w:szCs w:val="16"/>
          <w:color w:val="auto"/>
        </w:rPr>
        <w:t>” means a beneficial owner of Public Shares (other than a partnership or other entity or arrangement classified as a partnership for U.S. federal income tax purposes) that is not a U.S. Holder.</w:t>
      </w:r>
    </w:p>
    <w:p>
      <w:pPr>
        <w:spacing w:after="0" w:line="83"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If an entity or an arrangement treated as a partnership for U.S. federal income tax purposes holds Public Shares the U.S. federal income tax consequences of a redemption of Public Shares to a partner in such partnership (or owner of such entity) generally will depend on the status of the partner and the activities of the partnership (or entity). Any entity treated as a partnership for U.S. federal income tax purposes that holds Public Shares, and any partners in such partnership, are urged to consult their own tax advisors with respect to the tax consequences of a redemption of Public Shares in their specific circumstances.</w:t>
      </w:r>
    </w:p>
    <w:p>
      <w:pPr>
        <w:spacing w:after="0" w:line="97"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The tax consequences of a redemption of your Public Shares will depend on your specific situation. You are urged to consult with your own tax advisor as to the tax consequences of a redemption of your Public Shares in your particular circumstances, including the applicability and effect of the alternative minimum tax and any state, local, foreign or other tax laws and of changes in those laws.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Considerations for U.S. Holders Redemption of Common Stock</w:t>
      </w:r>
    </w:p>
    <w:p>
      <w:pPr>
        <w:spacing w:after="0" w:line="158" w:lineRule="exact"/>
        <w:rPr>
          <w:sz w:val="20"/>
          <w:szCs w:val="20"/>
          <w:color w:val="auto"/>
        </w:rPr>
      </w:pPr>
    </w:p>
    <w:p>
      <w:pPr>
        <w:ind w:left="460" w:right="579" w:firstLine="432"/>
        <w:spacing w:after="0" w:line="270" w:lineRule="auto"/>
        <w:rPr>
          <w:sz w:val="20"/>
          <w:szCs w:val="20"/>
          <w:color w:val="auto"/>
        </w:rPr>
      </w:pPr>
      <w:r>
        <w:rPr>
          <w:rFonts w:ascii="Arial" w:cs="Arial" w:eastAsia="Arial" w:hAnsi="Arial"/>
          <w:sz w:val="17"/>
          <w:szCs w:val="17"/>
          <w:color w:val="auto"/>
        </w:rPr>
        <w:t>In the event that a U.S. Holder’s Common Stock is redeemed pursuant to the Current Charter, referred to as the “</w:t>
      </w:r>
      <w:r>
        <w:rPr>
          <w:rFonts w:ascii="Arial" w:cs="Arial" w:eastAsia="Arial" w:hAnsi="Arial"/>
          <w:sz w:val="17"/>
          <w:szCs w:val="17"/>
          <w:b w:val="1"/>
          <w:bCs w:val="1"/>
          <w:color w:val="auto"/>
        </w:rPr>
        <w:t>Redemption</w:t>
      </w:r>
      <w:r>
        <w:rPr>
          <w:rFonts w:ascii="Arial" w:cs="Arial" w:eastAsia="Arial" w:hAnsi="Arial"/>
          <w:sz w:val="17"/>
          <w:szCs w:val="17"/>
          <w:color w:val="auto"/>
        </w:rPr>
        <w:t>”, the treatment of the transaction for U.S. federal income tax purposes will depend on whether the Redemption qualifies as a sale of the Common Stock under Section 302 of the Code. Whether the Redemption qualifies for sale treatment will depend largely on the total number of shares of our stock held or treated as held by the U.S. Holder relative to all of our shares both before and after the Redemption. The Redemption generally will be treated as a sale of the Common Stock (rather than as a distribution) if the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00"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In order to meet the substantially disproportionate test,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3" w:name="page154"/>
    <w:bookmarkEnd w:id="15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99"/>
        <w:spacing w:after="0" w:line="263" w:lineRule="auto"/>
        <w:rPr>
          <w:sz w:val="20"/>
          <w:szCs w:val="20"/>
          <w:color w:val="auto"/>
        </w:rPr>
      </w:pPr>
      <w:r>
        <w:rPr>
          <w:rFonts w:ascii="Arial" w:cs="Arial" w:eastAsia="Arial" w:hAnsi="Arial"/>
          <w:sz w:val="18"/>
          <w:szCs w:val="18"/>
          <w:color w:val="auto"/>
        </w:rPr>
        <w:t>the percentage of our outstanding voting stock actually and constructively owned by the U.S. Holder immediately following the Redemption must, among other requirements, be less than 80% of our outstanding voting stock actually and constructively owned by the</w:t>
      </w:r>
    </w:p>
    <w:p>
      <w:pPr>
        <w:spacing w:after="0" w:line="116"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U.S. Holder immediately before the Redemption.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stock. The Redemption will be not essentially equivalent to a dividend if a U.S. Holder’s conversion results in a “meaningful reduction” of the U.S. Holder’s proportionate interest in us. Whether the Redemption will result in a meaningful reduction in a U.S. Holder’s proportionate interest in us will depend on the particular facts and circumstances of the U.S. Holder. However, the IRS has indicated in a published ruling that even a small reduction in the proportionate interest of a small minority stockholder in a publicly held corporation if such stockholder exercises no control over corporate affairs may constitute such a “meaningful reduction.”</w:t>
      </w:r>
    </w:p>
    <w:p>
      <w:pPr>
        <w:spacing w:after="0" w:line="104" w:lineRule="exact"/>
        <w:rPr>
          <w:sz w:val="20"/>
          <w:szCs w:val="20"/>
          <w:color w:val="auto"/>
        </w:rPr>
      </w:pPr>
    </w:p>
    <w:p>
      <w:pPr>
        <w:ind w:left="460" w:right="719" w:firstLine="432"/>
        <w:spacing w:after="0" w:line="342" w:lineRule="auto"/>
        <w:rPr>
          <w:sz w:val="20"/>
          <w:szCs w:val="20"/>
          <w:color w:val="auto"/>
        </w:rPr>
      </w:pPr>
      <w:r>
        <w:rPr>
          <w:rFonts w:ascii="Arial" w:cs="Arial" w:eastAsia="Arial" w:hAnsi="Arial"/>
          <w:sz w:val="16"/>
          <w:szCs w:val="16"/>
          <w:color w:val="auto"/>
        </w:rPr>
        <w:t>If none of the foregoing tests are satisfied, then the Redemption will be treated as a distribution and the tax effects will be as described below under “</w:t>
      </w:r>
      <w:r>
        <w:rPr>
          <w:rFonts w:ascii="Arial" w:cs="Arial" w:eastAsia="Arial" w:hAnsi="Arial"/>
          <w:sz w:val="16"/>
          <w:szCs w:val="16"/>
          <w:i w:val="1"/>
          <w:iCs w:val="1"/>
          <w:color w:val="auto"/>
        </w:rPr>
        <w:t>Considerations for U.S. Holders — Taxation of Distributions</w:t>
      </w:r>
      <w:r>
        <w:rPr>
          <w:rFonts w:ascii="Arial" w:cs="Arial" w:eastAsia="Arial" w:hAnsi="Arial"/>
          <w:sz w:val="16"/>
          <w:szCs w:val="16"/>
          <w:color w:val="auto"/>
        </w:rPr>
        <w:t>.”</w:t>
      </w:r>
    </w:p>
    <w:p>
      <w:pPr>
        <w:spacing w:after="0" w:line="43" w:lineRule="exact"/>
        <w:rPr>
          <w:sz w:val="20"/>
          <w:szCs w:val="20"/>
          <w:color w:val="auto"/>
        </w:rPr>
      </w:pPr>
    </w:p>
    <w:p>
      <w:pPr>
        <w:ind w:left="460" w:right="719" w:firstLine="432"/>
        <w:spacing w:after="0" w:line="342" w:lineRule="auto"/>
        <w:rPr>
          <w:sz w:val="20"/>
          <w:szCs w:val="20"/>
          <w:color w:val="auto"/>
        </w:rPr>
      </w:pPr>
      <w:r>
        <w:rPr>
          <w:rFonts w:ascii="Arial" w:cs="Arial" w:eastAsia="Arial" w:hAnsi="Arial"/>
          <w:sz w:val="16"/>
          <w:szCs w:val="16"/>
          <w:color w:val="auto"/>
        </w:rPr>
        <w:t>U.S. Holders of our Common Stock considering exercising their redemption rights should consult their own tax advisors as to whether the Redemption will be treated as a sale or as a distribution under the Code.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Gain or Loss on Sale, Taxable Exchange, or Other Taxable Disposition of Common Stock</w:t>
      </w:r>
    </w:p>
    <w:p>
      <w:pPr>
        <w:spacing w:after="0" w:line="15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If the Redemption qualifies as a sale of Common Stock, a U.S. Holder must treat any gain or loss recognized upon a sale, taxable exchange or other taxable disposition of our Common Stock as capital gain or loss. Any such capital gain or loss will generally be long-term capital gain or loss if the U.S. Holder’s holding period for the Common Stock so disposed of exceeds one year at the time of the Redemption. Generally, a U.S. Holder will recognize gain or loss in an amount equal to the difference between (i) the sum of cash and the fair market value of any property received in such disposition and (ii) the U.S. Holder’s adjusted tax basis in its Common Stock so disposed of. A U.S. Holder’s adjusted tax basis in its Common Stock generally will equal the U.S. Holder’s acquisition cost less any prior distributions treated as a return of capital. Long-term capital gain realized by a non-corporate U.S. Holder generally will be taxable at a reduced rate. The deduction of capital losses is subject to limitations.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58" w:lineRule="exact"/>
        <w:rPr>
          <w:sz w:val="20"/>
          <w:szCs w:val="20"/>
          <w:color w:val="auto"/>
        </w:rPr>
      </w:pPr>
    </w:p>
    <w:p>
      <w:pPr>
        <w:ind w:left="460" w:right="839" w:firstLine="432"/>
        <w:spacing w:after="0" w:line="342" w:lineRule="auto"/>
        <w:rPr>
          <w:sz w:val="20"/>
          <w:szCs w:val="20"/>
          <w:color w:val="auto"/>
        </w:rPr>
      </w:pPr>
      <w:r>
        <w:rPr>
          <w:rFonts w:ascii="Arial" w:cs="Arial" w:eastAsia="Arial" w:hAnsi="Arial"/>
          <w:sz w:val="16"/>
          <w:szCs w:val="16"/>
          <w:color w:val="auto"/>
        </w:rPr>
        <w:t>If the Redemption does not qualify as a sale of Common Stock, the U.S. Holder will be treated as receiving a distribution. In general, any distributions to U.S. Holders generally will constitute dividends for</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U.S. federal income tax purposes to the extent paid from our current or accumulated earnings and profits,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determined under U.S. federal income tax principles. Distributions in excess of current and accumulated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earnings and profits will constitute a return of capital that will be applied against and reduce (but not below</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zero) the U.S. Holder’s adjusted tax basis in our Common Stock. Any remaining excess will be treated as gain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realized on the sale or other disposition of the Common Stock and will be treated as described under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Considerations for U.S. Holders — Gain or Loss on Sale, Taxable Exchange or Other Taxable Disposition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Common Stock</w:t>
      </w:r>
      <w:r>
        <w:rPr>
          <w:rFonts w:ascii="Arial" w:cs="Arial" w:eastAsia="Arial" w:hAnsi="Arial"/>
          <w:sz w:val="18"/>
          <w:szCs w:val="18"/>
          <w:color w:val="auto"/>
        </w:rPr>
        <w:t>.”</w:t>
      </w:r>
    </w:p>
    <w:p>
      <w:pPr>
        <w:spacing w:after="0" w:line="143"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Dividends we pay to a U.S. Holder that is taxable as a corporation generally will qualify for the dividends received deduction if the requisite holding period is satisfied. With certain exceptions, and provided certain holding period requirements are met, dividends we pay to a non-corporate U.S. Holder may constitute “qualified dividends” that will be taxable at a reduced rate.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Considerations for Non-U.S. Holders</w:t>
      </w:r>
    </w:p>
    <w:p>
      <w:pPr>
        <w:spacing w:after="0" w:line="162" w:lineRule="exact"/>
        <w:rPr>
          <w:sz w:val="20"/>
          <w:szCs w:val="20"/>
          <w:color w:val="auto"/>
        </w:rPr>
      </w:pPr>
    </w:p>
    <w:p>
      <w:pPr>
        <w:ind w:left="460" w:right="799" w:firstLine="432"/>
        <w:spacing w:after="0" w:line="259" w:lineRule="auto"/>
        <w:rPr>
          <w:sz w:val="20"/>
          <w:szCs w:val="20"/>
          <w:color w:val="auto"/>
        </w:rPr>
      </w:pPr>
      <w:r>
        <w:rPr>
          <w:rFonts w:ascii="Arial" w:cs="Arial" w:eastAsia="Arial" w:hAnsi="Arial"/>
          <w:sz w:val="18"/>
          <w:szCs w:val="18"/>
          <w:color w:val="auto"/>
        </w:rPr>
        <w:t>This section is addressed to Non-U.S. Holders of our Common Stock that elect to have their Common Stock redeemed pursuant to the Redemption. For purposes of this discussion, a “</w:t>
      </w:r>
      <w:r>
        <w:rPr>
          <w:rFonts w:ascii="Arial" w:cs="Arial" w:eastAsia="Arial" w:hAnsi="Arial"/>
          <w:sz w:val="18"/>
          <w:szCs w:val="18"/>
          <w:b w:val="1"/>
          <w:bCs w:val="1"/>
          <w:color w:val="auto"/>
        </w:rPr>
        <w:t>Non-U.S. Holder</w:t>
      </w:r>
      <w:r>
        <w:rPr>
          <w:rFonts w:ascii="Arial" w:cs="Arial" w:eastAsia="Arial" w:hAnsi="Arial"/>
          <w:sz w:val="18"/>
          <w:szCs w:val="18"/>
          <w:color w:val="auto"/>
        </w:rPr>
        <w:t>” is a beneficial owner (other than a partnership) that is not a U.S. Holder. The characterization for U.S. federal income tax purposes of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4" w:name="page155"/>
    <w:bookmarkEnd w:id="15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1039"/>
        <w:spacing w:after="0" w:line="263" w:lineRule="auto"/>
        <w:rPr>
          <w:sz w:val="20"/>
          <w:szCs w:val="20"/>
          <w:color w:val="auto"/>
        </w:rPr>
      </w:pPr>
      <w:r>
        <w:rPr>
          <w:rFonts w:ascii="Arial" w:cs="Arial" w:eastAsia="Arial" w:hAnsi="Arial"/>
          <w:sz w:val="18"/>
          <w:szCs w:val="18"/>
          <w:color w:val="auto"/>
        </w:rPr>
        <w:t>Redemption as either a sale or exchange or as a distribution generally will correspond to the U.S. federal income tax characterization of the Redemption as described under “</w:t>
      </w:r>
      <w:r>
        <w:rPr>
          <w:rFonts w:ascii="Arial" w:cs="Arial" w:eastAsia="Arial" w:hAnsi="Arial"/>
          <w:sz w:val="18"/>
          <w:szCs w:val="18"/>
          <w:i w:val="1"/>
          <w:iCs w:val="1"/>
          <w:color w:val="auto"/>
        </w:rPr>
        <w:t>Considerations for U.S. Holders —</w:t>
      </w:r>
      <w:r>
        <w:rPr>
          <w:rFonts w:ascii="Arial" w:cs="Arial" w:eastAsia="Arial" w:hAnsi="Arial"/>
          <w:sz w:val="18"/>
          <w:szCs w:val="18"/>
          <w:color w:val="auto"/>
        </w:rPr>
        <w:t xml:space="preserve"> </w:t>
      </w:r>
      <w:r>
        <w:rPr>
          <w:rFonts w:ascii="Arial" w:cs="Arial" w:eastAsia="Arial" w:hAnsi="Arial"/>
          <w:sz w:val="18"/>
          <w:szCs w:val="18"/>
          <w:i w:val="1"/>
          <w:iCs w:val="1"/>
          <w:color w:val="auto"/>
        </w:rPr>
        <w:t>Redemption of Common Stock</w:t>
      </w:r>
      <w:r>
        <w:rPr>
          <w:rFonts w:ascii="Arial" w:cs="Arial" w:eastAsia="Arial" w:hAnsi="Arial"/>
          <w:sz w:val="18"/>
          <w:szCs w:val="18"/>
          <w:color w:val="auto"/>
        </w:rPr>
        <w:t>.”</w:t>
      </w:r>
    </w:p>
    <w:p>
      <w:pPr>
        <w:spacing w:after="0" w:line="116" w:lineRule="exact"/>
        <w:rPr>
          <w:sz w:val="20"/>
          <w:szCs w:val="20"/>
          <w:color w:val="auto"/>
        </w:rPr>
      </w:pPr>
    </w:p>
    <w:p>
      <w:pPr>
        <w:ind w:left="460" w:right="479" w:firstLine="432"/>
        <w:spacing w:after="0" w:line="342" w:lineRule="auto"/>
        <w:rPr>
          <w:sz w:val="20"/>
          <w:szCs w:val="20"/>
          <w:color w:val="auto"/>
        </w:rPr>
      </w:pPr>
      <w:r>
        <w:rPr>
          <w:rFonts w:ascii="Arial" w:cs="Arial" w:eastAsia="Arial" w:hAnsi="Arial"/>
          <w:sz w:val="16"/>
          <w:szCs w:val="16"/>
          <w:color w:val="auto"/>
        </w:rPr>
        <w:t>Non-U.S. Holders of our Common Stock considering exercising their redemption rights should consult their own tax advisors as to whether the Redemption will be treated as a sale or as a distribution under the Code.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Gain on Sale, Taxable Exchange or Other Taxable Disposition of Common Stock</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If the redemption qualifies as a sale of Common Stock, a Non-U.S. Holder generally will not be subject to</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U.S. federal income or withholding tax in respect of gain recognized on a sale of its Common Stock, unless:</w:t>
      </w:r>
    </w:p>
    <w:p>
      <w:pPr>
        <w:spacing w:after="0" w:line="141" w:lineRule="exact"/>
        <w:rPr>
          <w:sz w:val="20"/>
          <w:szCs w:val="20"/>
          <w:color w:val="auto"/>
        </w:rPr>
      </w:pPr>
    </w:p>
    <w:p>
      <w:pPr>
        <w:ind w:left="1320" w:right="479" w:hanging="434"/>
        <w:spacing w:after="0" w:line="273" w:lineRule="auto"/>
        <w:tabs>
          <w:tab w:leader="none" w:pos="1311"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of a trade or business by the Non-U.S. Holder within the United States (and, under certain income tax treaties, is attributable to a permanent establishment or fixed base maintained by the Non-U.S. Holder in the United States), in which case the Non-U.S. Holder will generally be subject to the same treatment as a U.S. Holder with respect to the Redemption, and a corporate Non-U.S. Holder may be subject to a branch profits tax at a 30% rate (or lower rate as may be specified by an applicable income tax treaty);</w:t>
      </w:r>
    </w:p>
    <w:p>
      <w:pPr>
        <w:spacing w:after="0" w:line="110" w:lineRule="exact"/>
        <w:rPr>
          <w:rFonts w:ascii="Arial" w:cs="Arial" w:eastAsia="Arial" w:hAnsi="Arial"/>
          <w:sz w:val="17"/>
          <w:szCs w:val="17"/>
          <w:color w:val="auto"/>
        </w:rPr>
      </w:pPr>
    </w:p>
    <w:p>
      <w:pPr>
        <w:ind w:left="1320" w:right="519" w:hanging="434"/>
        <w:spacing w:after="0" w:line="275" w:lineRule="auto"/>
        <w:tabs>
          <w:tab w:leader="none" w:pos="1311"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183 days or more in the taxable year in which the Redemption takes place and certain other conditions are met, in which case the Non-U.S. Holder will be subject to a 30% tax on the individual’s net capital gain for the year (which gain may be offset by certain U.S.-source capital losses), even though the Non-U.S. Holder is not considered a resident of the United States; or</w:t>
      </w:r>
    </w:p>
    <w:p>
      <w:pPr>
        <w:spacing w:after="0" w:line="108" w:lineRule="exact"/>
        <w:rPr>
          <w:rFonts w:ascii="Arial" w:cs="Arial" w:eastAsia="Arial" w:hAnsi="Arial"/>
          <w:sz w:val="17"/>
          <w:szCs w:val="17"/>
          <w:color w:val="auto"/>
        </w:rPr>
      </w:pPr>
    </w:p>
    <w:p>
      <w:pPr>
        <w:jc w:val="both"/>
        <w:ind w:left="1320" w:right="499" w:hanging="434"/>
        <w:spacing w:after="0" w:line="263" w:lineRule="auto"/>
        <w:tabs>
          <w:tab w:leader="none" w:pos="1311"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for U.S. federal income tax purposes at any time during the shorter of the five-year period ending on the date of disposition or the period that the Non-U.S. Holder held our Common Stock.</w:t>
      </w:r>
    </w:p>
    <w:p>
      <w:pPr>
        <w:spacing w:after="0" w:line="103"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color w:val="auto"/>
        </w:rPr>
        <w:t>We believe that we have not been, and we are not, a U.S. real property holding corporation. Even if we are treated as a U.S. real property holding corporation, gain realized by a Non-U.S. Holder on a disposition of our Common Stock will not be subject to U.S. federal income tax so long as (1) the Non-U.S. Holder owned, directly, indirectly and constructively, no more than 5% of our Common Stock at all times within the shorter of</w:t>
      </w:r>
    </w:p>
    <w:p>
      <w:pPr>
        <w:spacing w:after="0" w:line="1" w:lineRule="exact"/>
        <w:rPr>
          <w:sz w:val="20"/>
          <w:szCs w:val="20"/>
          <w:color w:val="auto"/>
        </w:rPr>
      </w:pPr>
    </w:p>
    <w:p>
      <w:pPr>
        <w:ind w:left="460" w:right="519" w:hanging="6"/>
        <w:spacing w:after="0" w:line="269" w:lineRule="auto"/>
        <w:tabs>
          <w:tab w:leader="none" w:pos="675"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five-year period preceding the disposition or (i) the Non-U.S. Holder’s holding period and (2) our Common Stock is regularly traded on an established securities market. There can be no assurance that our Common Stock will qualify as regularly traded on an established securities market. If we are or become a U.S. real property holding corporation and the “regularly traded” exception does not apply, such Non-U.S. Holder will generally be taxed on any gain in the same manner as gain that is effectively connected with the conduct of a U.S. trade or business (subject to the provisions under an applicable income tax treaty), except that the branch profits tax generally will not apply.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58"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If the Redemption does not qualify as a sale of Common Stock, the Non-U.S. Holder will be treated as receiving a distribution. In general, any distributions we make to a Non-U.S. Holder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w:t>
      </w:r>
    </w:p>
    <w:p>
      <w:pPr>
        <w:spacing w:after="0" w:line="111"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Arial" w:cs="Arial" w:eastAsia="Arial" w:hAnsi="Arial"/>
          <w:sz w:val="18"/>
          <w:szCs w:val="18"/>
          <w:i w:val="1"/>
          <w:iCs w:val="1"/>
          <w:color w:val="auto"/>
        </w:rPr>
        <w:t>Considerations for Non-U.S. Holders — Gain on Sale, Taxable</w:t>
      </w:r>
      <w:r>
        <w:rPr>
          <w:rFonts w:ascii="Arial" w:cs="Arial" w:eastAsia="Arial" w:hAnsi="Arial"/>
          <w:sz w:val="18"/>
          <w:szCs w:val="18"/>
          <w:color w:val="auto"/>
        </w:rPr>
        <w:t xml:space="preserve"> </w:t>
      </w:r>
      <w:r>
        <w:rPr>
          <w:rFonts w:ascii="Arial" w:cs="Arial" w:eastAsia="Arial" w:hAnsi="Arial"/>
          <w:sz w:val="18"/>
          <w:szCs w:val="18"/>
          <w:i w:val="1"/>
          <w:iCs w:val="1"/>
          <w:color w:val="auto"/>
        </w:rPr>
        <w:t>Exchange or Other Taxable Disposition of Common Stock</w:t>
      </w:r>
      <w:r>
        <w:rPr>
          <w:rFonts w:ascii="Arial" w:cs="Arial" w:eastAsia="Arial" w:hAnsi="Arial"/>
          <w:sz w:val="18"/>
          <w:szCs w:val="18"/>
          <w:color w:val="auto"/>
        </w:rPr>
        <w:t>.” If it cannot be determined at the time a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is made whether or not such distribution will be in excess of our current and accumulated earnings and profits,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5" w:name="page156"/>
    <w:bookmarkEnd w:id="15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90" w:lineRule="auto"/>
        <w:rPr>
          <w:sz w:val="20"/>
          <w:szCs w:val="20"/>
          <w:color w:val="auto"/>
        </w:rPr>
      </w:pPr>
      <w:r>
        <w:rPr>
          <w:rFonts w:ascii="Arial" w:cs="Arial" w:eastAsia="Arial" w:hAnsi="Arial"/>
          <w:sz w:val="16"/>
          <w:szCs w:val="16"/>
          <w:color w:val="auto"/>
        </w:rPr>
        <w:t>distribution will be subject to withholding at the same 30% rate discussed in the last paragraph unless a Non-U.S. Holder is eligible for a reduced rate of withholding tax under an applicable income tax treaty and provides proper certification of its eligibility for such reduced rate (usually on an IRS Form W-8BEN or W-8BEN-E). Because we generally cannot determine at the time we make a distribution whether or not the distribution will exceed our current and accumulated earnings and profits, we generally will withhold tax on the entire amount of any distribution at the 30% rate (subject to reduction by an applicable income tax treaty). However, some or all of any amounts thus withheld may be refundable to the Non-U.S. Holder if it is subsequently determined that such distribution was, in fact, in excess of our current and accumulated earnings and profits.</w:t>
      </w:r>
    </w:p>
    <w:p>
      <w:pPr>
        <w:spacing w:after="0" w:line="98" w:lineRule="exact"/>
        <w:rPr>
          <w:sz w:val="20"/>
          <w:szCs w:val="20"/>
          <w:color w:val="auto"/>
        </w:rPr>
      </w:pPr>
    </w:p>
    <w:p>
      <w:pPr>
        <w:ind w:left="460" w:right="619" w:firstLine="432"/>
        <w:spacing w:after="0" w:line="287" w:lineRule="auto"/>
        <w:rPr>
          <w:sz w:val="20"/>
          <w:szCs w:val="20"/>
          <w:color w:val="auto"/>
        </w:rPr>
      </w:pPr>
      <w:r>
        <w:rPr>
          <w:rFonts w:ascii="Arial" w:cs="Arial" w:eastAsia="Arial" w:hAnsi="Arial"/>
          <w:sz w:val="16"/>
          <w:szCs w:val="16"/>
          <w:color w:val="auto"/>
        </w:rPr>
        <w:t>Dividends we pay to a Non-U.S. Holder that are effectively connected with such Non-U.S. Holder’s conduct of a trade or business within the United States (and, if required by an applicable income tax treaty, are attributable to a permanent establishment or fixed base that such Non-U.S. Holder maintains in the</w:t>
      </w:r>
    </w:p>
    <w:p>
      <w:pPr>
        <w:spacing w:after="0" w:line="2" w:lineRule="exact"/>
        <w:rPr>
          <w:sz w:val="20"/>
          <w:szCs w:val="20"/>
          <w:color w:val="auto"/>
        </w:rPr>
      </w:pPr>
    </w:p>
    <w:p>
      <w:pPr>
        <w:ind w:left="460" w:right="479"/>
        <w:spacing w:after="0" w:line="252" w:lineRule="auto"/>
        <w:rPr>
          <w:sz w:val="20"/>
          <w:szCs w:val="20"/>
          <w:color w:val="auto"/>
        </w:rPr>
      </w:pPr>
      <w:r>
        <w:rPr>
          <w:rFonts w:ascii="Arial" w:cs="Arial" w:eastAsia="Arial" w:hAnsi="Arial"/>
          <w:sz w:val="18"/>
          <w:szCs w:val="18"/>
          <w:color w:val="auto"/>
        </w:rPr>
        <w:t>United States) generally will not be subject to U.S. federal withholding tax, provided that such Non-U.S. Holder complies with certain certification and disclosure requirements. Instead, such dividends generally will be subject to U.S. federal income tax, net of certain deductions, at the same individual or corporate rates applicable to U.S. persons. If the Non-U.S. Holder is a corporation, dividends that are effectively connected income may also be subject to a “branch profits tax” at a rate of 30% (or such lower rate as may be specified by an applicable income tax treaty).</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62" w:lineRule="exact"/>
        <w:rPr>
          <w:sz w:val="20"/>
          <w:szCs w:val="20"/>
          <w:color w:val="auto"/>
        </w:rPr>
      </w:pPr>
    </w:p>
    <w:p>
      <w:pPr>
        <w:ind w:left="460" w:right="599" w:firstLine="432"/>
        <w:spacing w:after="0" w:line="272" w:lineRule="auto"/>
        <w:rPr>
          <w:sz w:val="20"/>
          <w:szCs w:val="20"/>
          <w:color w:val="auto"/>
        </w:rPr>
      </w:pPr>
      <w:r>
        <w:rPr>
          <w:rFonts w:ascii="Arial" w:cs="Arial" w:eastAsia="Arial" w:hAnsi="Arial"/>
          <w:sz w:val="17"/>
          <w:szCs w:val="17"/>
          <w:color w:val="auto"/>
        </w:rPr>
        <w:t>Information returns will be filed with the IRS in connection with payments resulting from our Redemption. U.S. Holders will have to provide their taxpayer identification number and comply with certain certification requirements to avoid backup withholding. A Non-U.S. Holder may have to comply with certification procedures to establish that it is not a United States person in order to avoid information reporting and backup withholding requirements.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FATCA</w:t>
      </w:r>
    </w:p>
    <w:p>
      <w:pPr>
        <w:spacing w:after="0" w:line="14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A 30% withholding tax applies with respect to certain payments on our Common Stock, in each case if paid to a foreign financial institution or a non-financial foreign entity (including, in some cases, when such foreign financial institution or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U.S. owners or provides the withholding agent with a certification identifying the direct and indirect substantial U.S. owners of the entity or (iii) the foreign financial institution or non-financial foreign entity otherwise qualifies for an exemption from these rules. The withholding tax may apply to payments made to Non-U.S. Holders pursuant to the Redemption if the Redemption does not qualify as a sale of Common Stock described above. Under certain circumstances, a Non-U.S. Holder might be eligible for refunds or credits of such taxes. An intergovernmental agreement between the United States and an applicable foreign country may modify these requirements. Non-U.S. Holders are encouraged to consult their tax advisors regarding the possible implications of such withholding tax.</w:t>
      </w:r>
    </w:p>
    <w:p>
      <w:pPr>
        <w:spacing w:after="0" w:line="96" w:lineRule="exact"/>
        <w:rPr>
          <w:sz w:val="20"/>
          <w:szCs w:val="20"/>
          <w:color w:val="auto"/>
        </w:rPr>
      </w:pPr>
    </w:p>
    <w:p>
      <w:pPr>
        <w:ind w:left="460" w:right="519" w:firstLine="432"/>
        <w:spacing w:after="0" w:line="258" w:lineRule="auto"/>
        <w:rPr>
          <w:sz w:val="20"/>
          <w:szCs w:val="20"/>
          <w:color w:val="auto"/>
        </w:rPr>
      </w:pPr>
      <w:r>
        <w:rPr>
          <w:rFonts w:ascii="Arial" w:cs="Arial" w:eastAsia="Arial" w:hAnsi="Arial"/>
          <w:sz w:val="18"/>
          <w:szCs w:val="18"/>
          <w:b w:val="1"/>
          <w:bCs w:val="1"/>
          <w:color w:val="auto"/>
        </w:rPr>
        <w:t>All holders of Tango Stock are urged to consult their tax advisors with respect to the tax consequences of the Business Combination in their particular circumstances, including tax return reporting requirements, the applicability and effect of the alternative minimum tax, any federal tax laws other than those pertaining to income tax (including estate and gift tax laws), and any state, local, foreign or other tax laws.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 for Approval</w:t>
      </w:r>
    </w:p>
    <w:p>
      <w:pPr>
        <w:spacing w:after="0" w:line="162"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This Business Combination Proposal (and consequently, the Merger Agreement and the transactions contemplated thereby, including the Business Combination) will be approved and adopted only if the holders of at least a majority of the outstanding shares of BCTG Common Stock vote “FOR” the Charter Amendment Proposal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6" w:name="page157"/>
    <w:bookmarkEnd w:id="15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spacing w:after="0" w:line="259" w:lineRule="auto"/>
        <w:rPr>
          <w:sz w:val="20"/>
          <w:szCs w:val="20"/>
          <w:color w:val="auto"/>
        </w:rPr>
      </w:pPr>
      <w:r>
        <w:rPr>
          <w:rFonts w:ascii="Arial" w:cs="Arial" w:eastAsia="Arial" w:hAnsi="Arial"/>
          <w:sz w:val="18"/>
          <w:szCs w:val="18"/>
          <w:color w:val="auto"/>
        </w:rPr>
        <w:t>and each of the Business Combination Proposal, the Nasdaq Proposal, the Directors Proposal and the Incentive Plan Proposals are approved at the Special Meeting. Failure to vote by proxy or to vote online at the Special Meeting or an abstention from voting will have no effect on the outcome of the vote on the Business Combination Proposal.</w:t>
      </w:r>
    </w:p>
    <w:p>
      <w:pPr>
        <w:spacing w:after="0" w:line="119" w:lineRule="exact"/>
        <w:rPr>
          <w:sz w:val="20"/>
          <w:szCs w:val="20"/>
          <w:color w:val="auto"/>
        </w:rPr>
      </w:pPr>
    </w:p>
    <w:p>
      <w:pPr>
        <w:ind w:left="460" w:right="779" w:firstLine="432"/>
        <w:spacing w:after="0" w:line="263" w:lineRule="auto"/>
        <w:rPr>
          <w:sz w:val="20"/>
          <w:szCs w:val="20"/>
          <w:color w:val="auto"/>
        </w:rPr>
      </w:pPr>
      <w:r>
        <w:rPr>
          <w:rFonts w:ascii="Arial" w:cs="Arial" w:eastAsia="Arial" w:hAnsi="Arial"/>
          <w:sz w:val="18"/>
          <w:szCs w:val="18"/>
          <w:color w:val="auto"/>
        </w:rPr>
        <w:t>The Nasdaq Proposal, the Directors Proposal, the Charter Amendment Proposal, the Advisory Charter Proposals, and the Incentive Plan Proposals are subject to and conditioned on the approval of the Business Combination Proposal at the Special Meeting.</w:t>
      </w:r>
    </w:p>
    <w:p>
      <w:pPr>
        <w:spacing w:after="0" w:line="116" w:lineRule="exact"/>
        <w:rPr>
          <w:sz w:val="20"/>
          <w:szCs w:val="20"/>
          <w:color w:val="auto"/>
        </w:rPr>
      </w:pPr>
    </w:p>
    <w:p>
      <w:pPr>
        <w:ind w:left="460" w:right="959" w:firstLine="432"/>
        <w:spacing w:after="0" w:line="263" w:lineRule="auto"/>
        <w:rPr>
          <w:sz w:val="20"/>
          <w:szCs w:val="20"/>
          <w:color w:val="auto"/>
        </w:rPr>
      </w:pPr>
      <w:r>
        <w:rPr>
          <w:rFonts w:ascii="Arial" w:cs="Arial" w:eastAsia="Arial" w:hAnsi="Arial"/>
          <w:sz w:val="18"/>
          <w:szCs w:val="18"/>
          <w:color w:val="auto"/>
        </w:rPr>
        <w:t>As of the Record Date, BCTG’s Sponsor, directors and officers have agreed to vote any shares of Common Stock owned by them in favor of the Business Combination. As of the date hereof, the Sponsor, directors and officers have not purchased any Public Shares.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jc w:val="center"/>
        <w:ind w:left="2000"/>
        <w:spacing w:after="0" w:line="282" w:lineRule="auto"/>
        <w:rPr>
          <w:sz w:val="20"/>
          <w:szCs w:val="20"/>
          <w:color w:val="auto"/>
        </w:rPr>
      </w:pPr>
      <w:r>
        <w:rPr>
          <w:rFonts w:ascii="Arial" w:cs="Arial" w:eastAsia="Arial" w:hAnsi="Arial"/>
          <w:sz w:val="18"/>
          <w:szCs w:val="18"/>
          <w:b w:val="1"/>
          <w:bCs w:val="1"/>
          <w:color w:val="auto"/>
        </w:rPr>
        <w:t>THE BOARD UNANIMOUSLY RECOMMENDS THAT ITS STOCKHOLDERS VOTE “FOR” THE BUSINESS COMBINATION PROPOSAL.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7" w:name="page158"/>
    <w:bookmarkEnd w:id="15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 THE NASDAQ PROPOSAL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Background and Overview</w:t>
      </w:r>
    </w:p>
    <w:p>
      <w:pPr>
        <w:spacing w:after="0" w:line="148"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7"/>
          <w:szCs w:val="17"/>
          <w:color w:val="auto"/>
        </w:rPr>
        <w:t>Assuming the Business Combination Proposal is approved, BCTG’s stockholders are also being asked to approve (a) the issuance of 55,000,000 shares of Common Stock to the Tango Equityholders and (b) the issuance and sale of 18,610,000 shares of Common Stock in the PIPE Financing.</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Why BCTG Needs Stockholder Approval</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are seeking stockholder approval in order to comply with Nasdaq Listing Rule 5635(a), (b), (c) and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w:t>
      </w:r>
    </w:p>
    <w:p>
      <w:pPr>
        <w:spacing w:after="0" w:line="143"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6"/>
          <w:szCs w:val="16"/>
          <w:color w:val="auto"/>
        </w:rPr>
        <w:t>Under Nasdaq Listing Rule 5635(a), stockholder approval is required prior to the issuance of securities in connection with the acquisition of another company if such securities are not issued in a public offering and</w:t>
      </w:r>
    </w:p>
    <w:p>
      <w:pPr>
        <w:jc w:val="both"/>
        <w:ind w:left="460" w:right="499" w:hanging="6"/>
        <w:spacing w:after="0" w:line="273" w:lineRule="auto"/>
        <w:tabs>
          <w:tab w:leader="none" w:pos="675" w:val="left"/>
        </w:tabs>
        <w:numPr>
          <w:ilvl w:val="0"/>
          <w:numId w:val="213"/>
        </w:numPr>
        <w:rPr>
          <w:rFonts w:ascii="Arial" w:cs="Arial" w:eastAsia="Arial" w:hAnsi="Arial"/>
          <w:sz w:val="17"/>
          <w:szCs w:val="17"/>
          <w:color w:val="auto"/>
        </w:rPr>
      </w:pPr>
      <w:r>
        <w:rPr>
          <w:rFonts w:ascii="Arial" w:cs="Arial" w:eastAsia="Arial" w:hAnsi="Arial"/>
          <w:sz w:val="17"/>
          <w:szCs w:val="17"/>
          <w:color w:val="auto"/>
        </w:rPr>
        <w:t>have, or will have upon issuance, voting power equal to or in excess of 20% of the voting power outstanding before the issuance of such securities (or securities convertible into or exercisable for common stock); or (ii) the number of shares of common stock to be issued is or will be equal to or in excess of 20% of the number of shares of common stock outstanding before the issuance of the stock or securities.</w:t>
      </w:r>
    </w:p>
    <w:p>
      <w:pPr>
        <w:spacing w:after="0" w:line="95" w:lineRule="exact"/>
        <w:rPr>
          <w:sz w:val="20"/>
          <w:szCs w:val="20"/>
          <w:color w:val="auto"/>
        </w:rPr>
      </w:pPr>
    </w:p>
    <w:p>
      <w:pPr>
        <w:ind w:left="460" w:right="719" w:firstLine="432"/>
        <w:spacing w:after="0" w:line="308" w:lineRule="auto"/>
        <w:rPr>
          <w:sz w:val="20"/>
          <w:szCs w:val="20"/>
          <w:color w:val="auto"/>
        </w:rPr>
      </w:pPr>
      <w:r>
        <w:rPr>
          <w:rFonts w:ascii="Arial" w:cs="Arial" w:eastAsia="Arial" w:hAnsi="Arial"/>
          <w:sz w:val="17"/>
          <w:szCs w:val="17"/>
          <w:color w:val="auto"/>
        </w:rPr>
        <w:t>Under Nasdaq Listing Rule 5635(b), stockholder approval is required prior to the issuance of securities when the issuance or potential issuance will result in a change of control of the registrant.</w:t>
      </w:r>
    </w:p>
    <w:p>
      <w:pPr>
        <w:spacing w:after="0" w:line="79" w:lineRule="exact"/>
        <w:rPr>
          <w:sz w:val="20"/>
          <w:szCs w:val="20"/>
          <w:color w:val="auto"/>
        </w:rPr>
      </w:pPr>
    </w:p>
    <w:p>
      <w:pPr>
        <w:ind w:left="460" w:right="719" w:firstLine="432"/>
        <w:spacing w:after="0" w:line="308" w:lineRule="auto"/>
        <w:rPr>
          <w:sz w:val="20"/>
          <w:szCs w:val="20"/>
          <w:color w:val="auto"/>
        </w:rPr>
      </w:pPr>
      <w:r>
        <w:rPr>
          <w:rFonts w:ascii="Arial" w:cs="Arial" w:eastAsia="Arial" w:hAnsi="Arial"/>
          <w:sz w:val="17"/>
          <w:szCs w:val="17"/>
          <w:color w:val="auto"/>
        </w:rPr>
        <w:t>Under Nasdaq Listing Rule 5635(c), stockholder approval is required prior to the issuance of securities when a plan or other equity compensation arrangement is established or materially amended.</w:t>
      </w:r>
    </w:p>
    <w:p>
      <w:pPr>
        <w:spacing w:after="0" w:line="79"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Under Nasdaq Listing Rule 5635(d), stockholder approval is required for a transaction other than a public offering involving the sale, issuance or potential issuance by an issuer of common stock (or securities convertible into or exercisable for common stock) at a price that is less than the greater of book or market value of the stock if the number of shares of common stock to be issued is or may be equal to 20% or more of the common stock, or 20% or more of the voting power, outstanding before the issuance.</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currently have 21,377,250 shares of Common Stock outstanding. Pursuant to the Business</w:t>
      </w:r>
    </w:p>
    <w:p>
      <w:pPr>
        <w:spacing w:after="0" w:line="23" w:lineRule="exact"/>
        <w:rPr>
          <w:sz w:val="20"/>
          <w:szCs w:val="20"/>
          <w:color w:val="auto"/>
        </w:rPr>
      </w:pPr>
    </w:p>
    <w:p>
      <w:pPr>
        <w:ind w:left="460" w:right="459"/>
        <w:spacing w:after="0" w:line="252" w:lineRule="auto"/>
        <w:rPr>
          <w:sz w:val="20"/>
          <w:szCs w:val="20"/>
          <w:color w:val="auto"/>
        </w:rPr>
      </w:pPr>
      <w:r>
        <w:rPr>
          <w:rFonts w:ascii="Arial" w:cs="Arial" w:eastAsia="Arial" w:hAnsi="Arial"/>
          <w:sz w:val="18"/>
          <w:szCs w:val="18"/>
          <w:color w:val="auto"/>
        </w:rPr>
        <w:t>Combination and the Subscription Agreements, we will issue shares of Common Stock, representing approximately 34% of our outstanding shares of Common Stock prior to such issuance, at a price less than the greater of the book value or market of the shares. Our Common Stock had a book value of $[•] and market value of $[•] on [•], 2021. Accordingly, we need stockholder approval of the issuance of more than 20% of our issued and outstanding Common Stock at a price that may be less than the greater of book or market value of BCTG’s Common Stock as of [•], 2021.</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 of Proposal on Current Stockholders</w:t>
      </w:r>
    </w:p>
    <w:p>
      <w:pPr>
        <w:spacing w:after="0" w:line="162"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If the Nasdaq Proposal is adopted, up to an aggregate of 73,610,000 shares of Common Stock may be issued in connection with the Business Combination and the PIPE Financing, representing up to approximately 344% of the shares of Common Stock outstanding on the date hereof. The issuance of such shares would result in significant dilution to our stockholders, and result in our stockholders having a smaller percentage interest in the voting power, liquidation value and aggregate book value of BCTG.</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 for Approval</w:t>
      </w:r>
    </w:p>
    <w:p>
      <w:pPr>
        <w:spacing w:after="0" w:line="162"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This proposal is subject to and conditioned on the approval of the Business Combination Proposal and the Charter Amendment Proposal.</w:t>
      </w:r>
    </w:p>
    <w:p>
      <w:pPr>
        <w:spacing w:after="0" w:line="89"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The approval of the Nasdaq Proposal requires the affirmative vote of the holders of a majority of the shares present or represented at the Special Meeting, by ballot, proxy or electronic ballot and entitled to vote thereon at the Special Meeting, assuming that a quorum is present. Failure to vote by proxy or to vote online at the Special Meeting or an abstention from voting will have no effect on the outcome of the vote on the Nasdaq Proposal.</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Recommendation of the Board</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BOARD UNANIMOUSLY RECOMMENDS THAT OUR STOCKHOLDERS VOTE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THE NASDAQ PROPOSAL.</w:t>
      </w:r>
    </w:p>
    <w:p>
      <w:pPr>
        <w:sectPr>
          <w:pgSz w:w="11900" w:h="16838" w:orient="portrait"/>
          <w:cols w:equalWidth="0" w:num="1">
            <w:col w:w="9019"/>
          </w:cols>
          <w:pgMar w:left="1440" w:top="274" w:right="1440"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8" w:name="page159"/>
    <w:bookmarkEnd w:id="15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 — THE CHARTER AMENDMENT PROPOSAL</w:t>
      </w:r>
    </w:p>
    <w:p>
      <w:pPr>
        <w:spacing w:after="0" w:line="148" w:lineRule="exact"/>
        <w:rPr>
          <w:sz w:val="20"/>
          <w:szCs w:val="20"/>
          <w:color w:val="auto"/>
        </w:rPr>
      </w:pPr>
    </w:p>
    <w:p>
      <w:pPr>
        <w:ind w:left="460" w:right="679" w:firstLine="432"/>
        <w:spacing w:after="0" w:line="279" w:lineRule="auto"/>
        <w:rPr>
          <w:sz w:val="20"/>
          <w:szCs w:val="20"/>
          <w:color w:val="auto"/>
        </w:rPr>
      </w:pPr>
      <w:r>
        <w:rPr>
          <w:rFonts w:ascii="Arial" w:cs="Arial" w:eastAsia="Arial" w:hAnsi="Arial"/>
          <w:sz w:val="17"/>
          <w:szCs w:val="17"/>
          <w:color w:val="auto"/>
        </w:rPr>
        <w:t xml:space="preserve">The following table sets forth a summary of the provisions of the Current Charter and the Proposed Charter. This summary is qualified by reference to the complete text of Proposed Charter, a copy of which is attached to this proxy statement/prospectus as </w:t>
      </w:r>
      <w:r>
        <w:rPr>
          <w:rFonts w:ascii="Arial" w:cs="Arial" w:eastAsia="Arial" w:hAnsi="Arial"/>
          <w:sz w:val="17"/>
          <w:szCs w:val="17"/>
          <w:i w:val="1"/>
          <w:iCs w:val="1"/>
          <w:u w:val="single" w:color="auto"/>
          <w:color w:val="auto"/>
        </w:rPr>
        <w:t>Annex B</w:t>
      </w:r>
      <w:r>
        <w:rPr>
          <w:rFonts w:ascii="Arial" w:cs="Arial" w:eastAsia="Arial" w:hAnsi="Arial"/>
          <w:sz w:val="17"/>
          <w:szCs w:val="17"/>
          <w:color w:val="auto"/>
        </w:rPr>
        <w:t>. All stockholders are encouraged to read the Proposed Charter in its entirety for a more complete description of its terms.</w:t>
      </w:r>
    </w:p>
    <w:p>
      <w:pPr>
        <w:sectPr>
          <w:pgSz w:w="11900" w:h="16838" w:orient="portrait"/>
          <w:cols w:equalWidth="0" w:num="1">
            <w:col w:w="9019"/>
          </w:cols>
          <w:pgMar w:left="1440" w:top="274" w:right="1440" w:bottom="1440" w:gutter="0" w:footer="0" w:header="0"/>
        </w:sectPr>
      </w:pP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60" w:type="dxa"/>
            <w:vAlign w:val="bottom"/>
          </w:tcPr>
          <w:p>
            <w:pPr>
              <w:ind w:left="740"/>
              <w:spacing w:after="0"/>
              <w:rPr>
                <w:sz w:val="20"/>
                <w:szCs w:val="20"/>
                <w:color w:val="auto"/>
              </w:rPr>
            </w:pPr>
            <w:r>
              <w:rPr>
                <w:rFonts w:ascii="Arial" w:cs="Arial" w:eastAsia="Arial" w:hAnsi="Arial"/>
                <w:sz w:val="16"/>
                <w:szCs w:val="16"/>
                <w:b w:val="1"/>
                <w:bCs w:val="1"/>
                <w:color w:val="auto"/>
              </w:rPr>
              <w:t>Current Charter</w:t>
            </w:r>
          </w:p>
        </w:tc>
        <w:tc>
          <w:tcPr>
            <w:tcW w:w="0" w:type="dxa"/>
            <w:vAlign w:val="bottom"/>
          </w:tcPr>
          <w:p>
            <w:pPr>
              <w:spacing w:after="0"/>
              <w:rPr>
                <w:sz w:val="1"/>
                <w:szCs w:val="1"/>
                <w:color w:val="auto"/>
              </w:rPr>
            </w:pPr>
          </w:p>
        </w:tc>
      </w:tr>
      <w:tr>
        <w:trPr>
          <w:trHeight w:val="47"/>
        </w:trPr>
        <w:tc>
          <w:tcPr>
            <w:tcW w:w="1960" w:type="dxa"/>
            <w:vAlign w:val="bottom"/>
            <w:vMerge w:val="restart"/>
          </w:tcPr>
          <w:p>
            <w:pPr>
              <w:spacing w:after="0"/>
              <w:rPr>
                <w:sz w:val="20"/>
                <w:szCs w:val="20"/>
                <w:color w:val="auto"/>
              </w:rPr>
            </w:pPr>
            <w:r>
              <w:rPr>
                <w:rFonts w:ascii="Arial" w:cs="Arial" w:eastAsia="Arial" w:hAnsi="Arial"/>
                <w:sz w:val="18"/>
                <w:szCs w:val="18"/>
                <w:b w:val="1"/>
                <w:bCs w:val="1"/>
                <w:color w:val="auto"/>
              </w:rPr>
              <w:t>Name Change</w:t>
            </w:r>
          </w:p>
        </w:tc>
        <w:tc>
          <w:tcPr>
            <w:tcW w:w="620" w:type="dxa"/>
            <w:vAlign w:val="bottom"/>
            <w:vMerge w:val="restart"/>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96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660" w:type="dxa"/>
            <w:vAlign w:val="bottom"/>
          </w:tcPr>
          <w:p>
            <w:pPr>
              <w:spacing w:after="0" w:line="195" w:lineRule="exact"/>
              <w:rPr>
                <w:sz w:val="20"/>
                <w:szCs w:val="20"/>
                <w:color w:val="auto"/>
              </w:rPr>
            </w:pPr>
            <w:r>
              <w:rPr>
                <w:rFonts w:ascii="Arial" w:cs="Arial" w:eastAsia="Arial" w:hAnsi="Arial"/>
                <w:sz w:val="18"/>
                <w:szCs w:val="18"/>
                <w:color w:val="auto"/>
              </w:rPr>
              <w:t>BCTG’s current name is BCTG</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3280" w:type="dxa"/>
            <w:vAlign w:val="bottom"/>
            <w:gridSpan w:val="2"/>
          </w:tcPr>
          <w:p>
            <w:pPr>
              <w:ind w:left="620"/>
              <w:spacing w:after="0"/>
              <w:rPr>
                <w:sz w:val="20"/>
                <w:szCs w:val="20"/>
                <w:color w:val="auto"/>
              </w:rPr>
            </w:pPr>
            <w:r>
              <w:rPr>
                <w:rFonts w:ascii="Arial" w:cs="Arial" w:eastAsia="Arial" w:hAnsi="Arial"/>
                <w:sz w:val="18"/>
                <w:szCs w:val="18"/>
                <w:color w:val="auto"/>
              </w:rPr>
              <w:t>Acquisition Corp.</w:t>
            </w:r>
          </w:p>
        </w:tc>
        <w:tc>
          <w:tcPr>
            <w:tcW w:w="0" w:type="dxa"/>
            <w:vAlign w:val="bottom"/>
          </w:tcPr>
          <w:p>
            <w:pPr>
              <w:spacing w:after="0"/>
              <w:rPr>
                <w:sz w:val="1"/>
                <w:szCs w:val="1"/>
                <w:color w:val="auto"/>
              </w:rPr>
            </w:pPr>
          </w:p>
        </w:tc>
      </w:tr>
      <w:tr>
        <w:trPr>
          <w:trHeight w:val="593"/>
        </w:trPr>
        <w:tc>
          <w:tcPr>
            <w:tcW w:w="1960" w:type="dxa"/>
            <w:vAlign w:val="bottom"/>
          </w:tcPr>
          <w:p>
            <w:pPr>
              <w:spacing w:after="0"/>
              <w:rPr>
                <w:sz w:val="20"/>
                <w:szCs w:val="20"/>
                <w:color w:val="auto"/>
              </w:rPr>
            </w:pPr>
            <w:r>
              <w:rPr>
                <w:rFonts w:ascii="Arial" w:cs="Arial" w:eastAsia="Arial" w:hAnsi="Arial"/>
                <w:sz w:val="18"/>
                <w:szCs w:val="18"/>
                <w:b w:val="1"/>
                <w:bCs w:val="1"/>
                <w:color w:val="auto"/>
              </w:rPr>
              <w:t>Common Stock</w:t>
            </w:r>
          </w:p>
        </w:tc>
        <w:tc>
          <w:tcPr>
            <w:tcW w:w="3280" w:type="dxa"/>
            <w:vAlign w:val="bottom"/>
            <w:gridSpan w:val="2"/>
          </w:tcPr>
          <w:p>
            <w:pPr>
              <w:ind w:left="620"/>
              <w:spacing w:after="0"/>
              <w:rPr>
                <w:sz w:val="20"/>
                <w:szCs w:val="20"/>
                <w:color w:val="auto"/>
              </w:rPr>
            </w:pPr>
            <w:r>
              <w:rPr>
                <w:rFonts w:ascii="Arial" w:cs="Arial" w:eastAsia="Arial" w:hAnsi="Arial"/>
                <w:sz w:val="18"/>
                <w:szCs w:val="18"/>
                <w:color w:val="auto"/>
              </w:rPr>
              <w:t>The Current Charter authorizes</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280" w:type="dxa"/>
            <w:vAlign w:val="bottom"/>
            <w:gridSpan w:val="2"/>
          </w:tcPr>
          <w:p>
            <w:pPr>
              <w:ind w:left="620"/>
              <w:spacing w:after="0"/>
              <w:rPr>
                <w:sz w:val="20"/>
                <w:szCs w:val="20"/>
                <w:color w:val="auto"/>
              </w:rPr>
            </w:pPr>
            <w:r>
              <w:rPr>
                <w:rFonts w:ascii="Arial" w:cs="Arial" w:eastAsia="Arial" w:hAnsi="Arial"/>
                <w:sz w:val="18"/>
                <w:szCs w:val="18"/>
                <w:color w:val="auto"/>
              </w:rPr>
              <w:t>30,000,000 shares of Common</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3280" w:type="dxa"/>
            <w:vAlign w:val="bottom"/>
            <w:gridSpan w:val="2"/>
          </w:tcPr>
          <w:p>
            <w:pPr>
              <w:ind w:left="620"/>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391"/>
        </w:trPr>
        <w:tc>
          <w:tcPr>
            <w:tcW w:w="1960" w:type="dxa"/>
            <w:vAlign w:val="bottom"/>
          </w:tcPr>
          <w:p>
            <w:pPr>
              <w:spacing w:after="0"/>
              <w:rPr>
                <w:sz w:val="20"/>
                <w:szCs w:val="20"/>
                <w:color w:val="auto"/>
              </w:rPr>
            </w:pPr>
            <w:r>
              <w:rPr>
                <w:rFonts w:ascii="Arial" w:cs="Arial" w:eastAsia="Arial" w:hAnsi="Arial"/>
                <w:sz w:val="18"/>
                <w:szCs w:val="18"/>
                <w:b w:val="1"/>
                <w:bCs w:val="1"/>
                <w:color w:val="auto"/>
              </w:rPr>
              <w:t>Preferred Stock</w:t>
            </w:r>
          </w:p>
        </w:tc>
        <w:tc>
          <w:tcPr>
            <w:tcW w:w="3280" w:type="dxa"/>
            <w:vAlign w:val="bottom"/>
            <w:gridSpan w:val="2"/>
          </w:tcPr>
          <w:p>
            <w:pPr>
              <w:ind w:left="620"/>
              <w:spacing w:after="0"/>
              <w:rPr>
                <w:sz w:val="20"/>
                <w:szCs w:val="20"/>
                <w:color w:val="auto"/>
              </w:rPr>
            </w:pPr>
            <w:r>
              <w:rPr>
                <w:rFonts w:ascii="Arial" w:cs="Arial" w:eastAsia="Arial" w:hAnsi="Arial"/>
                <w:sz w:val="18"/>
                <w:szCs w:val="18"/>
                <w:color w:val="auto"/>
              </w:rPr>
              <w:t>The Current Charter authorizes</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280" w:type="dxa"/>
            <w:vAlign w:val="bottom"/>
            <w:gridSpan w:val="2"/>
          </w:tcPr>
          <w:p>
            <w:pPr>
              <w:ind w:left="620"/>
              <w:spacing w:after="0"/>
              <w:rPr>
                <w:sz w:val="20"/>
                <w:szCs w:val="20"/>
                <w:color w:val="auto"/>
              </w:rPr>
            </w:pPr>
            <w:r>
              <w:rPr>
                <w:rFonts w:ascii="Arial" w:cs="Arial" w:eastAsia="Arial" w:hAnsi="Arial"/>
                <w:sz w:val="18"/>
                <w:szCs w:val="18"/>
                <w:color w:val="auto"/>
                <w:w w:val="93"/>
              </w:rPr>
              <w:t>1,000,0000 shares of “blank check”</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280" w:type="dxa"/>
            <w:vAlign w:val="bottom"/>
            <w:gridSpan w:val="2"/>
          </w:tcPr>
          <w:p>
            <w:pPr>
              <w:ind w:left="620"/>
              <w:spacing w:after="0"/>
              <w:rPr>
                <w:sz w:val="20"/>
                <w:szCs w:val="20"/>
                <w:color w:val="auto"/>
              </w:rPr>
            </w:pPr>
            <w:r>
              <w:rPr>
                <w:rFonts w:ascii="Arial" w:cs="Arial" w:eastAsia="Arial" w:hAnsi="Arial"/>
                <w:sz w:val="18"/>
                <w:szCs w:val="18"/>
                <w:color w:val="auto"/>
              </w:rPr>
              <w:t>preferred stock, that the board of</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280" w:type="dxa"/>
            <w:vAlign w:val="bottom"/>
            <w:gridSpan w:val="2"/>
          </w:tcPr>
          <w:p>
            <w:pPr>
              <w:ind w:left="620"/>
              <w:spacing w:after="0"/>
              <w:rPr>
                <w:sz w:val="20"/>
                <w:szCs w:val="20"/>
                <w:color w:val="auto"/>
              </w:rPr>
            </w:pPr>
            <w:r>
              <w:rPr>
                <w:rFonts w:ascii="Arial" w:cs="Arial" w:eastAsia="Arial" w:hAnsi="Arial"/>
                <w:sz w:val="18"/>
                <w:szCs w:val="18"/>
                <w:color w:val="auto"/>
                <w:w w:val="90"/>
              </w:rPr>
              <w:t>directors could issue to discourage a</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3280" w:type="dxa"/>
            <w:vAlign w:val="bottom"/>
            <w:gridSpan w:val="2"/>
          </w:tcPr>
          <w:p>
            <w:pPr>
              <w:ind w:left="620"/>
              <w:spacing w:after="0"/>
              <w:rPr>
                <w:sz w:val="20"/>
                <w:szCs w:val="20"/>
                <w:color w:val="auto"/>
              </w:rPr>
            </w:pPr>
            <w:r>
              <w:rPr>
                <w:rFonts w:ascii="Arial" w:cs="Arial" w:eastAsia="Arial" w:hAnsi="Arial"/>
                <w:sz w:val="18"/>
                <w:szCs w:val="18"/>
                <w:color w:val="auto"/>
              </w:rPr>
              <w:t>takeover attempt.</w:t>
            </w:r>
          </w:p>
        </w:tc>
        <w:tc>
          <w:tcPr>
            <w:tcW w:w="0" w:type="dxa"/>
            <w:vAlign w:val="bottom"/>
          </w:tcPr>
          <w:p>
            <w:pPr>
              <w:spacing w:after="0"/>
              <w:rPr>
                <w:sz w:val="1"/>
                <w:szCs w:val="1"/>
                <w:color w:val="auto"/>
              </w:rPr>
            </w:pPr>
          </w:p>
        </w:tc>
      </w:tr>
      <w:tr>
        <w:trPr>
          <w:trHeight w:val="391"/>
        </w:trPr>
        <w:tc>
          <w:tcPr>
            <w:tcW w:w="1960" w:type="dxa"/>
            <w:vAlign w:val="bottom"/>
          </w:tcPr>
          <w:p>
            <w:pPr>
              <w:spacing w:after="0"/>
              <w:rPr>
                <w:sz w:val="20"/>
                <w:szCs w:val="20"/>
                <w:color w:val="auto"/>
              </w:rPr>
            </w:pPr>
            <w:r>
              <w:rPr>
                <w:rFonts w:ascii="Arial" w:cs="Arial" w:eastAsia="Arial" w:hAnsi="Arial"/>
                <w:sz w:val="18"/>
                <w:szCs w:val="18"/>
                <w:b w:val="1"/>
                <w:bCs w:val="1"/>
                <w:color w:val="auto"/>
              </w:rPr>
              <w:t>Director Removal</w:t>
            </w:r>
          </w:p>
        </w:tc>
        <w:tc>
          <w:tcPr>
            <w:tcW w:w="3280" w:type="dxa"/>
            <w:vAlign w:val="bottom"/>
            <w:gridSpan w:val="2"/>
          </w:tcPr>
          <w:p>
            <w:pPr>
              <w:ind w:left="620"/>
              <w:spacing w:after="0"/>
              <w:rPr>
                <w:sz w:val="20"/>
                <w:szCs w:val="20"/>
                <w:color w:val="auto"/>
              </w:rPr>
            </w:pPr>
            <w:r>
              <w:rPr>
                <w:rFonts w:ascii="Arial" w:cs="Arial" w:eastAsia="Arial" w:hAnsi="Arial"/>
                <w:sz w:val="18"/>
                <w:szCs w:val="18"/>
                <w:color w:val="auto"/>
                <w:w w:val="97"/>
              </w:rPr>
              <w:t>The Current Charter is silent as to</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3280" w:type="dxa"/>
            <w:vAlign w:val="bottom"/>
            <w:gridSpan w:val="2"/>
          </w:tcPr>
          <w:p>
            <w:pPr>
              <w:ind w:left="620"/>
              <w:spacing w:after="0"/>
              <w:rPr>
                <w:sz w:val="20"/>
                <w:szCs w:val="20"/>
                <w:color w:val="auto"/>
              </w:rPr>
            </w:pPr>
            <w:r>
              <w:rPr>
                <w:rFonts w:ascii="Arial" w:cs="Arial" w:eastAsia="Arial" w:hAnsi="Arial"/>
                <w:sz w:val="18"/>
                <w:szCs w:val="18"/>
                <w:color w:val="auto"/>
              </w:rPr>
              <w:t>the director removal process.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Proposed Charter</w:t>
      </w:r>
    </w:p>
    <w:p>
      <w:pPr>
        <w:spacing w:after="0" w:line="72" w:lineRule="exact"/>
        <w:rPr>
          <w:sz w:val="20"/>
          <w:szCs w:val="20"/>
          <w:color w:val="auto"/>
        </w:rPr>
      </w:pPr>
    </w:p>
    <w:p>
      <w:pPr>
        <w:ind w:right="799"/>
        <w:spacing w:after="0" w:line="263" w:lineRule="auto"/>
        <w:rPr>
          <w:sz w:val="20"/>
          <w:szCs w:val="20"/>
          <w:color w:val="auto"/>
        </w:rPr>
      </w:pPr>
      <w:r>
        <w:rPr>
          <w:rFonts w:ascii="Arial" w:cs="Arial" w:eastAsia="Arial" w:hAnsi="Arial"/>
          <w:sz w:val="18"/>
          <w:szCs w:val="18"/>
          <w:color w:val="auto"/>
        </w:rPr>
        <w:t>Under the Proposed Charter, New Tango’s name will be Tango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-431165</wp:posOffset>
            </wp:positionV>
            <wp:extent cx="17576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123" w:lineRule="exact"/>
        <w:rPr>
          <w:sz w:val="20"/>
          <w:szCs w:val="20"/>
          <w:color w:val="auto"/>
        </w:rPr>
      </w:pPr>
    </w:p>
    <w:p>
      <w:pPr>
        <w:ind w:right="619"/>
        <w:spacing w:after="0" w:line="342" w:lineRule="auto"/>
        <w:rPr>
          <w:sz w:val="20"/>
          <w:szCs w:val="20"/>
          <w:color w:val="auto"/>
        </w:rPr>
      </w:pPr>
      <w:r>
        <w:rPr>
          <w:rFonts w:ascii="Arial" w:cs="Arial" w:eastAsia="Arial" w:hAnsi="Arial"/>
          <w:sz w:val="16"/>
          <w:szCs w:val="16"/>
          <w:color w:val="auto"/>
        </w:rPr>
        <w:t>The Proposed Charter will authorize [•] shares of Common Stock.</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The Proposed Charter will authorize</w:t>
      </w:r>
    </w:p>
    <w:p>
      <w:pPr>
        <w:spacing w:after="0" w:line="46" w:lineRule="exact"/>
        <w:rPr>
          <w:sz w:val="20"/>
          <w:szCs w:val="20"/>
          <w:color w:val="auto"/>
        </w:rPr>
      </w:pPr>
    </w:p>
    <w:p>
      <w:pPr>
        <w:ind w:right="579" w:firstLine="6"/>
        <w:spacing w:after="0" w:line="260" w:lineRule="auto"/>
        <w:tabs>
          <w:tab w:leader="none" w:pos="22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shares of “blank check” preferred stock.</w:t>
      </w:r>
    </w:p>
    <w:p>
      <w:pPr>
        <w:spacing w:after="0" w:line="200" w:lineRule="exact"/>
        <w:rPr>
          <w:sz w:val="20"/>
          <w:szCs w:val="20"/>
          <w:color w:val="auto"/>
        </w:rPr>
      </w:pPr>
    </w:p>
    <w:p>
      <w:pPr>
        <w:spacing w:after="0" w:line="390" w:lineRule="exact"/>
        <w:rPr>
          <w:sz w:val="20"/>
          <w:szCs w:val="20"/>
          <w:color w:val="auto"/>
        </w:rPr>
      </w:pPr>
    </w:p>
    <w:p>
      <w:pPr>
        <w:ind w:right="559"/>
        <w:spacing w:after="0" w:line="291" w:lineRule="auto"/>
        <w:rPr>
          <w:sz w:val="20"/>
          <w:szCs w:val="20"/>
          <w:color w:val="auto"/>
        </w:rPr>
      </w:pPr>
      <w:r>
        <w:rPr>
          <w:rFonts w:ascii="Arial" w:cs="Arial" w:eastAsia="Arial" w:hAnsi="Arial"/>
          <w:sz w:val="16"/>
          <w:szCs w:val="16"/>
          <w:color w:val="auto"/>
        </w:rPr>
        <w:t>Under the Proposed Charter, a director can only be removed for cause by the approval of the holders of at least two-thirds of New Tango’s then-outstanding shares of capital stock entitled to vote generally at an election of directors.</w:t>
      </w:r>
    </w:p>
    <w:p>
      <w:pPr>
        <w:spacing w:after="0" w:line="135" w:lineRule="exact"/>
        <w:rPr>
          <w:sz w:val="20"/>
          <w:szCs w:val="20"/>
          <w:color w:val="auto"/>
        </w:rPr>
      </w:pPr>
    </w:p>
    <w:p>
      <w:pPr>
        <w:sectPr>
          <w:pgSz w:w="11900" w:h="16838" w:orient="portrait"/>
          <w:cols w:equalWidth="0" w:num="2">
            <w:col w:w="5700" w:space="80"/>
            <w:col w:w="3239"/>
          </w:cols>
          <w:pgMar w:left="1440" w:top="274" w:right="1440" w:bottom="1440" w:gutter="0" w:footer="0" w:header="0"/>
          <w:type w:val="continuous"/>
        </w:sectPr>
      </w:pPr>
    </w:p>
    <w:p>
      <w:pPr>
        <w:ind w:left="460"/>
        <w:spacing w:after="0"/>
        <w:tabs>
          <w:tab w:leader="none" w:pos="3020" w:val="left"/>
        </w:tabs>
        <w:rPr>
          <w:sz w:val="20"/>
          <w:szCs w:val="20"/>
          <w:color w:val="auto"/>
        </w:rPr>
      </w:pPr>
      <w:r>
        <w:rPr>
          <w:rFonts w:ascii="Arial" w:cs="Arial" w:eastAsia="Arial" w:hAnsi="Arial"/>
          <w:sz w:val="18"/>
          <w:szCs w:val="18"/>
          <w:b w:val="1"/>
          <w:bCs w:val="1"/>
          <w:color w:val="auto"/>
        </w:rPr>
        <w:t>Provisions Specific to a Blank</w:t>
      </w:r>
      <w:r>
        <w:rPr>
          <w:sz w:val="20"/>
          <w:szCs w:val="20"/>
          <w:color w:val="auto"/>
        </w:rPr>
        <w:tab/>
      </w:r>
      <w:r>
        <w:rPr>
          <w:rFonts w:ascii="Arial" w:cs="Arial" w:eastAsia="Arial" w:hAnsi="Arial"/>
          <w:sz w:val="16"/>
          <w:szCs w:val="16"/>
          <w:color w:val="auto"/>
        </w:rPr>
        <w:t>Under the Current Charter, Article</w:t>
      </w:r>
    </w:p>
    <w:p>
      <w:pPr>
        <w:spacing w:after="0" w:line="27" w:lineRule="exact"/>
        <w:rPr>
          <w:sz w:val="20"/>
          <w:szCs w:val="20"/>
          <w:color w:val="auto"/>
        </w:rPr>
      </w:pPr>
    </w:p>
    <w:p>
      <w:pPr>
        <w:ind w:left="640"/>
        <w:spacing w:after="0"/>
        <w:tabs>
          <w:tab w:leader="none" w:pos="3020" w:val="left"/>
        </w:tabs>
        <w:rPr>
          <w:sz w:val="20"/>
          <w:szCs w:val="20"/>
          <w:color w:val="auto"/>
        </w:rPr>
      </w:pPr>
      <w:r>
        <w:rPr>
          <w:rFonts w:ascii="Arial" w:cs="Arial" w:eastAsia="Arial" w:hAnsi="Arial"/>
          <w:sz w:val="18"/>
          <w:szCs w:val="18"/>
          <w:b w:val="1"/>
          <w:bCs w:val="1"/>
          <w:color w:val="auto"/>
        </w:rPr>
        <w:t>Check Company</w:t>
      </w:r>
      <w:r>
        <w:rPr>
          <w:sz w:val="20"/>
          <w:szCs w:val="20"/>
          <w:color w:val="auto"/>
        </w:rPr>
        <w:tab/>
      </w:r>
      <w:r>
        <w:rPr>
          <w:rFonts w:ascii="Arial" w:cs="Arial" w:eastAsia="Arial" w:hAnsi="Arial"/>
          <w:sz w:val="16"/>
          <w:szCs w:val="16"/>
          <w:color w:val="auto"/>
        </w:rPr>
        <w:t>SIXTH sets forth various provisions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related to its operations as a blank</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check company prior to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consummation of an initial business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combination. Furthermore, BCTG is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required to be dissolved and</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liquidated 24 months following the</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closing of its initial public offering</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if it does not complete a business</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 in that time.</w:t>
      </w:r>
    </w:p>
    <w:p>
      <w:pPr>
        <w:spacing w:after="0" w:line="20" w:lineRule="exact"/>
        <w:rPr>
          <w:sz w:val="20"/>
          <w:szCs w:val="20"/>
          <w:color w:val="auto"/>
        </w:rPr>
      </w:pPr>
      <w:r>
        <w:rPr>
          <w:sz w:val="20"/>
          <w:szCs w:val="20"/>
          <w:color w:val="auto"/>
        </w:rPr>
        <w:br w:type="column"/>
      </w:r>
    </w:p>
    <w:p>
      <w:pPr>
        <w:ind w:right="499"/>
        <w:spacing w:after="0" w:line="286" w:lineRule="auto"/>
        <w:rPr>
          <w:sz w:val="20"/>
          <w:szCs w:val="20"/>
          <w:color w:val="auto"/>
        </w:rPr>
      </w:pPr>
      <w:r>
        <w:rPr>
          <w:rFonts w:ascii="Arial" w:cs="Arial" w:eastAsia="Arial" w:hAnsi="Arial"/>
          <w:sz w:val="16"/>
          <w:szCs w:val="16"/>
          <w:color w:val="auto"/>
        </w:rPr>
        <w:t>The Proposed Charter does not include these blank check company provisions because, upon Closing, BCTG will cease to be a blank check company. In addition, the provisions requiring that the proceeds from its initial public offering be held in a trust account until a business combination or liquidation of BCTG and the terms governing BCTG’s consummation of a proposed business combination will not be applicable following Closing. New Tango will have a perpetual existence.</w:t>
      </w:r>
    </w:p>
    <w:p>
      <w:pPr>
        <w:spacing w:after="0" w:line="140" w:lineRule="exact"/>
        <w:rPr>
          <w:sz w:val="20"/>
          <w:szCs w:val="20"/>
          <w:color w:val="auto"/>
        </w:rPr>
      </w:pPr>
    </w:p>
    <w:p>
      <w:pPr>
        <w:sectPr>
          <w:pgSz w:w="11900" w:h="16838" w:orient="portrait"/>
          <w:cols w:equalWidth="0" w:num="2">
            <w:col w:w="5660" w:space="120"/>
            <w:col w:w="3239"/>
          </w:cols>
          <w:pgMar w:left="1440" w:top="274" w:right="1440" w:bottom="1440" w:gutter="0" w:footer="0" w:header="0"/>
          <w:type w:val="continuous"/>
        </w:sectPr>
      </w:pPr>
    </w:p>
    <w:p>
      <w:pPr>
        <w:ind w:left="460"/>
        <w:spacing w:after="0"/>
        <w:tabs>
          <w:tab w:leader="none" w:pos="3020" w:val="left"/>
        </w:tabs>
        <w:rPr>
          <w:sz w:val="20"/>
          <w:szCs w:val="20"/>
          <w:color w:val="auto"/>
        </w:rPr>
      </w:pPr>
      <w:r>
        <w:rPr>
          <w:rFonts w:ascii="Arial" w:cs="Arial" w:eastAsia="Arial" w:hAnsi="Arial"/>
          <w:sz w:val="18"/>
          <w:szCs w:val="18"/>
          <w:b w:val="1"/>
          <w:bCs w:val="1"/>
          <w:color w:val="auto"/>
        </w:rPr>
        <w:t>Section 203</w:t>
      </w:r>
      <w:r>
        <w:rPr>
          <w:sz w:val="20"/>
          <w:szCs w:val="20"/>
          <w:color w:val="auto"/>
        </w:rPr>
        <w:tab/>
      </w:r>
      <w:r>
        <w:rPr>
          <w:rFonts w:ascii="Arial" w:cs="Arial" w:eastAsia="Arial" w:hAnsi="Arial"/>
          <w:sz w:val="16"/>
          <w:szCs w:val="16"/>
          <w:color w:val="auto"/>
        </w:rPr>
        <w:t>The Current Charter does not</w:t>
      </w:r>
    </w:p>
    <w:p>
      <w:pPr>
        <w:spacing w:after="0" w:line="27"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provide for the opt out of Section</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203 of the DGCL.</w:t>
      </w:r>
    </w:p>
    <w:p>
      <w:pPr>
        <w:spacing w:after="0" w:line="20" w:lineRule="exact"/>
        <w:rPr>
          <w:sz w:val="20"/>
          <w:szCs w:val="20"/>
          <w:color w:val="auto"/>
        </w:rPr>
      </w:pPr>
      <w:r>
        <w:rPr>
          <w:sz w:val="20"/>
          <w:szCs w:val="20"/>
          <w:color w:val="auto"/>
        </w:rPr>
        <w:br w:type="column"/>
      </w:r>
    </w:p>
    <w:p>
      <w:pPr>
        <w:ind w:right="499"/>
        <w:spacing w:after="0" w:line="263" w:lineRule="auto"/>
        <w:rPr>
          <w:sz w:val="20"/>
          <w:szCs w:val="20"/>
          <w:color w:val="auto"/>
        </w:rPr>
      </w:pPr>
      <w:r>
        <w:rPr>
          <w:rFonts w:ascii="Arial" w:cs="Arial" w:eastAsia="Arial" w:hAnsi="Arial"/>
          <w:sz w:val="18"/>
          <w:szCs w:val="18"/>
          <w:color w:val="auto"/>
        </w:rPr>
        <w:t>The Proposed Charter provides that New Tango opts out of Section 203 of the DGCL.</w:t>
      </w:r>
    </w:p>
    <w:p>
      <w:pPr>
        <w:spacing w:after="0" w:line="153" w:lineRule="exact"/>
        <w:rPr>
          <w:sz w:val="20"/>
          <w:szCs w:val="20"/>
          <w:color w:val="auto"/>
        </w:rPr>
      </w:pPr>
    </w:p>
    <w:p>
      <w:pPr>
        <w:sectPr>
          <w:pgSz w:w="11900" w:h="16838" w:orient="portrait"/>
          <w:cols w:equalWidth="0" w:num="2">
            <w:col w:w="5440" w:space="340"/>
            <w:col w:w="3239"/>
          </w:cols>
          <w:pgMar w:left="1440" w:top="274" w:right="1440" w:bottom="1440" w:gutter="0" w:footer="0" w:header="0"/>
          <w:type w:val="continuous"/>
        </w:sectPr>
      </w:pPr>
    </w:p>
    <w:p>
      <w:pPr>
        <w:ind w:left="460"/>
        <w:spacing w:after="0"/>
        <w:tabs>
          <w:tab w:leader="none" w:pos="3020" w:val="left"/>
        </w:tabs>
        <w:rPr>
          <w:sz w:val="20"/>
          <w:szCs w:val="20"/>
          <w:color w:val="auto"/>
        </w:rPr>
      </w:pPr>
      <w:r>
        <w:rPr>
          <w:rFonts w:ascii="Arial" w:cs="Arial" w:eastAsia="Arial" w:hAnsi="Arial"/>
          <w:sz w:val="18"/>
          <w:szCs w:val="18"/>
          <w:b w:val="1"/>
          <w:bCs w:val="1"/>
          <w:color w:val="auto"/>
        </w:rPr>
        <w:t>Securities Act Disputes Forum</w:t>
      </w:r>
      <w:r>
        <w:rPr>
          <w:sz w:val="20"/>
          <w:szCs w:val="20"/>
          <w:color w:val="auto"/>
        </w:rPr>
        <w:tab/>
      </w:r>
      <w:r>
        <w:rPr>
          <w:rFonts w:ascii="Arial" w:cs="Arial" w:eastAsia="Arial" w:hAnsi="Arial"/>
          <w:sz w:val="16"/>
          <w:szCs w:val="16"/>
          <w:color w:val="auto"/>
        </w:rPr>
        <w:t>The Current Charter provides that</w:t>
      </w:r>
    </w:p>
    <w:p>
      <w:pPr>
        <w:spacing w:after="0" w:line="27"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the Court of Chancery of the State</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of Delaware and the federal district</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court for the District of Delaware</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have exclusive jurisdiction over</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causes of action arising under the</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Securities Act.</w:t>
      </w:r>
    </w:p>
    <w:p>
      <w:pPr>
        <w:spacing w:after="0" w:line="22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559"/>
        <w:spacing w:after="0" w:line="342" w:lineRule="auto"/>
        <w:rPr>
          <w:sz w:val="20"/>
          <w:szCs w:val="20"/>
          <w:color w:val="auto"/>
        </w:rPr>
      </w:pPr>
      <w:r>
        <w:rPr>
          <w:rFonts w:ascii="Arial" w:cs="Arial" w:eastAsia="Arial" w:hAnsi="Arial"/>
          <w:sz w:val="16"/>
          <w:szCs w:val="16"/>
          <w:color w:val="auto"/>
        </w:rPr>
        <w:t>The Proposed Charter is silent on the forum for Securities Act disputes.</w:t>
      </w:r>
    </w:p>
    <w:p>
      <w:pPr>
        <w:sectPr>
          <w:pgSz w:w="11900" w:h="16838" w:orient="portrait"/>
          <w:cols w:equalWidth="0" w:num="2">
            <w:col w:w="5580" w:space="200"/>
            <w:col w:w="3239"/>
          </w:cols>
          <w:pgMar w:left="1440" w:top="274" w:right="1440" w:bottom="1440" w:gutter="0" w:footer="0" w:header="0"/>
          <w:type w:val="continuous"/>
        </w:sectPr>
      </w:pPr>
    </w:p>
    <w:bookmarkStart w:id="159" w:name="page160"/>
    <w:bookmarkEnd w:id="15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right"/>
        <w:ind w:right="1219"/>
        <w:spacing w:after="0"/>
        <w:tabs>
          <w:tab w:leader="none" w:pos="1240" w:val="left"/>
        </w:tabs>
        <w:rPr>
          <w:sz w:val="20"/>
          <w:szCs w:val="20"/>
          <w:color w:val="auto"/>
        </w:rPr>
      </w:pPr>
      <w:r>
        <w:rPr>
          <w:rFonts w:ascii="Arial" w:cs="Arial" w:eastAsia="Arial" w:hAnsi="Arial"/>
          <w:sz w:val="16"/>
          <w:szCs w:val="16"/>
          <w:b w:val="1"/>
          <w:bCs w:val="1"/>
          <w:color w:val="auto"/>
        </w:rPr>
        <w:t>Current Charter</w:t>
      </w:r>
      <w:r>
        <w:rPr>
          <w:sz w:val="20"/>
          <w:szCs w:val="20"/>
          <w:color w:val="auto"/>
        </w:rPr>
        <w:tab/>
      </w:r>
      <w:r>
        <w:rPr>
          <w:rFonts w:ascii="Arial" w:cs="Arial" w:eastAsia="Arial" w:hAnsi="Arial"/>
          <w:sz w:val="14"/>
          <w:szCs w:val="14"/>
          <w:b w:val="1"/>
          <w:bCs w:val="1"/>
          <w:color w:val="auto"/>
        </w:rPr>
        <w:t>Proposed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46355</wp:posOffset>
            </wp:positionV>
            <wp:extent cx="3505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Charter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Corporate Name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Current Charter is silent on the issue of minimum voting requirements for amending the Current Charter.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499"/>
        <w:spacing w:after="0" w:line="284" w:lineRule="auto"/>
        <w:rPr>
          <w:sz w:val="20"/>
          <w:szCs w:val="20"/>
          <w:color w:val="auto"/>
        </w:rPr>
      </w:pPr>
      <w:r>
        <w:rPr>
          <w:rFonts w:ascii="Arial" w:cs="Arial" w:eastAsia="Arial" w:hAnsi="Arial"/>
          <w:sz w:val="16"/>
          <w:szCs w:val="16"/>
          <w:color w:val="auto"/>
        </w:rPr>
        <w:t xml:space="preserve">The Proposed Charter will require the affirmative vote of the majority of the outstanding shares of capital stock entitled to vote on such amendment, provided that provisions in the Proposed Charter in Article V (covering stockholder actions), Article VI, Section 3 (covering classified board of directors), Article VI, Section 5 (removal of directors), Article VII, Section 3 (limitation on director liability) and Article IX, Section 2 (amendment of by-laws) will require approval of the holders of at least 66 </w:t>
      </w:r>
      <w:r>
        <w:rPr>
          <w:rFonts w:ascii="Arial" w:cs="Arial" w:eastAsia="Arial" w:hAnsi="Arial"/>
          <w:sz w:val="18"/>
          <w:szCs w:val="18"/>
          <w:color w:val="auto"/>
          <w:vertAlign w:val="superscript"/>
        </w:rPr>
        <w:t>2</w:t>
      </w:r>
      <w:r>
        <w:rPr>
          <w:rFonts w:ascii="Arial" w:cs="Arial" w:eastAsia="Arial" w:hAnsi="Arial"/>
          <w:sz w:val="16"/>
          <w:szCs w:val="16"/>
          <w:color w:val="auto"/>
        </w:rPr>
        <w:t>/</w:t>
      </w:r>
      <w:r>
        <w:rPr>
          <w:rFonts w:ascii="Arial" w:cs="Arial" w:eastAsia="Arial" w:hAnsi="Arial"/>
          <w:sz w:val="18"/>
          <w:szCs w:val="18"/>
          <w:color w:val="auto"/>
          <w:vertAlign w:val="subscript"/>
        </w:rPr>
        <w:t>3</w:t>
      </w:r>
      <w:r>
        <w:rPr>
          <w:rFonts w:ascii="Arial" w:cs="Arial" w:eastAsia="Arial" w:hAnsi="Arial"/>
          <w:sz w:val="16"/>
          <w:szCs w:val="16"/>
          <w:color w:val="auto"/>
        </w:rPr>
        <w:t>% of New Tango’s then-outstanding shares of capital stock entitled to vote generally at an election of directors.</w:t>
      </w:r>
    </w:p>
    <w:p>
      <w:pPr>
        <w:spacing w:after="0" w:line="794" w:lineRule="exact"/>
        <w:rPr>
          <w:sz w:val="20"/>
          <w:szCs w:val="20"/>
          <w:color w:val="auto"/>
        </w:rPr>
      </w:pPr>
    </w:p>
    <w:p>
      <w:pPr>
        <w:sectPr>
          <w:pgSz w:w="11900" w:h="16838" w:orient="portrait"/>
          <w:cols w:equalWidth="0" w:num="3">
            <w:col w:w="2320" w:space="720"/>
            <w:col w:w="2540" w:space="200"/>
            <w:col w:w="3239"/>
          </w:cols>
          <w:pgMar w:left="1440" w:top="274" w:right="1440" w:bottom="1440" w:gutter="0" w:footer="0" w:header="0"/>
          <w:type w:val="continuous"/>
        </w:sectPr>
      </w:pPr>
    </w:p>
    <w:p>
      <w:pPr>
        <w:ind w:left="460" w:right="679" w:firstLine="432"/>
        <w:spacing w:after="0" w:line="277" w:lineRule="auto"/>
        <w:rPr>
          <w:sz w:val="20"/>
          <w:szCs w:val="20"/>
          <w:color w:val="auto"/>
        </w:rPr>
      </w:pPr>
      <w:r>
        <w:rPr>
          <w:rFonts w:ascii="Arial" w:cs="Arial" w:eastAsia="Arial" w:hAnsi="Arial"/>
          <w:sz w:val="18"/>
          <w:szCs w:val="18"/>
          <w:color w:val="auto"/>
        </w:rPr>
        <w:t>The name of New Tango is desirable to reflect the Business Combination with Tango and the combined business going forward.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 is Authorized Common Stock and Preferred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Common Stock</w:t>
      </w:r>
    </w:p>
    <w:p>
      <w:pPr>
        <w:spacing w:after="0" w:line="144"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The principal purpose of this proposal is to authorize additional shares of our Common Stock, which will be used to issue shares pursuant to the Merger Agreement, in connection with the PIPE Investment, under the Equity Incentive Plan, and for general corporate purposes. The Board believes that it is important for us to have available for issuance a number of authorized shares of Common Stock and preferred stock sufficient to support our growth and to provide flexibility for future corporate needs (including, if needed, as part of financing for future growth acquisitions).</w:t>
      </w:r>
    </w:p>
    <w:p>
      <w:pPr>
        <w:spacing w:after="0" w:line="125"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Notwithstanding the foregoing, authorized but unissued shares of common stock may enable New Tango’s board of directors to render it more difficult or to discourage an attempt to obtain control of New Tango’s and there by protect continuity of or entrench its management, which may adversely affect the market price of New Tango’s shares of Common Stock. If, in the due exercise of its fiduciary obligations, for example, New Tango’s board of directors were to determine that a takeover proposal was not in the best interests of New Tango, such shares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incumbent board of directors, by effecting an acquisition that might complicate or preclude the takeover, or otherwise. The authorization of additional shares will, however, enable New Tango to have the flexibility to authorize the issuance of shares in the future for financing its business, for acquiring other businesses, for forming strategic partnerships and alliances and for stock dividends and stock splits. New Tango currently has no such plans, proposals, or arrangements, written or otherwise, to issue any of the additional authorized shares for such purposes.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 Removal</w:t>
      </w:r>
    </w:p>
    <w:p>
      <w:pPr>
        <w:spacing w:after="0" w:line="158"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It is desirable to increase the voting threshold required to remove a director from the New Tango Board in order to help facilitate corporate governance stability by requiring broad stockholder consensus to effect corporate governance changes, protect minority stockholder interests and enable the New Tango Board to preserve and maximize value for all stockholders in the context of an opportunistic and unsolicited takeover attempt.</w:t>
      </w:r>
    </w:p>
    <w:p>
      <w:pPr>
        <w:sectPr>
          <w:pgSz w:w="11900" w:h="16838" w:orient="portrait"/>
          <w:cols w:equalWidth="0" w:num="1">
            <w:col w:w="9019"/>
          </w:cols>
          <w:pgMar w:left="1440" w:top="274" w:right="1440" w:bottom="1440" w:gutter="0" w:footer="0" w:header="0"/>
          <w:type w:val="continuous"/>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0" w:name="page161"/>
    <w:bookmarkEnd w:id="16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Provisions Specific to a Blank Check Company</w:t>
      </w:r>
    </w:p>
    <w:p>
      <w:pPr>
        <w:spacing w:after="0" w:line="144"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The elimination of certain provisions related to our status as a blank check company is desirable because these provisions will serve no purpose following the Business Combination. For example, the Proposed Charter does not include the requirement to dissolve New Tango if it does not complete a business combination and allows it to continue as a corporate entity with perpetual existence following Closing. Perpetual existence is the usual period of existence for corporations, and the Board believes it is the most appropriate period for New Tango following the Closing. In addition, certain other provisions in the Current Charter require that proceeds from BCTG’s initial public offering be held in a trust account until a Business Combination or liquidation of BCTG. has occurred. These provisions cease to apply once the Business Combination has closed and are therefore not included in the Proposed Charter.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Section 203</w:t>
      </w:r>
    </w:p>
    <w:p>
      <w:pPr>
        <w:spacing w:after="0" w:line="158"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Opting out of Section 203 of the DGCL allows New Tango to establish its own rules governing business combinations with interested parties.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Exclusive Forum Provision</w:t>
      </w:r>
    </w:p>
    <w:p>
      <w:pPr>
        <w:spacing w:after="0" w:line="158" w:lineRule="exact"/>
        <w:rPr>
          <w:sz w:val="20"/>
          <w:szCs w:val="20"/>
          <w:color w:val="auto"/>
        </w:rPr>
      </w:pPr>
    </w:p>
    <w:p>
      <w:pPr>
        <w:jc w:val="both"/>
        <w:ind w:left="460" w:right="499" w:firstLine="432"/>
        <w:spacing w:after="0" w:line="263" w:lineRule="auto"/>
        <w:rPr>
          <w:sz w:val="20"/>
          <w:szCs w:val="20"/>
          <w:color w:val="auto"/>
        </w:rPr>
      </w:pPr>
      <w:r>
        <w:rPr>
          <w:rFonts w:ascii="Arial" w:cs="Arial" w:eastAsia="Arial" w:hAnsi="Arial"/>
          <w:sz w:val="18"/>
          <w:szCs w:val="18"/>
          <w:color w:val="auto"/>
        </w:rPr>
        <w:t>It is desirable to remove the provision that sets the Court of Chancery of the State of Delaware as the sole and exclusive forum for certain stockholder actions because the Board believes that it is better for this provision to be included in New Tango’s bylaws.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Charter Amendment</w:t>
      </w:r>
    </w:p>
    <w:p>
      <w:pPr>
        <w:spacing w:after="0" w:line="144"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Requiring the affirmative vote of the majority of the then outstanding shares of capital stock entitled to vote on such amendment or repeal, and the affirmative vote of the majority of the outstanding shares of each class entitled to vote thereon as a class, with the requirement for other specific provisions requiring the approval of 2/3rds of the outstanding shares of capital stock entitled to vote thereon, to make any amendment to the Proposed Charter is intended to protect key provisions of the Proposed Charter from arbitrary amendment.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 for Approval</w:t>
      </w:r>
    </w:p>
    <w:p>
      <w:pPr>
        <w:spacing w:after="0" w:line="162"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This Charter Amendment Proposal will be approved and adopted in its entirety only if the holders of at least a majority of the outstanding shares of BCTG Common Stock vote “FOR” Charter Amendment Proposal. Failure to vote by proxy or to vote in person at the Special Meeting or an abstention from voting will have the same effect as a vote “AGAINST” the Charter Amendment Proposal.</w:t>
      </w:r>
    </w:p>
    <w:p>
      <w:pPr>
        <w:spacing w:after="0" w:line="104" w:lineRule="exact"/>
        <w:rPr>
          <w:sz w:val="20"/>
          <w:szCs w:val="20"/>
          <w:color w:val="auto"/>
        </w:rPr>
      </w:pPr>
    </w:p>
    <w:p>
      <w:pPr>
        <w:ind w:left="460" w:right="1439" w:firstLine="432"/>
        <w:spacing w:after="0" w:line="277" w:lineRule="auto"/>
        <w:rPr>
          <w:sz w:val="20"/>
          <w:szCs w:val="20"/>
          <w:color w:val="auto"/>
        </w:rPr>
      </w:pPr>
      <w:r>
        <w:rPr>
          <w:rFonts w:ascii="Arial" w:cs="Arial" w:eastAsia="Arial" w:hAnsi="Arial"/>
          <w:sz w:val="18"/>
          <w:szCs w:val="18"/>
          <w:color w:val="auto"/>
        </w:rPr>
        <w:t>Approval of the Charter Amendment Proposal is conditioned on the approval of the Business Combination Proposal at the Special Meeting.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Recommendation of the Board</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BOARD UNANIMOUSLY RECOMMENDS THAT ITS STOCKHOLDERS VOTE “FOR”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CHARTER AMENDMENT PROPOSAL.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1" w:name="page162"/>
    <w:bookmarkEnd w:id="16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4 — THE ADVISORY CHARTER PROPOSALS</w:t>
      </w:r>
    </w:p>
    <w:p>
      <w:pPr>
        <w:spacing w:after="0" w:line="148" w:lineRule="exact"/>
        <w:rPr>
          <w:sz w:val="20"/>
          <w:szCs w:val="20"/>
          <w:color w:val="auto"/>
        </w:rPr>
      </w:pPr>
    </w:p>
    <w:p>
      <w:pPr>
        <w:ind w:left="460" w:right="559" w:firstLine="432"/>
        <w:spacing w:after="0" w:line="288" w:lineRule="auto"/>
        <w:rPr>
          <w:sz w:val="20"/>
          <w:szCs w:val="20"/>
          <w:color w:val="auto"/>
        </w:rPr>
      </w:pPr>
      <w:r>
        <w:rPr>
          <w:rFonts w:ascii="Arial" w:cs="Arial" w:eastAsia="Arial" w:hAnsi="Arial"/>
          <w:sz w:val="16"/>
          <w:szCs w:val="16"/>
          <w:color w:val="auto"/>
        </w:rPr>
        <w:t>In connection with the Business Combination, BCTG is asking its stockholders to vote upon, on a non-binding advisory basis, proposals to approve certain governance provisions contained in the Proposed Charter. This separate vote is not otherwise required by Delaware law separate and apart from the Charter Amendment Proposal but, pursuant to SEC guidance, BCTG is required to submit these provisions to its stockholders separately for approval, allowing stockholders the opportunity to present their separate views on important governance provisions. However, the stockholder votes regarding these proposals are advisory votes, and are not binding on BCTG or the Board (separate and apart from the approval of the Charter Amendment Proposal). In the judgment of the Board, these provisions are necessary to adequately address the needs of the Combined Entity. Furthermore, the Business Combination is not conditioned on the separate approval of the Advisory Charter Proposals (separate and apart from approval of the Charter Amendment Proposal).</w:t>
      </w:r>
    </w:p>
    <w:p>
      <w:pPr>
        <w:spacing w:after="0" w:line="101" w:lineRule="exact"/>
        <w:rPr>
          <w:sz w:val="20"/>
          <w:szCs w:val="20"/>
          <w:color w:val="auto"/>
        </w:rPr>
      </w:pPr>
    </w:p>
    <w:p>
      <w:pPr>
        <w:jc w:val="both"/>
        <w:ind w:left="460" w:right="799" w:firstLine="432"/>
        <w:spacing w:after="0" w:line="311" w:lineRule="auto"/>
        <w:rPr>
          <w:sz w:val="20"/>
          <w:szCs w:val="20"/>
          <w:color w:val="auto"/>
        </w:rPr>
      </w:pPr>
      <w:r>
        <w:rPr>
          <w:rFonts w:ascii="Arial" w:cs="Arial" w:eastAsia="Arial" w:hAnsi="Arial"/>
          <w:sz w:val="16"/>
          <w:szCs w:val="16"/>
          <w:color w:val="auto"/>
        </w:rPr>
        <w:t>BCTG stockholders will be asked to approve, on a non-binding advisory basis, the following material differences between the Proposed Charter and the Current Charter, which are being presented in accordance with the requirements of the SEC as seven separate sub-proposals (the “</w:t>
      </w:r>
      <w:r>
        <w:rPr>
          <w:rFonts w:ascii="Arial" w:cs="Arial" w:eastAsia="Arial" w:hAnsi="Arial"/>
          <w:sz w:val="16"/>
          <w:szCs w:val="16"/>
          <w:b w:val="1"/>
          <w:bCs w:val="1"/>
          <w:color w:val="auto"/>
        </w:rPr>
        <w:t>Advisory Charter Proposals</w:t>
      </w:r>
      <w:r>
        <w:rPr>
          <w:rFonts w:ascii="Arial" w:cs="Arial" w:eastAsia="Arial" w:hAnsi="Arial"/>
          <w:sz w:val="16"/>
          <w:szCs w:val="16"/>
          <w:color w:val="auto"/>
        </w:rPr>
        <w:t>”):</w:t>
      </w:r>
    </w:p>
    <w:p>
      <w:pPr>
        <w:spacing w:after="0" w:line="81" w:lineRule="exact"/>
        <w:rPr>
          <w:sz w:val="20"/>
          <w:szCs w:val="20"/>
          <w:color w:val="auto"/>
        </w:rPr>
      </w:pPr>
    </w:p>
    <w:p>
      <w:pPr>
        <w:ind w:left="1320" w:right="839" w:hanging="434"/>
        <w:spacing w:after="0" w:line="277" w:lineRule="auto"/>
        <w:tabs>
          <w:tab w:leader="none" w:pos="126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Advisory Charter Proposal A — to amend the name of the public entity to “Tango Therapeutics, Inc.” from “BCTG Acquisition Corp.”;</w:t>
      </w:r>
    </w:p>
    <w:p>
      <w:pPr>
        <w:spacing w:after="0" w:line="89" w:lineRule="exact"/>
        <w:rPr>
          <w:rFonts w:ascii="Arial" w:cs="Arial" w:eastAsia="Arial" w:hAnsi="Arial"/>
          <w:sz w:val="18"/>
          <w:szCs w:val="18"/>
          <w:color w:val="auto"/>
        </w:rPr>
      </w:pPr>
    </w:p>
    <w:p>
      <w:pPr>
        <w:jc w:val="both"/>
        <w:ind w:left="1320" w:right="599" w:hanging="434"/>
        <w:spacing w:after="0" w:line="286" w:lineRule="auto"/>
        <w:tabs>
          <w:tab w:leader="none" w:pos="1268"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Advisory Charter Proposal B — to authorize the issuance of up to [•] shares of common stock, and [___] shares of blank check preferred stock, the rights, preferences and privileges of which may be designated from time to time by New Tango’s board of directors;</w:t>
      </w:r>
    </w:p>
    <w:p>
      <w:pPr>
        <w:spacing w:after="0" w:line="97" w:lineRule="exact"/>
        <w:rPr>
          <w:rFonts w:ascii="Arial" w:cs="Arial" w:eastAsia="Arial" w:hAnsi="Arial"/>
          <w:sz w:val="17"/>
          <w:szCs w:val="17"/>
          <w:color w:val="auto"/>
        </w:rPr>
      </w:pPr>
    </w:p>
    <w:p>
      <w:pPr>
        <w:ind w:left="1320" w:right="519" w:hanging="434"/>
        <w:spacing w:after="0" w:line="258" w:lineRule="auto"/>
        <w:tabs>
          <w:tab w:leader="none" w:pos="126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Advisory Charter Proposal C — to provide that the removal of any director be only for cause and by the affirmative vote of at least 66 </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 of New Tango’s then-outstanding shares of capital stock entitled to vote generally in the election of directors;</w:t>
      </w:r>
    </w:p>
    <w:p>
      <w:pPr>
        <w:spacing w:after="0" w:line="117" w:lineRule="exact"/>
        <w:rPr>
          <w:rFonts w:ascii="Arial" w:cs="Arial" w:eastAsia="Arial" w:hAnsi="Arial"/>
          <w:sz w:val="18"/>
          <w:szCs w:val="18"/>
          <w:color w:val="auto"/>
        </w:rPr>
      </w:pPr>
    </w:p>
    <w:p>
      <w:pPr>
        <w:jc w:val="both"/>
        <w:ind w:left="1320" w:right="579" w:hanging="434"/>
        <w:spacing w:after="0" w:line="257" w:lineRule="auto"/>
        <w:tabs>
          <w:tab w:leader="none" w:pos="126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Advisory Charter Proposal D — to make New Tango’s corporate existence perpetual as opposed to BCTG’s corporate existence, which is required to be dissolved and liquidated 24 months following the closing of its initial public offering if it does not complete a business combination in that time, and to remove from the Proposed Charter the various provisions applicable only to special purpose acquisition corporations;</w:t>
      </w:r>
    </w:p>
    <w:p>
      <w:pPr>
        <w:spacing w:after="0" w:line="106" w:lineRule="exact"/>
        <w:rPr>
          <w:rFonts w:ascii="Arial" w:cs="Arial" w:eastAsia="Arial" w:hAnsi="Arial"/>
          <w:sz w:val="18"/>
          <w:szCs w:val="18"/>
          <w:color w:val="auto"/>
        </w:rPr>
      </w:pPr>
    </w:p>
    <w:p>
      <w:pPr>
        <w:ind w:left="1320" w:right="559" w:hanging="434"/>
        <w:spacing w:after="0" w:line="277" w:lineRule="auto"/>
        <w:tabs>
          <w:tab w:leader="none" w:pos="126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Advisory Charter Proposal E — to provide that New Tango will not be subject to Section 203 of the DGCL;</w:t>
      </w:r>
    </w:p>
    <w:p>
      <w:pPr>
        <w:spacing w:after="0" w:line="102" w:lineRule="exact"/>
        <w:rPr>
          <w:rFonts w:ascii="Arial" w:cs="Arial" w:eastAsia="Arial" w:hAnsi="Arial"/>
          <w:sz w:val="18"/>
          <w:szCs w:val="18"/>
          <w:color w:val="auto"/>
        </w:rPr>
      </w:pPr>
    </w:p>
    <w:p>
      <w:pPr>
        <w:ind w:left="1320" w:right="579" w:hanging="434"/>
        <w:spacing w:after="0" w:line="308" w:lineRule="auto"/>
        <w:tabs>
          <w:tab w:leader="none" w:pos="1268"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Advisory Charter Proposal F — to remove the provisions setting the Court of Chancery of the State of Delaware as the sole and exclusive forum for certain stockholder actions; and</w:t>
      </w:r>
    </w:p>
    <w:p>
      <w:pPr>
        <w:spacing w:after="0" w:line="78" w:lineRule="exact"/>
        <w:rPr>
          <w:rFonts w:ascii="Arial" w:cs="Arial" w:eastAsia="Arial" w:hAnsi="Arial"/>
          <w:sz w:val="17"/>
          <w:szCs w:val="17"/>
          <w:color w:val="auto"/>
        </w:rPr>
      </w:pPr>
    </w:p>
    <w:p>
      <w:pPr>
        <w:ind w:left="1320" w:right="579" w:hanging="434"/>
        <w:spacing w:after="0" w:line="299" w:lineRule="auto"/>
        <w:tabs>
          <w:tab w:leader="none" w:pos="126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Advisory Charter Proposal G — to increase the required vote thresholds for approving amendments to the Proposed Charter and bylaws to 66 </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Reasons for the Advisory Charter Proposals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Corporate Name</w:t>
      </w:r>
    </w:p>
    <w:p>
      <w:pPr>
        <w:spacing w:after="0" w:line="144"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The name of New Tango is desirable to reflect the Business Combination with Tango and the combined business going forward.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 in Authorized Common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Common Stock</w:t>
      </w:r>
    </w:p>
    <w:p>
      <w:pPr>
        <w:spacing w:after="0" w:line="158"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principal purpose of this proposal is to authorize additional shares of our Common Stock, which will be used to issue shares pursuant to the Merger Agreement, in connection with the PIPE Investment, under the Equity Incentive Plan, and for general corporate purposes. The Board believes that it is important for us to have available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2" w:name="page163"/>
    <w:bookmarkEnd w:id="16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spacing w:after="0" w:line="263" w:lineRule="auto"/>
        <w:rPr>
          <w:sz w:val="20"/>
          <w:szCs w:val="20"/>
          <w:color w:val="auto"/>
        </w:rPr>
      </w:pPr>
      <w:r>
        <w:rPr>
          <w:rFonts w:ascii="Arial" w:cs="Arial" w:eastAsia="Arial" w:hAnsi="Arial"/>
          <w:sz w:val="18"/>
          <w:szCs w:val="18"/>
          <w:color w:val="auto"/>
        </w:rPr>
        <w:t>for issuance a number of authorized shares of Common Stock and preferred stock sufficient to support our growth and to provide flexibility for future corporate needs (including, if needed, as part of financing for future growth acquisitions).</w:t>
      </w:r>
    </w:p>
    <w:p>
      <w:pPr>
        <w:spacing w:after="0" w:line="116"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Notwithstanding the foregoing, authorized but unissued shares of common stock may enable New Tango’s board of directors to render it more difficult or to discourage an attempt to obtain control of New Tango and thereby protect continuity of or entrench its management, which may adversely affect the market price of New Tango’s shares of Common Stock. If, in the due exercise of its fiduciary obligations, for example, New Tango’s board of directors were to determine that a takeover proposal was not in the best interests of New Tango, such shares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incumbent board of directors, by effecting an acquisition that might complicate or preclude the takeover, or otherwise. The authorization of additional shares will, however, enable New Tango to have the flexibility to authorize the issuance of shares in the future for financing its business, for acquiring other businesses, for forming strategic partnerships and alliances and for stock dividends and stock splits. New Tango currently has no such plans, proposals, or arrangements, written or otherwise, to issue any of the additional authorized shares for such purposes.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Preferred Stock</w:t>
      </w:r>
    </w:p>
    <w:p>
      <w:pPr>
        <w:spacing w:after="0" w:line="158" w:lineRule="exact"/>
        <w:rPr>
          <w:sz w:val="20"/>
          <w:szCs w:val="20"/>
          <w:color w:val="auto"/>
        </w:rPr>
      </w:pPr>
    </w:p>
    <w:p>
      <w:pPr>
        <w:jc w:val="both"/>
        <w:ind w:left="460" w:right="679" w:firstLine="432"/>
        <w:spacing w:after="0" w:line="311" w:lineRule="auto"/>
        <w:rPr>
          <w:sz w:val="20"/>
          <w:szCs w:val="20"/>
          <w:color w:val="auto"/>
        </w:rPr>
      </w:pPr>
      <w:r>
        <w:rPr>
          <w:rFonts w:ascii="Arial" w:cs="Arial" w:eastAsia="Arial" w:hAnsi="Arial"/>
          <w:sz w:val="16"/>
          <w:szCs w:val="16"/>
          <w:color w:val="auto"/>
        </w:rPr>
        <w:t>The Board believes that these additional shares will provide New Tango with needed flexibility to issue shares in the future in a timely manner and under circumstances we consider favorable without incurring the risk, delay and potential expense incident to obtaining stockholder approval for a particular issuance.</w:t>
      </w:r>
    </w:p>
    <w:p>
      <w:pPr>
        <w:spacing w:after="0" w:line="68"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Authorized but unissued preferred stock may enable the board of directors to render it more difficult or to discourage an attempt to obtain control of New Tango and thereby protect continuity of or entrench its management, which may adversely affect the market price of New Tango. If, in the due exercise of its fiduciary obligations, for example, the board of directors was to determine that a takeover proposal was not in the best interests of New Tango, such preferred stock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board of directors, by effecting an acquisition that might complicate or preclude the takeover, or otherwise. Allowing New Tango’s board of directors to issue the authorized preferred stock on its own volition will enable New Tango to have the flexibility to issue such preferred stock in the future for financing its business, for acquiring other businesses, for forming strategic partnerships and alliances and for stock dividends and stock splits. New Tango currently has no such plans, proposals, or arrangements, written or otherwise, to issue any of the additional authorized stock for such purposes.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 Removal</w:t>
      </w:r>
    </w:p>
    <w:p>
      <w:pPr>
        <w:spacing w:after="0" w:line="158"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It is desirable to increase the voting threshold required to remove a director from the New Tango Board in order to help facilitate corporate governance stability by requiring broad stockholder consensus to effect corporate governance changes, protect minority stockholder interests and enable the New Tango Board to preserve and maximize value for all stockholders in the context of an opportunistic and unsolicited takeover attempt.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Provisions Specific to a Blank Check Company</w:t>
      </w:r>
    </w:p>
    <w:p>
      <w:pPr>
        <w:spacing w:after="0" w:line="158"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The elimination of certain provisions related to our status as a blank check company is desirable because these provisions will serve no purpose following the Business Combination. For example, the Proposed Charter does not include the requirement to dissolve New Tango if it does not complete a business combination and allows it to continue as a corporate entity with perpetual existence following Closing. Perpetual existence is the usual period of existence for corporations, and the Board believes it is the most appropriate period for New Tango following the Closing. In addition, certain other provisions in the Current Charter require that proceeds from BCTG’s initial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3" w:name="page164"/>
    <w:bookmarkEnd w:id="16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63" w:lineRule="auto"/>
        <w:rPr>
          <w:sz w:val="20"/>
          <w:szCs w:val="20"/>
          <w:color w:val="auto"/>
        </w:rPr>
      </w:pPr>
      <w:r>
        <w:rPr>
          <w:rFonts w:ascii="Arial" w:cs="Arial" w:eastAsia="Arial" w:hAnsi="Arial"/>
          <w:sz w:val="18"/>
          <w:szCs w:val="18"/>
          <w:color w:val="auto"/>
        </w:rPr>
        <w:t>public offering be held in a trust account until a Business Combination or liquidation of BCTG has occurred. These provisions cease to apply once the Business Combination has closed and are therefore not included in the Proposed Charter.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Section 203</w:t>
      </w:r>
    </w:p>
    <w:p>
      <w:pPr>
        <w:spacing w:after="0" w:line="158"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Opting out of Section 203 of the DGCL allows New Tango to establish its own rules governing business combinations with interested parties.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Exclusive Forum Provision</w:t>
      </w:r>
    </w:p>
    <w:p>
      <w:pPr>
        <w:spacing w:after="0" w:line="158" w:lineRule="exact"/>
        <w:rPr>
          <w:sz w:val="20"/>
          <w:szCs w:val="20"/>
          <w:color w:val="auto"/>
        </w:rPr>
      </w:pPr>
    </w:p>
    <w:p>
      <w:pPr>
        <w:jc w:val="both"/>
        <w:ind w:left="460" w:right="499" w:firstLine="432"/>
        <w:spacing w:after="0" w:line="263" w:lineRule="auto"/>
        <w:rPr>
          <w:sz w:val="20"/>
          <w:szCs w:val="20"/>
          <w:color w:val="auto"/>
        </w:rPr>
      </w:pPr>
      <w:r>
        <w:rPr>
          <w:rFonts w:ascii="Arial" w:cs="Arial" w:eastAsia="Arial" w:hAnsi="Arial"/>
          <w:sz w:val="18"/>
          <w:szCs w:val="18"/>
          <w:color w:val="auto"/>
        </w:rPr>
        <w:t>It is desirable to remove the provision that sets the Court of Chancery of the State of Delaware as the sole and exclusive forum for certain stockholder actions because the Board believes that it is better for this provision to be included in New Tango’s bylaws.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Charter Amendment</w:t>
      </w:r>
    </w:p>
    <w:p>
      <w:pPr>
        <w:spacing w:after="0" w:line="144"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Requiring the affirmative vote of the majority of the then outstanding shares of capital stock entitled to vote on such amendment or repeal, and the affirmative vote of the majority of the outstanding shares of each class entitled to vote thereon as a class, with the requirement for other specific provisions requiring the approval of 2/3rds of the outstanding shares of capital stock entitled to vote thereon, to make any amendment to the Proposed Charter is intended to protect key provisions of the Proposed Charter from arbitrary amendment.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 for Approval</w:t>
      </w:r>
    </w:p>
    <w:p>
      <w:pPr>
        <w:spacing w:after="0" w:line="158" w:lineRule="exact"/>
        <w:rPr>
          <w:sz w:val="20"/>
          <w:szCs w:val="20"/>
          <w:color w:val="auto"/>
        </w:rPr>
      </w:pPr>
    </w:p>
    <w:p>
      <w:pPr>
        <w:ind w:left="460" w:right="499" w:firstLine="432"/>
        <w:spacing w:after="0" w:line="258" w:lineRule="auto"/>
        <w:rPr>
          <w:sz w:val="20"/>
          <w:szCs w:val="20"/>
          <w:color w:val="auto"/>
        </w:rPr>
      </w:pPr>
      <w:r>
        <w:rPr>
          <w:rFonts w:ascii="Arial" w:cs="Arial" w:eastAsia="Arial" w:hAnsi="Arial"/>
          <w:sz w:val="18"/>
          <w:szCs w:val="18"/>
          <w:b w:val="1"/>
          <w:bCs w:val="1"/>
          <w:color w:val="auto"/>
        </w:rPr>
        <w:t>Approval of each of the Advisory Charter Proposals, each of which is a non-binding vote, requires the affirmative vote of a majority of the votes cast by BCTG stockholders present in person (which would include presence at a virtual meeting) or represented by proxy at the Special Meeting and entitled to vote thereon. Abstentions and broker non-votes have no effect on the outcome of the Advisory Charter Proposals.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Recommendation</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BOARD RECOMMENDS A VOTE “FOR” ADOPTION OF EACH OF ADVISORY CHARTER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PROPOSALS UNDER PROPOSAL 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4" w:name="page165"/>
    <w:bookmarkEnd w:id="16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5 — THE DIRECTORS PROPOSAL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Election of Directors</w:t>
      </w:r>
    </w:p>
    <w:p>
      <w:pPr>
        <w:spacing w:after="0" w:line="148" w:lineRule="exact"/>
        <w:rPr>
          <w:sz w:val="20"/>
          <w:szCs w:val="20"/>
          <w:color w:val="auto"/>
        </w:rPr>
      </w:pPr>
    </w:p>
    <w:p>
      <w:pPr>
        <w:jc w:val="both"/>
        <w:ind w:left="460" w:right="639" w:firstLine="432"/>
        <w:spacing w:after="0" w:line="311" w:lineRule="auto"/>
        <w:rPr>
          <w:sz w:val="20"/>
          <w:szCs w:val="20"/>
          <w:color w:val="auto"/>
        </w:rPr>
      </w:pPr>
      <w:r>
        <w:rPr>
          <w:rFonts w:ascii="Arial" w:cs="Arial" w:eastAsia="Arial" w:hAnsi="Arial"/>
          <w:sz w:val="16"/>
          <w:szCs w:val="16"/>
          <w:color w:val="auto"/>
        </w:rPr>
        <w:t>Pursuant to the Merger Agreement, BCTG has agreed to take all necessary action, including causing the directors of BCTG to resign, so that effective at the Closing, our entire board of directors will consist of seven individuals, a majority of whom will be independent directors in accordance with the requirements of Nasdaq.</w:t>
      </w:r>
    </w:p>
    <w:p>
      <w:pPr>
        <w:spacing w:after="0" w:line="81"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At the Special Meeting, it is proposed that seven directors will be elected to be the directors of New Tango upon consummation of the Business Combination. New Tango’s board of directors will be reclassified following the Closing. The term of office of the Class I directors will expire at the first annual meeting of stockholders following the initial reclassification of the board of directors and Class I directors will be elected for a full term of three years. At the second annual meeting of stockholders following such initial reclassification, the term of office of the Class II directors will expire and Class II directors will be elected for a full term of three years. At the third annual meeting of stockholders following such initial reclassification, the term of office of the Class III directors will expire and Class III directors will be elected for a full term of three years. At each succeeding annual meeting of stockholders, directors will be elected for a full term of three years to succeed the directors of the class whose terms expire at such annual meeting. Subject to any limitations imposed by applicable law and subject to the special rights of the holders of any series of preferred stock to elect directors, any vacancy occurring in New Tango for any reason, and any newly created directorship resulting from any increase in the authorized number of directors, will, unless (a) New Tango’s board of directors determines by resolution that any such vacancies or newly created directorships will be filled by the stockholders or (b) as otherwise provided by law, be filled only by the affirmative vote of a majority of the directors then in office, even if less than a quorum, or by a sole remaining director, and not by the stockholders.</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It is proposed that New Tango’s board of directors consist of the following directors:</w:t>
      </w:r>
    </w:p>
    <w:p>
      <w:pPr>
        <w:spacing w:after="0" w:line="144"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tcPr>
          <w:p>
            <w:pPr>
              <w:ind w:left="180"/>
              <w:spacing w:after="0"/>
              <w:rPr>
                <w:sz w:val="20"/>
                <w:szCs w:val="20"/>
                <w:color w:val="auto"/>
              </w:rPr>
            </w:pPr>
            <w:r>
              <w:rPr>
                <w:rFonts w:ascii="Arial" w:cs="Arial" w:eastAsia="Arial" w:hAnsi="Arial"/>
                <w:sz w:val="18"/>
                <w:szCs w:val="18"/>
                <w:color w:val="auto"/>
              </w:rPr>
              <w:t>Class I directors:</w:t>
            </w:r>
          </w:p>
        </w:tc>
        <w:tc>
          <w:tcPr>
            <w:tcW w:w="800" w:type="dxa"/>
            <w:vAlign w:val="bottom"/>
          </w:tcPr>
          <w:p>
            <w:pPr>
              <w:ind w:left="260"/>
              <w:spacing w:after="0"/>
              <w:rPr>
                <w:sz w:val="20"/>
                <w:szCs w:val="20"/>
                <w:color w:val="auto"/>
              </w:rPr>
            </w:pPr>
            <w:r>
              <w:rPr>
                <w:rFonts w:ascii="Arial" w:cs="Arial" w:eastAsia="Arial" w:hAnsi="Arial"/>
                <w:sz w:val="18"/>
                <w:szCs w:val="18"/>
                <w:color w:val="auto"/>
              </w:rPr>
              <w:t>and</w:t>
            </w: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r>
      <w:tr>
        <w:trPr>
          <w:trHeight w:val="36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tcPr>
          <w:p>
            <w:pPr>
              <w:ind w:left="180"/>
              <w:spacing w:after="0"/>
              <w:rPr>
                <w:sz w:val="20"/>
                <w:szCs w:val="20"/>
                <w:color w:val="auto"/>
              </w:rPr>
            </w:pPr>
            <w:r>
              <w:rPr>
                <w:rFonts w:ascii="Arial" w:cs="Arial" w:eastAsia="Arial" w:hAnsi="Arial"/>
                <w:sz w:val="18"/>
                <w:szCs w:val="18"/>
                <w:color w:val="auto"/>
              </w:rPr>
              <w:t>Class II directors:</w:t>
            </w:r>
          </w:p>
        </w:tc>
        <w:tc>
          <w:tcPr>
            <w:tcW w:w="800" w:type="dxa"/>
            <w:vAlign w:val="bottom"/>
          </w:tcPr>
          <w:p>
            <w:pPr>
              <w:ind w:left="320"/>
              <w:spacing w:after="0"/>
              <w:rPr>
                <w:sz w:val="20"/>
                <w:szCs w:val="20"/>
                <w:color w:val="auto"/>
              </w:rPr>
            </w:pPr>
            <w:r>
              <w:rPr>
                <w:rFonts w:ascii="Arial" w:cs="Arial" w:eastAsia="Arial" w:hAnsi="Arial"/>
                <w:sz w:val="18"/>
                <w:szCs w:val="18"/>
                <w:color w:val="auto"/>
              </w:rPr>
              <w:t>and</w:t>
            </w: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r>
      <w:tr>
        <w:trPr>
          <w:trHeight w:val="365"/>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tcPr>
          <w:p>
            <w:pPr>
              <w:ind w:left="180"/>
              <w:spacing w:after="0"/>
              <w:rPr>
                <w:sz w:val="20"/>
                <w:szCs w:val="20"/>
                <w:color w:val="auto"/>
              </w:rPr>
            </w:pPr>
            <w:r>
              <w:rPr>
                <w:rFonts w:ascii="Arial" w:cs="Arial" w:eastAsia="Arial" w:hAnsi="Arial"/>
                <w:sz w:val="18"/>
                <w:szCs w:val="18"/>
                <w:color w:val="auto"/>
              </w:rPr>
              <w:t>Class III directors:</w:t>
            </w:r>
          </w:p>
        </w:tc>
        <w:tc>
          <w:tcPr>
            <w:tcW w:w="800" w:type="dxa"/>
            <w:vAlign w:val="bottom"/>
          </w:tcPr>
          <w:p>
            <w:pPr>
              <w:ind w:left="340"/>
              <w:spacing w:after="0"/>
              <w:rPr>
                <w:sz w:val="20"/>
                <w:szCs w:val="20"/>
                <w:color w:val="auto"/>
              </w:rPr>
            </w:pPr>
            <w:r>
              <w:rPr>
                <w:rFonts w:ascii="Arial" w:cs="Arial" w:eastAsia="Arial" w:hAnsi="Arial"/>
                <w:sz w:val="18"/>
                <w:szCs w:val="18"/>
                <w:color w:val="auto"/>
              </w:rPr>
              <w:t>,</w:t>
            </w:r>
          </w:p>
        </w:tc>
        <w:tc>
          <w:tcPr>
            <w:tcW w:w="760" w:type="dxa"/>
            <w:vAlign w:val="bottom"/>
          </w:tcPr>
          <w:p>
            <w:pPr>
              <w:jc w:val="center"/>
              <w:ind w:right="10"/>
              <w:spacing w:after="0"/>
              <w:rPr>
                <w:sz w:val="20"/>
                <w:szCs w:val="20"/>
                <w:color w:val="auto"/>
              </w:rPr>
            </w:pPr>
            <w:r>
              <w:rPr>
                <w:rFonts w:ascii="Arial" w:cs="Arial" w:eastAsia="Arial" w:hAnsi="Arial"/>
                <w:sz w:val="18"/>
                <w:szCs w:val="18"/>
                <w:color w:val="auto"/>
                <w:w w:val="86"/>
              </w:rPr>
              <w:t>and</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left="460" w:right="1179" w:firstLine="432"/>
        <w:spacing w:after="0" w:line="277" w:lineRule="auto"/>
        <w:rPr>
          <w:sz w:val="20"/>
          <w:szCs w:val="20"/>
          <w:color w:val="auto"/>
        </w:rPr>
      </w:pPr>
      <w:r>
        <w:rPr>
          <w:rFonts w:ascii="Arial" w:cs="Arial" w:eastAsia="Arial" w:hAnsi="Arial"/>
          <w:sz w:val="18"/>
          <w:szCs w:val="18"/>
          <w:color w:val="auto"/>
        </w:rPr>
        <w:t>Information regarding each nominee is set forth in the section titled “</w:t>
      </w:r>
      <w:r>
        <w:rPr>
          <w:rFonts w:ascii="Arial" w:cs="Arial" w:eastAsia="Arial" w:hAnsi="Arial"/>
          <w:sz w:val="18"/>
          <w:szCs w:val="18"/>
          <w:i w:val="1"/>
          <w:iCs w:val="1"/>
          <w:color w:val="auto"/>
        </w:rPr>
        <w:t>Management of New Tango</w:t>
      </w:r>
      <w:r>
        <w:rPr>
          <w:rFonts w:ascii="Arial" w:cs="Arial" w:eastAsia="Arial" w:hAnsi="Arial"/>
          <w:sz w:val="18"/>
          <w:szCs w:val="18"/>
          <w:color w:val="auto"/>
        </w:rPr>
        <w:t xml:space="preserve"> </w:t>
      </w:r>
      <w:r>
        <w:rPr>
          <w:rFonts w:ascii="Arial" w:cs="Arial" w:eastAsia="Arial" w:hAnsi="Arial"/>
          <w:sz w:val="18"/>
          <w:szCs w:val="18"/>
          <w:i w:val="1"/>
          <w:iCs w:val="1"/>
          <w:color w:val="auto"/>
        </w:rPr>
        <w:t>Following the Business Combination</w:t>
      </w:r>
      <w:r>
        <w:rPr>
          <w:rFonts w:ascii="Arial" w:cs="Arial" w:eastAsia="Arial" w:hAnsi="Arial"/>
          <w:sz w:val="18"/>
          <w:szCs w:val="18"/>
          <w:color w:val="auto"/>
        </w:rPr>
        <w:t>.”</w:t>
      </w:r>
    </w:p>
    <w:p>
      <w:pPr>
        <w:spacing w:after="0" w:line="103" w:lineRule="exact"/>
        <w:rPr>
          <w:sz w:val="20"/>
          <w:szCs w:val="20"/>
          <w:color w:val="auto"/>
        </w:rPr>
      </w:pPr>
    </w:p>
    <w:p>
      <w:pPr>
        <w:ind w:left="460" w:right="459" w:firstLine="432"/>
        <w:spacing w:after="0" w:line="296" w:lineRule="auto"/>
        <w:rPr>
          <w:sz w:val="20"/>
          <w:szCs w:val="20"/>
          <w:color w:val="auto"/>
        </w:rPr>
      </w:pPr>
      <w:r>
        <w:rPr>
          <w:rFonts w:ascii="Arial" w:cs="Arial" w:eastAsia="Arial" w:hAnsi="Arial"/>
          <w:sz w:val="16"/>
          <w:szCs w:val="16"/>
          <w:color w:val="auto"/>
        </w:rPr>
        <w:t>Under Delaware law, the election of directors requires a plurality vote of the common stock present in person (which would include presence at a virtual meeting) or represented by proxy and entitled to vote at the Special Meeting. “</w:t>
      </w:r>
      <w:r>
        <w:rPr>
          <w:rFonts w:ascii="Arial" w:cs="Arial" w:eastAsia="Arial" w:hAnsi="Arial"/>
          <w:sz w:val="16"/>
          <w:szCs w:val="16"/>
          <w:b w:val="1"/>
          <w:bCs w:val="1"/>
          <w:color w:val="auto"/>
        </w:rPr>
        <w:t>Plurality</w:t>
      </w:r>
      <w:r>
        <w:rPr>
          <w:rFonts w:ascii="Arial" w:cs="Arial" w:eastAsia="Arial" w:hAnsi="Arial"/>
          <w:sz w:val="16"/>
          <w:szCs w:val="16"/>
          <w:color w:val="auto"/>
        </w:rPr>
        <w:t>” means that the individuals who receive the largest number of votes cast “FOR” are elected as directors. Consequently, any shares not voted “FOR” a particular nominee (whether as a result of an abstention, a direction to withhold authority or a broker non-vote) will not be counted in the nominee’s favor.</w:t>
      </w:r>
    </w:p>
    <w:p>
      <w:pPr>
        <w:spacing w:after="0" w:line="94"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Unless authority is withheld or the shares are subject to a broker non-vote, the proxies solicited by the Board will be voted “FOR” the election of these nominees. In case any of the nominees becomes unavailable for election to the Board, an event that is not anticipated, the persons named as proxies, or their substitutes, will have full discretion and authority to vote or refrain from voting for any other candidate in accordance with their judgment.</w:t>
      </w:r>
    </w:p>
    <w:p>
      <w:pPr>
        <w:spacing w:after="0" w:line="107" w:lineRule="exact"/>
        <w:rPr>
          <w:sz w:val="20"/>
          <w:szCs w:val="20"/>
          <w:color w:val="auto"/>
        </w:rPr>
      </w:pPr>
    </w:p>
    <w:p>
      <w:pPr>
        <w:ind w:left="460" w:right="1159" w:firstLine="432"/>
        <w:spacing w:after="0" w:line="277" w:lineRule="auto"/>
        <w:rPr>
          <w:sz w:val="20"/>
          <w:szCs w:val="20"/>
          <w:color w:val="auto"/>
        </w:rPr>
      </w:pPr>
      <w:r>
        <w:rPr>
          <w:rFonts w:ascii="Arial" w:cs="Arial" w:eastAsia="Arial" w:hAnsi="Arial"/>
          <w:sz w:val="18"/>
          <w:szCs w:val="18"/>
          <w:color w:val="auto"/>
        </w:rPr>
        <w:t>If the Business Combination Proposal is not approved, the Director Election Proposal will not be presented at the meeting.</w:t>
      </w:r>
    </w:p>
    <w:p>
      <w:pPr>
        <w:spacing w:after="0" w:line="103" w:lineRule="exact"/>
        <w:rPr>
          <w:sz w:val="20"/>
          <w:szCs w:val="20"/>
          <w:color w:val="auto"/>
        </w:rPr>
      </w:pPr>
    </w:p>
    <w:p>
      <w:pPr>
        <w:ind w:left="460" w:right="759" w:firstLine="432"/>
        <w:spacing w:after="0" w:line="342" w:lineRule="auto"/>
        <w:rPr>
          <w:sz w:val="20"/>
          <w:szCs w:val="20"/>
          <w:color w:val="auto"/>
        </w:rPr>
      </w:pPr>
      <w:r>
        <w:rPr>
          <w:rFonts w:ascii="Arial" w:cs="Arial" w:eastAsia="Arial" w:hAnsi="Arial"/>
          <w:sz w:val="16"/>
          <w:szCs w:val="16"/>
          <w:color w:val="auto"/>
        </w:rPr>
        <w:t>Following consummation of the Business Combination, the election of directors of New Tango will be governed by New Tango’s certificate of incorporation and bylaws and the laws of the State of Delaware.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Required Vote With Respect to the Director Election Proposal</w:t>
      </w:r>
    </w:p>
    <w:p>
      <w:pPr>
        <w:spacing w:after="0" w:line="162" w:lineRule="exact"/>
        <w:rPr>
          <w:sz w:val="20"/>
          <w:szCs w:val="20"/>
          <w:color w:val="auto"/>
        </w:rPr>
      </w:pPr>
    </w:p>
    <w:p>
      <w:pPr>
        <w:ind w:left="460" w:right="879" w:firstLine="432"/>
        <w:spacing w:after="0" w:line="342" w:lineRule="auto"/>
        <w:rPr>
          <w:sz w:val="20"/>
          <w:szCs w:val="20"/>
          <w:color w:val="auto"/>
        </w:rPr>
      </w:pPr>
      <w:r>
        <w:rPr>
          <w:rFonts w:ascii="Arial" w:cs="Arial" w:eastAsia="Arial" w:hAnsi="Arial"/>
          <w:sz w:val="16"/>
          <w:szCs w:val="16"/>
          <w:color w:val="auto"/>
        </w:rPr>
        <w:t>Election of each director will require the affirmative vote by a plurality of the shares of the Common Stock present by virtual attendance or represented by proxy and entitled to vote at the Special Meeting.</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5" w:name="page166"/>
    <w:bookmarkEnd w:id="16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firstLine="432"/>
        <w:spacing w:after="0" w:line="301" w:lineRule="auto"/>
        <w:rPr>
          <w:sz w:val="20"/>
          <w:szCs w:val="20"/>
          <w:color w:val="auto"/>
        </w:rPr>
      </w:pPr>
      <w:r>
        <w:rPr>
          <w:rFonts w:ascii="Arial" w:cs="Arial" w:eastAsia="Arial" w:hAnsi="Arial"/>
          <w:sz w:val="16"/>
          <w:szCs w:val="16"/>
          <w:color w:val="auto"/>
        </w:rPr>
        <w:t>If the Business Combination Proposal is not approved, the Directors Proposal will not be presented at the Stockholders Meeting. The Directors Proposal will only become effective if the Business Combination is completed. Election of each of the director nominees is a condition to Closing under the Merger Agreement. If each of the directors is not elected, Tango is not required to close the Business Combination.</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Recommendation of the Board with Respect to the Director Election Proposal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UNANIMOUSLY RECOMMENDS THAT THE BCTG STOCKHOLDERS VOTE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EACH OF THE NOMINEES IN THE DIRECTORS PROPOSAL.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6" w:name="page167"/>
    <w:bookmarkEnd w:id="16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6 — THE EQUITY INCENTIVE PLAN PROPOSAL</w:t>
      </w:r>
    </w:p>
    <w:p>
      <w:pPr>
        <w:spacing w:after="0" w:line="148" w:lineRule="exact"/>
        <w:rPr>
          <w:sz w:val="20"/>
          <w:szCs w:val="20"/>
          <w:color w:val="auto"/>
        </w:rPr>
      </w:pPr>
    </w:p>
    <w:p>
      <w:pPr>
        <w:ind w:left="460" w:right="459" w:firstLine="432"/>
        <w:spacing w:after="0" w:line="291" w:lineRule="auto"/>
        <w:rPr>
          <w:sz w:val="20"/>
          <w:szCs w:val="20"/>
          <w:color w:val="auto"/>
        </w:rPr>
      </w:pPr>
      <w:r>
        <w:rPr>
          <w:rFonts w:ascii="Arial" w:cs="Arial" w:eastAsia="Arial" w:hAnsi="Arial"/>
          <w:sz w:val="16"/>
          <w:szCs w:val="16"/>
          <w:color w:val="auto"/>
        </w:rPr>
        <w:t xml:space="preserve">The following is a summary description of the Equity Incentive Plan as proposed to be adopted by BCTG in connection with the Business Combination. This summary is not a complete statement of the Equity Incentive Plan and is qualified in its entirety by reference to the complete text of the Equity Incentive Plan, a copy of which is attached hereto as </w:t>
      </w:r>
      <w:r>
        <w:rPr>
          <w:rFonts w:ascii="Arial" w:cs="Arial" w:eastAsia="Arial" w:hAnsi="Arial"/>
          <w:sz w:val="16"/>
          <w:szCs w:val="16"/>
          <w:i w:val="1"/>
          <w:iCs w:val="1"/>
          <w:u w:val="single" w:color="auto"/>
          <w:color w:val="auto"/>
        </w:rPr>
        <w:t>Annex C</w:t>
      </w:r>
      <w:r>
        <w:rPr>
          <w:rFonts w:ascii="Arial" w:cs="Arial" w:eastAsia="Arial" w:hAnsi="Arial"/>
          <w:sz w:val="16"/>
          <w:szCs w:val="16"/>
          <w:color w:val="auto"/>
        </w:rPr>
        <w:t xml:space="preserve">. BCTG stockholders should refer to the Equity Incentive Plan for more complete and detailed information about the terms and conditions of the Equity Incentive Plan. </w:t>
      </w:r>
      <w:r>
        <w:rPr>
          <w:rFonts w:ascii="Arial" w:cs="Arial" w:eastAsia="Arial" w:hAnsi="Arial"/>
          <w:sz w:val="16"/>
          <w:szCs w:val="16"/>
          <w:i w:val="1"/>
          <w:iCs w:val="1"/>
          <w:color w:val="auto"/>
        </w:rPr>
        <w:t>Unless the</w:t>
      </w:r>
      <w:r>
        <w:rPr>
          <w:rFonts w:ascii="Arial" w:cs="Arial" w:eastAsia="Arial" w:hAnsi="Arial"/>
          <w:sz w:val="16"/>
          <w:szCs w:val="16"/>
          <w:color w:val="auto"/>
        </w:rPr>
        <w:t xml:space="preserve"> </w:t>
      </w:r>
      <w:r>
        <w:rPr>
          <w:rFonts w:ascii="Arial" w:cs="Arial" w:eastAsia="Arial" w:hAnsi="Arial"/>
          <w:sz w:val="16"/>
          <w:szCs w:val="16"/>
          <w:i w:val="1"/>
          <w:iCs w:val="1"/>
          <w:color w:val="auto"/>
        </w:rPr>
        <w:t>context otherwise requires, references in this summary description to “we”, “us” and “our” generally refer to BCTG Acquisition Corp. in the present tense or the Combined Entity from and after the Business Combination.</w:t>
      </w:r>
    </w:p>
    <w:p>
      <w:pPr>
        <w:spacing w:after="0" w:line="99"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The purpose of the Equity Incentive Plan is to provide a means whereby New Tango can align the long-term financial interests of its employees, consultants, and directors with the financial interests of its stockholders. In addition, the Board believes that the ability to grant options and other equity-based awards will help New Tango to attract, retain, and motivate employees, consultants, and directors and encourages them to devote their best efforts to New Tango’s business and financial success.</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Approval of the Equity Incentive Plan by BCTG stockholders is required, among other things, in order to:</w:t>
      </w:r>
    </w:p>
    <w:p>
      <w:pPr>
        <w:spacing w:after="0" w:line="46" w:lineRule="exact"/>
        <w:rPr>
          <w:sz w:val="20"/>
          <w:szCs w:val="20"/>
          <w:color w:val="auto"/>
        </w:rPr>
      </w:pPr>
    </w:p>
    <w:p>
      <w:pPr>
        <w:ind w:left="660" w:hanging="206"/>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comply with Nasdaq Listing Rules requiring stockholder approval of equity compensation plans and</w:t>
      </w:r>
    </w:p>
    <w:p>
      <w:pPr>
        <w:spacing w:after="0" w:line="9" w:lineRule="exact"/>
        <w:rPr>
          <w:rFonts w:ascii="Arial" w:cs="Arial" w:eastAsia="Arial" w:hAnsi="Arial"/>
          <w:sz w:val="18"/>
          <w:szCs w:val="18"/>
          <w:color w:val="auto"/>
        </w:rPr>
      </w:pPr>
    </w:p>
    <w:p>
      <w:pPr>
        <w:ind w:left="720" w:hanging="266"/>
        <w:spacing w:after="0"/>
        <w:tabs>
          <w:tab w:leader="none" w:pos="7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allow the grant of incentive stock options to participants in the Equity Incentive Plan.</w:t>
      </w:r>
    </w:p>
    <w:p>
      <w:pPr>
        <w:spacing w:after="0" w:line="130"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If this Equity Incentive Plan Proposal is approved by BCTG stockholders, the Equity Incentive Plan will become effective as of the date immediately preceding the date of the Closing. While the Combined Entity may assume outstanding equity awards under the Tango Therapeutics, Inc., 2017 Stock Option and Grant Plan (the “</w:t>
      </w:r>
      <w:r>
        <w:rPr>
          <w:rFonts w:ascii="Arial" w:cs="Arial" w:eastAsia="Arial" w:hAnsi="Arial"/>
          <w:sz w:val="17"/>
          <w:szCs w:val="17"/>
          <w:b w:val="1"/>
          <w:bCs w:val="1"/>
          <w:color w:val="auto"/>
        </w:rPr>
        <w:t>2017 Plan</w:t>
      </w:r>
      <w:r>
        <w:rPr>
          <w:rFonts w:ascii="Arial" w:cs="Arial" w:eastAsia="Arial" w:hAnsi="Arial"/>
          <w:sz w:val="17"/>
          <w:szCs w:val="17"/>
          <w:color w:val="auto"/>
        </w:rPr>
        <w:t>”) following the Closing (and such assumed awards will not count against the share reserve under the Equity Incentive Plan), no further grants will be made under the 2017 Plan. Approval of the Equity Incentive Plan by BCTG stockholders will allow New Tango to grant stock options, restricted stock unit awards and other awards at levels determined appropriate by its board of directors or compensation committee following the closing of the Business Combination. The Equity Incentive Plan will also allow New Tango to utilize a broad array of equity incentives and performance-based cash incentives in order to secure and retain the services of its employees, directors and consultants, and to provide long-term incentives that align the interests of its employees, directors and consultants with the interests of its stockholders following the closing of the Business Combination.</w:t>
      </w:r>
    </w:p>
    <w:p>
      <w:pPr>
        <w:spacing w:after="0" w:line="111"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New Tango’s employee equity compensation program, as implemented under the Equity Incentive Plan, will allow New Tango to remain competitive with comparable companies in its industry by giving it the resources to attract and retain talented individuals to achieve its business objectives and build stockholder value. Approval of the Equity Incentive Plan will provide New Tango with the flexibility it needs to use equity compensation and other incentive awards to attract, retain and motivate talented employees, directors and consultants who are important to New Tango’s long-term growth and success.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of Material Features of the Equity Incentive Plan</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material features of the Equity Incentive Plan include:</w:t>
      </w:r>
    </w:p>
    <w:p>
      <w:pPr>
        <w:spacing w:after="0" w:line="144" w:lineRule="exact"/>
        <w:rPr>
          <w:sz w:val="20"/>
          <w:szCs w:val="20"/>
          <w:color w:val="auto"/>
        </w:rPr>
      </w:pPr>
    </w:p>
    <w:p>
      <w:pPr>
        <w:ind w:left="1300" w:hanging="414"/>
        <w:spacing w:after="0"/>
        <w:tabs>
          <w:tab w:leader="none" w:pos="13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Initially, the maximum number of shares of Common Stock that may be issued under the Equity</w:t>
      </w:r>
    </w:p>
    <w:p>
      <w:pPr>
        <w:spacing w:after="0" w:line="35" w:lineRule="exact"/>
        <w:rPr>
          <w:sz w:val="20"/>
          <w:szCs w:val="20"/>
          <w:color w:val="auto"/>
        </w:rPr>
      </w:pPr>
    </w:p>
    <w:p>
      <w:pPr>
        <w:ind w:left="1320" w:right="519"/>
        <w:spacing w:after="0" w:line="253" w:lineRule="auto"/>
        <w:rPr>
          <w:sz w:val="20"/>
          <w:szCs w:val="20"/>
          <w:color w:val="auto"/>
        </w:rPr>
      </w:pPr>
      <w:r>
        <w:rPr>
          <w:rFonts w:ascii="Arial" w:cs="Arial" w:eastAsia="Arial" w:hAnsi="Arial"/>
          <w:sz w:val="18"/>
          <w:szCs w:val="18"/>
          <w:color w:val="auto"/>
        </w:rPr>
        <w:t>Incentive Plan is shares. The number of shares of Common Stock reserved for issuance under the Equity Incentive Plan will automatically increase on January 1 of each year, beginning on January 1, 2022 by 5% of the number of shares of Common Stock issued and outstanding on December 31 of the immediately preceding calendar year, or a lesser number of shares determined by the administrator of the Equity Incentive Plan;</w:t>
      </w:r>
    </w:p>
    <w:p>
      <w:pPr>
        <w:spacing w:after="0" w:line="123" w:lineRule="exact"/>
        <w:rPr>
          <w:sz w:val="20"/>
          <w:szCs w:val="20"/>
          <w:color w:val="auto"/>
        </w:rPr>
      </w:pPr>
    </w:p>
    <w:p>
      <w:pPr>
        <w:ind w:left="1320" w:right="759" w:hanging="434"/>
        <w:spacing w:after="0" w:line="263" w:lineRule="auto"/>
        <w:tabs>
          <w:tab w:leader="none" w:pos="131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award of stock options (both incentive and non-qualified options), stock appreciation rights, restricted stock, restricted stock units, unrestricted stock, cash-based awards, and dividend equivalent rights is permitted;</w:t>
      </w:r>
    </w:p>
    <w:p>
      <w:pPr>
        <w:spacing w:after="0" w:line="116" w:lineRule="exact"/>
        <w:rPr>
          <w:rFonts w:ascii="Arial" w:cs="Arial" w:eastAsia="Arial" w:hAnsi="Arial"/>
          <w:sz w:val="18"/>
          <w:szCs w:val="18"/>
          <w:color w:val="auto"/>
        </w:rPr>
      </w:pPr>
    </w:p>
    <w:p>
      <w:pPr>
        <w:ind w:left="1320" w:right="539" w:hanging="434"/>
        <w:spacing w:after="0" w:line="311" w:lineRule="auto"/>
        <w:tabs>
          <w:tab w:leader="none" w:pos="1311"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administrator of the Equity Incentive Plan is specifically authorized to exercise its discretion to reduce the exercise price of outstanding stock options and stock appreciation rights or effect the repricing of such awards through cancellation and re-grants without stockholder consent;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7" w:name="page168"/>
    <w:bookmarkEnd w:id="16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99" w:hanging="434"/>
        <w:spacing w:after="0" w:line="279" w:lineRule="auto"/>
        <w:tabs>
          <w:tab w:leader="none" w:pos="1311"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value of all awards awarded under the Equity Incentive Plan and all other cash compensation paid by us to any non-employee director for services as a non-employee director in any calendar year may not exceed $750,000 or $1,000,000 for the year in which a non-employee director is first appointed or elected to New Tango’s board of directors;</w:t>
      </w:r>
    </w:p>
    <w:p>
      <w:pPr>
        <w:spacing w:after="0" w:line="103" w:lineRule="exact"/>
        <w:rPr>
          <w:rFonts w:ascii="Arial" w:cs="Arial" w:eastAsia="Arial" w:hAnsi="Arial"/>
          <w:sz w:val="17"/>
          <w:szCs w:val="17"/>
          <w:color w:val="auto"/>
        </w:rPr>
      </w:pPr>
    </w:p>
    <w:p>
      <w:pPr>
        <w:ind w:left="1300" w:hanging="414"/>
        <w:spacing w:after="0"/>
        <w:tabs>
          <w:tab w:leader="none" w:pos="130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Certain amendments to the Equity Incentive Plan are subject to approval by our stockholders; and</w:t>
      </w:r>
    </w:p>
    <w:p>
      <w:pPr>
        <w:spacing w:after="0" w:line="180" w:lineRule="exact"/>
        <w:rPr>
          <w:rFonts w:ascii="Arial" w:cs="Arial" w:eastAsia="Arial" w:hAnsi="Arial"/>
          <w:sz w:val="16"/>
          <w:szCs w:val="16"/>
          <w:color w:val="auto"/>
        </w:rPr>
      </w:pPr>
    </w:p>
    <w:p>
      <w:pPr>
        <w:ind w:left="1320" w:right="719" w:hanging="434"/>
        <w:spacing w:after="0" w:line="308" w:lineRule="auto"/>
        <w:tabs>
          <w:tab w:leader="none" w:pos="1311"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term of the Equity Incentive Plan will expire on the tenth anniversary of the effective date of the Equity Incentive Plan is approved by the board of directors of BCTG.</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Information Regarding Equity Incentive Program</w:t>
      </w:r>
    </w:p>
    <w:p>
      <w:pPr>
        <w:spacing w:after="0" w:line="148" w:lineRule="exact"/>
        <w:rPr>
          <w:sz w:val="20"/>
          <w:szCs w:val="20"/>
          <w:color w:val="auto"/>
        </w:rPr>
      </w:pPr>
    </w:p>
    <w:p>
      <w:pPr>
        <w:ind w:left="460" w:right="459" w:firstLine="432"/>
        <w:spacing w:after="0" w:line="289" w:lineRule="auto"/>
        <w:rPr>
          <w:sz w:val="20"/>
          <w:szCs w:val="20"/>
          <w:color w:val="auto"/>
        </w:rPr>
      </w:pPr>
      <w:r>
        <w:rPr>
          <w:rFonts w:ascii="Arial" w:cs="Arial" w:eastAsia="Arial" w:hAnsi="Arial"/>
          <w:sz w:val="16"/>
          <w:szCs w:val="16"/>
          <w:color w:val="auto"/>
        </w:rPr>
        <w:t>It is critical to New Tango’s long-term success that the interests of its employees, directors and consultants are tied to its success as “owners” of the business. Approval of the Equity Incentive Plan will allow New Tango to grant stock options and other equity awards at levels it determines to be appropriate in order to attract new employees and directors, retain existing employees and directors and to provide incentives for such persons to exert maximum efforts for New Tango’s success and ultimately increase stockholder value. The Equity Incentive Plan allows New Tango to utilize a broad array of equity incentives with flexibility in designing equity incentives, including stock option grants, stock appreciation rights, restricted stock awards, restricted stock unit awards, unrestricted stock awards, cash-based awards and dividend equivalent rights to offer competitive equity compensation packages in order to retain and motivate the talent necessary for New Tango.</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If BCTG’s request to approve the Equity Incentive Plan is approved by BCTG stockholders, New Tango</w:t>
      </w:r>
    </w:p>
    <w:p>
      <w:pPr>
        <w:spacing w:after="0" w:line="46" w:lineRule="exact"/>
        <w:rPr>
          <w:sz w:val="20"/>
          <w:szCs w:val="20"/>
          <w:color w:val="auto"/>
        </w:rPr>
      </w:pPr>
    </w:p>
    <w:p>
      <w:pPr>
        <w:ind w:left="460" w:right="479"/>
        <w:spacing w:after="0" w:line="251" w:lineRule="auto"/>
        <w:rPr>
          <w:sz w:val="20"/>
          <w:szCs w:val="20"/>
          <w:color w:val="auto"/>
        </w:rPr>
      </w:pPr>
      <w:r>
        <w:rPr>
          <w:rFonts w:ascii="Arial" w:cs="Arial" w:eastAsia="Arial" w:hAnsi="Arial"/>
          <w:sz w:val="18"/>
          <w:szCs w:val="18"/>
          <w:color w:val="auto"/>
        </w:rPr>
        <w:t>will initially have shares, subject to adjustment for specified changes in New Tango’s capitalization, available for grant under the Equity Incentive Plan as of the effective time of the closing of the Business Combination. In addition, as further described below under section titled “</w:t>
      </w:r>
      <w:r>
        <w:rPr>
          <w:rFonts w:ascii="Arial" w:cs="Arial" w:eastAsia="Arial" w:hAnsi="Arial"/>
          <w:sz w:val="18"/>
          <w:szCs w:val="18"/>
          <w:i w:val="1"/>
          <w:iCs w:val="1"/>
          <w:color w:val="auto"/>
        </w:rPr>
        <w:t>Description of the Equity Incentive</w:t>
      </w:r>
      <w:r>
        <w:rPr>
          <w:rFonts w:ascii="Arial" w:cs="Arial" w:eastAsia="Arial" w:hAnsi="Arial"/>
          <w:sz w:val="18"/>
          <w:szCs w:val="18"/>
          <w:color w:val="auto"/>
        </w:rPr>
        <w:t xml:space="preserve"> </w:t>
      </w:r>
      <w:r>
        <w:rPr>
          <w:rFonts w:ascii="Arial" w:cs="Arial" w:eastAsia="Arial" w:hAnsi="Arial"/>
          <w:sz w:val="18"/>
          <w:szCs w:val="18"/>
          <w:i w:val="1"/>
          <w:iCs w:val="1"/>
          <w:color w:val="auto"/>
        </w:rPr>
        <w:t>Plan</w:t>
      </w:r>
      <w:r>
        <w:rPr>
          <w:rFonts w:ascii="Arial" w:cs="Arial" w:eastAsia="Arial" w:hAnsi="Arial"/>
          <w:sz w:val="18"/>
          <w:szCs w:val="18"/>
          <w:color w:val="auto"/>
        </w:rPr>
        <w:t>,” the share reserve is subject to annual increases each January 1 beginning on January 1, 2022 of 4%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New Tango’s Common Stock issued and outstanding on the immediately preceding December 31 (or a lesser number determined by the administrator of the Equity Incentive Plan). This pool size is necessary to provide sufficient reserved shares for a level of grants that will attract, retain, and motivate employees and other participants.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Description of the Equity Incentive Plan</w:t>
      </w:r>
    </w:p>
    <w:p>
      <w:pPr>
        <w:spacing w:after="0" w:line="162" w:lineRule="exact"/>
        <w:rPr>
          <w:sz w:val="20"/>
          <w:szCs w:val="20"/>
          <w:color w:val="auto"/>
        </w:rPr>
      </w:pPr>
    </w:p>
    <w:p>
      <w:pPr>
        <w:ind w:left="880"/>
        <w:spacing w:after="0"/>
        <w:tabs>
          <w:tab w:leader="none" w:pos="5520" w:val="left"/>
        </w:tabs>
        <w:rPr>
          <w:sz w:val="20"/>
          <w:szCs w:val="20"/>
          <w:color w:val="auto"/>
        </w:rPr>
      </w:pPr>
      <w:r>
        <w:rPr>
          <w:rFonts w:ascii="Arial" w:cs="Arial" w:eastAsia="Arial" w:hAnsi="Arial"/>
          <w:sz w:val="18"/>
          <w:szCs w:val="18"/>
          <w:color w:val="auto"/>
        </w:rPr>
        <w:t>The Equity Incentive Plan was adopted by the Board on</w:t>
      </w:r>
      <w:r>
        <w:rPr>
          <w:sz w:val="20"/>
          <w:szCs w:val="20"/>
          <w:color w:val="auto"/>
        </w:rPr>
        <w:tab/>
      </w:r>
      <w:r>
        <w:rPr>
          <w:rFonts w:ascii="Arial" w:cs="Arial" w:eastAsia="Arial" w:hAnsi="Arial"/>
          <w:sz w:val="16"/>
          <w:szCs w:val="16"/>
          <w:color w:val="auto"/>
        </w:rPr>
        <w:t>2021 and will become effective, subject</w:t>
      </w:r>
    </w:p>
    <w:p>
      <w:pPr>
        <w:spacing w:after="0" w:line="23" w:lineRule="exact"/>
        <w:rPr>
          <w:sz w:val="20"/>
          <w:szCs w:val="20"/>
          <w:color w:val="auto"/>
        </w:rPr>
      </w:pPr>
    </w:p>
    <w:p>
      <w:pPr>
        <w:ind w:left="460" w:right="499"/>
        <w:spacing w:after="0" w:line="269" w:lineRule="auto"/>
        <w:rPr>
          <w:sz w:val="20"/>
          <w:szCs w:val="20"/>
          <w:color w:val="auto"/>
        </w:rPr>
      </w:pPr>
      <w:r>
        <w:rPr>
          <w:rFonts w:ascii="Arial" w:cs="Arial" w:eastAsia="Arial" w:hAnsi="Arial"/>
          <w:sz w:val="17"/>
          <w:szCs w:val="17"/>
          <w:color w:val="auto"/>
        </w:rPr>
        <w:t>to stockholder approval, on the date immediately preceding the Closing. The Equity Incentive Plan will replace the 2017 Plan as Tango’s board of directors has determined not to make additional awards under that plan following the consummation of the Business Combination. The Equity Incentive Plan allows us to make equity-based incentive awards to our officers, employees, directors and consultants. The Board anticipates that providing such persons with a direct stake in New Tango will assure a closer alignment of the interests of such individuals with those of New Tango and its stockholders, thereby stimulating their efforts on New Tango’s behalf and strengthening their desire to remain with New Tango.</w:t>
      </w:r>
    </w:p>
    <w:p>
      <w:pPr>
        <w:spacing w:after="0" w:line="95"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We have initially reserved shares of Common Stock (the “</w:t>
      </w:r>
      <w:r>
        <w:rPr>
          <w:rFonts w:ascii="Arial" w:cs="Arial" w:eastAsia="Arial" w:hAnsi="Arial"/>
          <w:sz w:val="18"/>
          <w:szCs w:val="18"/>
          <w:b w:val="1"/>
          <w:bCs w:val="1"/>
          <w:color w:val="auto"/>
        </w:rPr>
        <w:t>Initial Limit</w:t>
      </w:r>
      <w:r>
        <w:rPr>
          <w:rFonts w:ascii="Arial" w:cs="Arial" w:eastAsia="Arial" w:hAnsi="Arial"/>
          <w:sz w:val="18"/>
          <w:szCs w:val="18"/>
          <w:color w:val="auto"/>
        </w:rPr>
        <w:t>”) for the issuance of awards under our Equity Incentive Plan This limit is subject to adjustment in the event of a stock split, stock dividend or other change in our capitalization. Our Equity Incentive Plan provides that the number of shares reserved and available for issuance thereunder will automatically increase on January 1, 2022 and each January 1 thereafter by 5% of the number of shares of Common Stock issued and outstanding on the immediately preceding December 31 or such lesser number of shares determined by the administrator of the Equity Incentive Plan.</w:t>
      </w:r>
    </w:p>
    <w:p>
      <w:pPr>
        <w:spacing w:after="0" w:line="125" w:lineRule="exact"/>
        <w:rPr>
          <w:sz w:val="20"/>
          <w:szCs w:val="20"/>
          <w:color w:val="auto"/>
        </w:rPr>
      </w:pPr>
    </w:p>
    <w:p>
      <w:pPr>
        <w:ind w:left="460" w:right="519" w:firstLine="432"/>
        <w:spacing w:after="0" w:line="284" w:lineRule="auto"/>
        <w:rPr>
          <w:sz w:val="20"/>
          <w:szCs w:val="20"/>
          <w:color w:val="auto"/>
        </w:rPr>
      </w:pPr>
      <w:r>
        <w:rPr>
          <w:rFonts w:ascii="Arial" w:cs="Arial" w:eastAsia="Arial" w:hAnsi="Arial"/>
          <w:sz w:val="16"/>
          <w:szCs w:val="16"/>
          <w:color w:val="auto"/>
        </w:rPr>
        <w:t>The shares we issue under our Equity Incentive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the issuance of stock, or are otherwise terminated (other than by exercise) under our Equity Incentive Plan will be added back to the shares of Common Stock available for issuance under our Equity Incentive Plan. The maximum aggregate number of shares of Common Stock that may be issued in the form of incentive stock options under the Equity Incentive Plan shall not exceed the Initial Limit. Based upon a price per share of $10.00, the maximum aggregate market value of the Common Stock that could potentially be</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600" w:type="dxa"/>
            <w:vAlign w:val="bottom"/>
          </w:tcPr>
          <w:p>
            <w:pPr>
              <w:jc w:val="right"/>
              <w:ind w:right="190"/>
              <w:spacing w:after="0"/>
              <w:rPr>
                <w:sz w:val="20"/>
                <w:szCs w:val="20"/>
                <w:color w:val="auto"/>
              </w:rPr>
            </w:pPr>
            <w:r>
              <w:rPr>
                <w:rFonts w:ascii="Arial" w:cs="Arial" w:eastAsia="Arial" w:hAnsi="Arial"/>
                <w:sz w:val="18"/>
                <w:szCs w:val="18"/>
                <w:color w:val="auto"/>
                <w:w w:val="89"/>
              </w:rPr>
              <w:t>issued under the Equity Incentive Plan as of the Closing is $</w:t>
            </w:r>
          </w:p>
        </w:tc>
        <w:tc>
          <w:tcPr>
            <w:tcW w:w="3500" w:type="dxa"/>
            <w:vAlign w:val="bottom"/>
          </w:tcPr>
          <w:p>
            <w:pPr>
              <w:jc w:val="right"/>
              <w:ind w:right="3090"/>
              <w:spacing w:after="0"/>
              <w:rPr>
                <w:sz w:val="20"/>
                <w:szCs w:val="20"/>
                <w:color w:val="auto"/>
              </w:rPr>
            </w:pPr>
            <w:r>
              <w:rPr>
                <w:rFonts w:ascii="Arial" w:cs="Arial" w:eastAsia="Arial" w:hAnsi="Arial"/>
                <w:sz w:val="18"/>
                <w:szCs w:val="18"/>
                <w:color w:val="auto"/>
              </w:rPr>
              <w:t>.</w:t>
            </w:r>
          </w:p>
        </w:tc>
      </w:tr>
      <w:tr>
        <w:trPr>
          <w:trHeight w:val="377"/>
        </w:trPr>
        <w:tc>
          <w:tcPr>
            <w:tcW w:w="4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155</w:t>
            </w:r>
          </w:p>
        </w:tc>
        <w:tc>
          <w:tcPr>
            <w:tcW w:w="35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68" w:name="page169"/>
    <w:bookmarkEnd w:id="16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firstLine="432"/>
        <w:spacing w:after="0" w:line="301" w:lineRule="auto"/>
        <w:rPr>
          <w:sz w:val="20"/>
          <w:szCs w:val="20"/>
          <w:color w:val="auto"/>
        </w:rPr>
      </w:pPr>
      <w:r>
        <w:rPr>
          <w:rFonts w:ascii="Arial" w:cs="Arial" w:eastAsia="Arial" w:hAnsi="Arial"/>
          <w:sz w:val="16"/>
          <w:szCs w:val="16"/>
          <w:color w:val="auto"/>
        </w:rPr>
        <w:t>The grant date fair value of all awards made under our Equity Incentive Plan and all other cash compensation paid by us to any non-employee director for services as a non-employee director in any calendar year shall not exceed $750,000; provided, however, that such amount shall be $1,000,000 for the calendar year in which the applicable non-employee director is initially elected or appointed to the board.</w:t>
      </w:r>
    </w:p>
    <w:p>
      <w:pPr>
        <w:spacing w:after="0" w:line="90" w:lineRule="exact"/>
        <w:rPr>
          <w:sz w:val="20"/>
          <w:szCs w:val="20"/>
          <w:color w:val="auto"/>
        </w:rPr>
      </w:pPr>
    </w:p>
    <w:p>
      <w:pPr>
        <w:ind w:left="460" w:right="579" w:firstLine="432"/>
        <w:spacing w:after="0" w:line="272" w:lineRule="auto"/>
        <w:rPr>
          <w:sz w:val="20"/>
          <w:szCs w:val="20"/>
          <w:color w:val="auto"/>
        </w:rPr>
      </w:pPr>
      <w:r>
        <w:rPr>
          <w:rFonts w:ascii="Arial" w:cs="Arial" w:eastAsia="Arial" w:hAnsi="Arial"/>
          <w:sz w:val="17"/>
          <w:szCs w:val="17"/>
          <w:color w:val="auto"/>
        </w:rPr>
        <w:t>Our Equity Incentive Plan will be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our Equity Incentive Plan. The administrator may delegate to a committee consisting of one or more officers the authority to grant awards to employees who are not subject to the reporting and other provisions of Section 16 of the Exchange Act and not members of the delegated committee, subject to certain limitations and guidelines.</w:t>
      </w:r>
    </w:p>
    <w:p>
      <w:pPr>
        <w:spacing w:after="0" w:line="110" w:lineRule="exact"/>
        <w:rPr>
          <w:sz w:val="20"/>
          <w:szCs w:val="20"/>
          <w:color w:val="auto"/>
        </w:rPr>
      </w:pPr>
    </w:p>
    <w:p>
      <w:pPr>
        <w:ind w:left="460" w:right="899" w:firstLine="432"/>
        <w:spacing w:after="0" w:line="255" w:lineRule="auto"/>
        <w:rPr>
          <w:sz w:val="20"/>
          <w:szCs w:val="20"/>
          <w:color w:val="auto"/>
        </w:rPr>
      </w:pPr>
      <w:r>
        <w:rPr>
          <w:rFonts w:ascii="Arial" w:cs="Arial" w:eastAsia="Arial" w:hAnsi="Arial"/>
          <w:sz w:val="18"/>
          <w:szCs w:val="18"/>
          <w:color w:val="auto"/>
        </w:rPr>
        <w:t>Persons eligible to participate in our Equity Incentive Plan will be those full or part-time officers, employees, non-employee directors, and consultants of New Tango as selected from time to time by our compensation committee in its discretion. As of the date of this proxy statement/prospectus, following the Closing, approximately [•] individuals will be eligible to participate in the Equity Incentive Plan, which includes approximately [•] officers, [•] employees who are not officers, [•] non-employee directors, and [•] consultants.</w:t>
      </w:r>
    </w:p>
    <w:p>
      <w:pPr>
        <w:spacing w:after="0" w:line="111"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Our Equity Incentive Plan permits the granting of both options to purchase Common Stock intended to qualify as incentive stock options under Section 422 of the Code and options that do not so qualify. Options granted under the Equity Incentive Plan will be non-qualified options if they do not qualify as incentive stock options or exceed the annual limit on incentive stock options. Incentive stock options may only be granted to employees of the Combined Entity and its subsidiaries. Non-qualified options may be granted to any persons eligible to awards under the Equity Incentive Plan. The exercise price of each option will be determined by the administrator but may not be less than 100% of the fair market value of the Common Stock on the date of grant or, in the case of an incentive stock option granted to a ten percent stockholder, 110% of such share’s fair market value. The term of each option will be fixed by our administrator and may not exceed ten years from the date of grant or, in the case of an incentive stock option granted to a ten percent stockholder, may not exceed five years from the date of grant. The administrator will determine at what time or times each option may be exercised, including the ability to accelerate the vesting of such options. The exercise price of a stock option may not be reduced after the date of the option grant without stockholder approval, other than to appropriately reflect changes in our capital structure.</w:t>
      </w:r>
    </w:p>
    <w:p>
      <w:pPr>
        <w:spacing w:after="0" w:line="103" w:lineRule="exact"/>
        <w:rPr>
          <w:sz w:val="20"/>
          <w:szCs w:val="20"/>
          <w:color w:val="auto"/>
        </w:rPr>
      </w:pPr>
    </w:p>
    <w:p>
      <w:pPr>
        <w:ind w:left="460" w:right="599" w:firstLine="432"/>
        <w:spacing w:after="0" w:line="291" w:lineRule="auto"/>
        <w:rPr>
          <w:sz w:val="20"/>
          <w:szCs w:val="20"/>
          <w:color w:val="auto"/>
        </w:rPr>
      </w:pPr>
      <w:r>
        <w:rPr>
          <w:rFonts w:ascii="Arial" w:cs="Arial" w:eastAsia="Arial" w:hAnsi="Arial"/>
          <w:sz w:val="16"/>
          <w:szCs w:val="16"/>
          <w:color w:val="auto"/>
        </w:rPr>
        <w:t>Upon exercise of options, the option exercise price may be paid in cash, by certified or bank check or other instrument acceptable to the administrator or by delivery (or attestation to the ownership) of shares of Common Stock that are beneficially owned by the optionee free of restrictions or were purchased in the open market. Subject to applicable law, the exercise price may also be delivered by a broker pursuant to irrevocable instructions to the broker from the optionee. In addition, non-qualified options may be exercised using a “net exercise” arrangement that reduces the number of shares issued to the optionee by the largest whole number of shares with fair market value that does not exceed the aggregate exercise price.</w:t>
      </w:r>
    </w:p>
    <w:p>
      <w:pPr>
        <w:spacing w:after="0" w:line="99"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The administrator may award stock appreciation rights subject to such conditions and restrictions as it may determine. Stock appreciation rights entitle the recipient to cash or shares of Common Stock equal to the value of the appreciation in our stock price over the exercise price. The exercise price may not be less than 100% of the fair market value of our Common Stock on the date of grant. The term of each stock appreciation right will be fixed by the administrator and may not exceed ten years from the date of grant. The administrator will determine at what time or times each stock appreciation right may be exercised.</w:t>
      </w:r>
    </w:p>
    <w:p>
      <w:pPr>
        <w:spacing w:after="0" w:line="83"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The administrator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The administrator may also grant shares of Common Stock that are free from any restrictions under our Equity Incentive Plan. Unrestricted stock may be granted to participants in recognition of past services or for other valid consideration and may be issued in lieu of cash compensation due to such participant. The administrator may grant dividend equivalent rights to participants that entitle the recipient to receive credits for dividends that would be paid if the recipient had held a specified number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234315</wp:posOffset>
            </wp:positionV>
            <wp:extent cx="51435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9" w:name="page170"/>
    <w:bookmarkEnd w:id="16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The administrator may grant cash-based awards under our Equity Incentive Plan to participants, subject to the achievement of certain performance goals.</w:t>
      </w:r>
    </w:p>
    <w:p>
      <w:pPr>
        <w:spacing w:after="0" w:line="103"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Our Equity Incentive Plan provides that upon the effectiveness of a “sale event,” as defined in our Equity Incentive Plan, an acquirer or successor entity may assume, continue or substitute outstanding awards under our Equity Incentive Plan. To the extent that awards granted under our Equity Incentive Plan are not assumed or continued or substituted by the successor entity, upon the effective time of the sale event, such awards shall terminate. In such case, except as may 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New Tango may make or provide for payment, in cash or in kind, to participants holding options and stock appreciation rights equal to the difference between the per share consideration payable in the sale event and the exercise price of the all such outstanding options or stock appreciation rights (provided that, in the case of an option or stock appreciation right with an exercise price equal to or greater than the per share consideration payable in such sale event, such option or stock appreciation right shall be cancelled for no consideration). New Tango shall also have the option to make or provide for a payment, in cash or in kind, to grantees holding other awards in an amount equal to the per share consideration payable in such sale event multiplied by the number of vested shares under such award.</w:t>
      </w:r>
    </w:p>
    <w:p>
      <w:pPr>
        <w:spacing w:after="0" w:line="106" w:lineRule="exact"/>
        <w:rPr>
          <w:sz w:val="20"/>
          <w:szCs w:val="20"/>
          <w:color w:val="auto"/>
        </w:rPr>
      </w:pPr>
    </w:p>
    <w:p>
      <w:pPr>
        <w:ind w:left="460" w:right="759" w:firstLine="432"/>
        <w:spacing w:after="0" w:line="301" w:lineRule="auto"/>
        <w:rPr>
          <w:sz w:val="20"/>
          <w:szCs w:val="20"/>
          <w:color w:val="auto"/>
        </w:rPr>
      </w:pPr>
      <w:r>
        <w:rPr>
          <w:rFonts w:ascii="Arial" w:cs="Arial" w:eastAsia="Arial" w:hAnsi="Arial"/>
          <w:sz w:val="16"/>
          <w:szCs w:val="16"/>
          <w:color w:val="auto"/>
        </w:rPr>
        <w:t>Our board of directors may amend or discontinue our Equity Incentive Plan and our compensation committee may amend or cancel outstanding awards for purposes of satisfying changes in law or any other lawful purpose, but no such action may materially and adversely affect rights under an award without the holder’s consent. Certain amendments to our Equity Incentive Plan require the approval of our stockholders.</w:t>
      </w:r>
    </w:p>
    <w:p>
      <w:pPr>
        <w:spacing w:after="0" w:line="76"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No awards may be granted under our Equity Incentive Plan after the date that is ten years from the effective date of our Equity Incentive Plan. No awards under our Equity Incentive Plan have been made prior to the date hereof.</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Form S-8</w:t>
      </w:r>
    </w:p>
    <w:p>
      <w:pPr>
        <w:spacing w:after="0" w:line="162"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Following the consummation of the Business Combination, when permitted by SEC rules, we intend to file with the SEC a registration statement on Form S-8 covering the Common Stock issuable under the Equity Incentive Plan.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Federal Income Tax Consequences</w:t>
      </w:r>
    </w:p>
    <w:p>
      <w:pPr>
        <w:spacing w:after="0" w:line="162"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The following is a summary of the principal U.S. federal income tax consequences of certain transactions under the Equity Incentive Plan, which will not become effective until the date immediately preceding the date of the Closing. No awards will be issued under the Equity Incentive Plan prior to the date of Closing.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the Equity Incentive Plan. The Equity Incentive Plan is not qualified under the provisions of Section 401(a) of the Code and is not subject to any of the provisions of the Employee Retirement Income Security Act of 1974, as amended. The Combined Entity’s ability to realize the benefit of any tax deductions described below depends on the Combined Entity’s generation of taxable income as well as the requirement of reasonableness, the provisions of Section 162(m) of the Code and the satisfaction of the Combined Entity’s tax reporting obligations.</w:t>
      </w:r>
    </w:p>
    <w:p>
      <w:pPr>
        <w:spacing w:after="0" w:line="103"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No taxable income is generally realized by the optionee upon the grant or</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an incentive stock option. If shares of Common Stock issued to an optionee pursuant to the exercise of an incentive stock option are sold or transferred after two years from the date of grant and after one year from the date of exercise, then generally (i) upon sale of such shares, any amount realized in excess of the option exercise price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0" w:name="page171"/>
    <w:bookmarkEnd w:id="17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75" w:lineRule="auto"/>
        <w:rPr>
          <w:sz w:val="20"/>
          <w:szCs w:val="20"/>
          <w:color w:val="auto"/>
        </w:rPr>
      </w:pPr>
      <w:r>
        <w:rPr>
          <w:rFonts w:ascii="Arial" w:cs="Arial" w:eastAsia="Arial" w:hAnsi="Arial"/>
          <w:sz w:val="17"/>
          <w:szCs w:val="17"/>
          <w:color w:val="auto"/>
        </w:rPr>
        <w:t>(the amount paid for the shares) will be taxed to the optionee as a long-term capital gain, and any loss sustained will be a long-term capital loss, and (ii) the Combined Entity will not be entitled to any deduction for federal income tax purposes; provided that such incentive stock option otherwise meets all of the technical requirements of an incentive stock option. The exercise of an incentive stock option will give rise to an item of tax preference that may result in alternative minimum tax liability for the optionee.</w:t>
      </w:r>
    </w:p>
    <w:p>
      <w:pPr>
        <w:spacing w:after="0" w:line="109"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If shares of Common Stock acquired upon the exercise of an incentive stock option are disposed of prior to the expiration of the two-year and one-year holding periods described above (a “</w:t>
      </w:r>
      <w:r>
        <w:rPr>
          <w:rFonts w:ascii="Arial" w:cs="Arial" w:eastAsia="Arial" w:hAnsi="Arial"/>
          <w:sz w:val="17"/>
          <w:szCs w:val="17"/>
          <w:b w:val="1"/>
          <w:bCs w:val="1"/>
          <w:color w:val="auto"/>
        </w:rPr>
        <w:t>disqualifying disposition</w:t>
      </w:r>
      <w:r>
        <w:rPr>
          <w:rFonts w:ascii="Arial" w:cs="Arial" w:eastAsia="Arial" w:hAnsi="Arial"/>
          <w:sz w:val="17"/>
          <w:szCs w:val="17"/>
          <w:color w:val="auto"/>
        </w:rPr>
        <w:t>”), generally (i) the optionee will realize ordinary income in the year of disposition in an amount equal to the excess (if any) of the fair market value of the shares of Common Stock at exercise (or, if less, the amount realized on a sale of such shares of Common Stock) over the exercise price thereof, and (ii) we will be entitled to deduct such amount. Special rules will apply where all or a portion of the exercise price of the incentive stock option is paid by tendering shares of Common Stock.</w:t>
      </w:r>
    </w:p>
    <w:p>
      <w:pPr>
        <w:spacing w:after="0" w:line="110"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If an incentive stock option is exercised at a time when it no longer qualifies for the tax treatment described above, the option is treated as a non-qualified option. Generally, an incentive stock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spacing w:after="0" w:line="95"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i w:val="1"/>
          <w:iCs w:val="1"/>
          <w:color w:val="auto"/>
        </w:rPr>
        <w:t xml:space="preserve">Non-Qualified Options. </w:t>
      </w:r>
      <w:r>
        <w:rPr>
          <w:rFonts w:ascii="Arial" w:cs="Arial" w:eastAsia="Arial" w:hAnsi="Arial"/>
          <w:sz w:val="17"/>
          <w:szCs w:val="17"/>
          <w:color w:val="auto"/>
        </w:rPr>
        <w:t>No income is generally realized by the optionee at the time a non-qualified</w:t>
      </w:r>
      <w:r>
        <w:rPr>
          <w:rFonts w:ascii="Arial" w:cs="Arial" w:eastAsia="Arial" w:hAnsi="Arial"/>
          <w:sz w:val="17"/>
          <w:szCs w:val="17"/>
          <w:i w:val="1"/>
          <w:iCs w:val="1"/>
          <w:color w:val="auto"/>
        </w:rPr>
        <w:t xml:space="preserve"> </w:t>
      </w:r>
      <w:r>
        <w:rPr>
          <w:rFonts w:ascii="Arial" w:cs="Arial" w:eastAsia="Arial" w:hAnsi="Arial"/>
          <w:sz w:val="17"/>
          <w:szCs w:val="17"/>
          <w:color w:val="auto"/>
        </w:rPr>
        <w:t>option is granted. Generally (i) at exercise, ordinary income is realized by the optionee in an amount equal to the difference between the option exercise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will apply where all or a portion of the exercise price of the non-qualified option is paid by tendering shares of Common Stock. Upon exercise, the optionee will also be subject to Social Security taxes on the excess of the fair market value over the exercise price of the option.</w:t>
      </w:r>
    </w:p>
    <w:p>
      <w:pPr>
        <w:spacing w:after="0" w:line="113"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i w:val="1"/>
          <w:iCs w:val="1"/>
          <w:color w:val="auto"/>
        </w:rPr>
        <w:t xml:space="preserve">Other Awards. </w:t>
      </w:r>
      <w:r>
        <w:rPr>
          <w:rFonts w:ascii="Arial" w:cs="Arial" w:eastAsia="Arial" w:hAnsi="Arial"/>
          <w:sz w:val="18"/>
          <w:szCs w:val="18"/>
          <w:color w:val="auto"/>
        </w:rPr>
        <w:t>New Tango generally will be entitled to a tax deduction in connection with other awards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Equity Incentive Plan in an amount equal to the ordinary income realized by the participant at the time the participant recognizes such income. Participants typically are subject to income tax and recognize such tax at the time that an award is exercised, vests or becomes non-forfeitable, unless the award provides for deferred settlement.</w:t>
      </w:r>
    </w:p>
    <w:p>
      <w:pPr>
        <w:spacing w:after="0" w:line="120"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i w:val="1"/>
          <w:iCs w:val="1"/>
          <w:color w:val="auto"/>
        </w:rPr>
        <w:t>Parachute Payments</w:t>
      </w:r>
      <w:r>
        <w:rPr>
          <w:rFonts w:ascii="Arial" w:cs="Arial" w:eastAsia="Arial" w:hAnsi="Arial"/>
          <w:sz w:val="16"/>
          <w:szCs w:val="16"/>
          <w:color w:val="auto"/>
        </w:rPr>
        <w:t>. The vesting of any portion of an award that is accelerated due to the occurrence of</w:t>
      </w:r>
      <w:r>
        <w:rPr>
          <w:rFonts w:ascii="Arial" w:cs="Arial" w:eastAsia="Arial" w:hAnsi="Arial"/>
          <w:sz w:val="16"/>
          <w:szCs w:val="16"/>
          <w:i w:val="1"/>
          <w:iCs w:val="1"/>
          <w:color w:val="auto"/>
        </w:rPr>
        <w:t xml:space="preserve"> </w:t>
      </w:r>
      <w:r>
        <w:rPr>
          <w:rFonts w:ascii="Arial" w:cs="Arial" w:eastAsia="Arial" w:hAnsi="Arial"/>
          <w:sz w:val="16"/>
          <w:szCs w:val="16"/>
          <w:color w:val="auto"/>
        </w:rPr>
        <w:t>a change in control (such as a sale event) may cause all or a portion of the payments with respect to such accelerated awards to be treated as “parachute payments” as defined in the Code. Any such parachute payments may be non-deductible to New Tango, in whole or in part, and may subject the recipient to a non-deductible 20% federal excise tax on all or a portion of such payment (in addition to other taxes ordinarily payable).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New Plan Benefits</w:t>
      </w:r>
    </w:p>
    <w:p>
      <w:pPr>
        <w:spacing w:after="0" w:line="148"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No awards have been previously granted under the Equity Incentive Plan and no awards have been granted under the Equity Incentive Plan subject to stockholder approval of the Equity Incentive Plan. The awards that are to be granted to any participant or group of participants are indeterminable at the date of this proxy statement/prospectus because participation and the types of awards that may be granted under the Equity Incentive Plan are subject to the discretion of the administrator. Consequently, no new plan benefits table is included in this proxy statement/prospectus.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w:t>
      </w:r>
    </w:p>
    <w:p>
      <w:pPr>
        <w:spacing w:after="0" w:line="162" w:lineRule="exact"/>
        <w:rPr>
          <w:sz w:val="20"/>
          <w:szCs w:val="20"/>
          <w:color w:val="auto"/>
        </w:rPr>
      </w:pPr>
    </w:p>
    <w:p>
      <w:pPr>
        <w:ind w:left="460" w:right="499" w:firstLine="432"/>
        <w:spacing w:after="0" w:line="342" w:lineRule="auto"/>
        <w:rPr>
          <w:sz w:val="20"/>
          <w:szCs w:val="20"/>
          <w:color w:val="auto"/>
        </w:rPr>
      </w:pPr>
      <w:r>
        <w:rPr>
          <w:rFonts w:ascii="Arial" w:cs="Arial" w:eastAsia="Arial" w:hAnsi="Arial"/>
          <w:sz w:val="16"/>
          <w:szCs w:val="16"/>
          <w:color w:val="auto"/>
        </w:rPr>
        <w:t>The approval of the Equity Incentive Plan Proposal requires the affirmative vote of a majority of the votes cast by the stockholders represented in person or by proxy and entitled to vote thereon at the Special Meeting,</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1" w:name="page172"/>
    <w:bookmarkEnd w:id="17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619"/>
        <w:spacing w:after="0" w:line="263" w:lineRule="auto"/>
        <w:rPr>
          <w:sz w:val="20"/>
          <w:szCs w:val="20"/>
          <w:color w:val="auto"/>
        </w:rPr>
      </w:pPr>
      <w:r>
        <w:rPr>
          <w:rFonts w:ascii="Arial" w:cs="Arial" w:eastAsia="Arial" w:hAnsi="Arial"/>
          <w:sz w:val="18"/>
          <w:szCs w:val="18"/>
          <w:color w:val="auto"/>
        </w:rPr>
        <w:t>voting together as a single class, assuming that a quorum is present. Abstentions will have the same effect as a vote “AGAINST” the Equity Incentive Plan Proposal. Broker non-votes will have no effect with respect to the approval of this proposal.</w:t>
      </w:r>
    </w:p>
    <w:p>
      <w:pPr>
        <w:spacing w:after="0" w:line="116" w:lineRule="exact"/>
        <w:rPr>
          <w:sz w:val="20"/>
          <w:szCs w:val="20"/>
          <w:color w:val="auto"/>
        </w:rPr>
      </w:pPr>
    </w:p>
    <w:p>
      <w:pPr>
        <w:ind w:left="460" w:right="1339" w:firstLine="432"/>
        <w:spacing w:after="0" w:line="277" w:lineRule="auto"/>
        <w:rPr>
          <w:sz w:val="20"/>
          <w:szCs w:val="20"/>
          <w:color w:val="auto"/>
        </w:rPr>
      </w:pPr>
      <w:r>
        <w:rPr>
          <w:rFonts w:ascii="Arial" w:cs="Arial" w:eastAsia="Arial" w:hAnsi="Arial"/>
          <w:sz w:val="18"/>
          <w:szCs w:val="18"/>
          <w:color w:val="auto"/>
        </w:rPr>
        <w:t>Approval of the Equity Incentive Plan Proposal is conditioned on the approval of the Business Combination Proposal at the Special Meeting.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Recommendation of the Board</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BOARD UNANIMOUSLY RECOMMENDS THAT ITS STOCKHOLDERS VOTE “FOR”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EQUITY INCENTIVE PLAN PROPOSAL.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2" w:name="page173"/>
    <w:bookmarkEnd w:id="17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7 — THE ESPP PROPOSAL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On [•], the BCTG Board adopted, subject to the approval of our stockholders, the Tango Therapeutics, Inc. 2021 Employee Stock Purchase Plan (the “</w:t>
      </w:r>
      <w:r>
        <w:rPr>
          <w:rFonts w:ascii="Arial" w:cs="Arial" w:eastAsia="Arial" w:hAnsi="Arial"/>
          <w:sz w:val="18"/>
          <w:szCs w:val="18"/>
          <w:b w:val="1"/>
          <w:bCs w:val="1"/>
          <w:u w:val="single" w:color="auto"/>
          <w:color w:val="auto"/>
        </w:rPr>
        <w:t>ESPP</w:t>
      </w:r>
      <w:r>
        <w:rPr>
          <w:rFonts w:ascii="Arial" w:cs="Arial" w:eastAsia="Arial" w:hAnsi="Arial"/>
          <w:sz w:val="18"/>
          <w:szCs w:val="18"/>
          <w:color w:val="auto"/>
        </w:rPr>
        <w:t>”). We believe that the adoption of the ESPP will benefit us by providing employees with an opportunity to acquire shares of New Tango’s common stock and will enable us to attract, retain and motivate valued employees.</w:t>
      </w:r>
    </w:p>
    <w:p>
      <w:pPr>
        <w:spacing w:after="0" w:line="119" w:lineRule="exact"/>
        <w:rPr>
          <w:sz w:val="20"/>
          <w:szCs w:val="20"/>
          <w:color w:val="auto"/>
        </w:rPr>
      </w:pPr>
    </w:p>
    <w:p>
      <w:pPr>
        <w:ind w:left="460" w:right="619" w:firstLine="432"/>
        <w:spacing w:after="0" w:line="301" w:lineRule="auto"/>
        <w:rPr>
          <w:sz w:val="20"/>
          <w:szCs w:val="20"/>
          <w:color w:val="auto"/>
        </w:rPr>
      </w:pPr>
      <w:r>
        <w:rPr>
          <w:rFonts w:ascii="Arial" w:cs="Arial" w:eastAsia="Arial" w:hAnsi="Arial"/>
          <w:sz w:val="16"/>
          <w:szCs w:val="16"/>
          <w:color w:val="auto"/>
        </w:rPr>
        <w:t>A total of [•] shares of New Tango’s Common Stock will be reserved for issuance under the ESPP. As of [•], 2021, the closing price on Nasdaq per Common Stock, each of which shall be converted to one share of New Tango’s Common Stock, was $[•]. Based upon a price per share of $[•], the maximum aggregate market value of New Tango’s Common Stock that could potentially be issued under the ESPP at Closing is $[•].</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of the Material Provisions of the ESPP</w:t>
      </w:r>
    </w:p>
    <w:p>
      <w:pPr>
        <w:spacing w:after="0" w:line="162" w:lineRule="exact"/>
        <w:rPr>
          <w:sz w:val="20"/>
          <w:szCs w:val="20"/>
          <w:color w:val="auto"/>
        </w:rPr>
      </w:pPr>
    </w:p>
    <w:p>
      <w:pPr>
        <w:ind w:left="460" w:right="879" w:firstLine="432"/>
        <w:spacing w:after="0" w:line="259" w:lineRule="auto"/>
        <w:rPr>
          <w:sz w:val="20"/>
          <w:szCs w:val="20"/>
          <w:color w:val="auto"/>
        </w:rPr>
      </w:pPr>
      <w:r>
        <w:rPr>
          <w:rFonts w:ascii="Arial" w:cs="Arial" w:eastAsia="Arial" w:hAnsi="Arial"/>
          <w:sz w:val="18"/>
          <w:szCs w:val="18"/>
          <w:color w:val="auto"/>
        </w:rPr>
        <w:t xml:space="preserve">The following description of certain provisions of the ESPP is intended to be a summary only. The summary is qualified in its entirety by the full text of the ESPP, a copy of which is attached to this proxy statement/prospectus as </w:t>
      </w:r>
      <w:r>
        <w:rPr>
          <w:rFonts w:ascii="Arial" w:cs="Arial" w:eastAsia="Arial" w:hAnsi="Arial"/>
          <w:sz w:val="18"/>
          <w:szCs w:val="18"/>
          <w:i w:val="1"/>
          <w:iCs w:val="1"/>
          <w:u w:val="single" w:color="auto"/>
          <w:color w:val="auto"/>
        </w:rPr>
        <w:t>Annex D</w:t>
      </w:r>
      <w:r>
        <w:rPr>
          <w:rFonts w:ascii="Arial" w:cs="Arial" w:eastAsia="Arial" w:hAnsi="Arial"/>
          <w:sz w:val="18"/>
          <w:szCs w:val="18"/>
          <w:color w:val="auto"/>
        </w:rPr>
        <w:t>. It is our intention that a component of the ESPP qualify as an “employee stock purchase plan” under Section 423(b) of the Code.</w:t>
      </w:r>
    </w:p>
    <w:p>
      <w:pPr>
        <w:spacing w:after="0" w:line="106"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i w:val="1"/>
          <w:iCs w:val="1"/>
          <w:color w:val="auto"/>
        </w:rPr>
        <w:t xml:space="preserve">Shares Subject to the ESPP. </w:t>
      </w:r>
      <w:r>
        <w:rPr>
          <w:rFonts w:ascii="Arial" w:cs="Arial" w:eastAsia="Arial" w:hAnsi="Arial"/>
          <w:sz w:val="18"/>
          <w:szCs w:val="18"/>
          <w:color w:val="auto"/>
        </w:rPr>
        <w:t>An aggregate of [•] shares will be reserved and available for issuance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ESPP. The ESPP provides that the number of shares reserved and available for issuance under the plan will automatically increase each January 1, beginning on January 1, 2022, by the least of (i) one percent (1.0%) of the issued and outstanding number of shares of New Tango’s Common Stock on the immediately preceding December 31, (ii) [•] shares of New Tango’s Common Stock or (iii) such number of shares of New Tango’s Common Stock as determined by the administrator. If our capital structure changes because of a stock dividend, stock split or similar event, the number of shares that can be issued under the ESPP will be appropriately adjusted.</w:t>
      </w:r>
    </w:p>
    <w:p>
      <w:pPr>
        <w:spacing w:after="0" w:line="124"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The ESPP will be administered by the person or persons appointed by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New Tango.</w:t>
      </w:r>
    </w:p>
    <w:p>
      <w:pPr>
        <w:spacing w:after="0" w:line="103"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Any employee of New Tango or one of its subsidiaries that has been designated to participate</w:t>
      </w:r>
      <w:r>
        <w:rPr>
          <w:rFonts w:ascii="Arial" w:cs="Arial" w:eastAsia="Arial" w:hAnsi="Arial"/>
          <w:sz w:val="16"/>
          <w:szCs w:val="16"/>
          <w:i w:val="1"/>
          <w:iCs w:val="1"/>
          <w:color w:val="auto"/>
        </w:rPr>
        <w:t xml:space="preserve"> </w:t>
      </w:r>
      <w:r>
        <w:rPr>
          <w:rFonts w:ascii="Arial" w:cs="Arial" w:eastAsia="Arial" w:hAnsi="Arial"/>
          <w:sz w:val="16"/>
          <w:szCs w:val="16"/>
          <w:color w:val="auto"/>
        </w:rPr>
        <w:t>in the ESPP is eligible to participate in the ESPP so long as the employee is customarily employed for more than [•] hours a week and has been employed for at least [•] months on the first day of the applicable offering period. No person who owns or holds, or as a result of participation in the ESPP would own or hold, New Tango’s Common Stock or options to purchase the Combined Entity’s Common Stock, that together equal to 5% or more of total combined voting power or value of all classes of stock of New Tango or any parent or subsidiary is entitled to participate in the ESPP. No employee may exercise an option granted under the ESPP that permits the employee to purchase New Tango’s Common Stock having a value of more than $25,000 (determined using the fair market value of the stock at the time such option is granted) in any calendar year.</w:t>
      </w:r>
    </w:p>
    <w:p>
      <w:pPr>
        <w:spacing w:after="0" w:line="85"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i w:val="1"/>
          <w:iCs w:val="1"/>
          <w:color w:val="auto"/>
        </w:rPr>
        <w:t>Payroll Deductions; Participation</w:t>
      </w:r>
      <w:r>
        <w:rPr>
          <w:rFonts w:ascii="Arial" w:cs="Arial" w:eastAsia="Arial" w:hAnsi="Arial"/>
          <w:sz w:val="16"/>
          <w:szCs w:val="16"/>
          <w:color w:val="auto"/>
        </w:rPr>
        <w:t>. Participation in the ESPP is limited to eligible employees who</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 payroll deductions equal to a whole percentage of base pay to the ESPP. Employees may authorize payroll deductions, with a minimum of [•] % of base pay and a maximum of [•] % of base pay. As of the date of this proxy statement/prospectus, there are currently approximately [•] employees who will be eligible to participate in the ESPP. Once an employee becomes a participant in the ESPP, that employee will automatically participate in successive offering periods, as described below, until such time as that employee withdraws from the ESPP, becomes ineligible to participate in the ESPP, or his or her employment ceases.</w:t>
      </w:r>
    </w:p>
    <w:p>
      <w:pPr>
        <w:spacing w:after="0" w:line="99"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i w:val="1"/>
          <w:iCs w:val="1"/>
          <w:color w:val="auto"/>
        </w:rPr>
        <w:t>Offering Periods</w:t>
      </w:r>
      <w:r>
        <w:rPr>
          <w:rFonts w:ascii="Arial" w:cs="Arial" w:eastAsia="Arial" w:hAnsi="Arial"/>
          <w:sz w:val="18"/>
          <w:szCs w:val="18"/>
          <w:color w:val="auto"/>
        </w:rPr>
        <w:t>. Unless otherwise determined by the administrator, each offering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ESPP will be for a period of six months, which we refer to as an “offering period.” The first offering period under the ESPP will begin and end on such date or dates as determined by the administrator. Subsequent offerings under the ESPP will generally begin on the first business day occurring on or after each November 1 and May 1 and will end on the last business day occurring on or before the following April 30 and October 31, respectively. Shares are purchased on the last business day of each offering period, with that day being referred to as an “exercise date.” The administrator may establish different offering periods or exercise dates under the ESPP.</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3" w:name="page174"/>
    <w:bookmarkEnd w:id="17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i w:val="1"/>
          <w:iCs w:val="1"/>
          <w:color w:val="auto"/>
        </w:rPr>
        <w:t>Exercise Price</w:t>
      </w:r>
      <w:r>
        <w:rPr>
          <w:rFonts w:ascii="Arial" w:cs="Arial" w:eastAsia="Arial" w:hAnsi="Arial"/>
          <w:sz w:val="17"/>
          <w:szCs w:val="17"/>
          <w:color w:val="auto"/>
        </w:rPr>
        <w:t>. On the first day of an offering period, we will grant to employees participating in that</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period an option to purchase shares of Common Stock. On the exercise date of each offering period, the employee is deemed to have exercised the option, at the exercise price, to the extent of accumulated payroll deductions. The option exercise price is equal to the lesser of (i) 85% the fair market value per share of Common Stock on the first day of the offering period or (ii) 85% of the fair market value per share of Common Stock on the exercise date. The maximum number of shares of Common Stock that may be issued to any employee under the ESPP in any offering period is the lowest of (a) a number of shares of Common Stock determined by dividing the employees’ accumulated payroll deductions on such exercise date by the option price, (b) the number of shares determined by dividing $25,000 by the fair market value of the Common Stock on the offering date for such offering; or (c) such other lesser maximum number of shares as shall have been established by the administrator.</w:t>
      </w:r>
    </w:p>
    <w:p>
      <w:pPr>
        <w:spacing w:after="0" w:line="114" w:lineRule="exact"/>
        <w:rPr>
          <w:sz w:val="20"/>
          <w:szCs w:val="20"/>
          <w:color w:val="auto"/>
        </w:rPr>
      </w:pPr>
    </w:p>
    <w:p>
      <w:pPr>
        <w:ind w:left="460" w:right="639" w:firstLine="432"/>
        <w:spacing w:after="0" w:line="342" w:lineRule="auto"/>
        <w:rPr>
          <w:sz w:val="20"/>
          <w:szCs w:val="20"/>
          <w:color w:val="auto"/>
        </w:rPr>
      </w:pPr>
      <w:r>
        <w:rPr>
          <w:rFonts w:ascii="Arial" w:cs="Arial" w:eastAsia="Arial" w:hAnsi="Arial"/>
          <w:sz w:val="16"/>
          <w:szCs w:val="16"/>
          <w:color w:val="auto"/>
        </w:rPr>
        <w:t>In general, if an employee is no longer a participant on an exercise date, the employee’s option will be automatically terminated, and the amount of the employee’s accumulated payroll deductions will be refunded.</w:t>
      </w:r>
    </w:p>
    <w:p>
      <w:pPr>
        <w:spacing w:after="0" w:line="56"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i w:val="1"/>
          <w:iCs w:val="1"/>
          <w:color w:val="auto"/>
        </w:rPr>
        <w:t>Terms of Participation</w:t>
      </w:r>
      <w:r>
        <w:rPr>
          <w:rFonts w:ascii="Arial" w:cs="Arial" w:eastAsia="Arial" w:hAnsi="Arial"/>
          <w:sz w:val="17"/>
          <w:szCs w:val="17"/>
          <w:color w:val="auto"/>
        </w:rPr>
        <w:t>. Except as may be permitted by the administrator in advance of an offering, a</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may not increase or decrease the amount of his or her payroll deductions during any offering period but may increase or decrease his or her payroll deduction with respect to the next offering period by filing a new enrollment form within the period beginning 15 business days before the first day of such offering period and ending on the day prior to the first day of such offering period. A participant may withdraw from an offering period at any time without affecting his or her eligibility to participate in future offering periods. If a participant withdraws from an offering period, that participant may not again participate in the same offering period, but may enroll in subsequent offering periods. An employee’s withdrawal will be effective as of the next business day following the date that the employee delivers a written notice of withdrawal to his or her appropriate payroll location.</w:t>
      </w:r>
    </w:p>
    <w:p>
      <w:pPr>
        <w:spacing w:after="0" w:line="104"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i w:val="1"/>
          <w:iCs w:val="1"/>
          <w:color w:val="auto"/>
        </w:rPr>
        <w:t>Term; Amendments and Termination</w:t>
      </w:r>
      <w:r>
        <w:rPr>
          <w:rFonts w:ascii="Arial" w:cs="Arial" w:eastAsia="Arial" w:hAnsi="Arial"/>
          <w:sz w:val="18"/>
          <w:szCs w:val="18"/>
          <w:color w:val="auto"/>
        </w:rPr>
        <w:t>. New Tango’s Board may, in its discretion, at any time, terminate</w:t>
      </w:r>
      <w:r>
        <w:rPr>
          <w:rFonts w:ascii="Arial" w:cs="Arial" w:eastAsia="Arial" w:hAnsi="Arial"/>
          <w:sz w:val="18"/>
          <w:szCs w:val="18"/>
          <w:i w:val="1"/>
          <w:iCs w:val="1"/>
          <w:color w:val="auto"/>
        </w:rPr>
        <w:t xml:space="preserve"> </w:t>
      </w:r>
      <w:r>
        <w:rPr>
          <w:rFonts w:ascii="Arial" w:cs="Arial" w:eastAsia="Arial" w:hAnsi="Arial"/>
          <w:sz w:val="18"/>
          <w:szCs w:val="18"/>
          <w:color w:val="auto"/>
        </w:rPr>
        <w:t>or amend the ESPP. Upon termination of an offering period before its scheduled expiration, all amounts in the accounts of participating employees will be refunded.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New Plan Benefits</w:t>
      </w:r>
    </w:p>
    <w:p>
      <w:pPr>
        <w:spacing w:after="0" w:line="162"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Since participation in the ESPP is voluntary, the benefits or amounts that will be received by or allocated to any individual or group of individuals under the ESPP in the future are not determinable and no awards have been granted that are contingent on stockholder approval of the ESPP.</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of Federal Income Tax Consequences</w:t>
      </w:r>
    </w:p>
    <w:p>
      <w:pPr>
        <w:spacing w:after="0" w:line="162"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The following is only a summary of the effect of the United States income tax laws and regulations upon an employee and us with respect to an employee’s participation in the ESPP. This summary does not purport to be a complete description of all federal tax implications of participation in the ESPP, nor does it discuss the income tax laws of any municipality, state or foreign country in which a participant may reside or otherwise be subject to tax.</w:t>
      </w:r>
    </w:p>
    <w:p>
      <w:pPr>
        <w:spacing w:after="0" w:line="107" w:lineRule="exact"/>
        <w:rPr>
          <w:sz w:val="20"/>
          <w:szCs w:val="20"/>
          <w:color w:val="auto"/>
        </w:rPr>
      </w:pPr>
    </w:p>
    <w:p>
      <w:pPr>
        <w:jc w:val="both"/>
        <w:ind w:left="460" w:right="579" w:firstLine="432"/>
        <w:spacing w:after="0" w:line="263" w:lineRule="auto"/>
        <w:rPr>
          <w:sz w:val="20"/>
          <w:szCs w:val="20"/>
          <w:color w:val="auto"/>
        </w:rPr>
      </w:pPr>
      <w:r>
        <w:rPr>
          <w:rFonts w:ascii="Arial" w:cs="Arial" w:eastAsia="Arial" w:hAnsi="Arial"/>
          <w:sz w:val="18"/>
          <w:szCs w:val="18"/>
          <w:color w:val="auto"/>
        </w:rPr>
        <w:t>A participant in the ESPP generally recognizes no taxable income either as a result of participation in the ESPP or upon exercise of an option to purchase shares of New Tango’s Common Stock under the terms of the ESPP.</w:t>
      </w:r>
    </w:p>
    <w:p>
      <w:pPr>
        <w:spacing w:after="0" w:line="116"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If a participant disposes of shares purchased upon exercise of an option granted under the ESPP within two years from the first day of the applicable offering period or within one year from the exercise date, which we refer to as a “disqualifying disposition,” the participant will generally realize ordinary income in the year of that disposition equal to the amount by which the fair market value of the shares on the date the shares were purchased exceeds the purchase price. The amount of ordinary income will be added to the participant’s basis in the shares, and any additional gain or resulting loss recognized on the disposition of the shares will be a capital gain or loss. A capital gain or loss will generally be long-term if the participant’s holding period is more than 12 months, or short-term if the participant’s holding period is 12 months or less.</w:t>
      </w:r>
    </w:p>
    <w:p>
      <w:pPr>
        <w:spacing w:after="0" w:line="98"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If the participant disposes of shares purchased upon exercise of an option granted under the ESPP at least two years after the first day of the applicable offering period and at least one year after the exercise date, the participant will realize ordinary income in the year of disposition equal to the lesser of (1) the excess of the fair market value of the shares at the time the option was granted over the amount paid and (2) the excess of the amount actually received for New Tango’s Common Stock over the amount paid. The amount of any ordinary income will be added to the</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4" w:name="page175"/>
    <w:bookmarkEnd w:id="17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59" w:lineRule="auto"/>
        <w:rPr>
          <w:sz w:val="20"/>
          <w:szCs w:val="20"/>
          <w:color w:val="auto"/>
        </w:rPr>
      </w:pPr>
      <w:r>
        <w:rPr>
          <w:rFonts w:ascii="Arial" w:cs="Arial" w:eastAsia="Arial" w:hAnsi="Arial"/>
          <w:sz w:val="18"/>
          <w:szCs w:val="18"/>
          <w:color w:val="auto"/>
        </w:rPr>
        <w:t>participant’s basis in the shares, and any additional gain recognized upon the disposition after that basis adjustment will be a long-term capital gain. If the fair market value of the shares on the date of disposition is less than the exercise price, there will be no ordinary income and any loss recognized will be a long-term capital loss.</w:t>
      </w:r>
    </w:p>
    <w:p>
      <w:pPr>
        <w:spacing w:after="0" w:line="119"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We are generally entitled to a tax deduction in the year of a disqualifying disposition equal to the amount of ordinary income recognized by the participant as a result of that disposition. In all other cases, we are not allowed a deduction.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w:t>
      </w:r>
    </w:p>
    <w:p>
      <w:pPr>
        <w:spacing w:after="0" w:line="162"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approval of the Employee Stock Purchase Plan Proposal requires the affirmative vote of a majority of the votes cast by the stockholders represented in person or by proxy and entitled to vote thereon at the Special Meeting, voting together as a single class, assuming that a quorum is present. Abstentions will have the same effect as a vote “AGAINST” the Employee Stock Purchase Plan Proposal. Broker non-votes will have no effect with respect to the approval of this proposal.</w:t>
      </w:r>
    </w:p>
    <w:p>
      <w:pPr>
        <w:spacing w:after="0" w:line="107"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Approval of the Employee Stock Purchase Plan Proposal is conditioned on the approval of the Business Combination Proposal at the Special Meeting.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Recommendation of the Board</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BOARD UNANIMOUSLY RECOMMENDS THAT ITS STOCKHOLDERS VOTE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THE ESPP PROPOSAL.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5" w:name="page176"/>
    <w:bookmarkEnd w:id="17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8 — THE ADJOURNMENT PROPOSAL</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The Adjournment Proposal, if adopted, will allow the Board to adjourn the Special Meeting to a later date or dates to permit further solicitation of proxies. The Adjournment Proposal will only be presented to BCTG’s stockholders in the event that based upon the tabulated vote at the time of the Special Meeting there are insufficient votes for, or otherwise in connection with, the approval of the Business Combination Proposal, the Nasdaq Proposal, the Directors Proposal, the Charter Amendment Proposal or the Incentive Plan Proposals. In no event will the Board adjourn the Special Meeting or consummate the Business Combination beyond the date by which it may properly do so under its amended and restated certificate of incorporation and Delaware law.</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Consequences if the Adjournment Proposal is Not Approved</w:t>
      </w:r>
    </w:p>
    <w:p>
      <w:pPr>
        <w:spacing w:after="0" w:line="158" w:lineRule="exact"/>
        <w:rPr>
          <w:sz w:val="20"/>
          <w:szCs w:val="20"/>
          <w:color w:val="auto"/>
        </w:rPr>
      </w:pPr>
    </w:p>
    <w:p>
      <w:pPr>
        <w:jc w:val="both"/>
        <w:ind w:left="460" w:right="919" w:firstLine="432"/>
        <w:spacing w:after="0" w:line="311" w:lineRule="auto"/>
        <w:rPr>
          <w:sz w:val="20"/>
          <w:szCs w:val="20"/>
          <w:color w:val="auto"/>
        </w:rPr>
      </w:pPr>
      <w:r>
        <w:rPr>
          <w:rFonts w:ascii="Arial" w:cs="Arial" w:eastAsia="Arial" w:hAnsi="Arial"/>
          <w:sz w:val="16"/>
          <w:szCs w:val="16"/>
          <w:color w:val="auto"/>
        </w:rPr>
        <w:t>If the Adjournment Proposal is not approved by BCTG’s stockholders, the Board may not be able to adjourn the Special Meeting to a later date in the event that there are insufficient votes for, or otherwise in connection with, the approval of the Business Combination Proposal or any other proposal.</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Vote Required for Approval</w:t>
      </w:r>
    </w:p>
    <w:p>
      <w:pPr>
        <w:spacing w:after="0" w:line="158" w:lineRule="exact"/>
        <w:rPr>
          <w:sz w:val="20"/>
          <w:szCs w:val="20"/>
          <w:color w:val="auto"/>
        </w:rPr>
      </w:pPr>
    </w:p>
    <w:p>
      <w:pPr>
        <w:jc w:val="both"/>
        <w:ind w:left="460" w:right="719" w:firstLine="432"/>
        <w:spacing w:after="0" w:line="279" w:lineRule="auto"/>
        <w:rPr>
          <w:sz w:val="20"/>
          <w:szCs w:val="20"/>
          <w:color w:val="auto"/>
        </w:rPr>
      </w:pPr>
      <w:r>
        <w:rPr>
          <w:rFonts w:ascii="Arial" w:cs="Arial" w:eastAsia="Arial" w:hAnsi="Arial"/>
          <w:sz w:val="17"/>
          <w:szCs w:val="17"/>
          <w:color w:val="auto"/>
        </w:rPr>
        <w:t>The approval of the Adjournment Proposal requires the affirmative vote of holders of a majority of the shares of BCTG Common Stock represented by virtual attendance or by proxy and entitled to vote thereon at the Special Meeting. Abstentions will have the same effect as a vote “AGAINST” this proposal. Broker non-votes will have no effect with respect to the approval of this proposal.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Recommendation of the Board</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BOARD UNANIMOUSLY RECOMMENDS THAT ITS STOCKHOLDERS VOTE “FOR”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ADJOURNMENT PROPOSAL.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6" w:name="page177"/>
    <w:bookmarkEnd w:id="17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BCTG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Introduction</w:t>
      </w:r>
    </w:p>
    <w:p>
      <w:pPr>
        <w:spacing w:after="0" w:line="148" w:lineRule="exact"/>
        <w:rPr>
          <w:sz w:val="20"/>
          <w:szCs w:val="20"/>
          <w:color w:val="auto"/>
        </w:rPr>
      </w:pPr>
    </w:p>
    <w:p>
      <w:pPr>
        <w:ind w:left="460" w:right="739" w:firstLine="432"/>
        <w:spacing w:after="0" w:line="254" w:lineRule="auto"/>
        <w:rPr>
          <w:sz w:val="20"/>
          <w:szCs w:val="20"/>
          <w:color w:val="auto"/>
        </w:rPr>
      </w:pPr>
      <w:r>
        <w:rPr>
          <w:rFonts w:ascii="Arial" w:cs="Arial" w:eastAsia="Arial" w:hAnsi="Arial"/>
          <w:sz w:val="18"/>
          <w:szCs w:val="18"/>
          <w:color w:val="auto"/>
        </w:rPr>
        <w:t>We are a blank check company incorporated in May 2020 as a Delaware corporation formed for the purpose of effecting a merger, capital stock exchange, asset acquisition, stock purchase, reorganization or similar business combination with one or more businesses, which we refer to throughout this proxy statement/prospectus as our initial business combination. While we may pursue an acquisition opportunity in any business, industry, sector or geographical location, we intend to focus on innovative companies in the biotechnology sector in North America and Europe in order to most effectively leverage our management team’s background and expertise.</w:t>
      </w:r>
    </w:p>
    <w:p>
      <w:pPr>
        <w:spacing w:after="0" w:line="127"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7"/>
          <w:szCs w:val="17"/>
          <w:color w:val="auto"/>
        </w:rPr>
        <w:t>To date, our efforts have been limited to organizational activities, completing the BCTG IPO and searching for a target business. We have generated no operating revenues to date, and we do not expect that we will generate operating revenues until we consummate our initial business combination.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Sponsor and Investment Focus</w:t>
      </w:r>
    </w:p>
    <w:p>
      <w:pPr>
        <w:spacing w:after="0" w:line="162"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Our sponsor is an affiliate of Boxer Capital, LLC, or Boxer Capital, a private biopharmaceutical investment firm based in San Diego, California. Boxer Capital was founded in 2005 by its managing founders and Tavistock Group, which is the family office of Joseph C. Lewis. Aaron Davis, our Chief Executive Officer and Chairman, and Christopher Fuglesang, our President, are among the co-founders of Boxer Capital and serve as its Chief Executive Officer and Managing Director, respectively. Boxer Capital’s investment focus is on identifying new therapeutics that will improve patient care and outcomes and investing behind these opportunities to fund their advancement. Boxer Capital invests in the entire drug development lifecycle from early-stage preclinical discovery assets to late-stage clinical and commercial stage companies.</w:t>
      </w:r>
    </w:p>
    <w:p>
      <w:pPr>
        <w:spacing w:after="0" w:line="8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team at Boxer Capital is comprised of individuals with backgrounds in finance, drug development, medicine and science. The majority of the team has doctorates in medicine and science, and some have been responsible for multiple INDs and NDAs. The in-house team is supplemented by a proprietary network of key opinion leaders, expert consultants, healthcare executives, and biotechnology investors. We believe their holistic approach will enable us to identify and evaluate innovative companies that can address unmet needs in healthcare.</w:t>
      </w:r>
    </w:p>
    <w:p>
      <w:pPr>
        <w:spacing w:after="0" w:line="125"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A fundamental area of strength for Boxer Capital has been targeted oncology, having focused on investing in this sector of healthcare for most of the last ten years. Over time, Boxer Capital has built a network of research scientists, chemists, physicians, and other experts in areas like manufacturing, intellectual property and food and drug regulations who have expertise in targeted oncology and can be called upon as needed to assist with diligence. To further bolster our support in this area, we have assembled a board of individuals who each have particular expertise in the area of targeted oncology, among other areas. Although we may pursue an acquisition opportunity in any business, industry, or sector, we believe targeted oncology is an area of particular strength where we may have a competitive advantage in finding, evaluating and capitalizing an attractive target company.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Industry Opportunity</w:t>
      </w:r>
    </w:p>
    <w:p>
      <w:pPr>
        <w:spacing w:after="0" w:line="162"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We believe that the biotechnology sector represents a tremendous opportunity for growth, with many promising pre-commercial companies seeking funding and guidance from knowledgeable investment firms. There are multiple trends in the sector that contribute to this growth potential, including but not limited to rising U.S. healthcare spending, an accelerated pace of biotechnology innovation, and robust financing and capital markets activity.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Acquisition Strategy &amp; Investment Criteria</w:t>
      </w:r>
    </w:p>
    <w:p>
      <w:pPr>
        <w:spacing w:after="0" w:line="148"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Our strategy is to leverage our management team’s expertise and network of key opinion leaders, expert consultants, healthcare executives, biotechnology investors and investment bankers to identify and acquire an attractive target business in the biotechnology industry. We believe that Boxer Capital’s reputation and track record of favorable investments are an additional competitive advantage that will make us an attractive partner for companies in this competitive environment.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7" w:name="page178"/>
    <w:bookmarkEnd w:id="17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As part of our overall strategy, we have identified a set of criteria by which we will evaluate prospective target businesses. While we may enter into a business combination with a company that does not meet all of these criteria, we intend to focus on companies that we believe:</w:t>
      </w:r>
    </w:p>
    <w:p>
      <w:pPr>
        <w:spacing w:after="0" w:line="116" w:lineRule="exact"/>
        <w:rPr>
          <w:sz w:val="20"/>
          <w:szCs w:val="20"/>
          <w:color w:val="auto"/>
        </w:rPr>
      </w:pPr>
    </w:p>
    <w:p>
      <w:pPr>
        <w:ind w:left="1320" w:right="579" w:hanging="434"/>
        <w:spacing w:after="0" w:line="263" w:lineRule="auto"/>
        <w:tabs>
          <w:tab w:leader="none" w:pos="131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Have identified a unique mechanism, developed a novel approach to a known mechanism, or made another scientific or technological leap that provides them with a competitive advantage versus current standard of care;</w:t>
      </w:r>
    </w:p>
    <w:p>
      <w:pPr>
        <w:spacing w:after="0" w:line="116" w:lineRule="exact"/>
        <w:rPr>
          <w:rFonts w:ascii="Arial" w:cs="Arial" w:eastAsia="Arial" w:hAnsi="Arial"/>
          <w:sz w:val="18"/>
          <w:szCs w:val="18"/>
          <w:color w:val="auto"/>
        </w:rPr>
      </w:pPr>
    </w:p>
    <w:p>
      <w:pPr>
        <w:ind w:left="1320" w:right="1339" w:hanging="434"/>
        <w:spacing w:after="0" w:line="308" w:lineRule="auto"/>
        <w:tabs>
          <w:tab w:leader="none" w:pos="1311" w:val="left"/>
        </w:tabs>
        <w:numPr>
          <w:ilvl w:val="0"/>
          <w:numId w:val="220"/>
        </w:numPr>
        <w:rPr>
          <w:rFonts w:ascii="Arial" w:cs="Arial" w:eastAsia="Arial" w:hAnsi="Arial"/>
          <w:sz w:val="17"/>
          <w:szCs w:val="17"/>
          <w:color w:val="auto"/>
        </w:rPr>
      </w:pPr>
      <w:r>
        <w:rPr>
          <w:rFonts w:ascii="Arial" w:cs="Arial" w:eastAsia="Arial" w:hAnsi="Arial"/>
          <w:sz w:val="17"/>
          <w:szCs w:val="17"/>
          <w:color w:val="auto"/>
        </w:rPr>
        <w:t>Have a competent management team with the experience and skillset that is necessary to successfully develop and commercialize promising drug candidates;</w:t>
      </w:r>
    </w:p>
    <w:p>
      <w:pPr>
        <w:spacing w:after="0" w:line="65" w:lineRule="exact"/>
        <w:rPr>
          <w:rFonts w:ascii="Arial" w:cs="Arial" w:eastAsia="Arial" w:hAnsi="Arial"/>
          <w:sz w:val="17"/>
          <w:szCs w:val="17"/>
          <w:color w:val="auto"/>
        </w:rPr>
      </w:pPr>
    </w:p>
    <w:p>
      <w:pPr>
        <w:ind w:left="1320" w:right="599" w:hanging="434"/>
        <w:spacing w:after="0" w:line="277" w:lineRule="auto"/>
        <w:tabs>
          <w:tab w:leader="none" w:pos="131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Are attractively valued due to being overlooked, misunderstood or undercapitalized, leaving ample upside for our stockholders;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Have a thesis that can be understood and appreciated by public investors in the current environment;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Will benefit from our capital, guidance and network and the public market access we can provide.</w:t>
      </w:r>
    </w:p>
    <w:p>
      <w:pPr>
        <w:spacing w:after="0" w:line="167"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The above criteria are not meant to be exhaustive, and our management team may adopt new or unique criteria over time and depending on each particular situation.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Initial Business Combination</w:t>
      </w:r>
    </w:p>
    <w:p>
      <w:pPr>
        <w:spacing w:after="0" w:line="162"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Nasdaq listing rules require that our initial business combination must be with one or more target businesses that together have an aggregate fair market value equal to at least 80% of the value of the trust account (excluding any deferred underwriters fees and taxes payable on the income earned on the trust account) at the time of our signing a definitive agreement in connection with our initial business combination. The Board determined that this test was met in connection with the proposed Business Combination.</w:t>
      </w:r>
    </w:p>
    <w:p>
      <w:pPr>
        <w:spacing w:after="0" w:line="94"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As part of the PIPE Financing, our Sponsor has entered into an agreement with us to purchase at least an aggregate of 2,500,000 shares of common stock, for an aggregate purchase price of $25,000,000, or $10.00 per share of common stock, prior to, concurrently with, or following the closing of our business combination in a private placement. The capital from such transaction may be used as part of the consideration to the sellers in our initial business combination, and any excess capital from such private placement would be used for working capital in the post-transaction company. If we sell shares to our sponsor (or any other investor) in connection with our initial business combination, the equity interest of IPO investors in the combined company may be diluted and the market prices for our securities may be adversely affected. In addition, if the per share trading price of our shares of common stock is greater than the price per share paid in the private placement, the private placement will result in value dilution to our stockholders.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4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25" w:lineRule="exact"/>
        <w:rPr>
          <w:sz w:val="20"/>
          <w:szCs w:val="20"/>
          <w:color w:val="auto"/>
        </w:rPr>
      </w:pPr>
    </w:p>
    <w:p>
      <w:pPr>
        <w:ind w:left="1320" w:right="539" w:hanging="434"/>
        <w:spacing w:after="0" w:line="263" w:lineRule="auto"/>
        <w:tabs>
          <w:tab w:leader="none" w:pos="131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16"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144"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Members of our management team may not become a part of the target’s</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8" w:name="page179"/>
    <w:bookmarkEnd w:id="17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72" w:lineRule="auto"/>
        <w:rPr>
          <w:sz w:val="20"/>
          <w:szCs w:val="20"/>
          <w:color w:val="auto"/>
        </w:rPr>
      </w:pPr>
      <w:r>
        <w:rPr>
          <w:rFonts w:ascii="Arial" w:cs="Arial" w:eastAsia="Arial" w:hAnsi="Arial"/>
          <w:sz w:val="17"/>
          <w:szCs w:val="17"/>
          <w:color w:val="auto"/>
        </w:rPr>
        <w:t>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10"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that additional managers will have the requisite skills, knowledge or experience necessary to enhance the incumbent management.</w:t>
      </w:r>
    </w:p>
    <w:p>
      <w:pPr>
        <w:spacing w:after="0" w:line="119"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Our initial stockholders and our officers and directors have agreed (1) to vote any shares of common stock owned by them in favor of any proposed business combination, (2) not to convert any shares of common stock in connection with a stockholder vote to approve a proposed initial business combination and (3) not sell any shares of common stock in any tender in connection with a proposed initial business combination. As a result, we would need only 734,064 of our public shares (or approximately 4.4% of our public shares) to be voted in favor of the transaction in order to have such transaction approved (assuming that only a quorum was present at the meeting).</w:t>
      </w:r>
    </w:p>
    <w:p>
      <w:pPr>
        <w:spacing w:after="0" w:line="114"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If a significant number of stockholders vote, or indicate an intention to vote, against such proposed business combination, our officers, directors, initial stockholders or their affiliates could make purchases of our stock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Conversion/Tender Rights</w:t>
      </w:r>
    </w:p>
    <w:p>
      <w:pPr>
        <w:spacing w:after="0" w:line="158"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 xml:space="preserve">At any meeting called to approve an initial business combination, public stockholders may seek to convert their public shares, regardless of whether they vote for or against the proposed business combination, into their </w:t>
      </w:r>
      <w:r>
        <w:rPr>
          <w:rFonts w:ascii="Arial" w:cs="Arial" w:eastAsia="Arial" w:hAnsi="Arial"/>
          <w:sz w:val="16"/>
          <w:szCs w:val="16"/>
          <w:i w:val="1"/>
          <w:iCs w:val="1"/>
          <w:color w:val="auto"/>
        </w:rPr>
        <w:t xml:space="preserve">pro rata </w:t>
      </w:r>
      <w:r>
        <w:rPr>
          <w:rFonts w:ascii="Arial" w:cs="Arial" w:eastAsia="Arial" w:hAnsi="Arial"/>
          <w:sz w:val="16"/>
          <w:szCs w:val="16"/>
          <w:color w:val="auto"/>
        </w:rPr>
        <w:t>share of the aggregate amount then on deposit in the trust account, less any taxes then due but not yet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paid. Notwithstanding the foregoing, our initial stockholders have agreed, pursuant to written letter agreements with us, not to convert any public shares held by them into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aggregate amount then on deposit in the trust account. If we hold a meeting to approve an initial business combination, a holder will always have the ability to vote against a proposed business combination and not seek conversion of his shares.</w:t>
      </w:r>
    </w:p>
    <w:p>
      <w:pPr>
        <w:spacing w:after="0" w:line="99" w:lineRule="exact"/>
        <w:rPr>
          <w:sz w:val="20"/>
          <w:szCs w:val="20"/>
          <w:color w:val="auto"/>
        </w:rPr>
      </w:pPr>
    </w:p>
    <w:p>
      <w:pPr>
        <w:jc w:val="both"/>
        <w:ind w:left="460" w:right="599" w:firstLine="432"/>
        <w:spacing w:after="0" w:line="263" w:lineRule="auto"/>
        <w:rPr>
          <w:sz w:val="20"/>
          <w:szCs w:val="20"/>
          <w:color w:val="auto"/>
        </w:rPr>
      </w:pPr>
      <w:r>
        <w:rPr>
          <w:rFonts w:ascii="Arial" w:cs="Arial" w:eastAsia="Arial" w:hAnsi="Arial"/>
          <w:sz w:val="18"/>
          <w:szCs w:val="18"/>
          <w:color w:val="auto"/>
        </w:rPr>
        <w:t>Our initial stockholders, officers and directors will not have conversion rights with respect to any shares of common stock owned by them, directly or indirectly, whether acquired prior to the BCTG IPO or purchased by them in it or in the aftermarket.</w:t>
      </w:r>
    </w:p>
    <w:p>
      <w:pPr>
        <w:spacing w:after="0" w:line="103" w:lineRule="exact"/>
        <w:rPr>
          <w:sz w:val="20"/>
          <w:szCs w:val="20"/>
          <w:color w:val="auto"/>
        </w:rPr>
      </w:pPr>
    </w:p>
    <w:p>
      <w:pPr>
        <w:ind w:left="460" w:right="599" w:firstLine="432"/>
        <w:spacing w:after="0" w:line="285" w:lineRule="auto"/>
        <w:rPr>
          <w:sz w:val="20"/>
          <w:szCs w:val="20"/>
          <w:color w:val="auto"/>
        </w:rPr>
      </w:pPr>
      <w:r>
        <w:rPr>
          <w:rFonts w:ascii="Arial" w:cs="Arial" w:eastAsia="Arial" w:hAnsi="Arial"/>
          <w:sz w:val="16"/>
          <w:szCs w:val="16"/>
          <w:color w:val="auto"/>
        </w:rPr>
        <w:t xml:space="preserve">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shares if he wishes to seek to exercise his conversion rights. Under Delaware law and our bylaws, we are required to provide at least 10 days’ advance notice of any stockholder meeting, which would be the minimum amount of time a stockholder would have to determine whether to exercise conversion rights. As a result, if we require public stockholders who wish to convert their shares of common stock into the right to receive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the funds in the trust account to comply with the foregoing delivery requirements, holders may not have sufficient time to receive the notice and deliver their shares for conversion. Accordingly, investors may not be able to exercise their conversion rights and may be forced to retain our securities when they otherwise would not want to. The conversion rights will include the requirement that a beneficial holder must identify itself in order to validly redeem its shares.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9" w:name="page180"/>
    <w:bookmarkEnd w:id="17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290" w:lineRule="auto"/>
        <w:rPr>
          <w:sz w:val="20"/>
          <w:szCs w:val="20"/>
          <w:color w:val="auto"/>
        </w:rPr>
      </w:pPr>
      <w:r>
        <w:rPr>
          <w:rFonts w:ascii="Arial" w:cs="Arial" w:eastAsia="Arial" w:hAnsi="Arial"/>
          <w:sz w:val="16"/>
          <w:szCs w:val="16"/>
          <w:color w:val="auto"/>
        </w:rPr>
        <w:t>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seeking to exercise conversion rights. The need to deliver shares is a requirement of exercising conversion rights regardless of the timing of when such delivery must be effectuated. However, in the event we require stockholders seeking to exercise conversion rights to deliver their shares prior to the consummation of the proposed business combination and the proposed business combination is not consummated, this may result in an increased cost to stockholders.</w:t>
      </w:r>
    </w:p>
    <w:p>
      <w:pPr>
        <w:spacing w:after="0" w:line="98"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Any request to convert or tender such shares once made, may be withdrawn at any time up to the vote on the proposed business combination or expiration of the tender offer. Furthermore, if a holder of a public share delivered his certificate in connection with an election of their conversion or tender and subsequently decides prior to the vote on the business combination or the expiration of the tender offer not to elect to exercise such rights, he may simply request that the transfer agent return the certificate (physically or electronically).</w:t>
      </w:r>
    </w:p>
    <w:p>
      <w:pPr>
        <w:spacing w:after="0" w:line="94"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 xml:space="preserve">If the initial business combination is not approved or completed for any reason, then our public stockholders who elected to exercise their conversion or tender rights would not be entitled to convert their shares for the applicable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trust account. In such case, we will promptly return any shares delivered by public holders.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 of Trust Account if No Business Combination</w:t>
      </w:r>
    </w:p>
    <w:p>
      <w:pPr>
        <w:spacing w:after="0" w:line="144"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If we do not complete a business combination within 24 months from the closing of the BCTG IPO,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97" w:lineRule="exact"/>
        <w:rPr>
          <w:sz w:val="20"/>
          <w:szCs w:val="20"/>
          <w:color w:val="auto"/>
        </w:rPr>
      </w:pPr>
    </w:p>
    <w:p>
      <w:pPr>
        <w:ind w:left="460" w:right="559" w:firstLine="432"/>
        <w:spacing w:after="0" w:line="287" w:lineRule="auto"/>
        <w:rPr>
          <w:sz w:val="20"/>
          <w:szCs w:val="20"/>
          <w:color w:val="auto"/>
        </w:rPr>
      </w:pPr>
      <w:r>
        <w:rPr>
          <w:rFonts w:ascii="Arial" w:cs="Arial" w:eastAsia="Arial" w:hAnsi="Arial"/>
          <w:sz w:val="16"/>
          <w:szCs w:val="16"/>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04" w:lineRule="exact"/>
        <w:rPr>
          <w:sz w:val="20"/>
          <w:szCs w:val="20"/>
          <w:color w:val="auto"/>
        </w:rPr>
      </w:pPr>
    </w:p>
    <w:p>
      <w:pPr>
        <w:ind w:left="460" w:right="459" w:firstLine="432"/>
        <w:spacing w:after="0" w:line="266"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DGCL,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24</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month from the closing of the BCTG IPO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03" w:lineRule="exact"/>
        <w:rPr>
          <w:sz w:val="20"/>
          <w:szCs w:val="20"/>
          <w:color w:val="auto"/>
        </w:rPr>
      </w:pPr>
    </w:p>
    <w:p>
      <w:pPr>
        <w:jc w:val="both"/>
        <w:ind w:left="460" w:right="579" w:firstLine="432"/>
        <w:spacing w:after="0" w:line="259" w:lineRule="auto"/>
        <w:rPr>
          <w:sz w:val="20"/>
          <w:szCs w:val="20"/>
          <w:color w:val="auto"/>
        </w:rPr>
      </w:pPr>
      <w:r>
        <w:rPr>
          <w:rFonts w:ascii="Arial" w:cs="Arial" w:eastAsia="Arial" w:hAnsi="Arial"/>
          <w:sz w:val="18"/>
          <w:szCs w:val="18"/>
          <w:color w:val="auto"/>
        </w:rPr>
        <w:t>Because we will not be complying with Section 280 of the DGCL, Section 281(b) of the DGCL requires us to adopt a plan, based on facts known to us at such time that will provide for our payment of all existing and pending claims or claims that may be potentially brought against us within the subsequent 10 years. However, because we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0" w:name="page181"/>
    <w:bookmarkEnd w:id="18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39"/>
        <w:spacing w:after="0" w:line="263" w:lineRule="auto"/>
        <w:rPr>
          <w:sz w:val="20"/>
          <w:szCs w:val="20"/>
          <w:color w:val="auto"/>
        </w:rPr>
      </w:pPr>
      <w:r>
        <w:rPr>
          <w:rFonts w:ascii="Arial" w:cs="Arial" w:eastAsia="Arial" w:hAnsi="Arial"/>
          <w:sz w:val="18"/>
          <w:szCs w:val="18"/>
          <w:color w:val="auto"/>
        </w:rPr>
        <w:t>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16"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We will seek to have all third parties (including any vendors or other entities we engage after the BCTG IPO, other than our independent registered public accounting firm) and any prospective target businesses enter into valid and enforceable agreements with us waiving any right, title, interest or claim of any kind they may have in or to any monies held in the trust account. The underwriters in the BCTG IPO executed such a waiver agreement.</w:t>
      </w:r>
    </w:p>
    <w:p>
      <w:pPr>
        <w:spacing w:after="0" w:line="120" w:lineRule="exact"/>
        <w:rPr>
          <w:sz w:val="20"/>
          <w:szCs w:val="20"/>
          <w:color w:val="auto"/>
        </w:rPr>
      </w:pPr>
    </w:p>
    <w:p>
      <w:pPr>
        <w:ind w:left="460" w:right="479" w:firstLine="432"/>
        <w:spacing w:after="0" w:line="283" w:lineRule="auto"/>
        <w:rPr>
          <w:sz w:val="20"/>
          <w:szCs w:val="20"/>
          <w:color w:val="auto"/>
        </w:rPr>
      </w:pPr>
      <w:r>
        <w:rPr>
          <w:rFonts w:ascii="Arial" w:cs="Arial" w:eastAsia="Arial" w:hAnsi="Arial"/>
          <w:sz w:val="16"/>
          <w:szCs w:val="16"/>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refused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$10.00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the BCTG IPO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$10.00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323"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11"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1" w:name="page182"/>
    <w:bookmarkEnd w:id="18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firstLine="432"/>
        <w:spacing w:after="0" w:line="275" w:lineRule="auto"/>
        <w:rPr>
          <w:sz w:val="20"/>
          <w:szCs w:val="20"/>
          <w:color w:val="auto"/>
        </w:rPr>
      </w:pPr>
      <w:r>
        <w:rPr>
          <w:rFonts w:ascii="Arial" w:cs="Arial" w:eastAsia="Arial" w:hAnsi="Arial"/>
          <w:sz w:val="17"/>
          <w:szCs w:val="17"/>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$10.00.</w:t>
      </w:r>
    </w:p>
    <w:p>
      <w:pPr>
        <w:spacing w:after="0" w:line="109"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Certificate of Incorporation</w:t>
      </w:r>
    </w:p>
    <w:p>
      <w:pPr>
        <w:spacing w:after="0" w:line="15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Our Current Charter contains certain requirements and restrictions relating to the BCTG IPO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Our insiders have agreed to waive any conversion rights with respect to any insider shares and any Public Shares they may hold in connection with any vote to amend our certificate of incorporation. Specifically, our certificate of incorporation provides, among other things, that:</w:t>
      </w:r>
    </w:p>
    <w:p>
      <w:pPr>
        <w:spacing w:after="0" w:line="91" w:lineRule="exact"/>
        <w:rPr>
          <w:sz w:val="20"/>
          <w:szCs w:val="20"/>
          <w:color w:val="auto"/>
        </w:rPr>
      </w:pPr>
    </w:p>
    <w:p>
      <w:pPr>
        <w:ind w:left="1320" w:right="539" w:hanging="434"/>
        <w:spacing w:after="0" w:line="271" w:lineRule="auto"/>
        <w:tabs>
          <w:tab w:leader="none" w:pos="1311" w:val="left"/>
        </w:tabs>
        <w:numPr>
          <w:ilvl w:val="0"/>
          <w:numId w:val="222"/>
        </w:numPr>
        <w:rPr>
          <w:rFonts w:ascii="Arial" w:cs="Arial" w:eastAsia="Arial" w:hAnsi="Arial"/>
          <w:sz w:val="17"/>
          <w:szCs w:val="17"/>
          <w:color w:val="auto"/>
        </w:rPr>
      </w:pPr>
      <w:r>
        <w:rPr>
          <w:rFonts w:ascii="Arial" w:cs="Arial" w:eastAsia="Arial" w:hAnsi="Arial"/>
          <w:sz w:val="17"/>
          <w:szCs w:val="17"/>
          <w:color w:val="auto"/>
        </w:rPr>
        <w:t>prior to the consummation of our initial business combination, we shall either (1) seek stockholder approval of our initial business combination at a meeting called for such purpose at which public stockholders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110" w:lineRule="exact"/>
        <w:rPr>
          <w:rFonts w:ascii="Arial" w:cs="Arial" w:eastAsia="Arial" w:hAnsi="Arial"/>
          <w:sz w:val="17"/>
          <w:szCs w:val="17"/>
          <w:color w:val="auto"/>
        </w:rPr>
      </w:pPr>
    </w:p>
    <w:p>
      <w:pPr>
        <w:ind w:left="1320" w:right="659" w:hanging="434"/>
        <w:spacing w:after="0" w:line="259" w:lineRule="auto"/>
        <w:tabs>
          <w:tab w:leader="none" w:pos="131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19" w:lineRule="exact"/>
        <w:rPr>
          <w:rFonts w:ascii="Arial" w:cs="Arial" w:eastAsia="Arial" w:hAnsi="Arial"/>
          <w:sz w:val="18"/>
          <w:szCs w:val="18"/>
          <w:color w:val="auto"/>
        </w:rPr>
      </w:pPr>
    </w:p>
    <w:p>
      <w:pPr>
        <w:ind w:left="1320" w:right="539" w:hanging="434"/>
        <w:spacing w:after="0" w:line="263" w:lineRule="auto"/>
        <w:tabs>
          <w:tab w:leader="none" w:pos="131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24 months of the closing of the BCTG IPO, then our existence will terminate and we will distribute all amounts in the trust account to all of our public holders of shares of common stock;</w:t>
      </w:r>
    </w:p>
    <w:p>
      <w:pPr>
        <w:spacing w:after="0" w:line="102" w:lineRule="exact"/>
        <w:rPr>
          <w:rFonts w:ascii="Arial" w:cs="Arial" w:eastAsia="Arial" w:hAnsi="Arial"/>
          <w:sz w:val="18"/>
          <w:szCs w:val="18"/>
          <w:color w:val="auto"/>
        </w:rPr>
      </w:pPr>
    </w:p>
    <w:p>
      <w:pPr>
        <w:ind w:left="1320" w:right="859" w:hanging="434"/>
        <w:spacing w:after="0" w:line="263" w:lineRule="auto"/>
        <w:tabs>
          <w:tab w:leader="none" w:pos="131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16" w:lineRule="exact"/>
        <w:rPr>
          <w:rFonts w:ascii="Arial" w:cs="Arial" w:eastAsia="Arial" w:hAnsi="Arial"/>
          <w:sz w:val="18"/>
          <w:szCs w:val="18"/>
          <w:color w:val="auto"/>
        </w:rPr>
      </w:pPr>
    </w:p>
    <w:p>
      <w:pPr>
        <w:ind w:left="1320" w:right="519" w:hanging="434"/>
        <w:spacing w:after="0" w:line="263" w:lineRule="auto"/>
        <w:tabs>
          <w:tab w:leader="none" w:pos="131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2" w:name="page183"/>
    <w:bookmarkEnd w:id="18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Revisions to Agreements with Insiders</w:t>
      </w:r>
    </w:p>
    <w:p>
      <w:pPr>
        <w:spacing w:after="0" w:line="144"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Each of our insiders has entered into letter agreements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119" w:lineRule="exact"/>
        <w:rPr>
          <w:sz w:val="20"/>
          <w:szCs w:val="20"/>
          <w:color w:val="auto"/>
        </w:rPr>
      </w:pPr>
    </w:p>
    <w:p>
      <w:pPr>
        <w:ind w:left="1320" w:right="979" w:hanging="434"/>
        <w:spacing w:after="0" w:line="286" w:lineRule="auto"/>
        <w:tabs>
          <w:tab w:leader="none" w:pos="1311" w:val="left"/>
        </w:tabs>
        <w:numPr>
          <w:ilvl w:val="0"/>
          <w:numId w:val="223"/>
        </w:numPr>
        <w:rPr>
          <w:rFonts w:ascii="Arial" w:cs="Arial" w:eastAsia="Arial" w:hAnsi="Arial"/>
          <w:sz w:val="17"/>
          <w:szCs w:val="17"/>
          <w:color w:val="auto"/>
        </w:rPr>
      </w:pPr>
      <w:r>
        <w:rPr>
          <w:rFonts w:ascii="Arial" w:cs="Arial" w:eastAsia="Arial" w:hAnsi="Arial"/>
          <w:sz w:val="17"/>
          <w:szCs w:val="17"/>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97" w:lineRule="exact"/>
        <w:rPr>
          <w:rFonts w:ascii="Arial" w:cs="Arial" w:eastAsia="Arial" w:hAnsi="Arial"/>
          <w:sz w:val="17"/>
          <w:szCs w:val="17"/>
          <w:color w:val="auto"/>
        </w:rPr>
      </w:pPr>
    </w:p>
    <w:p>
      <w:pPr>
        <w:ind w:left="1320" w:right="499" w:hanging="434"/>
        <w:spacing w:after="0" w:line="263" w:lineRule="auto"/>
        <w:tabs>
          <w:tab w:leader="none" w:pos="131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102" w:lineRule="exact"/>
        <w:rPr>
          <w:rFonts w:ascii="Arial" w:cs="Arial" w:eastAsia="Arial" w:hAnsi="Arial"/>
          <w:sz w:val="18"/>
          <w:szCs w:val="18"/>
          <w:color w:val="auto"/>
        </w:rPr>
      </w:pPr>
    </w:p>
    <w:p>
      <w:pPr>
        <w:ind w:left="1320" w:right="559" w:hanging="434"/>
        <w:spacing w:after="0" w:line="279" w:lineRule="auto"/>
        <w:tabs>
          <w:tab w:leader="none" w:pos="1311"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pacing w:after="0" w:line="103" w:lineRule="exact"/>
        <w:rPr>
          <w:rFonts w:ascii="Arial" w:cs="Arial" w:eastAsia="Arial" w:hAnsi="Arial"/>
          <w:sz w:val="17"/>
          <w:szCs w:val="17"/>
          <w:color w:val="auto"/>
        </w:rPr>
      </w:pPr>
    </w:p>
    <w:p>
      <w:pPr>
        <w:ind w:left="1320" w:right="539" w:hanging="434"/>
        <w:spacing w:after="0" w:line="277" w:lineRule="auto"/>
        <w:tabs>
          <w:tab w:leader="none" w:pos="131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restrictions on transfer of our securities could be amended to allow transfer to third parties who were not members of our original management team;</w:t>
      </w:r>
    </w:p>
    <w:p>
      <w:pPr>
        <w:spacing w:after="0" w:line="102" w:lineRule="exact"/>
        <w:rPr>
          <w:rFonts w:ascii="Arial" w:cs="Arial" w:eastAsia="Arial" w:hAnsi="Arial"/>
          <w:sz w:val="18"/>
          <w:szCs w:val="18"/>
          <w:color w:val="auto"/>
        </w:rPr>
      </w:pPr>
    </w:p>
    <w:p>
      <w:pPr>
        <w:jc w:val="both"/>
        <w:ind w:left="1320" w:right="1239" w:hanging="434"/>
        <w:spacing w:after="0" w:line="342" w:lineRule="auto"/>
        <w:tabs>
          <w:tab w:leader="none" w:pos="1311"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obligation of our management team to not propose amendments to our organizational documents could be amended to allow them to propose such changes to our stockholders;</w:t>
      </w:r>
    </w:p>
    <w:p>
      <w:pPr>
        <w:spacing w:after="0" w:line="42" w:lineRule="exact"/>
        <w:rPr>
          <w:rFonts w:ascii="Arial" w:cs="Arial" w:eastAsia="Arial" w:hAnsi="Arial"/>
          <w:sz w:val="16"/>
          <w:szCs w:val="16"/>
          <w:color w:val="auto"/>
        </w:rPr>
      </w:pPr>
    </w:p>
    <w:p>
      <w:pPr>
        <w:ind w:left="1320" w:right="1319" w:hanging="434"/>
        <w:spacing w:after="0" w:line="342" w:lineRule="auto"/>
        <w:tabs>
          <w:tab w:leader="none" w:pos="1311"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obligation of insiders to not receive any compensation in connection with a business combination could be modified in order to allow them to receive such compensation;</w:t>
      </w:r>
    </w:p>
    <w:p>
      <w:pPr>
        <w:spacing w:after="0" w:line="56" w:lineRule="exact"/>
        <w:rPr>
          <w:rFonts w:ascii="Arial" w:cs="Arial" w:eastAsia="Arial" w:hAnsi="Arial"/>
          <w:sz w:val="16"/>
          <w:szCs w:val="16"/>
          <w:color w:val="auto"/>
        </w:rPr>
      </w:pPr>
    </w:p>
    <w:p>
      <w:pPr>
        <w:ind w:left="1320" w:right="899" w:hanging="434"/>
        <w:spacing w:after="0" w:line="277" w:lineRule="auto"/>
        <w:tabs>
          <w:tab w:leader="none" w:pos="131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requirement to obtain a valuation for any target business affiliated with our insiders, in the event it was too expensive to do so.</w:t>
      </w:r>
    </w:p>
    <w:p>
      <w:pPr>
        <w:spacing w:after="0" w:line="103"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Except as specified above, stockholders would not be required to be given the opportunity to redeem their shares in connection with such changes. Such changes could result in:</w:t>
      </w:r>
    </w:p>
    <w:p>
      <w:pPr>
        <w:spacing w:after="0" w:line="89" w:lineRule="exact"/>
        <w:rPr>
          <w:sz w:val="20"/>
          <w:szCs w:val="20"/>
          <w:color w:val="auto"/>
        </w:rPr>
      </w:pPr>
    </w:p>
    <w:p>
      <w:pPr>
        <w:jc w:val="both"/>
        <w:ind w:left="1320" w:right="639" w:hanging="434"/>
        <w:spacing w:after="0" w:line="263" w:lineRule="auto"/>
        <w:tabs>
          <w:tab w:leader="none" w:pos="131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116" w:lineRule="exact"/>
        <w:rPr>
          <w:rFonts w:ascii="Arial" w:cs="Arial" w:eastAsia="Arial" w:hAnsi="Arial"/>
          <w:sz w:val="18"/>
          <w:szCs w:val="18"/>
          <w:color w:val="auto"/>
        </w:rPr>
      </w:pPr>
    </w:p>
    <w:p>
      <w:pPr>
        <w:ind w:left="1320" w:right="1119" w:hanging="434"/>
        <w:spacing w:after="0" w:line="277" w:lineRule="auto"/>
        <w:tabs>
          <w:tab w:leader="none" w:pos="131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Our insiders being able to vote against a business combination or in favor of changes to our organizational documents;</w:t>
      </w:r>
    </w:p>
    <w:p>
      <w:pPr>
        <w:spacing w:after="0" w:line="102" w:lineRule="exact"/>
        <w:rPr>
          <w:rFonts w:ascii="Arial" w:cs="Arial" w:eastAsia="Arial" w:hAnsi="Arial"/>
          <w:sz w:val="18"/>
          <w:szCs w:val="18"/>
          <w:color w:val="auto"/>
        </w:rPr>
      </w:pPr>
    </w:p>
    <w:p>
      <w:pPr>
        <w:ind w:left="1320" w:right="699" w:hanging="434"/>
        <w:spacing w:after="0" w:line="277" w:lineRule="auto"/>
        <w:tabs>
          <w:tab w:leader="none" w:pos="131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Our operations being controlled by a new management team that our stockholders did not elect to invest with;</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Our insiders receiving compensation in connection with a business combination; and</w:t>
      </w:r>
    </w:p>
    <w:p>
      <w:pPr>
        <w:spacing w:after="0" w:line="157" w:lineRule="exact"/>
        <w:rPr>
          <w:rFonts w:ascii="Arial" w:cs="Arial" w:eastAsia="Arial" w:hAnsi="Arial"/>
          <w:sz w:val="18"/>
          <w:szCs w:val="18"/>
          <w:color w:val="auto"/>
        </w:rPr>
      </w:pPr>
    </w:p>
    <w:p>
      <w:pPr>
        <w:ind w:left="1320" w:right="939" w:hanging="434"/>
        <w:spacing w:after="0" w:line="277" w:lineRule="auto"/>
        <w:tabs>
          <w:tab w:leader="none" w:pos="131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Our insiders closing a transaction with one of their affiliates without receiving an independent valuation of such business.</w:t>
      </w:r>
    </w:p>
    <w:p>
      <w:pPr>
        <w:spacing w:after="0" w:line="103"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Facilities</w:t>
      </w:r>
    </w:p>
    <w:p>
      <w:pPr>
        <w:spacing w:after="0" w:line="144" w:lineRule="exact"/>
        <w:rPr>
          <w:sz w:val="20"/>
          <w:szCs w:val="20"/>
          <w:color w:val="auto"/>
        </w:rPr>
      </w:pPr>
    </w:p>
    <w:p>
      <w:pPr>
        <w:jc w:val="both"/>
        <w:ind w:left="460" w:right="519" w:firstLine="432"/>
        <w:spacing w:after="0" w:line="342" w:lineRule="auto"/>
        <w:rPr>
          <w:sz w:val="20"/>
          <w:szCs w:val="20"/>
          <w:color w:val="auto"/>
        </w:rPr>
      </w:pPr>
      <w:r>
        <w:rPr>
          <w:rFonts w:ascii="Arial" w:cs="Arial" w:eastAsia="Arial" w:hAnsi="Arial"/>
          <w:sz w:val="16"/>
          <w:szCs w:val="16"/>
          <w:color w:val="auto"/>
        </w:rPr>
        <w:t>We pay to an affiliate of our sponsor a fee of $10,000 per month for use of office space and certain office and secretarial services. The office space is located at 12860 El Camino Real, Suite 300, San Diego, CA 92130.</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3" w:name="page184"/>
    <w:bookmarkEnd w:id="18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Employees</w:t>
      </w:r>
    </w:p>
    <w:p>
      <w:pPr>
        <w:spacing w:after="0" w:line="144"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color w:val="auto"/>
        </w:rPr>
        <w:t>We currently have four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jc w:val="both"/>
        <w:ind w:left="460" w:right="499" w:firstLine="432"/>
        <w:spacing w:after="0" w:line="311" w:lineRule="auto"/>
        <w:rPr>
          <w:sz w:val="20"/>
          <w:szCs w:val="20"/>
          <w:color w:val="auto"/>
        </w:rPr>
      </w:pPr>
      <w:r>
        <w:rPr>
          <w:rFonts w:ascii="Arial" w:cs="Arial" w:eastAsia="Arial" w:hAnsi="Arial"/>
          <w:sz w:val="16"/>
          <w:szCs w:val="16"/>
          <w:color w:val="auto"/>
        </w:rPr>
        <w:t>There is no material litigation, arbitration or governmental proceeding currently pending against us or any of our officers or directors in their capacity as such, and we and our officers and directors have not been subject to any such proceeding in the 12 months preceding the date of this proxy statement/prospectus.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4" w:name="page185"/>
    <w:bookmarkEnd w:id="18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AND DIRECTORS OF BCTG</w:t>
      </w:r>
    </w:p>
    <w:p>
      <w:pPr>
        <w:spacing w:after="0" w:line="148"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section to “we,” “our,” “us” and other similar terms refer to BCTG before the Business Combination.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Officers and Directors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the date of this proxy statement/prospectus, our officers and directors are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8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Pr>
          <w:p>
            <w:pPr>
              <w:spacing w:after="0"/>
              <w:rPr>
                <w:sz w:val="18"/>
                <w:szCs w:val="18"/>
                <w:color w:val="auto"/>
              </w:rPr>
            </w:pPr>
          </w:p>
        </w:tc>
        <w:tc>
          <w:tcPr>
            <w:tcW w:w="4420" w:type="dxa"/>
            <w:vAlign w:val="bottom"/>
          </w:tcPr>
          <w:p>
            <w:pPr>
              <w:ind w:left="1920"/>
              <w:spacing w:after="0"/>
              <w:rPr>
                <w:sz w:val="20"/>
                <w:szCs w:val="20"/>
                <w:color w:val="auto"/>
              </w:rPr>
            </w:pPr>
            <w:r>
              <w:rPr>
                <w:rFonts w:ascii="Arial" w:cs="Arial" w:eastAsia="Arial" w:hAnsi="Arial"/>
                <w:sz w:val="16"/>
                <w:szCs w:val="16"/>
                <w:b w:val="1"/>
                <w:bCs w:val="1"/>
                <w:color w:val="auto"/>
              </w:rPr>
              <w:t>Position</w:t>
            </w:r>
          </w:p>
        </w:tc>
      </w:tr>
      <w:tr>
        <w:trPr>
          <w:trHeight w:val="47"/>
        </w:trPr>
        <w:tc>
          <w:tcPr>
            <w:tcW w:w="2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r>
      <w:tr>
        <w:trPr>
          <w:trHeight w:val="243"/>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Aaron I. Davis</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Chairman, Chief Executive Officer</w:t>
            </w:r>
          </w:p>
        </w:tc>
      </w:tr>
      <w:tr>
        <w:trPr>
          <w:trHeight w:val="243"/>
        </w:trPr>
        <w:tc>
          <w:tcPr>
            <w:tcW w:w="2860" w:type="dxa"/>
            <w:vAlign w:val="bottom"/>
            <w:gridSpan w:val="2"/>
          </w:tcPr>
          <w:p>
            <w:pPr>
              <w:spacing w:after="0"/>
              <w:rPr>
                <w:sz w:val="20"/>
                <w:szCs w:val="20"/>
                <w:color w:val="auto"/>
              </w:rPr>
            </w:pPr>
            <w:r>
              <w:rPr>
                <w:rFonts w:ascii="Arial" w:cs="Arial" w:eastAsia="Arial" w:hAnsi="Arial"/>
                <w:sz w:val="18"/>
                <w:szCs w:val="18"/>
                <w:color w:val="auto"/>
              </w:rPr>
              <w:t>Christopher Fuglesang, Ph.D., J.D.</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4520" w:type="dxa"/>
            <w:vAlign w:val="bottom"/>
            <w:gridSpan w:val="2"/>
          </w:tcPr>
          <w:p>
            <w:pPr>
              <w:ind w:left="100"/>
              <w:spacing w:after="0"/>
              <w:rPr>
                <w:sz w:val="20"/>
                <w:szCs w:val="20"/>
                <w:color w:val="auto"/>
              </w:rPr>
            </w:pPr>
            <w:r>
              <w:rPr>
                <w:rFonts w:ascii="Arial" w:cs="Arial" w:eastAsia="Arial" w:hAnsi="Arial"/>
                <w:sz w:val="18"/>
                <w:szCs w:val="18"/>
                <w:color w:val="auto"/>
              </w:rPr>
              <w:t>President, Director</w:t>
            </w:r>
          </w:p>
        </w:tc>
      </w:tr>
      <w:tr>
        <w:trPr>
          <w:trHeight w:val="40"/>
        </w:trPr>
        <w:tc>
          <w:tcPr>
            <w:tcW w:w="27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20" w:type="dxa"/>
            <w:vAlign w:val="bottom"/>
          </w:tcPr>
          <w:p>
            <w:pPr>
              <w:spacing w:after="0"/>
              <w:rPr>
                <w:sz w:val="3"/>
                <w:szCs w:val="3"/>
                <w:color w:val="auto"/>
              </w:rPr>
            </w:pPr>
          </w:p>
        </w:tc>
      </w:tr>
      <w:tr>
        <w:trPr>
          <w:trHeight w:val="263"/>
        </w:trPr>
        <w:tc>
          <w:tcPr>
            <w:tcW w:w="2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Michael Beauchamp</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4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 Treasurer</w:t>
            </w:r>
          </w:p>
        </w:tc>
      </w:tr>
      <w:tr>
        <w:trPr>
          <w:trHeight w:val="243"/>
        </w:trPr>
        <w:tc>
          <w:tcPr>
            <w:tcW w:w="2860" w:type="dxa"/>
            <w:vAlign w:val="bottom"/>
            <w:gridSpan w:val="2"/>
          </w:tcPr>
          <w:p>
            <w:pPr>
              <w:spacing w:after="0"/>
              <w:rPr>
                <w:sz w:val="20"/>
                <w:szCs w:val="20"/>
                <w:color w:val="auto"/>
              </w:rPr>
            </w:pPr>
            <w:r>
              <w:rPr>
                <w:rFonts w:ascii="Arial" w:cs="Arial" w:eastAsia="Arial" w:hAnsi="Arial"/>
                <w:sz w:val="18"/>
                <w:szCs w:val="18"/>
                <w:color w:val="auto"/>
              </w:rPr>
              <w:t>Andrew Ellis, M.D., J.D.</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4520" w:type="dxa"/>
            <w:vAlign w:val="bottom"/>
            <w:gridSpan w:val="2"/>
          </w:tcPr>
          <w:p>
            <w:pPr>
              <w:ind w:left="100"/>
              <w:spacing w:after="0"/>
              <w:rPr>
                <w:sz w:val="20"/>
                <w:szCs w:val="20"/>
                <w:color w:val="auto"/>
              </w:rPr>
            </w:pPr>
            <w:r>
              <w:rPr>
                <w:rFonts w:ascii="Arial" w:cs="Arial" w:eastAsia="Arial" w:hAnsi="Arial"/>
                <w:sz w:val="18"/>
                <w:szCs w:val="18"/>
                <w:color w:val="auto"/>
              </w:rPr>
              <w:t>Chief Operating Officer, Secretary</w:t>
            </w:r>
          </w:p>
        </w:tc>
      </w:tr>
      <w:tr>
        <w:trPr>
          <w:trHeight w:val="40"/>
        </w:trPr>
        <w:tc>
          <w:tcPr>
            <w:tcW w:w="27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20" w:type="dxa"/>
            <w:vAlign w:val="bottom"/>
          </w:tcPr>
          <w:p>
            <w:pPr>
              <w:spacing w:after="0"/>
              <w:rPr>
                <w:sz w:val="3"/>
                <w:szCs w:val="3"/>
                <w:color w:val="auto"/>
              </w:rPr>
            </w:pPr>
          </w:p>
        </w:tc>
      </w:tr>
      <w:tr>
        <w:trPr>
          <w:trHeight w:val="263"/>
        </w:trPr>
        <w:tc>
          <w:tcPr>
            <w:tcW w:w="2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Carole L. Nuechterlein, J.D.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4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43"/>
        </w:trPr>
        <w:tc>
          <w:tcPr>
            <w:tcW w:w="2860" w:type="dxa"/>
            <w:vAlign w:val="bottom"/>
            <w:gridSpan w:val="2"/>
          </w:tcPr>
          <w:p>
            <w:pPr>
              <w:spacing w:after="0"/>
              <w:rPr>
                <w:sz w:val="20"/>
                <w:szCs w:val="20"/>
                <w:color w:val="auto"/>
              </w:rPr>
            </w:pPr>
            <w:r>
              <w:rPr>
                <w:rFonts w:ascii="Arial" w:cs="Arial" w:eastAsia="Arial" w:hAnsi="Arial"/>
                <w:sz w:val="18"/>
                <w:szCs w:val="18"/>
                <w:color w:val="auto"/>
              </w:rPr>
              <w:t>Richard Heyman, Ph.D.</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45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41"/>
        </w:trPr>
        <w:tc>
          <w:tcPr>
            <w:tcW w:w="27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20" w:type="dxa"/>
            <w:vAlign w:val="bottom"/>
          </w:tcPr>
          <w:p>
            <w:pPr>
              <w:spacing w:after="0"/>
              <w:rPr>
                <w:sz w:val="3"/>
                <w:szCs w:val="3"/>
                <w:color w:val="auto"/>
              </w:rPr>
            </w:pPr>
          </w:p>
        </w:tc>
      </w:tr>
      <w:tr>
        <w:trPr>
          <w:trHeight w:val="263"/>
        </w:trPr>
        <w:tc>
          <w:tcPr>
            <w:tcW w:w="2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Charles M. Baum, M.D., Ph.D.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4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43"/>
        </w:trPr>
        <w:tc>
          <w:tcPr>
            <w:tcW w:w="2860" w:type="dxa"/>
            <w:vAlign w:val="bottom"/>
            <w:gridSpan w:val="2"/>
          </w:tcPr>
          <w:p>
            <w:pPr>
              <w:spacing w:after="0"/>
              <w:rPr>
                <w:sz w:val="20"/>
                <w:szCs w:val="20"/>
                <w:color w:val="auto"/>
              </w:rPr>
            </w:pPr>
            <w:r>
              <w:rPr>
                <w:rFonts w:ascii="Arial" w:cs="Arial" w:eastAsia="Arial" w:hAnsi="Arial"/>
                <w:sz w:val="18"/>
                <w:szCs w:val="18"/>
                <w:color w:val="auto"/>
              </w:rPr>
              <w:t>Jamie G. Christensen, Ph.D.</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5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40"/>
        </w:trPr>
        <w:tc>
          <w:tcPr>
            <w:tcW w:w="27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20" w:type="dxa"/>
            <w:vAlign w:val="bottom"/>
          </w:tcPr>
          <w:p>
            <w:pPr>
              <w:spacing w:after="0"/>
              <w:rPr>
                <w:sz w:val="3"/>
                <w:szCs w:val="3"/>
                <w:color w:val="auto"/>
              </w:rPr>
            </w:pPr>
          </w:p>
        </w:tc>
      </w:tr>
      <w:tr>
        <w:trPr>
          <w:trHeight w:val="243"/>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B. Avery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4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40"/>
        </w:trPr>
        <w:tc>
          <w:tcPr>
            <w:tcW w:w="2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2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b w:val="1"/>
          <w:bCs w:val="1"/>
          <w:color w:val="auto"/>
        </w:rPr>
        <w:t xml:space="preserve">Aaron I. Davis </w:t>
      </w:r>
      <w:r>
        <w:rPr>
          <w:rFonts w:ascii="Arial" w:cs="Arial" w:eastAsia="Arial" w:hAnsi="Arial"/>
          <w:sz w:val="17"/>
          <w:szCs w:val="17"/>
          <w:color w:val="auto"/>
        </w:rPr>
        <w:t>has served as our Chief Executive Officer and Chairman of our board of directors since</w:t>
      </w:r>
      <w:r>
        <w:rPr>
          <w:rFonts w:ascii="Arial" w:cs="Arial" w:eastAsia="Arial" w:hAnsi="Arial"/>
          <w:sz w:val="17"/>
          <w:szCs w:val="17"/>
          <w:b w:val="1"/>
          <w:bCs w:val="1"/>
          <w:color w:val="auto"/>
        </w:rPr>
        <w:t xml:space="preserve"> </w:t>
      </w:r>
      <w:r>
        <w:rPr>
          <w:rFonts w:ascii="Arial" w:cs="Arial" w:eastAsia="Arial" w:hAnsi="Arial"/>
          <w:sz w:val="17"/>
          <w:szCs w:val="17"/>
          <w:color w:val="auto"/>
        </w:rPr>
        <w:t>May 2020. Mr. Davis co-founded Boxer Capital, LLC (“</w:t>
      </w:r>
      <w:r>
        <w:rPr>
          <w:rFonts w:ascii="Arial" w:cs="Arial" w:eastAsia="Arial" w:hAnsi="Arial"/>
          <w:sz w:val="17"/>
          <w:szCs w:val="17"/>
          <w:b w:val="1"/>
          <w:bCs w:val="1"/>
          <w:color w:val="auto"/>
        </w:rPr>
        <w:t>Boxer Capital</w:t>
      </w:r>
      <w:r>
        <w:rPr>
          <w:rFonts w:ascii="Arial" w:cs="Arial" w:eastAsia="Arial" w:hAnsi="Arial"/>
          <w:sz w:val="17"/>
          <w:szCs w:val="17"/>
          <w:color w:val="auto"/>
        </w:rPr>
        <w:t>”), the healthcare arm of the Tavistock Group, where he has served as portfolio manager since 2005 and as Chief Executive Officer since 2012. At Boxer Capital, Mr. Davis is responsible for identifying, evaluating and structuring investment opportunities in private and public biotechnology companies. Mr. Davis serves as a member of the board of directors of Mirati Therapeutics, Inc. (Nasdaq:MRTX), Odonate Therapeutics, Inc. (Nasdaq:ODT), iTeos Therapeutics, Inc. (Nasdaq:ITOS), and Sojournix, Inc. and serves as the Executive Chairman of CiVi Biopharma Holdings, Inc. Prior to joining the Tavistock Group, Mr. Davis worked in the Global Healthcare Investment Banking and Private Equity Groups at UBS Warburg, LLC. Mr. Davis received an M.A. degree in biotechnology from Columbia University and a B.B.A. degree in finance from Emory University. We believe Mr. Davis’ experience serving as a director of biotechnology companies and as a manager of funds specializing in the area of life sciences qualifies him to serve on our Board of Directors.</w:t>
      </w:r>
    </w:p>
    <w:p>
      <w:pPr>
        <w:spacing w:after="0" w:line="98" w:lineRule="exact"/>
        <w:rPr>
          <w:sz w:val="20"/>
          <w:szCs w:val="20"/>
          <w:color w:val="auto"/>
        </w:rPr>
      </w:pPr>
    </w:p>
    <w:p>
      <w:pPr>
        <w:ind w:left="460" w:right="559" w:firstLine="432"/>
        <w:spacing w:after="0" w:line="284" w:lineRule="auto"/>
        <w:rPr>
          <w:sz w:val="20"/>
          <w:szCs w:val="20"/>
          <w:color w:val="auto"/>
        </w:rPr>
      </w:pPr>
      <w:r>
        <w:rPr>
          <w:rFonts w:ascii="Arial" w:cs="Arial" w:eastAsia="Arial" w:hAnsi="Arial"/>
          <w:sz w:val="16"/>
          <w:szCs w:val="16"/>
          <w:b w:val="1"/>
          <w:bCs w:val="1"/>
          <w:color w:val="auto"/>
        </w:rPr>
        <w:t xml:space="preserve">Christopher Fuglesang, Ph.D., J.D., </w:t>
      </w:r>
      <w:r>
        <w:rPr>
          <w:rFonts w:ascii="Arial" w:cs="Arial" w:eastAsia="Arial" w:hAnsi="Arial"/>
          <w:sz w:val="16"/>
          <w:szCs w:val="16"/>
          <w:color w:val="auto"/>
        </w:rPr>
        <w:t>has served as our President and as a member of our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since May 2020. Dr. Fuglesang joined Tavistock Group in 2005 as a vice president and was a co-founder of Boxer Capital, where he has been a managing director since 2012. At Boxer Capital, Dr. Fuglesang assists in managing the firm’s research team, deal structuring and securities compliance. Prior to joining Boxer Capital, Dr. Fuglesang was vice president at Eidogen-Sertanty, Inc., a structural proteomics software company, and an attorney at Perkins Coie LLC. Dr. Fuglesang is a member of the board of directors of Pandion Therapeutics, Inc. and CiVi Biopharma Holdings, Inc. Dr. Fuglesang served as a member of the board of directors of Kalypsys, Inc. from 2007 to 2013 and of Ambrx Inc. from 2011 to 2015. Dr. Fuglesang received a B.S. in chemistry and physics from the University of California at Los Angeles, a Ph.D. in theoretical chemical physics from the University of California at Los Angeles, and a J.D. from Boston University. We believe</w:t>
      </w:r>
    </w:p>
    <w:p>
      <w:pPr>
        <w:spacing w:after="0" w:line="1" w:lineRule="exact"/>
        <w:rPr>
          <w:sz w:val="20"/>
          <w:szCs w:val="20"/>
          <w:color w:val="auto"/>
        </w:rPr>
      </w:pPr>
    </w:p>
    <w:p>
      <w:pPr>
        <w:ind w:left="460" w:right="799"/>
        <w:spacing w:after="0" w:line="260" w:lineRule="auto"/>
        <w:rPr>
          <w:sz w:val="20"/>
          <w:szCs w:val="20"/>
          <w:color w:val="auto"/>
        </w:rPr>
      </w:pPr>
      <w:r>
        <w:rPr>
          <w:rFonts w:ascii="Arial" w:cs="Arial" w:eastAsia="Arial" w:hAnsi="Arial"/>
          <w:sz w:val="18"/>
          <w:szCs w:val="18"/>
          <w:color w:val="auto"/>
        </w:rPr>
        <w:t>Dr. Fuglesang’s experience as an investor in the life sciences industry qualifies him to serve on our board of directors.</w:t>
      </w:r>
    </w:p>
    <w:p>
      <w:pPr>
        <w:spacing w:after="0" w:line="114" w:lineRule="exact"/>
        <w:rPr>
          <w:sz w:val="20"/>
          <w:szCs w:val="20"/>
          <w:color w:val="auto"/>
        </w:rPr>
      </w:pPr>
    </w:p>
    <w:p>
      <w:pPr>
        <w:ind w:left="460" w:right="559" w:firstLine="432"/>
        <w:spacing w:after="0" w:line="298" w:lineRule="auto"/>
        <w:rPr>
          <w:sz w:val="20"/>
          <w:szCs w:val="20"/>
          <w:color w:val="auto"/>
        </w:rPr>
      </w:pPr>
      <w:r>
        <w:rPr>
          <w:rFonts w:ascii="Arial" w:cs="Arial" w:eastAsia="Arial" w:hAnsi="Arial"/>
          <w:sz w:val="16"/>
          <w:szCs w:val="16"/>
          <w:b w:val="1"/>
          <w:bCs w:val="1"/>
          <w:color w:val="auto"/>
        </w:rPr>
        <w:t xml:space="preserve">Michael Beauchamp </w:t>
      </w:r>
      <w:r>
        <w:rPr>
          <w:rFonts w:ascii="Arial" w:cs="Arial" w:eastAsia="Arial" w:hAnsi="Arial"/>
          <w:sz w:val="16"/>
          <w:szCs w:val="16"/>
          <w:color w:val="auto"/>
        </w:rPr>
        <w:t>has served as our Chief Financial Officer and Treasurer since May 2020. Mr.</w:t>
      </w:r>
      <w:r>
        <w:rPr>
          <w:rFonts w:ascii="Arial" w:cs="Arial" w:eastAsia="Arial" w:hAnsi="Arial"/>
          <w:sz w:val="16"/>
          <w:szCs w:val="16"/>
          <w:b w:val="1"/>
          <w:bCs w:val="1"/>
          <w:color w:val="auto"/>
        </w:rPr>
        <w:t xml:space="preserve"> </w:t>
      </w:r>
      <w:r>
        <w:rPr>
          <w:rFonts w:ascii="Arial" w:cs="Arial" w:eastAsia="Arial" w:hAnsi="Arial"/>
          <w:sz w:val="16"/>
          <w:szCs w:val="16"/>
          <w:color w:val="auto"/>
        </w:rPr>
        <w:t>Beauchamp has served as Vice President of Finance at Boxer Capital since January 2016, where he is responsible for the firm’s back office operations, including finance, tax, audit and administration. Prior to joining Boxer Capital, Mr. Beauchamp worked in the assurance practice at PricewaterhouseCoopers from 2012 to January 2016. Mr. Beauchamp received a bachelor of accountancy degree from the University of San Diego.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Andrew Ellis, M.D., J.D., </w:t>
      </w:r>
      <w:r>
        <w:rPr>
          <w:rFonts w:ascii="Arial" w:cs="Arial" w:eastAsia="Arial" w:hAnsi="Arial"/>
          <w:sz w:val="18"/>
          <w:szCs w:val="18"/>
          <w:color w:val="auto"/>
        </w:rPr>
        <w:t>has served as our Chief Operating Officer and Secretary since May 2020.</w:t>
      </w:r>
    </w:p>
    <w:p>
      <w:pPr>
        <w:spacing w:after="0" w:line="27" w:lineRule="exact"/>
        <w:rPr>
          <w:sz w:val="20"/>
          <w:szCs w:val="20"/>
          <w:color w:val="auto"/>
        </w:rPr>
      </w:pPr>
    </w:p>
    <w:p>
      <w:pPr>
        <w:ind w:left="460" w:right="479"/>
        <w:spacing w:after="0" w:line="253" w:lineRule="auto"/>
        <w:rPr>
          <w:sz w:val="20"/>
          <w:szCs w:val="20"/>
          <w:color w:val="auto"/>
        </w:rPr>
      </w:pPr>
      <w:r>
        <w:rPr>
          <w:rFonts w:ascii="Arial" w:cs="Arial" w:eastAsia="Arial" w:hAnsi="Arial"/>
          <w:sz w:val="18"/>
          <w:szCs w:val="18"/>
          <w:color w:val="auto"/>
        </w:rPr>
        <w:t>Dr. Ellis has served at Boxer Capital as Head of Compliance since July 2018 and as Senior Vice President since December 2020, where he is responsible for securities compliance, deal structuring and due diligence for investments in private and public healthcare companies. Prior to joining Boxer Capital, Dr. Ellis was a corporate and securities attorney at Wilson Sonsini Goodrich &amp; Rosati, P.C. from August 2013 to July 2018, where he worked with</w:t>
      </w:r>
    </w:p>
    <w:p>
      <w:pPr>
        <w:sectPr>
          <w:pgSz w:w="11900" w:h="16838" w:orient="portrait"/>
          <w:cols w:equalWidth="0" w:num="1">
            <w:col w:w="9019"/>
          </w:cols>
          <w:pgMar w:left="1440" w:top="274" w:right="1440" w:bottom="144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5" w:name="page186"/>
    <w:bookmarkEnd w:id="18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spacing w:after="0" w:line="263" w:lineRule="auto"/>
        <w:rPr>
          <w:sz w:val="20"/>
          <w:szCs w:val="20"/>
          <w:color w:val="auto"/>
        </w:rPr>
      </w:pPr>
      <w:r>
        <w:rPr>
          <w:rFonts w:ascii="Arial" w:cs="Arial" w:eastAsia="Arial" w:hAnsi="Arial"/>
          <w:sz w:val="18"/>
          <w:szCs w:val="18"/>
          <w:color w:val="auto"/>
        </w:rPr>
        <w:t>life sciences companies and investors on a variety of corporate transactions. Dr. Ellis received an M.D. and general surgery training at Baylor College of Medicine, a J.D. from New York University School of Law, and a B.S. degree in Biology from Baylor University.</w:t>
      </w:r>
    </w:p>
    <w:p>
      <w:pPr>
        <w:spacing w:after="0" w:line="112"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b w:val="1"/>
          <w:bCs w:val="1"/>
          <w:color w:val="auto"/>
        </w:rPr>
        <w:t xml:space="preserve">Carole L. Nuechterlein, J.D., </w:t>
      </w:r>
      <w:r>
        <w:rPr>
          <w:rFonts w:ascii="Arial" w:cs="Arial" w:eastAsia="Arial" w:hAnsi="Arial"/>
          <w:sz w:val="16"/>
          <w:szCs w:val="16"/>
          <w:color w:val="auto"/>
        </w:rPr>
        <w:t>has served on our board of directors since the completion of our initial</w:t>
      </w:r>
      <w:r>
        <w:rPr>
          <w:rFonts w:ascii="Arial" w:cs="Arial" w:eastAsia="Arial" w:hAnsi="Arial"/>
          <w:sz w:val="16"/>
          <w:szCs w:val="16"/>
          <w:b w:val="1"/>
          <w:bCs w:val="1"/>
          <w:color w:val="auto"/>
        </w:rPr>
        <w:t xml:space="preserve"> </w:t>
      </w:r>
      <w:r>
        <w:rPr>
          <w:rFonts w:ascii="Arial" w:cs="Arial" w:eastAsia="Arial" w:hAnsi="Arial"/>
          <w:sz w:val="16"/>
          <w:szCs w:val="16"/>
          <w:color w:val="auto"/>
        </w:rPr>
        <w:t>public offering. Ms. Nuechterlein joined F. Hoffmann-La Roche Ltd. in 2001 and currently serves as the head of Roche Venture Fund. Prior to that, from 1998 to 2001, Ms. Nuechterlein served as General Counsel for SangStat, Inc., a biopharmaceutical company. Ms. Nuechterlein has served as a member of the board of directors of Millendo Therapeutics, Inc. (Nasdaq:MLND) since March 2017 and Aligos Therapeutics (Nasdaq: ALGS) since August 2018,. Ms. Nuechterlein serves and has served as a member of the boards of directors of a number of private biotechnology companies, including Enthera Therapeutics since January 2021, Entrada Therapeutics since April 2020, Vivet Therapeutics SAS since April 2017, CiVi BioPharma, Inc. since</w:t>
      </w:r>
    </w:p>
    <w:p>
      <w:pPr>
        <w:spacing w:after="0" w:line="5" w:lineRule="exact"/>
        <w:rPr>
          <w:sz w:val="20"/>
          <w:szCs w:val="20"/>
          <w:color w:val="auto"/>
        </w:rPr>
      </w:pPr>
    </w:p>
    <w:p>
      <w:pPr>
        <w:ind w:left="460" w:right="499"/>
        <w:spacing w:after="0" w:line="292" w:lineRule="auto"/>
        <w:rPr>
          <w:sz w:val="20"/>
          <w:szCs w:val="20"/>
          <w:color w:val="auto"/>
        </w:rPr>
      </w:pPr>
      <w:r>
        <w:rPr>
          <w:rFonts w:ascii="Arial" w:cs="Arial" w:eastAsia="Arial" w:hAnsi="Arial"/>
          <w:sz w:val="16"/>
          <w:szCs w:val="16"/>
          <w:color w:val="auto"/>
        </w:rPr>
        <w:t>March 2017, Mission Therapeutics Ltd. since January 2017, Arch Oncology Inc. since August 2016 and Second Genome, Inc. since April 2016. She also served as a member of the board of directors of AveXis Inc., a biotechnology company (Nasdaq:AVXS), from October 2014 to May 2017. Ms. Nuechterlein received a B.A. from Valparaiso University and a J.D. from University of Michigan. We believe Ms. Nuechterlein’s experience investing in innovative biotechnology companies qualifies her to serve on our board of directors.</w:t>
      </w:r>
    </w:p>
    <w:p>
      <w:pPr>
        <w:spacing w:after="0" w:line="91"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b w:val="1"/>
          <w:bCs w:val="1"/>
          <w:color w:val="auto"/>
        </w:rPr>
        <w:t xml:space="preserve">Richard Heyman, Ph.D., </w:t>
      </w:r>
      <w:r>
        <w:rPr>
          <w:rFonts w:ascii="Arial" w:cs="Arial" w:eastAsia="Arial" w:hAnsi="Arial"/>
          <w:sz w:val="16"/>
          <w:szCs w:val="16"/>
          <w:color w:val="auto"/>
        </w:rPr>
        <w:t>has served on our board of directors since the completion of our initial public</w:t>
      </w:r>
      <w:r>
        <w:rPr>
          <w:rFonts w:ascii="Arial" w:cs="Arial" w:eastAsia="Arial" w:hAnsi="Arial"/>
          <w:sz w:val="16"/>
          <w:szCs w:val="16"/>
          <w:b w:val="1"/>
          <w:bCs w:val="1"/>
          <w:color w:val="auto"/>
        </w:rPr>
        <w:t xml:space="preserve"> </w:t>
      </w:r>
      <w:r>
        <w:rPr>
          <w:rFonts w:ascii="Arial" w:cs="Arial" w:eastAsia="Arial" w:hAnsi="Arial"/>
          <w:sz w:val="16"/>
          <w:szCs w:val="16"/>
          <w:color w:val="auto"/>
        </w:rPr>
        <w:t>offering. Dr. Heyman is chairman of the board of directors and co-founder of Metacrine, Inc., a biotechnology company developing new therapeutics for the treatment of liver and gastrointestinal diseases. He also is on the board of directors of Gritstone Oncology, Inc. (Nasdaq:GRTS) and is the co-founder and chairman of the board of directors of ORIC Pharmaceuticals, Inc. (Nasdaq:ORIC). Previously, Dr. Heyman served as president and chief executive officer of Seragon Pharmaceuticals Inc., or Seragon, a privately-held biotechnology company, which was acquired by Genentech in 2014. Prior to Seragon, he co-founded and served as president and chief executive officer of Aragon Pharmaceuticals, Inc., or Aragon, until it was purchased by Johnson &amp; Johnson in 2013. Dr. Heyman is a venture partner for Arch Ventures and also serves on the boards of directors for private life sciences companies Yumanity Therapeutics, Inc., Vividion Therapeutics, Inc., PMV Pharmaceuticals, Inc. and Amunix Inc. He is Vice Chair of the Board of Trustees at the Salk Institute, on the Board Foundation for the American Association for Cancer Research, or AACR, and on the Board of Visitors at the University of California at San Diego Moores Cancer Center. Dr. Heyman received a B.S. in chemistry from the University of Connecticut and a Ph.D. in pharmacology from the University of Minnesota. He was an NIH post-doctoral fellow and staff scientist at the Salk Institute. We believe Dr. Heyman’s experience and expertise as a biotechnology executive and investor qualifies him to serve on our board of directors.</w:t>
      </w:r>
    </w:p>
    <w:p>
      <w:pPr>
        <w:spacing w:after="0" w:line="83"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b w:val="1"/>
          <w:bCs w:val="1"/>
          <w:color w:val="auto"/>
        </w:rPr>
        <w:t xml:space="preserve">Charles M. Baum, M.D., Ph.D., </w:t>
      </w:r>
      <w:r>
        <w:rPr>
          <w:rFonts w:ascii="Arial" w:cs="Arial" w:eastAsia="Arial" w:hAnsi="Arial"/>
          <w:sz w:val="17"/>
          <w:szCs w:val="17"/>
          <w:color w:val="auto"/>
        </w:rPr>
        <w:t>has served on our board of directors since the completion of our initial</w:t>
      </w:r>
      <w:r>
        <w:rPr>
          <w:rFonts w:ascii="Arial" w:cs="Arial" w:eastAsia="Arial" w:hAnsi="Arial"/>
          <w:sz w:val="17"/>
          <w:szCs w:val="17"/>
          <w:b w:val="1"/>
          <w:bCs w:val="1"/>
          <w:color w:val="auto"/>
        </w:rPr>
        <w:t xml:space="preserve"> </w:t>
      </w:r>
      <w:r>
        <w:rPr>
          <w:rFonts w:ascii="Arial" w:cs="Arial" w:eastAsia="Arial" w:hAnsi="Arial"/>
          <w:sz w:val="17"/>
          <w:szCs w:val="17"/>
          <w:color w:val="auto"/>
        </w:rPr>
        <w:t>public offering. Dr. Baum has been the President and Chief Executive Officer and a member of the board of directors of Mirati Therapeutics, Inc. since November 2012. From June 2003 to September 2012, he was at Pfizer as Senior Vice President for Biotherapeutic Clinical Research within Pfizer’s Worldwide Research &amp; Development division and as Vice President and Head of Oncology Development and Chief Medical Officer for Pfizer’s Biotherapeutics and Bioinnovation Center. From 2000 to 2003, he was responsible for the development of several oncology compounds at Schering-Plough Corporation (acquired by Merck). His career has included academic and hospital positions at Stanford University and Emory University, as well as positions of increasing responsibility within the pharmaceutical industry at SyStemix, Inc. (acquired by Novartis AG), G.D. Searle &amp; Company (acquired by Pfizer), Schering-Plough Corporation (acquired by Merck) and Pfizer. Dr. Baum has served on the board of directors of Immunomedics, Inc. (Nasdaq:IMMU) since February 2019 and was on the board of directors of Array BioPharma Inc. from 2014 until its acquisition by Pfizer in July 2019. Dr. Baum received his M.D. and Ph.D. (Immunology) degrees from Washington University School of Medicine in St. Louis, Missouri and completed his post-doctoral training at Stanford University. We believe Dr. Baum’s experience as a biotechnology executive and his expertise in targeted oncology qualifies him to serve on our board of directors.</w:t>
      </w:r>
    </w:p>
    <w:p>
      <w:pPr>
        <w:spacing w:after="0" w:line="112" w:lineRule="exact"/>
        <w:rPr>
          <w:sz w:val="20"/>
          <w:szCs w:val="20"/>
          <w:color w:val="auto"/>
        </w:rPr>
      </w:pPr>
    </w:p>
    <w:p>
      <w:pPr>
        <w:ind w:left="460" w:right="459" w:firstLine="432"/>
        <w:spacing w:after="0" w:line="255" w:lineRule="auto"/>
        <w:rPr>
          <w:sz w:val="20"/>
          <w:szCs w:val="20"/>
          <w:color w:val="auto"/>
        </w:rPr>
      </w:pPr>
      <w:r>
        <w:rPr>
          <w:rFonts w:ascii="Arial" w:cs="Arial" w:eastAsia="Arial" w:hAnsi="Arial"/>
          <w:sz w:val="18"/>
          <w:szCs w:val="18"/>
          <w:b w:val="1"/>
          <w:bCs w:val="1"/>
          <w:color w:val="auto"/>
        </w:rPr>
        <w:t xml:space="preserve">Jamie G. Christensen, Ph.D., </w:t>
      </w:r>
      <w:r>
        <w:rPr>
          <w:rFonts w:ascii="Arial" w:cs="Arial" w:eastAsia="Arial" w:hAnsi="Arial"/>
          <w:sz w:val="18"/>
          <w:szCs w:val="18"/>
          <w:color w:val="auto"/>
        </w:rPr>
        <w:t>has served on our board of directors since the completion of our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public offering. Dr. Christensen has been the Executive Vice President and Chief Scientific Officer of Mirati Therapeutics, Inc. since June 2013. In his role at Mirati, he is responsible for drug discovery, translational research, drug manufacturing and companion diagnostics research and teams. While at Mirati, Dr. Christensen led activities related to the discovery and advancement of the KRAS G12C inhibitor, MRTX849, as well as the spectrum-selective receptor tyrosine kinase (RTK) inhibitor, sitravatinib, through IND and clinical development. Prior to Mirati,</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6" w:name="page187"/>
    <w:bookmarkEnd w:id="18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63" w:lineRule="auto"/>
        <w:rPr>
          <w:sz w:val="20"/>
          <w:szCs w:val="20"/>
          <w:color w:val="auto"/>
        </w:rPr>
      </w:pPr>
      <w:r>
        <w:rPr>
          <w:rFonts w:ascii="Arial" w:cs="Arial" w:eastAsia="Arial" w:hAnsi="Arial"/>
          <w:sz w:val="17"/>
          <w:szCs w:val="17"/>
          <w:color w:val="auto"/>
        </w:rPr>
        <w:t>Dr. Christensen most recently was the head of Oncology Precision Medicine and member of the executive leadership team in the Oncology Research Unit at Pfizer. While at Pfizer, Dr Christensen led key aspects of the nonclinical and clinical development of sunitinib (Sutent</w:t>
      </w:r>
      <w:r>
        <w:rPr>
          <w:rFonts w:ascii="Arial" w:cs="Arial" w:eastAsia="Arial" w:hAnsi="Arial"/>
          <w:sz w:val="19"/>
          <w:szCs w:val="19"/>
          <w:color w:val="auto"/>
          <w:vertAlign w:val="superscript"/>
        </w:rPr>
        <w:t>®</w:t>
      </w:r>
      <w:r>
        <w:rPr>
          <w:rFonts w:ascii="Arial" w:cs="Arial" w:eastAsia="Arial" w:hAnsi="Arial"/>
          <w:sz w:val="17"/>
          <w:szCs w:val="17"/>
          <w:color w:val="auto"/>
        </w:rPr>
        <w:t>), crizotinib (Xalkori</w:t>
      </w:r>
      <w:r>
        <w:rPr>
          <w:rFonts w:ascii="Arial" w:cs="Arial" w:eastAsia="Arial" w:hAnsi="Arial"/>
          <w:sz w:val="19"/>
          <w:szCs w:val="19"/>
          <w:color w:val="auto"/>
          <w:vertAlign w:val="superscript"/>
        </w:rPr>
        <w:t>®</w:t>
      </w:r>
      <w:r>
        <w:rPr>
          <w:rFonts w:ascii="Arial" w:cs="Arial" w:eastAsia="Arial" w:hAnsi="Arial"/>
          <w:sz w:val="17"/>
          <w:szCs w:val="17"/>
          <w:color w:val="auto"/>
        </w:rPr>
        <w:t>), and palbociclib (Ibrance</w:t>
      </w:r>
      <w:r>
        <w:rPr>
          <w:rFonts w:ascii="Arial" w:cs="Arial" w:eastAsia="Arial" w:hAnsi="Arial"/>
          <w:sz w:val="19"/>
          <w:szCs w:val="19"/>
          <w:color w:val="auto"/>
          <w:vertAlign w:val="superscript"/>
        </w:rPr>
        <w:t>®</w:t>
      </w:r>
      <w:r>
        <w:rPr>
          <w:rFonts w:ascii="Arial" w:cs="Arial" w:eastAsia="Arial" w:hAnsi="Arial"/>
          <w:sz w:val="17"/>
          <w:szCs w:val="17"/>
          <w:color w:val="auto"/>
        </w:rPr>
        <w:t>). Prior to his time at Pfizer, he held positions at SUGEN/Pharmacia as a Group Leader on the Preclinical Research and Exploratory Development team. Dr. Christensen initiated his industry experience at Warner Lambert/Parke-Davis with research focus in RTK biology and pathway biomarker development in the oncology therapeutic area. Dr. Christensen received his Ph.D. focusing in Molecular Pharmacology from North Carolina State University with dissertation research directed toward characterization of mechanisms of apoptosis dysregulation during the process of carcinogenesis. We believe Dr. Christensen’s experience as a biotechnology executive and his expertise in drug discovery and translational research qualifies him to serve on our board of directors.</w:t>
      </w:r>
    </w:p>
    <w:p>
      <w:pPr>
        <w:spacing w:after="0" w:line="114" w:lineRule="exact"/>
        <w:rPr>
          <w:sz w:val="20"/>
          <w:szCs w:val="20"/>
          <w:color w:val="auto"/>
        </w:rPr>
      </w:pPr>
    </w:p>
    <w:p>
      <w:pPr>
        <w:ind w:left="460" w:right="739" w:firstLine="432"/>
        <w:spacing w:after="0" w:line="286" w:lineRule="auto"/>
        <w:rPr>
          <w:sz w:val="20"/>
          <w:szCs w:val="20"/>
          <w:color w:val="auto"/>
        </w:rPr>
      </w:pPr>
      <w:r>
        <w:rPr>
          <w:rFonts w:ascii="Arial" w:cs="Arial" w:eastAsia="Arial" w:hAnsi="Arial"/>
          <w:sz w:val="16"/>
          <w:szCs w:val="16"/>
          <w:b w:val="1"/>
          <w:bCs w:val="1"/>
          <w:color w:val="auto"/>
        </w:rPr>
        <w:t xml:space="preserve">James B. Avery </w:t>
      </w:r>
      <w:r>
        <w:rPr>
          <w:rFonts w:ascii="Arial" w:cs="Arial" w:eastAsia="Arial" w:hAnsi="Arial"/>
          <w:sz w:val="16"/>
          <w:szCs w:val="16"/>
          <w:color w:val="auto"/>
        </w:rPr>
        <w:t>has served on our board of directors since October 2020. Mr. Avery joined Tavistock</w:t>
      </w:r>
      <w:r>
        <w:rPr>
          <w:rFonts w:ascii="Arial" w:cs="Arial" w:eastAsia="Arial" w:hAnsi="Arial"/>
          <w:sz w:val="16"/>
          <w:szCs w:val="16"/>
          <w:b w:val="1"/>
          <w:bCs w:val="1"/>
          <w:color w:val="auto"/>
        </w:rPr>
        <w:t xml:space="preserve"> </w:t>
      </w:r>
      <w:r>
        <w:rPr>
          <w:rFonts w:ascii="Arial" w:cs="Arial" w:eastAsia="Arial" w:hAnsi="Arial"/>
          <w:sz w:val="16"/>
          <w:szCs w:val="16"/>
          <w:color w:val="auto"/>
        </w:rPr>
        <w:t>Group in July 2014 and is currently a Senior Managing Director. From 2003 to June 2014, Mr. Avery was a Managing Director and Co-Founder of GCA Savvian, a boutique investment bank, in addition to holding the position of Representative Director for GCA Corporation, GCA Savvian’s parent company that is publicly traded on the Tokyo Stock Exchange. Prior to GCA Savvian, Mr. Avery spent 10 years working in the</w:t>
      </w:r>
    </w:p>
    <w:p>
      <w:pPr>
        <w:spacing w:after="0" w:line="2" w:lineRule="exact"/>
        <w:rPr>
          <w:sz w:val="20"/>
          <w:szCs w:val="20"/>
          <w:color w:val="auto"/>
        </w:rPr>
      </w:pPr>
    </w:p>
    <w:p>
      <w:pPr>
        <w:jc w:val="both"/>
        <w:ind w:left="460" w:right="559"/>
        <w:spacing w:after="0" w:line="281" w:lineRule="auto"/>
        <w:rPr>
          <w:sz w:val="20"/>
          <w:szCs w:val="20"/>
          <w:color w:val="auto"/>
        </w:rPr>
      </w:pPr>
      <w:r>
        <w:rPr>
          <w:rFonts w:ascii="Arial" w:cs="Arial" w:eastAsia="Arial" w:hAnsi="Arial"/>
          <w:sz w:val="16"/>
          <w:szCs w:val="16"/>
          <w:color w:val="auto"/>
        </w:rPr>
        <w:t>New York and Silicon Valley offices of Morgan Stanley, where he advised clients across a number of industries on strategic, merger &amp; acquisition and capital market transactions. Mr. Avery has also held roles at Edward M. Greenberg Associates, Burson-Marsteller, Westdeutsche Landesbank, and Republic National Bank of</w:t>
      </w:r>
    </w:p>
    <w:p>
      <w:pPr>
        <w:spacing w:after="0" w:line="2" w:lineRule="exact"/>
        <w:rPr>
          <w:sz w:val="20"/>
          <w:szCs w:val="20"/>
          <w:color w:val="auto"/>
        </w:rPr>
      </w:pPr>
    </w:p>
    <w:p>
      <w:pPr>
        <w:ind w:left="460" w:right="699"/>
        <w:spacing w:after="0" w:line="273" w:lineRule="auto"/>
        <w:rPr>
          <w:sz w:val="20"/>
          <w:szCs w:val="20"/>
          <w:color w:val="auto"/>
        </w:rPr>
      </w:pPr>
      <w:r>
        <w:rPr>
          <w:rFonts w:ascii="Arial" w:cs="Arial" w:eastAsia="Arial" w:hAnsi="Arial"/>
          <w:sz w:val="17"/>
          <w:szCs w:val="17"/>
          <w:color w:val="auto"/>
        </w:rPr>
        <w:t>New York. Mr. Avery is currently a member of the board of directors of Inseego Corp. (Nasdaq: INSG) and FrontWell Capital Partners. Mr. Avery received his Bachelor of Science in Finance from Miami University in 1986. We believe that Mr. Avery’s management background and expertise in strategic corporate matters and capital markets qualifies him to serve as a member of our board of directors.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62"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Our board of directors has seven members, five of whom are deemed “independent” under SEC and Nasdaq rules. Our board of directors is divided into three classes with only one class of directors being elected in each year and each class serving a three-year term. The term of office of the first class of directors, consisting of Carole L. Nuechterlein and Jamie G. Christensen, expires at our first annual meeting of stockholders. The term of office of the second class of directors, consisting of Richard Heyman and Charles M. Baum, expires at the second annual meeting. The term of office of the third class of directors, consisting of Aaron I. Davis, Christopher Fuglesang and James B. Avery, expires at our third annual meeting of stockholders. We may not hold an annual meeting of stockholders until after we consummate our initial business combination.</w:t>
      </w:r>
    </w:p>
    <w:p>
      <w:pPr>
        <w:spacing w:after="0" w:line="84" w:lineRule="exact"/>
        <w:rPr>
          <w:sz w:val="20"/>
          <w:szCs w:val="20"/>
          <w:color w:val="auto"/>
        </w:rPr>
      </w:pPr>
    </w:p>
    <w:p>
      <w:pPr>
        <w:ind w:left="460" w:right="699" w:firstLine="432"/>
        <w:spacing w:after="0" w:line="342" w:lineRule="auto"/>
        <w:rPr>
          <w:sz w:val="20"/>
          <w:szCs w:val="20"/>
          <w:color w:val="auto"/>
        </w:rPr>
      </w:pPr>
      <w:r>
        <w:rPr>
          <w:rFonts w:ascii="Arial" w:cs="Arial" w:eastAsia="Arial" w:hAnsi="Arial"/>
          <w:sz w:val="16"/>
          <w:szCs w:val="16"/>
          <w:color w:val="auto"/>
        </w:rPr>
        <w:t>Pursuant to an agreement with our sponsor, upon consummation of an initial business combination, our sponsor will be entitled to nominate two individuals for election to our board of directors.</w:t>
      </w:r>
    </w:p>
    <w:p>
      <w:pPr>
        <w:spacing w:after="0" w:line="56"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directors may consist of a chairman of the board, and that our officers may consist of chief executive officer, president, chief financial officer, executive vice president(s), vice president(s), secretary, treasurer and such other officers as may be determined by the board of directors.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Compensation</w:t>
      </w:r>
    </w:p>
    <w:p>
      <w:pPr>
        <w:spacing w:after="0" w:line="162"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No executive officer has received any cash compensation for services rendered to us. We will pay to an affiliate of our sponsor a fee of $10,000 per month for providing us with office space and certain office and secretarial services until we close a business combination.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Other than the $10,000 per month administrative fee, no compensation or fees of any kind, including finder’s fees, consulting fees and other similar fees, will be paid to our insiders or any of the members of our management team, for services rendered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7" w:name="page188"/>
    <w:bookmarkEnd w:id="18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75" w:lineRule="auto"/>
        <w:rPr>
          <w:sz w:val="20"/>
          <w:szCs w:val="20"/>
          <w:color w:val="auto"/>
        </w:rPr>
      </w:pPr>
      <w:r>
        <w:rPr>
          <w:rFonts w:ascii="Arial" w:cs="Arial" w:eastAsia="Arial" w:hAnsi="Arial"/>
          <w:sz w:val="17"/>
          <w:szCs w:val="17"/>
          <w:color w:val="auto"/>
        </w:rPr>
        <w:t>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109"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62" w:lineRule="exact"/>
        <w:rPr>
          <w:sz w:val="20"/>
          <w:szCs w:val="20"/>
          <w:color w:val="auto"/>
        </w:rPr>
      </w:pPr>
    </w:p>
    <w:p>
      <w:pPr>
        <w:ind w:left="460" w:right="459" w:firstLine="432"/>
        <w:spacing w:after="0" w:line="289" w:lineRule="auto"/>
        <w:rPr>
          <w:sz w:val="20"/>
          <w:szCs w:val="20"/>
          <w:color w:val="auto"/>
        </w:rPr>
      </w:pPr>
      <w:r>
        <w:rPr>
          <w:rFonts w:ascii="Arial" w:cs="Arial" w:eastAsia="Arial" w:hAnsi="Arial"/>
          <w:sz w:val="16"/>
          <w:szCs w:val="16"/>
          <w:color w:val="auto"/>
        </w:rPr>
        <w:t>Nasdaq listing standards require that within one year of the listing of our securities on the Nasdaq Capital Market we have at least three independent directors and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had determined that Carole L. Nuechterlein, Richard Heyman, Jamie Christensen, Charles M. Baum and James B. Avery are “independent directors” as defined in the Nasdaq listing standards and applicable SEC rules. Our independent directors will have regularly scheduled meetings at which only independent directors are present.</w:t>
      </w:r>
    </w:p>
    <w:p>
      <w:pPr>
        <w:spacing w:after="0" w:line="85"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We will only enter into a business combination if it is approved by a majority of our independent directors. Additionally, we will only enter into transactions with our officers and directors and their respective affiliates that are on terms no less favorable to us than could be obtained from independent parties. Any related-party transactions must be approved by our audit committee and a majority of disinterested directors.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162" w:lineRule="exact"/>
        <w:rPr>
          <w:sz w:val="20"/>
          <w:szCs w:val="20"/>
          <w:color w:val="auto"/>
        </w:rPr>
      </w:pPr>
    </w:p>
    <w:p>
      <w:pPr>
        <w:ind w:left="460" w:right="719" w:firstLine="432"/>
        <w:spacing w:after="0" w:line="259" w:lineRule="auto"/>
        <w:rPr>
          <w:sz w:val="20"/>
          <w:szCs w:val="20"/>
          <w:color w:val="auto"/>
        </w:rPr>
      </w:pPr>
      <w:r>
        <w:rPr>
          <w:rFonts w:ascii="Arial" w:cs="Arial" w:eastAsia="Arial" w:hAnsi="Arial"/>
          <w:sz w:val="18"/>
          <w:szCs w:val="18"/>
          <w:color w:val="auto"/>
        </w:rPr>
        <w:t>We have established an audit committee of the board of directors, which consists of Carole L. Nuechterlein, Richard Heyman, and Charles M. Baum, each of whom is an independent director. Carole L. Nuechterlein serves as chairman of the audit committee. The audit committee’s duties, which are specified in our Audit Committee Charter, include, but are not limited to:</w:t>
      </w:r>
    </w:p>
    <w:p>
      <w:pPr>
        <w:spacing w:after="0" w:line="119" w:lineRule="exact"/>
        <w:rPr>
          <w:sz w:val="20"/>
          <w:szCs w:val="20"/>
          <w:color w:val="auto"/>
        </w:rPr>
      </w:pPr>
    </w:p>
    <w:p>
      <w:pPr>
        <w:ind w:left="1320" w:right="479" w:hanging="434"/>
        <w:spacing w:after="0" w:line="263" w:lineRule="auto"/>
        <w:tabs>
          <w:tab w:leader="none" w:pos="131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02" w:lineRule="exact"/>
        <w:rPr>
          <w:rFonts w:ascii="Arial" w:cs="Arial" w:eastAsia="Arial" w:hAnsi="Arial"/>
          <w:sz w:val="18"/>
          <w:szCs w:val="18"/>
          <w:color w:val="auto"/>
        </w:rPr>
      </w:pPr>
    </w:p>
    <w:p>
      <w:pPr>
        <w:ind w:left="1320" w:right="619" w:hanging="434"/>
        <w:spacing w:after="0" w:line="308" w:lineRule="auto"/>
        <w:tabs>
          <w:tab w:leader="none" w:pos="1311" w:val="left"/>
        </w:tabs>
        <w:numPr>
          <w:ilvl w:val="0"/>
          <w:numId w:val="225"/>
        </w:numPr>
        <w:rPr>
          <w:rFonts w:ascii="Arial" w:cs="Arial" w:eastAsia="Arial" w:hAnsi="Arial"/>
          <w:sz w:val="17"/>
          <w:szCs w:val="17"/>
          <w:color w:val="auto"/>
        </w:rPr>
      </w:pPr>
      <w:r>
        <w:rPr>
          <w:rFonts w:ascii="Arial" w:cs="Arial" w:eastAsia="Arial" w:hAnsi="Arial"/>
          <w:sz w:val="17"/>
          <w:szCs w:val="17"/>
          <w:color w:val="auto"/>
        </w:rPr>
        <w:t>discussing with management and the independent auditor significant financial reporting issues and judgments made in connection with the preparation of our financial statements;</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144" w:lineRule="exact"/>
        <w:rPr>
          <w:rFonts w:ascii="Arial" w:cs="Arial" w:eastAsia="Arial" w:hAnsi="Arial"/>
          <w:sz w:val="18"/>
          <w:szCs w:val="18"/>
          <w:color w:val="auto"/>
        </w:rPr>
      </w:pPr>
    </w:p>
    <w:p>
      <w:pPr>
        <w:ind w:left="1320" w:right="719" w:hanging="434"/>
        <w:spacing w:after="0" w:line="308" w:lineRule="auto"/>
        <w:tabs>
          <w:tab w:leader="none" w:pos="1311" w:val="left"/>
        </w:tabs>
        <w:numPr>
          <w:ilvl w:val="0"/>
          <w:numId w:val="225"/>
        </w:numPr>
        <w:rPr>
          <w:rFonts w:ascii="Arial" w:cs="Arial" w:eastAsia="Arial" w:hAnsi="Arial"/>
          <w:sz w:val="17"/>
          <w:szCs w:val="17"/>
          <w:color w:val="auto"/>
        </w:rPr>
      </w:pPr>
      <w:r>
        <w:rPr>
          <w:rFonts w:ascii="Arial" w:cs="Arial" w:eastAsia="Arial" w:hAnsi="Arial"/>
          <w:sz w:val="17"/>
          <w:szCs w:val="17"/>
          <w:color w:val="auto"/>
        </w:rPr>
        <w:t>verifying the rotation of the lead (or coordinating) audit partner having primary responsibility for the audit and the audit partner responsible for reviewing the audit as required by law;</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inquiring and discussing with management our compliance with applicable laws and regulations;</w:t>
      </w:r>
    </w:p>
    <w:p>
      <w:pPr>
        <w:spacing w:after="0" w:line="155" w:lineRule="exact"/>
        <w:rPr>
          <w:rFonts w:ascii="Arial" w:cs="Arial" w:eastAsia="Arial" w:hAnsi="Arial"/>
          <w:sz w:val="17"/>
          <w:szCs w:val="17"/>
          <w:color w:val="auto"/>
        </w:rPr>
      </w:pPr>
    </w:p>
    <w:p>
      <w:pPr>
        <w:ind w:left="1320" w:right="1339" w:hanging="434"/>
        <w:spacing w:after="0" w:line="342" w:lineRule="auto"/>
        <w:tabs>
          <w:tab w:leader="none" w:pos="1311" w:val="left"/>
        </w:tabs>
        <w:numPr>
          <w:ilvl w:val="0"/>
          <w:numId w:val="225"/>
        </w:numPr>
        <w:rPr>
          <w:rFonts w:ascii="Arial" w:cs="Arial" w:eastAsia="Arial" w:hAnsi="Arial"/>
          <w:sz w:val="16"/>
          <w:szCs w:val="16"/>
          <w:color w:val="auto"/>
        </w:rPr>
      </w:pPr>
      <w:r>
        <w:rPr>
          <w:rFonts w:ascii="Arial" w:cs="Arial" w:eastAsia="Arial" w:hAnsi="Arial"/>
          <w:sz w:val="16"/>
          <w:szCs w:val="16"/>
          <w:color w:val="auto"/>
        </w:rPr>
        <w:t>pre-approving all audit services and permitted non-audit services to be performed by our independent auditor, including the fees and terms of the services to be performed;</w:t>
      </w:r>
    </w:p>
    <w:p>
      <w:pPr>
        <w:spacing w:after="0" w:line="56" w:lineRule="exact"/>
        <w:rPr>
          <w:rFonts w:ascii="Arial" w:cs="Arial" w:eastAsia="Arial" w:hAnsi="Arial"/>
          <w:sz w:val="16"/>
          <w:szCs w:val="16"/>
          <w:color w:val="auto"/>
        </w:rPr>
      </w:pPr>
    </w:p>
    <w:p>
      <w:pPr>
        <w:ind w:left="1300" w:hanging="414"/>
        <w:spacing w:after="0"/>
        <w:tabs>
          <w:tab w:leader="none" w:pos="13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8" w:name="page189"/>
    <w:bookmarkEnd w:id="18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639" w:hanging="434"/>
        <w:spacing w:after="0" w:line="286" w:lineRule="auto"/>
        <w:tabs>
          <w:tab w:leader="none" w:pos="1311" w:val="left"/>
        </w:tabs>
        <w:numPr>
          <w:ilvl w:val="0"/>
          <w:numId w:val="226"/>
        </w:numPr>
        <w:rPr>
          <w:rFonts w:ascii="Arial" w:cs="Arial" w:eastAsia="Arial" w:hAnsi="Arial"/>
          <w:sz w:val="17"/>
          <w:szCs w:val="17"/>
          <w:color w:val="auto"/>
        </w:rPr>
      </w:pPr>
      <w:r>
        <w:rPr>
          <w:rFonts w:ascii="Arial" w:cs="Arial" w:eastAsia="Arial" w:hAnsi="Arial"/>
          <w:sz w:val="17"/>
          <w:szCs w:val="17"/>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97" w:lineRule="exact"/>
        <w:rPr>
          <w:rFonts w:ascii="Arial" w:cs="Arial" w:eastAsia="Arial" w:hAnsi="Arial"/>
          <w:sz w:val="17"/>
          <w:szCs w:val="17"/>
          <w:color w:val="auto"/>
        </w:rPr>
      </w:pPr>
    </w:p>
    <w:p>
      <w:pPr>
        <w:ind w:left="1320" w:right="619" w:hanging="434"/>
        <w:spacing w:after="0" w:line="263" w:lineRule="auto"/>
        <w:tabs>
          <w:tab w:leader="none" w:pos="131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16" w:lineRule="exact"/>
        <w:rPr>
          <w:rFonts w:ascii="Arial" w:cs="Arial" w:eastAsia="Arial" w:hAnsi="Arial"/>
          <w:sz w:val="18"/>
          <w:szCs w:val="18"/>
          <w:color w:val="auto"/>
        </w:rPr>
      </w:pPr>
    </w:p>
    <w:p>
      <w:pPr>
        <w:ind w:left="1320" w:right="759" w:hanging="434"/>
        <w:spacing w:after="0" w:line="277" w:lineRule="auto"/>
        <w:tabs>
          <w:tab w:leader="none" w:pos="131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Experts on Audit Committee</w:t>
      </w:r>
    </w:p>
    <w:p>
      <w:pPr>
        <w:spacing w:after="0" w:line="148" w:lineRule="exact"/>
        <w:rPr>
          <w:sz w:val="20"/>
          <w:szCs w:val="20"/>
          <w:color w:val="auto"/>
        </w:rPr>
      </w:pPr>
    </w:p>
    <w:p>
      <w:pPr>
        <w:jc w:val="both"/>
        <w:ind w:left="460" w:right="1059" w:firstLine="432"/>
        <w:spacing w:after="0" w:line="279" w:lineRule="auto"/>
        <w:rPr>
          <w:sz w:val="20"/>
          <w:szCs w:val="20"/>
          <w:color w:val="auto"/>
        </w:rPr>
      </w:pPr>
      <w:r>
        <w:rPr>
          <w:rFonts w:ascii="Arial" w:cs="Arial" w:eastAsia="Arial" w:hAnsi="Arial"/>
          <w:sz w:val="17"/>
          <w:szCs w:val="17"/>
          <w:color w:val="auto"/>
        </w:rPr>
        <w:t>The audit committee will at all times be composed exclusively of “independent directors” who are “financially literate” as defined under the Nasdaq listing standards. The Nasdaq listing standards define “financially literate” as being able to read and understand fundamental financial statements, including a company’s balance sheet, income statement and cash flow statement.</w:t>
      </w:r>
    </w:p>
    <w:p>
      <w:pPr>
        <w:spacing w:after="0" w:line="104" w:lineRule="exact"/>
        <w:rPr>
          <w:sz w:val="20"/>
          <w:szCs w:val="20"/>
          <w:color w:val="auto"/>
        </w:rPr>
      </w:pPr>
    </w:p>
    <w:p>
      <w:pPr>
        <w:ind w:left="460" w:right="719" w:firstLine="432"/>
        <w:spacing w:after="0" w:line="275" w:lineRule="auto"/>
        <w:rPr>
          <w:sz w:val="20"/>
          <w:szCs w:val="20"/>
          <w:color w:val="auto"/>
        </w:rPr>
      </w:pPr>
      <w:r>
        <w:rPr>
          <w:rFonts w:ascii="Arial" w:cs="Arial" w:eastAsia="Arial" w:hAnsi="Arial"/>
          <w:sz w:val="17"/>
          <w:szCs w:val="17"/>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Carole L. Nuechterlein qualifies as an “audit committee financial expert,” as defined under rules and regulations of the SEC.</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Guidelines for Selecting Director Nominees</w:t>
      </w:r>
    </w:p>
    <w:p>
      <w:pPr>
        <w:spacing w:after="0" w:line="162" w:lineRule="exact"/>
        <w:rPr>
          <w:sz w:val="20"/>
          <w:szCs w:val="20"/>
          <w:color w:val="auto"/>
        </w:rPr>
      </w:pPr>
    </w:p>
    <w:p>
      <w:pPr>
        <w:jc w:val="both"/>
        <w:ind w:left="460" w:right="599" w:firstLine="432"/>
        <w:spacing w:after="0" w:line="291" w:lineRule="auto"/>
        <w:rPr>
          <w:sz w:val="20"/>
          <w:szCs w:val="20"/>
          <w:color w:val="auto"/>
        </w:rPr>
      </w:pPr>
      <w:r>
        <w:rPr>
          <w:rFonts w:ascii="Arial" w:cs="Arial" w:eastAsia="Arial" w:hAnsi="Arial"/>
          <w:sz w:val="16"/>
          <w:szCs w:val="16"/>
          <w:color w:val="auto"/>
        </w:rPr>
        <w:t>We do not have a standing nominating committee, though we intend to form a corporate governance and nominating committee as and when required to do so by law or Nasdaq rules. In accordance with Rule 5605(e)</w:t>
      </w:r>
    </w:p>
    <w:p>
      <w:pPr>
        <w:ind w:left="460" w:right="1139" w:hanging="6"/>
        <w:spacing w:after="0" w:line="260" w:lineRule="auto"/>
        <w:tabs>
          <w:tab w:leader="none" w:pos="71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of the Nasdaq rules, a majority of the independent directors may recommend a director nominee for selection by the board of directors.</w:t>
      </w:r>
    </w:p>
    <w:p>
      <w:pPr>
        <w:spacing w:after="0" w:line="104" w:lineRule="exact"/>
        <w:rPr>
          <w:sz w:val="20"/>
          <w:szCs w:val="20"/>
          <w:color w:val="auto"/>
        </w:rPr>
      </w:pPr>
    </w:p>
    <w:p>
      <w:pPr>
        <w:ind w:left="460" w:right="459" w:firstLine="432"/>
        <w:spacing w:after="0" w:line="255" w:lineRule="auto"/>
        <w:rPr>
          <w:sz w:val="20"/>
          <w:szCs w:val="20"/>
          <w:color w:val="auto"/>
        </w:rPr>
      </w:pPr>
      <w:r>
        <w:rPr>
          <w:rFonts w:ascii="Arial" w:cs="Arial" w:eastAsia="Arial" w:hAnsi="Arial"/>
          <w:sz w:val="18"/>
          <w:szCs w:val="18"/>
          <w:color w:val="auto"/>
        </w:rPr>
        <w:t>The board of directors believes that the independent directors can satisfactorily carry out the responsibility of properly selecting or approving director nominees without the formation of a standing nominating committee. Carole L. Nuechterlein, Richard Heyman, Jamie Christensen, Chuck Baum and James B. Avery will participate in the consideration and recommendation of director nominees. In accordance with Rule 5605(e)(1)(A) of the Nasdaq rules, all such directors are independent. As there is no standing nominating committee, we do not have a nominating committee charter in place.</w:t>
      </w:r>
    </w:p>
    <w:p>
      <w:pPr>
        <w:spacing w:after="0" w:line="125"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The board of directors will also consider director candidates recommended for nomination by our stockholders during such times as they are seeking proposed nominees to stand for election at the next annual general meeting (or, if applicable, special meeting). Our stockholders that wish to nominate a director for election to the Board should follow the procedures set forth in our bylaws.</w:t>
      </w:r>
    </w:p>
    <w:p>
      <w:pPr>
        <w:spacing w:after="0" w:line="119"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w:t>
      </w:r>
    </w:p>
    <w:p>
      <w:pPr>
        <w:spacing w:after="0" w:line="148"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We have established a compensation committee of the board of directors consisting of Richard Heyman and Carole L. Nuechterlein, each of whom is an independent director. Richard Heyman serves as chairman of the compensation committee. We adopted a compensation committee charter, which details the principal functions of the compensation committee, including:</w:t>
      </w:r>
    </w:p>
    <w:p>
      <w:pPr>
        <w:spacing w:after="0" w:line="119" w:lineRule="exact"/>
        <w:rPr>
          <w:sz w:val="20"/>
          <w:szCs w:val="20"/>
          <w:color w:val="auto"/>
        </w:rPr>
      </w:pPr>
    </w:p>
    <w:p>
      <w:pPr>
        <w:ind w:left="1320" w:right="799" w:hanging="434"/>
        <w:spacing w:after="0" w:line="257" w:lineRule="auto"/>
        <w:tabs>
          <w:tab w:leader="none" w:pos="1311"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President and Chief Executive Officer’s compensation, evaluating our President and Chief Executive Officer’s performance in light of such goals and objectives and determining and approving the remuneration (if any) of our President and Chief Executive Officer based on such evaluation;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9" w:name="page190"/>
    <w:bookmarkEnd w:id="18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55" w:lineRule="exact"/>
        <w:rPr>
          <w:rFonts w:ascii="Arial" w:cs="Arial" w:eastAsia="Arial" w:hAnsi="Arial"/>
          <w:sz w:val="17"/>
          <w:szCs w:val="17"/>
          <w:color w:val="auto"/>
        </w:rPr>
      </w:pPr>
    </w:p>
    <w:p>
      <w:pPr>
        <w:ind w:left="1320" w:right="1199" w:hanging="434"/>
        <w:spacing w:after="0" w:line="277" w:lineRule="auto"/>
        <w:tabs>
          <w:tab w:leader="none" w:pos="131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02" w:lineRule="exact"/>
        <w:rPr>
          <w:rFonts w:ascii="Arial" w:cs="Arial" w:eastAsia="Arial" w:hAnsi="Arial"/>
          <w:sz w:val="18"/>
          <w:szCs w:val="18"/>
          <w:color w:val="auto"/>
        </w:rPr>
      </w:pPr>
    </w:p>
    <w:p>
      <w:pPr>
        <w:ind w:left="1320" w:right="539" w:hanging="434"/>
        <w:spacing w:after="0" w:line="277" w:lineRule="auto"/>
        <w:tabs>
          <w:tab w:leader="none" w:pos="131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producing a report on executive compensation to be included in our annual proxy statement; and</w:t>
      </w:r>
    </w:p>
    <w:p>
      <w:pPr>
        <w:spacing w:after="0" w:line="167" w:lineRule="exact"/>
        <w:rPr>
          <w:rFonts w:ascii="Arial" w:cs="Arial" w:eastAsia="Arial" w:hAnsi="Arial"/>
          <w:sz w:val="16"/>
          <w:szCs w:val="16"/>
          <w:color w:val="auto"/>
        </w:rPr>
      </w:pPr>
    </w:p>
    <w:p>
      <w:pPr>
        <w:ind w:left="1300" w:hanging="414"/>
        <w:spacing w:after="0"/>
        <w:tabs>
          <w:tab w:leader="none" w:pos="130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reviewing, evaluating and recommending changes, if appropriate, to the remuneration for directors.</w:t>
      </w:r>
    </w:p>
    <w:p>
      <w:pPr>
        <w:spacing w:after="0" w:line="181"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62" w:lineRule="exact"/>
        <w:rPr>
          <w:sz w:val="20"/>
          <w:szCs w:val="20"/>
          <w:color w:val="auto"/>
        </w:rPr>
      </w:pPr>
    </w:p>
    <w:p>
      <w:pPr>
        <w:ind w:left="460" w:right="579" w:firstLine="432"/>
        <w:spacing w:after="0" w:line="253" w:lineRule="auto"/>
        <w:rPr>
          <w:sz w:val="20"/>
          <w:szCs w:val="20"/>
          <w:color w:val="auto"/>
        </w:rPr>
      </w:pPr>
      <w:r>
        <w:rPr>
          <w:rFonts w:ascii="Arial" w:cs="Arial" w:eastAsia="Arial" w:hAnsi="Arial"/>
          <w:sz w:val="18"/>
          <w:szCs w:val="18"/>
          <w:color w:val="auto"/>
        </w:rPr>
        <w:t>We may not have a compensation committee in place prior to the completion of our initial business combination. Any executive compensation matters that arise prior to the time we have a compensation committee in place will be determined by our independent directors. None of our directors who currently serve as members of our compensation committee is, or has at any time in the past been, one of our officers or employees. None of our executive officers currently serves, or in the past year has served, as a member of the compensation committee of any other entity that has one or more executive officers serving on our board of directors. None of our executive officers currently serves, or in the past year has served, as a member of the board of directors of any other entity that has one or more executive officers serving on our compensation committee.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have adopted a code of ethics that applies to all of our executive officers, directors and employees.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code of ethics codifies the business and ethical principles that govern all aspects of our business.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Investors should be aware of the following potential conflicts of interest:</w:t>
      </w:r>
    </w:p>
    <w:p>
      <w:pPr>
        <w:spacing w:after="0" w:line="158" w:lineRule="exact"/>
        <w:rPr>
          <w:sz w:val="20"/>
          <w:szCs w:val="20"/>
          <w:color w:val="auto"/>
        </w:rPr>
      </w:pPr>
    </w:p>
    <w:p>
      <w:pPr>
        <w:ind w:left="1320" w:right="839" w:hanging="434"/>
        <w:spacing w:after="0" w:line="263" w:lineRule="auto"/>
        <w:tabs>
          <w:tab w:leader="none" w:pos="1311"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None of our officers and directors are required to commit their full time to our affairs and, accordingly, they may have conflicts of interest in allocating their time among various business activities.</w:t>
      </w:r>
    </w:p>
    <w:p>
      <w:pPr>
        <w:spacing w:after="0" w:line="102" w:lineRule="exact"/>
        <w:rPr>
          <w:rFonts w:ascii="Arial" w:cs="Arial" w:eastAsia="Arial" w:hAnsi="Arial"/>
          <w:sz w:val="18"/>
          <w:szCs w:val="18"/>
          <w:color w:val="auto"/>
        </w:rPr>
      </w:pPr>
    </w:p>
    <w:p>
      <w:pPr>
        <w:ind w:left="1320" w:right="499" w:hanging="434"/>
        <w:spacing w:after="0" w:line="257" w:lineRule="auto"/>
        <w:tabs>
          <w:tab w:leader="none" w:pos="1311"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w:t>
      </w:r>
    </w:p>
    <w:p>
      <w:pPr>
        <w:spacing w:after="0" w:line="120" w:lineRule="exact"/>
        <w:rPr>
          <w:rFonts w:ascii="Arial" w:cs="Arial" w:eastAsia="Arial" w:hAnsi="Arial"/>
          <w:sz w:val="18"/>
          <w:szCs w:val="18"/>
          <w:color w:val="auto"/>
        </w:rPr>
      </w:pPr>
    </w:p>
    <w:p>
      <w:pPr>
        <w:jc w:val="both"/>
        <w:ind w:left="1320" w:right="719" w:hanging="434"/>
        <w:spacing w:after="0" w:line="263" w:lineRule="auto"/>
        <w:tabs>
          <w:tab w:leader="none" w:pos="1311" w:val="left"/>
        </w:tabs>
        <w:numPr>
          <w:ilvl w:val="0"/>
          <w:numId w:val="230"/>
        </w:numPr>
        <w:rPr>
          <w:rFonts w:ascii="Arial" w:cs="Arial" w:eastAsia="Arial" w:hAnsi="Arial"/>
          <w:sz w:val="18"/>
          <w:szCs w:val="18"/>
          <w:color w:val="auto"/>
        </w:rPr>
      </w:pPr>
      <w:r>
        <w:rPr>
          <w:rFonts w:ascii="Arial" w:cs="Arial" w:eastAsia="Arial" w:hAnsi="Arial"/>
          <w:sz w:val="18"/>
          <w:szCs w:val="18"/>
          <w:color w:val="auto"/>
        </w:rPr>
        <w:t>Our officers and directors may in the future become affiliated with entities, including other blank check companies, engaged in business activities similar to those intended to be conducted by our company.</w:t>
      </w:r>
    </w:p>
    <w:p>
      <w:pPr>
        <w:spacing w:after="0" w:line="116" w:lineRule="exact"/>
        <w:rPr>
          <w:rFonts w:ascii="Arial" w:cs="Arial" w:eastAsia="Arial" w:hAnsi="Arial"/>
          <w:sz w:val="18"/>
          <w:szCs w:val="18"/>
          <w:color w:val="auto"/>
        </w:rPr>
      </w:pPr>
    </w:p>
    <w:p>
      <w:pPr>
        <w:jc w:val="both"/>
        <w:ind w:left="1320" w:right="659" w:hanging="434"/>
        <w:spacing w:after="0" w:line="311" w:lineRule="auto"/>
        <w:tabs>
          <w:tab w:leader="none" w:pos="1311" w:val="left"/>
        </w:tabs>
        <w:numPr>
          <w:ilvl w:val="0"/>
          <w:numId w:val="230"/>
        </w:numPr>
        <w:rPr>
          <w:rFonts w:ascii="Arial" w:cs="Arial" w:eastAsia="Arial" w:hAnsi="Arial"/>
          <w:sz w:val="16"/>
          <w:szCs w:val="16"/>
          <w:color w:val="auto"/>
        </w:rPr>
      </w:pPr>
      <w:r>
        <w:rPr>
          <w:rFonts w:ascii="Arial" w:cs="Arial" w:eastAsia="Arial" w:hAnsi="Arial"/>
          <w:sz w:val="16"/>
          <w:szCs w:val="16"/>
          <w:color w:val="auto"/>
        </w:rPr>
        <w:t>Unless we consummate our initial business combination, our officers, directors and other insiders will not receive reimbursement for any out-of-pocket expenses incurred by them to the extent that such expenses exceed the amount of available proceeds not deposited in the trust account.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0" w:name="page191"/>
    <w:bookmarkEnd w:id="19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39" w:hanging="434"/>
        <w:spacing w:after="0" w:line="272" w:lineRule="auto"/>
        <w:tabs>
          <w:tab w:leader="none" w:pos="1311"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insider shares beneficially owned by our officers and directors will be released from escrow only if our initial business combination is successfully completed. Additionally, if we are unable to complete an initial business combination within the required time frame, our officers and directors will not be entitled to receive any amounts held in the trust account with respect to any of their insider shares or private shares. For the foregoing reasons, our board may have a conflict of interest in determining whether a particular target business is an appropriate business with which to effect our initial business combination; and</w:t>
      </w:r>
    </w:p>
    <w:p>
      <w:pPr>
        <w:spacing w:after="0" w:line="109" w:lineRule="exact"/>
        <w:rPr>
          <w:rFonts w:ascii="Arial" w:cs="Arial" w:eastAsia="Arial" w:hAnsi="Arial"/>
          <w:sz w:val="17"/>
          <w:szCs w:val="17"/>
          <w:color w:val="auto"/>
        </w:rPr>
      </w:pPr>
    </w:p>
    <w:p>
      <w:pPr>
        <w:ind w:left="1320" w:right="599" w:hanging="434"/>
        <w:spacing w:after="0" w:line="263" w:lineRule="auto"/>
        <w:tabs>
          <w:tab w:leader="none" w:pos="131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Boxer Capital, an affiliate of the Sponsor, has a seat on the Tango board of directors (occupied by Aaron Davis) and owns approximately 15% of Tango’s outstanding securities prior to the Business Combination.</w:t>
      </w:r>
    </w:p>
    <w:p>
      <w:pPr>
        <w:spacing w:after="0" w:line="116"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89" w:lineRule="exact"/>
        <w:rPr>
          <w:sz w:val="20"/>
          <w:szCs w:val="20"/>
          <w:color w:val="auto"/>
        </w:rPr>
      </w:pPr>
    </w:p>
    <w:p>
      <w:pPr>
        <w:ind w:left="1300" w:hanging="414"/>
        <w:spacing w:after="0"/>
        <w:tabs>
          <w:tab w:leader="none" w:pos="13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57" w:lineRule="exact"/>
        <w:rPr>
          <w:rFonts w:ascii="Arial" w:cs="Arial" w:eastAsia="Arial" w:hAnsi="Arial"/>
          <w:sz w:val="18"/>
          <w:szCs w:val="18"/>
          <w:color w:val="auto"/>
        </w:rPr>
      </w:pPr>
    </w:p>
    <w:p>
      <w:pPr>
        <w:ind w:left="1320" w:right="659" w:hanging="434"/>
        <w:spacing w:after="0" w:line="277" w:lineRule="auto"/>
        <w:tabs>
          <w:tab w:leader="none" w:pos="131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89"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24 months from the date of the BCTG IPO.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322"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The following table summarizes the current material pre-existing fiduciary or contractual obligations of our officers, directors and director nominees: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000" w:type="dxa"/>
            <w:vAlign w:val="bottom"/>
            <w:gridSpan w:val="2"/>
          </w:tcPr>
          <w:p>
            <w:pPr>
              <w:spacing w:after="0"/>
              <w:rPr>
                <w:sz w:val="20"/>
                <w:szCs w:val="20"/>
                <w:color w:val="auto"/>
              </w:rPr>
            </w:pPr>
            <w:r>
              <w:rPr>
                <w:rFonts w:ascii="Arial" w:cs="Arial" w:eastAsia="Arial" w:hAnsi="Arial"/>
                <w:sz w:val="16"/>
                <w:szCs w:val="16"/>
                <w:b w:val="1"/>
                <w:bCs w:val="1"/>
                <w:color w:val="auto"/>
              </w:rPr>
              <w:t>Name of Individual</w:t>
            </w:r>
          </w:p>
        </w:tc>
        <w:tc>
          <w:tcPr>
            <w:tcW w:w="2340" w:type="dxa"/>
            <w:vAlign w:val="bottom"/>
            <w:gridSpan w:val="2"/>
          </w:tcPr>
          <w:p>
            <w:pPr>
              <w:ind w:left="120"/>
              <w:spacing w:after="0"/>
              <w:rPr>
                <w:sz w:val="20"/>
                <w:szCs w:val="20"/>
                <w:color w:val="auto"/>
              </w:rPr>
            </w:pPr>
            <w:r>
              <w:rPr>
                <w:rFonts w:ascii="Arial" w:cs="Arial" w:eastAsia="Arial" w:hAnsi="Arial"/>
                <w:sz w:val="16"/>
                <w:szCs w:val="16"/>
                <w:b w:val="1"/>
                <w:bCs w:val="1"/>
                <w:color w:val="auto"/>
              </w:rPr>
              <w:t>Name of Affiliated Company</w:t>
            </w: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Entity’s Business</w:t>
            </w:r>
          </w:p>
        </w:tc>
        <w:tc>
          <w:tcPr>
            <w:tcW w:w="2280" w:type="dxa"/>
            <w:vAlign w:val="bottom"/>
          </w:tcPr>
          <w:p>
            <w:pPr>
              <w:ind w:left="780"/>
              <w:spacing w:after="0"/>
              <w:rPr>
                <w:sz w:val="20"/>
                <w:szCs w:val="20"/>
                <w:color w:val="auto"/>
              </w:rPr>
            </w:pPr>
            <w:r>
              <w:rPr>
                <w:rFonts w:ascii="Arial" w:cs="Arial" w:eastAsia="Arial" w:hAnsi="Arial"/>
                <w:sz w:val="16"/>
                <w:szCs w:val="16"/>
                <w:b w:val="1"/>
                <w:bCs w:val="1"/>
                <w:color w:val="auto"/>
              </w:rPr>
              <w:t>Affiliation</w:t>
            </w:r>
          </w:p>
        </w:tc>
        <w:tc>
          <w:tcPr>
            <w:tcW w:w="0" w:type="dxa"/>
            <w:vAlign w:val="bottom"/>
          </w:tcPr>
          <w:p>
            <w:pPr>
              <w:spacing w:after="0"/>
              <w:rPr>
                <w:sz w:val="1"/>
                <w:szCs w:val="1"/>
                <w:color w:val="auto"/>
              </w:rPr>
            </w:pPr>
          </w:p>
        </w:tc>
      </w:tr>
      <w:tr>
        <w:trPr>
          <w:trHeight w:val="46"/>
        </w:trPr>
        <w:tc>
          <w:tcPr>
            <w:tcW w:w="19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900" w:type="dxa"/>
            <w:vAlign w:val="bottom"/>
          </w:tcPr>
          <w:p>
            <w:pPr>
              <w:spacing w:after="0"/>
              <w:rPr>
                <w:sz w:val="20"/>
                <w:szCs w:val="20"/>
                <w:color w:val="auto"/>
              </w:rPr>
            </w:pPr>
            <w:r>
              <w:rPr>
                <w:rFonts w:ascii="Arial" w:cs="Arial" w:eastAsia="Arial" w:hAnsi="Arial"/>
                <w:sz w:val="18"/>
                <w:szCs w:val="18"/>
                <w:color w:val="auto"/>
              </w:rPr>
              <w:t>Aaron Davis</w:t>
            </w:r>
          </w:p>
        </w:tc>
        <w:tc>
          <w:tcPr>
            <w:tcW w:w="100" w:type="dxa"/>
            <w:vAlign w:val="bottom"/>
            <w:vMerge w:val="continue"/>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Boxer Capital, LLC</w:t>
            </w:r>
          </w:p>
        </w:tc>
        <w:tc>
          <w:tcPr>
            <w:tcW w:w="100" w:type="dxa"/>
            <w:vAlign w:val="bottom"/>
            <w:vMerge w:val="continue"/>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Investment Fund</w:t>
            </w:r>
          </w:p>
        </w:tc>
        <w:tc>
          <w:tcPr>
            <w:tcW w:w="80" w:type="dxa"/>
            <w:vAlign w:val="bottom"/>
            <w:vMerge w:val="continue"/>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56"/>
        </w:trPr>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MVA Investors, LLC</w:t>
            </w:r>
          </w:p>
        </w:tc>
        <w:tc>
          <w:tcPr>
            <w:tcW w:w="1480" w:type="dxa"/>
            <w:vAlign w:val="bottom"/>
            <w:gridSpan w:val="2"/>
          </w:tcPr>
          <w:p>
            <w:pPr>
              <w:spacing w:after="0"/>
              <w:rPr>
                <w:sz w:val="20"/>
                <w:szCs w:val="20"/>
                <w:color w:val="auto"/>
              </w:rPr>
            </w:pPr>
            <w:r>
              <w:rPr>
                <w:rFonts w:ascii="Arial" w:cs="Arial" w:eastAsia="Arial" w:hAnsi="Arial"/>
                <w:sz w:val="18"/>
                <w:szCs w:val="18"/>
                <w:color w:val="auto"/>
              </w:rPr>
              <w:t>Investment Fund</w:t>
            </w:r>
          </w:p>
        </w:tc>
        <w:tc>
          <w:tcPr>
            <w:tcW w:w="22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83"/>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Mirati Therapeutics,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Odonate Therapeutics,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iTeos Therapeutics,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Tango Therapeutics,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w w:val="97"/>
              </w:rPr>
              <w:t>CiVi Biopharma Holdings,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Executive Chairman</w:t>
            </w:r>
          </w:p>
        </w:tc>
        <w:tc>
          <w:tcPr>
            <w:tcW w:w="0" w:type="dxa"/>
            <w:vAlign w:val="bottom"/>
          </w:tcPr>
          <w:p>
            <w:pPr>
              <w:spacing w:after="0"/>
              <w:rPr>
                <w:sz w:val="1"/>
                <w:szCs w:val="1"/>
                <w:color w:val="auto"/>
              </w:rPr>
            </w:pPr>
          </w:p>
        </w:tc>
      </w:tr>
      <w:tr>
        <w:trPr>
          <w:trHeight w:val="283"/>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Sojournix,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Rain Therapeutics,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567"/>
        </w:trPr>
        <w:tc>
          <w:tcPr>
            <w:tcW w:w="2000" w:type="dxa"/>
            <w:vAlign w:val="bottom"/>
            <w:gridSpan w:val="2"/>
          </w:tcPr>
          <w:p>
            <w:pPr>
              <w:spacing w:after="0"/>
              <w:rPr>
                <w:sz w:val="20"/>
                <w:szCs w:val="20"/>
                <w:color w:val="auto"/>
              </w:rPr>
            </w:pPr>
            <w:r>
              <w:rPr>
                <w:rFonts w:ascii="Arial" w:cs="Arial" w:eastAsia="Arial" w:hAnsi="Arial"/>
                <w:sz w:val="18"/>
                <w:szCs w:val="18"/>
                <w:color w:val="auto"/>
              </w:rPr>
              <w:t>Christopher Fuglesang</w:t>
            </w:r>
          </w:p>
        </w:tc>
        <w:tc>
          <w:tcPr>
            <w:tcW w:w="2340" w:type="dxa"/>
            <w:vAlign w:val="bottom"/>
            <w:gridSpan w:val="2"/>
          </w:tcPr>
          <w:p>
            <w:pPr>
              <w:spacing w:after="0"/>
              <w:rPr>
                <w:sz w:val="20"/>
                <w:szCs w:val="20"/>
                <w:color w:val="auto"/>
              </w:rPr>
            </w:pPr>
            <w:r>
              <w:rPr>
                <w:rFonts w:ascii="Arial" w:cs="Arial" w:eastAsia="Arial" w:hAnsi="Arial"/>
                <w:sz w:val="18"/>
                <w:szCs w:val="18"/>
                <w:color w:val="auto"/>
              </w:rPr>
              <w:t>Boxer Capital, LLC</w:t>
            </w:r>
          </w:p>
        </w:tc>
        <w:tc>
          <w:tcPr>
            <w:tcW w:w="1480" w:type="dxa"/>
            <w:vAlign w:val="bottom"/>
            <w:gridSpan w:val="2"/>
          </w:tcPr>
          <w:p>
            <w:pPr>
              <w:spacing w:after="0"/>
              <w:rPr>
                <w:sz w:val="20"/>
                <w:szCs w:val="20"/>
                <w:color w:val="auto"/>
              </w:rPr>
            </w:pPr>
            <w:r>
              <w:rPr>
                <w:rFonts w:ascii="Arial" w:cs="Arial" w:eastAsia="Arial" w:hAnsi="Arial"/>
                <w:sz w:val="18"/>
                <w:szCs w:val="18"/>
                <w:color w:val="auto"/>
              </w:rPr>
              <w:t>Investment Fund</w:t>
            </w:r>
          </w:p>
        </w:tc>
        <w:tc>
          <w:tcPr>
            <w:tcW w:w="2280" w:type="dxa"/>
            <w:vAlign w:val="bottom"/>
          </w:tcPr>
          <w:p>
            <w:pPr>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MVA Investors, LLC</w:t>
            </w:r>
          </w:p>
        </w:tc>
        <w:tc>
          <w:tcPr>
            <w:tcW w:w="1480" w:type="dxa"/>
            <w:vAlign w:val="bottom"/>
            <w:gridSpan w:val="2"/>
          </w:tcPr>
          <w:p>
            <w:pPr>
              <w:spacing w:after="0"/>
              <w:rPr>
                <w:sz w:val="20"/>
                <w:szCs w:val="20"/>
                <w:color w:val="auto"/>
              </w:rPr>
            </w:pPr>
            <w:r>
              <w:rPr>
                <w:rFonts w:ascii="Arial" w:cs="Arial" w:eastAsia="Arial" w:hAnsi="Arial"/>
                <w:sz w:val="18"/>
                <w:szCs w:val="18"/>
                <w:color w:val="auto"/>
              </w:rPr>
              <w:t>Investment Fund</w:t>
            </w:r>
          </w:p>
        </w:tc>
        <w:tc>
          <w:tcPr>
            <w:tcW w:w="2280" w:type="dxa"/>
            <w:vAlign w:val="bottom"/>
          </w:tcPr>
          <w:p>
            <w:pPr>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Pandion Therapeutics,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w w:val="97"/>
              </w:rPr>
              <w:t>CiVi Biopharma Holdings,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4" w:right="1440"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1" w:name="page192"/>
    <w:bookmarkEnd w:id="19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000" w:type="dxa"/>
            <w:vAlign w:val="bottom"/>
            <w:gridSpan w:val="2"/>
          </w:tcPr>
          <w:p>
            <w:pPr>
              <w:spacing w:after="0"/>
              <w:rPr>
                <w:sz w:val="20"/>
                <w:szCs w:val="20"/>
                <w:color w:val="auto"/>
              </w:rPr>
            </w:pPr>
            <w:r>
              <w:rPr>
                <w:rFonts w:ascii="Arial" w:cs="Arial" w:eastAsia="Arial" w:hAnsi="Arial"/>
                <w:sz w:val="16"/>
                <w:szCs w:val="16"/>
                <w:b w:val="1"/>
                <w:bCs w:val="1"/>
                <w:color w:val="auto"/>
              </w:rPr>
              <w:t>Name of Individual</w:t>
            </w:r>
          </w:p>
        </w:tc>
        <w:tc>
          <w:tcPr>
            <w:tcW w:w="2340" w:type="dxa"/>
            <w:vAlign w:val="bottom"/>
            <w:gridSpan w:val="2"/>
          </w:tcPr>
          <w:p>
            <w:pPr>
              <w:ind w:left="120"/>
              <w:spacing w:after="0"/>
              <w:rPr>
                <w:sz w:val="20"/>
                <w:szCs w:val="20"/>
                <w:color w:val="auto"/>
              </w:rPr>
            </w:pPr>
            <w:r>
              <w:rPr>
                <w:rFonts w:ascii="Arial" w:cs="Arial" w:eastAsia="Arial" w:hAnsi="Arial"/>
                <w:sz w:val="16"/>
                <w:szCs w:val="16"/>
                <w:b w:val="1"/>
                <w:bCs w:val="1"/>
                <w:color w:val="auto"/>
              </w:rPr>
              <w:t>Name of Affiliated Company</w:t>
            </w: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Entity’s Business</w:t>
            </w:r>
          </w:p>
        </w:tc>
        <w:tc>
          <w:tcPr>
            <w:tcW w:w="2280" w:type="dxa"/>
            <w:vAlign w:val="bottom"/>
          </w:tcPr>
          <w:p>
            <w:pPr>
              <w:ind w:left="780"/>
              <w:spacing w:after="0"/>
              <w:rPr>
                <w:sz w:val="20"/>
                <w:szCs w:val="20"/>
                <w:color w:val="auto"/>
              </w:rPr>
            </w:pPr>
            <w:r>
              <w:rPr>
                <w:rFonts w:ascii="Arial" w:cs="Arial" w:eastAsia="Arial" w:hAnsi="Arial"/>
                <w:sz w:val="16"/>
                <w:szCs w:val="16"/>
                <w:b w:val="1"/>
                <w:bCs w:val="1"/>
                <w:color w:val="auto"/>
              </w:rPr>
              <w:t>Affiliation</w:t>
            </w:r>
          </w:p>
        </w:tc>
        <w:tc>
          <w:tcPr>
            <w:tcW w:w="0" w:type="dxa"/>
            <w:vAlign w:val="bottom"/>
          </w:tcPr>
          <w:p>
            <w:pPr>
              <w:spacing w:after="0"/>
              <w:rPr>
                <w:sz w:val="1"/>
                <w:szCs w:val="1"/>
                <w:color w:val="auto"/>
              </w:rPr>
            </w:pPr>
          </w:p>
        </w:tc>
      </w:tr>
      <w:tr>
        <w:trPr>
          <w:trHeight w:val="46"/>
        </w:trPr>
        <w:tc>
          <w:tcPr>
            <w:tcW w:w="1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Coho Therapeutics, Inc.</w:t>
            </w:r>
          </w:p>
        </w:tc>
        <w:tc>
          <w:tcPr>
            <w:tcW w:w="100" w:type="dxa"/>
            <w:vAlign w:val="bottom"/>
            <w:vMerge w:val="continue"/>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Therapeutics</w:t>
            </w:r>
          </w:p>
        </w:tc>
        <w:tc>
          <w:tcPr>
            <w:tcW w:w="80" w:type="dxa"/>
            <w:vAlign w:val="bottom"/>
            <w:vMerge w:val="continue"/>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69"/>
        </w:trPr>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Shoreline Biosciences,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2000" w:type="dxa"/>
            <w:vAlign w:val="bottom"/>
            <w:gridSpan w:val="2"/>
          </w:tcPr>
          <w:p>
            <w:pPr>
              <w:spacing w:after="0"/>
              <w:rPr>
                <w:sz w:val="20"/>
                <w:szCs w:val="20"/>
                <w:color w:val="auto"/>
              </w:rPr>
            </w:pPr>
            <w:r>
              <w:rPr>
                <w:rFonts w:ascii="Arial" w:cs="Arial" w:eastAsia="Arial" w:hAnsi="Arial"/>
                <w:sz w:val="18"/>
                <w:szCs w:val="18"/>
                <w:color w:val="auto"/>
              </w:rPr>
              <w:t>Michael Beauchamp</w:t>
            </w:r>
          </w:p>
        </w:tc>
        <w:tc>
          <w:tcPr>
            <w:tcW w:w="2340" w:type="dxa"/>
            <w:vAlign w:val="bottom"/>
            <w:gridSpan w:val="2"/>
          </w:tcPr>
          <w:p>
            <w:pPr>
              <w:spacing w:after="0"/>
              <w:rPr>
                <w:sz w:val="20"/>
                <w:szCs w:val="20"/>
                <w:color w:val="auto"/>
              </w:rPr>
            </w:pPr>
            <w:r>
              <w:rPr>
                <w:rFonts w:ascii="Arial" w:cs="Arial" w:eastAsia="Arial" w:hAnsi="Arial"/>
                <w:sz w:val="18"/>
                <w:szCs w:val="18"/>
                <w:color w:val="auto"/>
              </w:rPr>
              <w:t>Boxer Capital, LLC</w:t>
            </w:r>
          </w:p>
        </w:tc>
        <w:tc>
          <w:tcPr>
            <w:tcW w:w="1480" w:type="dxa"/>
            <w:vAlign w:val="bottom"/>
            <w:gridSpan w:val="2"/>
          </w:tcPr>
          <w:p>
            <w:pPr>
              <w:spacing w:after="0"/>
              <w:rPr>
                <w:sz w:val="20"/>
                <w:szCs w:val="20"/>
                <w:color w:val="auto"/>
              </w:rPr>
            </w:pPr>
            <w:r>
              <w:rPr>
                <w:rFonts w:ascii="Arial" w:cs="Arial" w:eastAsia="Arial" w:hAnsi="Arial"/>
                <w:sz w:val="18"/>
                <w:szCs w:val="18"/>
                <w:color w:val="auto"/>
              </w:rPr>
              <w:t>Investment Fund</w:t>
            </w:r>
          </w:p>
        </w:tc>
        <w:tc>
          <w:tcPr>
            <w:tcW w:w="2280" w:type="dxa"/>
            <w:vAlign w:val="bottom"/>
          </w:tcPr>
          <w:p>
            <w:pPr>
              <w:spacing w:after="0"/>
              <w:rPr>
                <w:sz w:val="20"/>
                <w:szCs w:val="20"/>
                <w:color w:val="auto"/>
              </w:rPr>
            </w:pPr>
            <w:r>
              <w:rPr>
                <w:rFonts w:ascii="Arial" w:cs="Arial" w:eastAsia="Arial" w:hAnsi="Arial"/>
                <w:sz w:val="18"/>
                <w:szCs w:val="18"/>
                <w:color w:val="auto"/>
              </w:rPr>
              <w:t>Vice President of Finance</w:t>
            </w:r>
          </w:p>
        </w:tc>
        <w:tc>
          <w:tcPr>
            <w:tcW w:w="0" w:type="dxa"/>
            <w:vAlign w:val="bottom"/>
          </w:tcPr>
          <w:p>
            <w:pPr>
              <w:spacing w:after="0"/>
              <w:rPr>
                <w:sz w:val="1"/>
                <w:szCs w:val="1"/>
                <w:color w:val="auto"/>
              </w:rPr>
            </w:pPr>
          </w:p>
        </w:tc>
      </w:tr>
      <w:tr>
        <w:trPr>
          <w:trHeight w:val="405"/>
        </w:trPr>
        <w:tc>
          <w:tcPr>
            <w:tcW w:w="2000" w:type="dxa"/>
            <w:vAlign w:val="bottom"/>
            <w:gridSpan w:val="2"/>
          </w:tcPr>
          <w:p>
            <w:pPr>
              <w:spacing w:after="0"/>
              <w:rPr>
                <w:sz w:val="20"/>
                <w:szCs w:val="20"/>
                <w:color w:val="auto"/>
              </w:rPr>
            </w:pPr>
            <w:r>
              <w:rPr>
                <w:rFonts w:ascii="Arial" w:cs="Arial" w:eastAsia="Arial" w:hAnsi="Arial"/>
                <w:sz w:val="18"/>
                <w:szCs w:val="18"/>
                <w:color w:val="auto"/>
              </w:rPr>
              <w:t>Andrew Ellis</w:t>
            </w:r>
          </w:p>
        </w:tc>
        <w:tc>
          <w:tcPr>
            <w:tcW w:w="2340" w:type="dxa"/>
            <w:vAlign w:val="bottom"/>
            <w:gridSpan w:val="2"/>
          </w:tcPr>
          <w:p>
            <w:pPr>
              <w:spacing w:after="0"/>
              <w:rPr>
                <w:sz w:val="20"/>
                <w:szCs w:val="20"/>
                <w:color w:val="auto"/>
              </w:rPr>
            </w:pPr>
            <w:r>
              <w:rPr>
                <w:rFonts w:ascii="Arial" w:cs="Arial" w:eastAsia="Arial" w:hAnsi="Arial"/>
                <w:sz w:val="18"/>
                <w:szCs w:val="18"/>
                <w:color w:val="auto"/>
              </w:rPr>
              <w:t>Boxer Capital, LLC</w:t>
            </w:r>
          </w:p>
        </w:tc>
        <w:tc>
          <w:tcPr>
            <w:tcW w:w="1480" w:type="dxa"/>
            <w:vAlign w:val="bottom"/>
            <w:gridSpan w:val="2"/>
          </w:tcPr>
          <w:p>
            <w:pPr>
              <w:spacing w:after="0"/>
              <w:rPr>
                <w:sz w:val="20"/>
                <w:szCs w:val="20"/>
                <w:color w:val="auto"/>
              </w:rPr>
            </w:pPr>
            <w:r>
              <w:rPr>
                <w:rFonts w:ascii="Arial" w:cs="Arial" w:eastAsia="Arial" w:hAnsi="Arial"/>
                <w:sz w:val="18"/>
                <w:szCs w:val="18"/>
                <w:color w:val="auto"/>
              </w:rPr>
              <w:t>Investment Fund</w:t>
            </w:r>
          </w:p>
        </w:tc>
        <w:tc>
          <w:tcPr>
            <w:tcW w:w="2280" w:type="dxa"/>
            <w:vAlign w:val="bottom"/>
          </w:tcPr>
          <w:p>
            <w:pPr>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391"/>
        </w:trPr>
        <w:tc>
          <w:tcPr>
            <w:tcW w:w="2000" w:type="dxa"/>
            <w:vAlign w:val="bottom"/>
            <w:gridSpan w:val="2"/>
          </w:tcPr>
          <w:p>
            <w:pPr>
              <w:spacing w:after="0"/>
              <w:rPr>
                <w:sz w:val="20"/>
                <w:szCs w:val="20"/>
                <w:color w:val="auto"/>
              </w:rPr>
            </w:pPr>
            <w:r>
              <w:rPr>
                <w:rFonts w:ascii="Arial" w:cs="Arial" w:eastAsia="Arial" w:hAnsi="Arial"/>
                <w:sz w:val="18"/>
                <w:szCs w:val="18"/>
                <w:color w:val="auto"/>
              </w:rPr>
              <w:t>Carole L. Nuechterlein</w:t>
            </w:r>
          </w:p>
        </w:tc>
        <w:tc>
          <w:tcPr>
            <w:tcW w:w="2340" w:type="dxa"/>
            <w:vAlign w:val="bottom"/>
            <w:gridSpan w:val="2"/>
          </w:tcPr>
          <w:p>
            <w:pPr>
              <w:spacing w:after="0"/>
              <w:rPr>
                <w:sz w:val="20"/>
                <w:szCs w:val="20"/>
                <w:color w:val="auto"/>
              </w:rPr>
            </w:pPr>
            <w:r>
              <w:rPr>
                <w:rFonts w:ascii="Arial" w:cs="Arial" w:eastAsia="Arial" w:hAnsi="Arial"/>
                <w:sz w:val="18"/>
                <w:szCs w:val="18"/>
                <w:color w:val="auto"/>
              </w:rPr>
              <w:t>F. Hoffmann-La Roche Ltd.</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Deputy Director, Head of</w:t>
            </w: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Roche Venture Fund</w:t>
            </w:r>
          </w:p>
        </w:tc>
        <w:tc>
          <w:tcPr>
            <w:tcW w:w="0" w:type="dxa"/>
            <w:vAlign w:val="bottom"/>
          </w:tcPr>
          <w:p>
            <w:pPr>
              <w:spacing w:after="0"/>
              <w:rPr>
                <w:sz w:val="1"/>
                <w:szCs w:val="1"/>
                <w:color w:val="auto"/>
              </w:rPr>
            </w:pPr>
          </w:p>
        </w:tc>
      </w:tr>
      <w:tr>
        <w:trPr>
          <w:trHeight w:val="256"/>
        </w:trPr>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Millendo Therapeutics,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Aligos Therapeutics,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Vivet Therapeutics SAS</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w w:val="97"/>
              </w:rPr>
              <w:t>CiVi Biopharma Holdings,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Entrada Therapeutics,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Mission Therapeutics Ltd.</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Arch Oncology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Second Genome,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Enthera Therapeutics</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2000" w:type="dxa"/>
            <w:vAlign w:val="bottom"/>
            <w:gridSpan w:val="2"/>
          </w:tcPr>
          <w:p>
            <w:pPr>
              <w:spacing w:after="0"/>
              <w:rPr>
                <w:sz w:val="20"/>
                <w:szCs w:val="20"/>
                <w:color w:val="auto"/>
              </w:rPr>
            </w:pPr>
            <w:r>
              <w:rPr>
                <w:rFonts w:ascii="Arial" w:cs="Arial" w:eastAsia="Arial" w:hAnsi="Arial"/>
                <w:sz w:val="18"/>
                <w:szCs w:val="18"/>
                <w:color w:val="auto"/>
              </w:rPr>
              <w:t>Richard Heyman</w:t>
            </w:r>
          </w:p>
        </w:tc>
        <w:tc>
          <w:tcPr>
            <w:tcW w:w="2340" w:type="dxa"/>
            <w:vAlign w:val="bottom"/>
            <w:gridSpan w:val="2"/>
          </w:tcPr>
          <w:p>
            <w:pPr>
              <w:spacing w:after="0"/>
              <w:rPr>
                <w:sz w:val="20"/>
                <w:szCs w:val="20"/>
                <w:color w:val="auto"/>
              </w:rPr>
            </w:pPr>
            <w:r>
              <w:rPr>
                <w:rFonts w:ascii="Arial" w:cs="Arial" w:eastAsia="Arial" w:hAnsi="Arial"/>
                <w:sz w:val="18"/>
                <w:szCs w:val="18"/>
                <w:color w:val="auto"/>
              </w:rPr>
              <w:t>Arch Ventures</w:t>
            </w:r>
          </w:p>
        </w:tc>
        <w:tc>
          <w:tcPr>
            <w:tcW w:w="1480" w:type="dxa"/>
            <w:vAlign w:val="bottom"/>
            <w:gridSpan w:val="2"/>
          </w:tcPr>
          <w:p>
            <w:pPr>
              <w:spacing w:after="0"/>
              <w:rPr>
                <w:sz w:val="20"/>
                <w:szCs w:val="20"/>
                <w:color w:val="auto"/>
              </w:rPr>
            </w:pPr>
            <w:r>
              <w:rPr>
                <w:rFonts w:ascii="Arial" w:cs="Arial" w:eastAsia="Arial" w:hAnsi="Arial"/>
                <w:sz w:val="18"/>
                <w:szCs w:val="18"/>
                <w:color w:val="auto"/>
              </w:rPr>
              <w:t>Investment Fund</w:t>
            </w:r>
          </w:p>
        </w:tc>
        <w:tc>
          <w:tcPr>
            <w:tcW w:w="2280" w:type="dxa"/>
            <w:vAlign w:val="bottom"/>
          </w:tcPr>
          <w:p>
            <w:pPr>
              <w:spacing w:after="0"/>
              <w:rPr>
                <w:sz w:val="20"/>
                <w:szCs w:val="20"/>
                <w:color w:val="auto"/>
              </w:rPr>
            </w:pPr>
            <w:r>
              <w:rPr>
                <w:rFonts w:ascii="Arial" w:cs="Arial" w:eastAsia="Arial" w:hAnsi="Arial"/>
                <w:sz w:val="18"/>
                <w:szCs w:val="18"/>
                <w:color w:val="auto"/>
              </w:rPr>
              <w:t>Venture Partner</w:t>
            </w:r>
          </w:p>
        </w:tc>
        <w:tc>
          <w:tcPr>
            <w:tcW w:w="0" w:type="dxa"/>
            <w:vAlign w:val="bottom"/>
          </w:tcPr>
          <w:p>
            <w:pPr>
              <w:spacing w:after="0"/>
              <w:rPr>
                <w:sz w:val="1"/>
                <w:szCs w:val="1"/>
                <w:color w:val="auto"/>
              </w:rPr>
            </w:pPr>
          </w:p>
        </w:tc>
      </w:tr>
      <w:tr>
        <w:trPr>
          <w:trHeight w:val="257"/>
        </w:trPr>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Metacrine,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Chairman</w:t>
            </w:r>
          </w:p>
        </w:tc>
        <w:tc>
          <w:tcPr>
            <w:tcW w:w="0" w:type="dxa"/>
            <w:vAlign w:val="bottom"/>
          </w:tcPr>
          <w:p>
            <w:pPr>
              <w:spacing w:after="0"/>
              <w:rPr>
                <w:sz w:val="1"/>
                <w:szCs w:val="1"/>
                <w:color w:val="auto"/>
              </w:rPr>
            </w:pPr>
          </w:p>
        </w:tc>
      </w:tr>
      <w:tr>
        <w:trPr>
          <w:trHeight w:val="283"/>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Millendo Therapeutics,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ORIC Pharmaceuticals</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Yumanity Therapeutics,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Vividion Therapeutics,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PMV Pharmaceuticals,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Chairman</w:t>
            </w:r>
          </w:p>
        </w:tc>
        <w:tc>
          <w:tcPr>
            <w:tcW w:w="0" w:type="dxa"/>
            <w:vAlign w:val="bottom"/>
          </w:tcPr>
          <w:p>
            <w:pPr>
              <w:spacing w:after="0"/>
              <w:rPr>
                <w:sz w:val="1"/>
                <w:szCs w:val="1"/>
                <w:color w:val="auto"/>
              </w:rPr>
            </w:pPr>
          </w:p>
        </w:tc>
      </w:tr>
      <w:tr>
        <w:trPr>
          <w:trHeight w:val="283"/>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Amunix,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18"/>
        </w:trPr>
        <w:tc>
          <w:tcPr>
            <w:tcW w:w="2000" w:type="dxa"/>
            <w:vAlign w:val="bottom"/>
            <w:gridSpan w:val="2"/>
          </w:tcPr>
          <w:p>
            <w:pPr>
              <w:spacing w:after="0"/>
              <w:rPr>
                <w:sz w:val="20"/>
                <w:szCs w:val="20"/>
                <w:color w:val="auto"/>
              </w:rPr>
            </w:pPr>
            <w:r>
              <w:rPr>
                <w:rFonts w:ascii="Arial" w:cs="Arial" w:eastAsia="Arial" w:hAnsi="Arial"/>
                <w:sz w:val="18"/>
                <w:szCs w:val="18"/>
                <w:color w:val="auto"/>
              </w:rPr>
              <w:t>Charles M. Baum</w:t>
            </w:r>
          </w:p>
        </w:tc>
        <w:tc>
          <w:tcPr>
            <w:tcW w:w="2340" w:type="dxa"/>
            <w:vAlign w:val="bottom"/>
            <w:gridSpan w:val="2"/>
          </w:tcPr>
          <w:p>
            <w:pPr>
              <w:spacing w:after="0"/>
              <w:rPr>
                <w:sz w:val="20"/>
                <w:szCs w:val="20"/>
                <w:color w:val="auto"/>
              </w:rPr>
            </w:pPr>
            <w:r>
              <w:rPr>
                <w:rFonts w:ascii="Arial" w:cs="Arial" w:eastAsia="Arial" w:hAnsi="Arial"/>
                <w:sz w:val="18"/>
                <w:szCs w:val="18"/>
                <w:color w:val="auto"/>
              </w:rPr>
              <w:t>Mirati Therapeutics,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President, Chief Executive</w:t>
            </w: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Officer and Director</w:t>
            </w:r>
          </w:p>
        </w:tc>
        <w:tc>
          <w:tcPr>
            <w:tcW w:w="0" w:type="dxa"/>
            <w:vAlign w:val="bottom"/>
          </w:tcPr>
          <w:p>
            <w:pPr>
              <w:spacing w:after="0"/>
              <w:rPr>
                <w:sz w:val="1"/>
                <w:szCs w:val="1"/>
                <w:color w:val="auto"/>
              </w:rPr>
            </w:pPr>
          </w:p>
        </w:tc>
      </w:tr>
      <w:tr>
        <w:trPr>
          <w:trHeight w:val="257"/>
        </w:trPr>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OncoMyx Therapeutics,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rPr>
              <w:t>Chairman</w:t>
            </w:r>
          </w:p>
        </w:tc>
        <w:tc>
          <w:tcPr>
            <w:tcW w:w="0" w:type="dxa"/>
            <w:vAlign w:val="bottom"/>
          </w:tcPr>
          <w:p>
            <w:pPr>
              <w:spacing w:after="0"/>
              <w:rPr>
                <w:sz w:val="1"/>
                <w:szCs w:val="1"/>
                <w:color w:val="auto"/>
              </w:rPr>
            </w:pPr>
          </w:p>
        </w:tc>
      </w:tr>
      <w:tr>
        <w:trPr>
          <w:trHeight w:val="418"/>
        </w:trPr>
        <w:tc>
          <w:tcPr>
            <w:tcW w:w="2000" w:type="dxa"/>
            <w:vAlign w:val="bottom"/>
            <w:gridSpan w:val="2"/>
          </w:tcPr>
          <w:p>
            <w:pPr>
              <w:spacing w:after="0"/>
              <w:rPr>
                <w:sz w:val="20"/>
                <w:szCs w:val="20"/>
                <w:color w:val="auto"/>
              </w:rPr>
            </w:pPr>
            <w:r>
              <w:rPr>
                <w:rFonts w:ascii="Arial" w:cs="Arial" w:eastAsia="Arial" w:hAnsi="Arial"/>
                <w:sz w:val="18"/>
                <w:szCs w:val="18"/>
                <w:color w:val="auto"/>
              </w:rPr>
              <w:t>Jamie G. Christensen</w:t>
            </w:r>
          </w:p>
        </w:tc>
        <w:tc>
          <w:tcPr>
            <w:tcW w:w="2340" w:type="dxa"/>
            <w:vAlign w:val="bottom"/>
            <w:gridSpan w:val="2"/>
          </w:tcPr>
          <w:p>
            <w:pPr>
              <w:spacing w:after="0"/>
              <w:rPr>
                <w:sz w:val="20"/>
                <w:szCs w:val="20"/>
                <w:color w:val="auto"/>
              </w:rPr>
            </w:pPr>
            <w:r>
              <w:rPr>
                <w:rFonts w:ascii="Arial" w:cs="Arial" w:eastAsia="Arial" w:hAnsi="Arial"/>
                <w:sz w:val="18"/>
                <w:szCs w:val="18"/>
                <w:color w:val="auto"/>
              </w:rPr>
              <w:t>Mirati Therapeutics,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Therapeutics</w:t>
            </w:r>
          </w:p>
        </w:tc>
        <w:tc>
          <w:tcPr>
            <w:tcW w:w="2280" w:type="dxa"/>
            <w:vAlign w:val="bottom"/>
          </w:tcPr>
          <w:p>
            <w:pPr>
              <w:spacing w:after="0"/>
              <w:rPr>
                <w:sz w:val="20"/>
                <w:szCs w:val="20"/>
                <w:color w:val="auto"/>
              </w:rPr>
            </w:pPr>
            <w:r>
              <w:rPr>
                <w:rFonts w:ascii="Arial" w:cs="Arial" w:eastAsia="Arial" w:hAnsi="Arial"/>
                <w:sz w:val="18"/>
                <w:szCs w:val="18"/>
                <w:color w:val="auto"/>
                <w:w w:val="96"/>
              </w:rPr>
              <w:t>Executive Vice President and</w:t>
            </w: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Chief Scientific Officer</w:t>
            </w:r>
          </w:p>
        </w:tc>
        <w:tc>
          <w:tcPr>
            <w:tcW w:w="0" w:type="dxa"/>
            <w:vAlign w:val="bottom"/>
          </w:tcPr>
          <w:p>
            <w:pPr>
              <w:spacing w:after="0"/>
              <w:rPr>
                <w:sz w:val="1"/>
                <w:szCs w:val="1"/>
                <w:color w:val="auto"/>
              </w:rPr>
            </w:pPr>
          </w:p>
        </w:tc>
      </w:tr>
      <w:tr>
        <w:trPr>
          <w:trHeight w:val="405"/>
        </w:trPr>
        <w:tc>
          <w:tcPr>
            <w:tcW w:w="2000" w:type="dxa"/>
            <w:vAlign w:val="bottom"/>
            <w:gridSpan w:val="2"/>
          </w:tcPr>
          <w:p>
            <w:pPr>
              <w:spacing w:after="0"/>
              <w:rPr>
                <w:sz w:val="20"/>
                <w:szCs w:val="20"/>
                <w:color w:val="auto"/>
              </w:rPr>
            </w:pPr>
            <w:r>
              <w:rPr>
                <w:rFonts w:ascii="Arial" w:cs="Arial" w:eastAsia="Arial" w:hAnsi="Arial"/>
                <w:sz w:val="18"/>
                <w:szCs w:val="18"/>
                <w:color w:val="auto"/>
              </w:rPr>
              <w:t>James B. Avery</w:t>
            </w:r>
          </w:p>
        </w:tc>
        <w:tc>
          <w:tcPr>
            <w:tcW w:w="2340" w:type="dxa"/>
            <w:vAlign w:val="bottom"/>
            <w:gridSpan w:val="2"/>
          </w:tcPr>
          <w:p>
            <w:pPr>
              <w:spacing w:after="0"/>
              <w:rPr>
                <w:sz w:val="20"/>
                <w:szCs w:val="20"/>
                <w:color w:val="auto"/>
              </w:rPr>
            </w:pPr>
            <w:r>
              <w:rPr>
                <w:rFonts w:ascii="Arial" w:cs="Arial" w:eastAsia="Arial" w:hAnsi="Arial"/>
                <w:sz w:val="18"/>
                <w:szCs w:val="18"/>
                <w:color w:val="auto"/>
              </w:rPr>
              <w:t>Tavistock Group</w:t>
            </w:r>
          </w:p>
        </w:tc>
        <w:tc>
          <w:tcPr>
            <w:tcW w:w="1480" w:type="dxa"/>
            <w:vAlign w:val="bottom"/>
            <w:gridSpan w:val="2"/>
          </w:tcPr>
          <w:p>
            <w:pPr>
              <w:spacing w:after="0"/>
              <w:rPr>
                <w:sz w:val="20"/>
                <w:szCs w:val="20"/>
                <w:color w:val="auto"/>
              </w:rPr>
            </w:pPr>
            <w:r>
              <w:rPr>
                <w:rFonts w:ascii="Arial" w:cs="Arial" w:eastAsia="Arial" w:hAnsi="Arial"/>
                <w:sz w:val="18"/>
                <w:szCs w:val="18"/>
                <w:color w:val="auto"/>
              </w:rPr>
              <w:t>Financial</w:t>
            </w:r>
          </w:p>
        </w:tc>
        <w:tc>
          <w:tcPr>
            <w:tcW w:w="2280" w:type="dxa"/>
            <w:vAlign w:val="bottom"/>
          </w:tcPr>
          <w:p>
            <w:pPr>
              <w:spacing w:after="0"/>
              <w:rPr>
                <w:sz w:val="20"/>
                <w:szCs w:val="20"/>
                <w:color w:val="auto"/>
              </w:rPr>
            </w:pPr>
            <w:r>
              <w:rPr>
                <w:rFonts w:ascii="Arial" w:cs="Arial" w:eastAsia="Arial" w:hAnsi="Arial"/>
                <w:sz w:val="18"/>
                <w:szCs w:val="18"/>
                <w:color w:val="auto"/>
              </w:rPr>
              <w:t>Senior Managing Director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Further, our insiders, including our officers and directors, have agreed to vote any shares of common stock held by them in favor of our initial business combination. In addition, they have agreed to waive their respective rights to receive any amounts held in the trust account with respect to their insider shares and private shares if we are unable to complete our initial business combination within the required time frame. If they purchase shares of common stock in the open market, however, they would be entitled to receive their pro rata share of the amounts held in the trust account if we are unable to complete our initial business combination within the required time frame, but have agreed not to convert such shares in connection with the consummation of our initial business combination.</w:t>
      </w:r>
    </w:p>
    <w:p>
      <w:pPr>
        <w:spacing w:after="0" w:line="124" w:lineRule="exact"/>
        <w:rPr>
          <w:sz w:val="20"/>
          <w:szCs w:val="20"/>
          <w:color w:val="auto"/>
        </w:rPr>
      </w:pPr>
    </w:p>
    <w:p>
      <w:pPr>
        <w:ind w:left="460" w:right="579" w:firstLine="432"/>
        <w:spacing w:after="0" w:line="290"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ectPr>
          <w:pgSz w:w="11900" w:h="16838" w:orient="portrait"/>
          <w:cols w:equalWidth="0" w:num="1">
            <w:col w:w="9019"/>
          </w:cols>
          <w:pgMar w:left="1440" w:top="274" w:right="1440" w:bottom="1440" w:gutter="0" w:footer="0" w:header="0"/>
        </w:sectPr>
      </w:pP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2" w:name="page193"/>
    <w:bookmarkEnd w:id="19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To further minimize conflicts of interest, we have agreed not to consummate our initial business combination with an entity that is affiliated with any of our officers, directors or other insiders, unless we have obtained (i) an opinion from an independent investment banking firm that the business combination is fair to our unaffiliated stockholders from a financial point of view and (ii) the approval of a majority of our disinterested and independent directors (if we have any at that time).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62" w:lineRule="exact"/>
        <w:rPr>
          <w:sz w:val="20"/>
          <w:szCs w:val="20"/>
          <w:color w:val="auto"/>
        </w:rPr>
      </w:pPr>
    </w:p>
    <w:p>
      <w:pPr>
        <w:ind w:left="460" w:right="599" w:firstLine="432"/>
        <w:spacing w:after="0" w:line="269" w:lineRule="auto"/>
        <w:rPr>
          <w:sz w:val="20"/>
          <w:szCs w:val="20"/>
          <w:color w:val="auto"/>
        </w:rPr>
      </w:pPr>
      <w:r>
        <w:rPr>
          <w:rFonts w:ascii="Arial" w:cs="Arial" w:eastAsia="Arial" w:hAnsi="Arial"/>
          <w:sz w:val="17"/>
          <w:szCs w:val="17"/>
          <w:color w:val="auto"/>
        </w:rPr>
        <w:t>Our certificate of incorporation provides that our directors and officers will be indemnified by us to the fullest extent authorized by Delaware law as it now exists or may in the future be amended. In addition, our certificate of incorporation provides that our directors will not be personally liable for monetary damages to us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Notwithstanding the foregoing, as set forth in our certificate of incorporation, such indemnification will not extend to any claims our insiders may make to us to cover any loss that they may sustain as a result of their agreement to pay debts and obligations to target businesses or vendors or other entities that are owed money by us for services rendered or contracted for or products sold to us as described elsewhere in this proxy statement/prospectus.</w:t>
      </w:r>
    </w:p>
    <w:p>
      <w:pPr>
        <w:spacing w:after="0" w:line="114"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some circumstances and insures us against our obligations to indemnify the directors and officers.</w:t>
      </w:r>
    </w:p>
    <w:p>
      <w:pPr>
        <w:spacing w:after="0" w:line="107"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provisions. We believe that these provisions, the insurance and the indemnity agreements are necessary to attract and retain talented and experienced directors and officers.</w:t>
      </w:r>
    </w:p>
    <w:p>
      <w:pPr>
        <w:spacing w:after="0" w:line="110"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3" w:name="page194"/>
    <w:bookmarkEnd w:id="19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48"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our common stock as of the date of this proxy statement/prospectus.</w:t>
      </w:r>
    </w:p>
    <w:p>
      <w:pPr>
        <w:spacing w:after="0" w:line="103" w:lineRule="exact"/>
        <w:rPr>
          <w:sz w:val="20"/>
          <w:szCs w:val="20"/>
          <w:color w:val="auto"/>
        </w:rPr>
      </w:pPr>
    </w:p>
    <w:p>
      <w:pPr>
        <w:ind w:left="460" w:right="1299" w:firstLine="432"/>
        <w:spacing w:after="0" w:line="342" w:lineRule="auto"/>
        <w:rPr>
          <w:sz w:val="20"/>
          <w:szCs w:val="20"/>
          <w:color w:val="auto"/>
        </w:rPr>
      </w:pPr>
      <w:r>
        <w:rPr>
          <w:rFonts w:ascii="Arial" w:cs="Arial" w:eastAsia="Arial" w:hAnsi="Arial"/>
          <w:sz w:val="16"/>
          <w:szCs w:val="16"/>
          <w:color w:val="auto"/>
        </w:rPr>
        <w:t>Unless otherwise indicated, we believe that all persons named in the table have sole voting and investment power with respect to all shares of common stock beneficially owned by them.</w:t>
      </w:r>
    </w:p>
    <w:p>
      <w:pPr>
        <w:spacing w:after="0" w:line="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Approximate</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Shares</w:t>
            </w: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6"/>
              </w:rPr>
              <w:t>Percentage of</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Beneficially</w:t>
            </w: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Outstanding</w:t>
            </w:r>
          </w:p>
        </w:tc>
        <w:tc>
          <w:tcPr>
            <w:tcW w:w="0" w:type="dxa"/>
            <w:vAlign w:val="bottom"/>
          </w:tcPr>
          <w:p>
            <w:pPr>
              <w:spacing w:after="0"/>
              <w:rPr>
                <w:sz w:val="1"/>
                <w:szCs w:val="1"/>
                <w:color w:val="auto"/>
              </w:rPr>
            </w:pPr>
          </w:p>
        </w:tc>
      </w:tr>
      <w:tr>
        <w:trPr>
          <w:trHeight w:val="253"/>
        </w:trPr>
        <w:tc>
          <w:tcPr>
            <w:tcW w:w="5480" w:type="dxa"/>
            <w:vAlign w:val="bottom"/>
            <w:gridSpan w:val="2"/>
          </w:tcPr>
          <w:p>
            <w:pPr>
              <w:spacing w:after="0"/>
              <w:rPr>
                <w:sz w:val="20"/>
                <w:szCs w:val="20"/>
                <w:color w:val="auto"/>
              </w:rPr>
            </w:pPr>
            <w:r>
              <w:rPr>
                <w:rFonts w:ascii="Arial" w:cs="Arial" w:eastAsia="Arial" w:hAnsi="Arial"/>
                <w:sz w:val="16"/>
                <w:szCs w:val="16"/>
                <w:b w:val="1"/>
                <w:bCs w:val="1"/>
                <w:color w:val="auto"/>
              </w:rPr>
              <w:t>Name and Address of Beneficial Owner</w:t>
            </w:r>
            <w:r>
              <w:rPr>
                <w:rFonts w:ascii="Arial" w:cs="Arial" w:eastAsia="Arial" w:hAnsi="Arial"/>
                <w:sz w:val="18"/>
                <w:szCs w:val="18"/>
                <w:b w:val="1"/>
                <w:bCs w:val="1"/>
                <w:color w:val="auto"/>
                <w:vertAlign w:val="superscript"/>
              </w:rPr>
              <w:t>(1)</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Owned</w:t>
            </w: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Shares</w:t>
            </w:r>
          </w:p>
        </w:tc>
        <w:tc>
          <w:tcPr>
            <w:tcW w:w="0" w:type="dxa"/>
            <w:vAlign w:val="bottom"/>
          </w:tcPr>
          <w:p>
            <w:pPr>
              <w:spacing w:after="0"/>
              <w:rPr>
                <w:sz w:val="1"/>
                <w:szCs w:val="1"/>
                <w:color w:val="auto"/>
              </w:rPr>
            </w:pPr>
          </w:p>
        </w:tc>
      </w:tr>
      <w:tr>
        <w:trPr>
          <w:trHeight w:val="268"/>
        </w:trPr>
        <w:tc>
          <w:tcPr>
            <w:tcW w:w="5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BCTG Holdings, LLC (our sponsor)</w:t>
            </w:r>
            <w:r>
              <w:rPr>
                <w:rFonts w:ascii="Arial" w:cs="Arial" w:eastAsia="Arial" w:hAnsi="Arial"/>
                <w:sz w:val="20"/>
                <w:szCs w:val="20"/>
                <w:color w:val="auto"/>
                <w:vertAlign w:val="superscript"/>
              </w:rPr>
              <w:t>(2)</w:t>
            </w:r>
          </w:p>
        </w:tc>
        <w:tc>
          <w:tcPr>
            <w:tcW w:w="10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4,488,450</w:t>
            </w:r>
          </w:p>
        </w:tc>
        <w:tc>
          <w:tcPr>
            <w:tcW w:w="100" w:type="dxa"/>
            <w:vAlign w:val="bottom"/>
            <w:tcBorders>
              <w:top w:val="single" w:sz="8" w:color="CCEEFF"/>
            </w:tcBorders>
            <w:shd w:val="clear" w:color="auto" w:fill="CCEEFF"/>
          </w:tcPr>
          <w:p>
            <w:pPr>
              <w:spacing w:after="0"/>
              <w:rPr>
                <w:sz w:val="23"/>
                <w:szCs w:val="23"/>
                <w:color w:val="auto"/>
              </w:rPr>
            </w:pP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43"/>
        </w:trPr>
        <w:tc>
          <w:tcPr>
            <w:tcW w:w="5480" w:type="dxa"/>
            <w:vAlign w:val="bottom"/>
            <w:gridSpan w:val="2"/>
          </w:tcPr>
          <w:p>
            <w:pPr>
              <w:spacing w:after="0"/>
              <w:rPr>
                <w:sz w:val="20"/>
                <w:szCs w:val="20"/>
                <w:color w:val="auto"/>
              </w:rPr>
            </w:pPr>
            <w:r>
              <w:rPr>
                <w:rFonts w:ascii="Arial" w:cs="Arial" w:eastAsia="Arial" w:hAnsi="Arial"/>
                <w:sz w:val="18"/>
                <w:szCs w:val="18"/>
                <w:color w:val="auto"/>
              </w:rPr>
              <w:t>Aaron Davis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Christopher Fuglesang</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80" w:type="dxa"/>
            <w:vAlign w:val="bottom"/>
            <w:gridSpan w:val="2"/>
          </w:tcPr>
          <w:p>
            <w:pPr>
              <w:spacing w:after="0"/>
              <w:rPr>
                <w:sz w:val="20"/>
                <w:szCs w:val="20"/>
                <w:color w:val="auto"/>
              </w:rPr>
            </w:pPr>
            <w:r>
              <w:rPr>
                <w:rFonts w:ascii="Arial" w:cs="Arial" w:eastAsia="Arial" w:hAnsi="Arial"/>
                <w:sz w:val="18"/>
                <w:szCs w:val="18"/>
                <w:color w:val="auto"/>
              </w:rPr>
              <w:t>Michael Beauchamp</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Andrew Ellis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80" w:type="dxa"/>
            <w:vAlign w:val="bottom"/>
            <w:gridSpan w:val="2"/>
          </w:tcPr>
          <w:p>
            <w:pPr>
              <w:spacing w:after="0"/>
              <w:rPr>
                <w:sz w:val="20"/>
                <w:szCs w:val="20"/>
                <w:color w:val="auto"/>
              </w:rPr>
            </w:pPr>
            <w:r>
              <w:rPr>
                <w:rFonts w:ascii="Arial" w:cs="Arial" w:eastAsia="Arial" w:hAnsi="Arial"/>
                <w:sz w:val="18"/>
                <w:szCs w:val="18"/>
                <w:color w:val="auto"/>
              </w:rPr>
              <w:t>Carole L. Nuechterlein</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Richard Heyman</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40,600</w:t>
            </w:r>
          </w:p>
        </w:tc>
        <w:tc>
          <w:tcPr>
            <w:tcW w:w="140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80" w:type="dxa"/>
            <w:vAlign w:val="bottom"/>
            <w:gridSpan w:val="2"/>
          </w:tcPr>
          <w:p>
            <w:pPr>
              <w:spacing w:after="0"/>
              <w:rPr>
                <w:sz w:val="20"/>
                <w:szCs w:val="20"/>
                <w:color w:val="auto"/>
              </w:rPr>
            </w:pPr>
            <w:r>
              <w:rPr>
                <w:rFonts w:ascii="Arial" w:cs="Arial" w:eastAsia="Arial" w:hAnsi="Arial"/>
                <w:sz w:val="18"/>
                <w:szCs w:val="18"/>
                <w:color w:val="auto"/>
              </w:rPr>
              <w:t>Charles M. Baum</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40,600</w:t>
            </w:r>
          </w:p>
        </w:tc>
        <w:tc>
          <w:tcPr>
            <w:tcW w:w="14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Jamie G. Christensen</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40,600</w:t>
            </w:r>
          </w:p>
        </w:tc>
        <w:tc>
          <w:tcPr>
            <w:tcW w:w="140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80" w:type="dxa"/>
            <w:vAlign w:val="bottom"/>
            <w:gridSpan w:val="2"/>
          </w:tcPr>
          <w:p>
            <w:pPr>
              <w:spacing w:after="0"/>
              <w:rPr>
                <w:sz w:val="20"/>
                <w:szCs w:val="20"/>
                <w:color w:val="auto"/>
              </w:rPr>
            </w:pPr>
            <w:r>
              <w:rPr>
                <w:rFonts w:ascii="Arial" w:cs="Arial" w:eastAsia="Arial" w:hAnsi="Arial"/>
                <w:sz w:val="18"/>
                <w:szCs w:val="18"/>
                <w:color w:val="auto"/>
              </w:rPr>
              <w:t>James B. Avery</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 officers and directors as a group (9 individuals)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121,800</w:t>
            </w:r>
          </w:p>
        </w:tc>
        <w:tc>
          <w:tcPr>
            <w:tcW w:w="140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spacing w:after="0" w:line="269" w:lineRule="exact"/>
              <w:rPr>
                <w:sz w:val="20"/>
                <w:szCs w:val="20"/>
                <w:color w:val="auto"/>
              </w:rPr>
            </w:pPr>
            <w:r>
              <w:rPr>
                <w:rFonts w:ascii="Arial" w:cs="Arial" w:eastAsia="Arial" w:hAnsi="Arial"/>
                <w:sz w:val="31"/>
                <w:szCs w:val="31"/>
                <w:color w:val="auto"/>
                <w:w w:val="78"/>
                <w:vertAlign w:val="subscript"/>
              </w:rPr>
              <w:t>%</w:t>
            </w:r>
            <w:r>
              <w:rPr>
                <w:rFonts w:ascii="Arial" w:cs="Arial" w:eastAsia="Arial" w:hAnsi="Arial"/>
                <w:sz w:val="10"/>
                <w:szCs w:val="10"/>
                <w:color w:val="auto"/>
                <w:w w:val="78"/>
              </w:rPr>
              <w:t>(3)</w:t>
            </w:r>
          </w:p>
        </w:tc>
        <w:tc>
          <w:tcPr>
            <w:tcW w:w="0" w:type="dxa"/>
            <w:vAlign w:val="bottom"/>
          </w:tcPr>
          <w:p>
            <w:pPr>
              <w:spacing w:after="0" w:line="20" w:lineRule="exact"/>
              <w:rPr>
                <w:sz w:val="1"/>
                <w:szCs w:val="1"/>
                <w:color w:val="auto"/>
              </w:rPr>
            </w:pPr>
          </w:p>
        </w:tc>
      </w:tr>
      <w:tr>
        <w:trPr>
          <w:trHeight w:val="250"/>
        </w:trPr>
        <w:tc>
          <w:tcPr>
            <w:tcW w:w="5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4,610,250</w:t>
            </w:r>
          </w:p>
        </w:tc>
        <w:tc>
          <w:tcPr>
            <w:tcW w:w="1120" w:type="dxa"/>
            <w:vAlign w:val="bottom"/>
          </w:tcPr>
          <w:p>
            <w:pPr>
              <w:jc w:val="right"/>
              <w:spacing w:after="0"/>
              <w:rPr>
                <w:sz w:val="20"/>
                <w:szCs w:val="20"/>
                <w:color w:val="auto"/>
              </w:rPr>
            </w:pPr>
            <w:r>
              <w:rPr>
                <w:rFonts w:ascii="Arial" w:cs="Arial" w:eastAsia="Arial" w:hAnsi="Arial"/>
                <w:sz w:val="18"/>
                <w:szCs w:val="18"/>
                <w:color w:val="auto"/>
              </w:rPr>
              <w:t>21.6</w:t>
            </w:r>
          </w:p>
        </w:tc>
        <w:tc>
          <w:tcPr>
            <w:tcW w:w="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6"/>
                <w:szCs w:val="16"/>
                <w:color w:val="auto"/>
              </w:rPr>
              <w:t>____________</w:t>
            </w: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3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860" w:hanging="406"/>
        <w:spacing w:after="0"/>
        <w:tabs>
          <w:tab w:leader="none" w:pos="86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22" w:lineRule="exact"/>
        <w:rPr>
          <w:sz w:val="20"/>
          <w:szCs w:val="20"/>
          <w:color w:val="auto"/>
        </w:rPr>
      </w:pPr>
    </w:p>
    <w:p>
      <w:pPr>
        <w:ind w:left="880" w:right="579" w:hanging="426"/>
        <w:spacing w:after="0" w:line="264" w:lineRule="auto"/>
        <w:tabs>
          <w:tab w:leader="none" w:pos="8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each of the individuals is c/o BCTG Acquisition Corp., 12860 El Camino Real, Suite 300, San Diego, CA 92130</w:t>
      </w:r>
    </w:p>
    <w:p>
      <w:pPr>
        <w:ind w:left="880" w:right="579" w:hanging="426"/>
        <w:spacing w:after="0" w:line="264" w:lineRule="auto"/>
        <w:tabs>
          <w:tab w:leader="none" w:pos="871"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 board consisting of Aaron Davis, Christopher Fuglesang and Andrew Ellis makes voting and dispositive decisions with respect to our securities owned by the sponsor. Each of Aaron Davis, Christopher Fuglesang and Andrew Ellis disclaims any pecuniary interest in the sponsor except to the extent of his beneficial interest in the securities owned by the sponsor.</w:t>
      </w:r>
    </w:p>
    <w:p>
      <w:pPr>
        <w:ind w:left="880" w:hanging="426"/>
        <w:spacing w:after="0"/>
        <w:tabs>
          <w:tab w:leader="none" w:pos="8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Includes 533,500 private placement shares purchased by our sponsor.</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Transfers of Insider Shares</w:t>
      </w:r>
    </w:p>
    <w:p>
      <w:pPr>
        <w:spacing w:after="0" w:line="162"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All of the insider shares issued and outstanding prior to the date of the BCTG IPO were placed in escrow with Continental Stock Transfer &amp; Trust Company, as escrow agent, until (1) with respect to 50% of the insider shares, the earlier of six months after the date of the consummation of our initial business combination and the date on which the closing price of our common stock equals or exceeds $12.50 per share (as adjusted for share splits, share capitalizations, reorganizations and recapitalizations) for any 10 trading days within any 30-trading day period commencing after our initial business combination and (2) with respect to the remaining 50% of the insider shares, six months after the date of the consummation of our initial business combination, or earlier, in either case, if, subsequent to our initial business combination, we consummate a liquidation, merger, share exchange or other similar transaction which results in all of our stockholders having the right to exchange their shares for cash, securities or other property.</w:t>
      </w:r>
    </w:p>
    <w:p>
      <w:pPr>
        <w:spacing w:after="0" w:line="104"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During the escrow period, the holders of these shares will not be able to sell or transfer their securities except (i) for transfers to our officers, directors or their respective affiliates (including for transfers to an entity’s members upon its liquidation), (ii) to relatives and trusts for estate planning purposes, (iii) by virtue of the laws of descent and distribution upon death, (iv) pursuant to a qualified domestic relations order, (v) by certain pledges to secure obligations incurred in connection with purchases of our securities, (vi) by private sales made at or prior to the consummation of a business combination at prices no greater than the price at which the shares were originally purchased or (vii) to us for no value for cancellation in connection with the consummation of our initial business combination, in each case (except for clause (vii)) where the transferee agrees to the terms of the escrow agreement, but will retain all other rights as our stockholders, including, without limitation, the right to vote their shares of common stock and the right to receive cash dividends, if declared. If dividends are declared and payable in shares of</w:t>
      </w:r>
    </w:p>
    <w:p>
      <w:pPr>
        <w:sectPr>
          <w:pgSz w:w="11900" w:h="16838" w:orient="portrait"/>
          <w:cols w:equalWidth="0" w:num="1">
            <w:col w:w="9019"/>
          </w:cols>
          <w:pgMar w:left="1440" w:top="274" w:right="1440" w:bottom="1440" w:gutter="0" w:footer="0" w:header="0"/>
        </w:sectPr>
      </w:pP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4" w:name="page195"/>
    <w:bookmarkEnd w:id="19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spacing w:after="0" w:line="263" w:lineRule="auto"/>
        <w:rPr>
          <w:sz w:val="20"/>
          <w:szCs w:val="20"/>
          <w:color w:val="auto"/>
        </w:rPr>
      </w:pPr>
      <w:r>
        <w:rPr>
          <w:rFonts w:ascii="Arial" w:cs="Arial" w:eastAsia="Arial" w:hAnsi="Arial"/>
          <w:sz w:val="18"/>
          <w:szCs w:val="18"/>
          <w:color w:val="auto"/>
        </w:rPr>
        <w:t>common stock, such dividends will also be placed in escrow. If we are unable to effect a business combination and liquidate the trust account, none of our initial stockholders will receive any portion of the liquidation proceeds with respect to their insider shares.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Registration Rights</w:t>
      </w:r>
    </w:p>
    <w:p>
      <w:pPr>
        <w:spacing w:after="0" w:line="162"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The holders of the Founders Shares, Private Shares and shares that may be issued upon conversion of Working Capital Loans (as defined below) are entitled to registration rights pursuant to a registration rights agreement. The holders of a majority of these securities are entitled to make up to two demands that we register such securities. The holders of the majority of the Founders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We will bear the expenses incurred in connection with the filing of any such registration statements. These rights will terminate in connection with the Business Combination and be replaced by the rights under an Amended and Restated Registration and Stockholder Rights Agreement.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5" w:name="page196"/>
    <w:bookmarkEnd w:id="19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AND OTHER DATA OF BCTG</w:t>
      </w:r>
    </w:p>
    <w:p>
      <w:pPr>
        <w:spacing w:after="0" w:line="148"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The following table sets forth selected historical financial data derived from BCTG’s audited financial statements as of December 31, 2020 and for the period from May 21, 2020 (inception) through December 31, 2020, each of which is included elsewhere in this proxy statement/prospectus. Such financial information should be read in conjunction with the audited financial statements and related notes included elsewhere in this proxy statement/prospectus.</w:t>
      </w:r>
    </w:p>
    <w:p>
      <w:pPr>
        <w:spacing w:after="0" w:line="120"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The historical results presented below are not necessarily indicative of the results to be expected for any future period. You should carefully read the following selected financial information in conjunction with the section titled “</w:t>
      </w:r>
      <w:r>
        <w:rPr>
          <w:rFonts w:ascii="Arial" w:cs="Arial" w:eastAsia="Arial" w:hAnsi="Arial"/>
          <w:sz w:val="18"/>
          <w:szCs w:val="18"/>
          <w:i w:val="1"/>
          <w:iCs w:val="1"/>
          <w:color w:val="auto"/>
        </w:rPr>
        <w:t>Management’s Discussion and Analysis of Financial Condition and Results of Operations of</w:t>
      </w:r>
      <w:r>
        <w:rPr>
          <w:rFonts w:ascii="Arial" w:cs="Arial" w:eastAsia="Arial" w:hAnsi="Arial"/>
          <w:sz w:val="18"/>
          <w:szCs w:val="18"/>
          <w:color w:val="auto"/>
        </w:rPr>
        <w:t xml:space="preserve"> </w:t>
      </w:r>
      <w:r>
        <w:rPr>
          <w:rFonts w:ascii="Arial" w:cs="Arial" w:eastAsia="Arial" w:hAnsi="Arial"/>
          <w:sz w:val="18"/>
          <w:szCs w:val="18"/>
          <w:i w:val="1"/>
          <w:iCs w:val="1"/>
          <w:color w:val="auto"/>
        </w:rPr>
        <w:t>BCTG</w:t>
      </w:r>
      <w:r>
        <w:rPr>
          <w:rFonts w:ascii="Arial" w:cs="Arial" w:eastAsia="Arial" w:hAnsi="Arial"/>
          <w:sz w:val="18"/>
          <w:szCs w:val="18"/>
          <w:color w:val="auto"/>
        </w:rPr>
        <w:t>” and BCTG’s financial statements and the related notes appearing elsewhere in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statement/prospectus.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May 21, 2020 (inception) through December 31, 2020</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108,865</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Administrative expenses – related party</w:t>
            </w:r>
          </w:p>
        </w:tc>
        <w:tc>
          <w:tcPr>
            <w:tcW w:w="10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41"/>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Franchise tax expense</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32,563</w:t>
            </w:r>
          </w:p>
        </w:tc>
        <w:tc>
          <w:tcPr>
            <w:tcW w:w="0" w:type="dxa"/>
            <w:vAlign w:val="bottom"/>
          </w:tcPr>
          <w:p>
            <w:pPr>
              <w:spacing w:after="0"/>
              <w:rPr>
                <w:sz w:val="1"/>
                <w:szCs w:val="1"/>
                <w:color w:val="auto"/>
              </w:rPr>
            </w:pPr>
          </w:p>
        </w:tc>
      </w:tr>
      <w:tr>
        <w:trPr>
          <w:trHeight w:val="224"/>
        </w:trPr>
        <w:tc>
          <w:tcPr>
            <w:tcW w:w="686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(181,428)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65,246</w:t>
            </w:r>
          </w:p>
        </w:tc>
        <w:tc>
          <w:tcPr>
            <w:tcW w:w="0" w:type="dxa"/>
            <w:vAlign w:val="bottom"/>
          </w:tcPr>
          <w:p>
            <w:pPr>
              <w:spacing w:after="0"/>
              <w:rPr>
                <w:sz w:val="1"/>
                <w:szCs w:val="1"/>
                <w:color w:val="auto"/>
              </w:rPr>
            </w:pPr>
          </w:p>
        </w:tc>
      </w:tr>
      <w:tr>
        <w:trPr>
          <w:trHeight w:val="224"/>
        </w:trPr>
        <w:tc>
          <w:tcPr>
            <w:tcW w:w="6860" w:type="dxa"/>
            <w:vAlign w:val="bottom"/>
          </w:tcPr>
          <w:p>
            <w:pPr>
              <w:spacing w:after="0"/>
              <w:rPr>
                <w:sz w:val="20"/>
                <w:szCs w:val="20"/>
                <w:color w:val="auto"/>
              </w:rPr>
            </w:pPr>
            <w:r>
              <w:rPr>
                <w:rFonts w:ascii="Arial" w:cs="Arial" w:eastAsia="Arial" w:hAnsi="Arial"/>
                <w:sz w:val="18"/>
                <w:szCs w:val="18"/>
                <w:b w:val="1"/>
                <w:bCs w:val="1"/>
                <w:color w:val="auto"/>
              </w:rPr>
              <w:t>Loss before income tax expense</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(116,182)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84"/>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(123,046</w:t>
            </w:r>
          </w:p>
        </w:tc>
        <w:tc>
          <w:tcPr>
            <w:tcW w:w="16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686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Weighted average shares outstanding, of Public Shares</w:t>
            </w: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16,675,000</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 Public Shares</w:t>
            </w: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860" w:type="dxa"/>
            <w:vAlign w:val="bottom"/>
            <w:tcBorders>
              <w:bottom w:val="single" w:sz="8" w:color="CCEEFF"/>
            </w:tcBorders>
            <w:vMerge w:val="continue"/>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86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Weighted average shares outstanding, of Founder Shares</w:t>
            </w: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4,212,127</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 Founder Shares</w:t>
            </w: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6860" w:type="dxa"/>
            <w:vAlign w:val="bottom"/>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8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168,312,816</w:t>
            </w: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5,950,604</w:t>
            </w:r>
          </w:p>
        </w:tc>
        <w:tc>
          <w:tcPr>
            <w:tcW w:w="0" w:type="dxa"/>
            <w:vAlign w:val="bottom"/>
          </w:tcPr>
          <w:p>
            <w:pPr>
              <w:spacing w:after="0"/>
              <w:rPr>
                <w:sz w:val="1"/>
                <w:szCs w:val="1"/>
                <w:color w:val="auto"/>
              </w:rPr>
            </w:pPr>
          </w:p>
        </w:tc>
      </w:tr>
      <w:tr>
        <w:trPr>
          <w:trHeight w:val="283"/>
        </w:trPr>
        <w:tc>
          <w:tcPr>
            <w:tcW w:w="686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20"/>
                <w:szCs w:val="20"/>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1,383,227</w:t>
            </w:r>
          </w:p>
        </w:tc>
        <w:tc>
          <w:tcPr>
            <w:tcW w:w="0" w:type="dxa"/>
            <w:vAlign w:val="bottom"/>
          </w:tcPr>
          <w:p>
            <w:pPr>
              <w:spacing w:after="0"/>
              <w:rPr>
                <w:sz w:val="1"/>
                <w:szCs w:val="1"/>
                <w:color w:val="auto"/>
              </w:rPr>
            </w:pPr>
          </w:p>
        </w:tc>
      </w:tr>
      <w:tr>
        <w:trPr>
          <w:trHeight w:val="243"/>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5,000,002</w:t>
            </w:r>
          </w:p>
        </w:tc>
        <w:tc>
          <w:tcPr>
            <w:tcW w:w="0" w:type="dxa"/>
            <w:vAlign w:val="bottom"/>
          </w:tcPr>
          <w:p>
            <w:pPr>
              <w:spacing w:after="0"/>
              <w:rPr>
                <w:sz w:val="1"/>
                <w:szCs w:val="1"/>
                <w:color w:val="auto"/>
              </w:rPr>
            </w:pPr>
          </w:p>
        </w:tc>
      </w:tr>
      <w:tr>
        <w:trPr>
          <w:trHeight w:val="40"/>
        </w:trPr>
        <w:tc>
          <w:tcPr>
            <w:tcW w:w="6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Working capital is defined as total current assets minus total current liabilities tax payable</w:t>
      </w:r>
    </w:p>
    <w:p>
      <w:pPr>
        <w:spacing w:after="0" w:line="203" w:lineRule="exact"/>
        <w:rPr>
          <w:rFonts w:ascii="Arial" w:cs="Arial" w:eastAsia="Arial" w:hAnsi="Arial"/>
          <w:sz w:val="16"/>
          <w:szCs w:val="16"/>
          <w:color w:val="auto"/>
        </w:rPr>
      </w:pPr>
    </w:p>
    <w:p>
      <w:pPr>
        <w:ind w:left="4360"/>
        <w:spacing w:after="0"/>
        <w:rPr>
          <w:rFonts w:ascii="Arial" w:cs="Arial" w:eastAsia="Arial" w:hAnsi="Arial"/>
          <w:sz w:val="16"/>
          <w:szCs w:val="16"/>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6" w:name="page197"/>
    <w:bookmarkEnd w:id="19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MANAGEMENT’S DISCUSSION AND ANALYSIS OF RESULTS OF</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FINANCIAL CONDITION AND RESULTS OF OPERATIONS OF BCTG</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We are a blank check company incorporated as a Delaware corporation on May 21, 2020. We were formed for the purpose of effecting a merger, share exchange, asset acquisition, share purchase, reorganization or similar business combination with one or more businesses. Although we are not limited to a particular industry or sector for purposes of consummating a Business Combination, intend to focus on businesses that have their primary operations located in North America and Europe in the biotechnology industry. We are an emerging growth company and, as such, we are subject to all of the risks associated with emerging growth companies.</w:t>
      </w:r>
    </w:p>
    <w:p>
      <w:pPr>
        <w:spacing w:after="0" w:line="127" w:lineRule="exact"/>
        <w:rPr>
          <w:sz w:val="20"/>
          <w:szCs w:val="20"/>
          <w:color w:val="auto"/>
        </w:rPr>
      </w:pPr>
    </w:p>
    <w:p>
      <w:pPr>
        <w:ind w:left="460" w:right="599" w:firstLine="432"/>
        <w:spacing w:after="0" w:line="293" w:lineRule="auto"/>
        <w:rPr>
          <w:sz w:val="20"/>
          <w:szCs w:val="20"/>
          <w:color w:val="auto"/>
        </w:rPr>
      </w:pPr>
      <w:r>
        <w:rPr>
          <w:rFonts w:ascii="Arial" w:cs="Arial" w:eastAsia="Arial" w:hAnsi="Arial"/>
          <w:sz w:val="16"/>
          <w:szCs w:val="16"/>
          <w:color w:val="auto"/>
        </w:rPr>
        <w:t>Our sponsor is BCTG Holdings, LLC, a Delaware limited liability company. The registration statement for the BCTG IPO was declared effective on September 2, 2020. On September 8, 2020, we consummated the BCTG IPO of 16,675,000 shares of common stock Public Shares, which includes 2,175,000 Public Shares as a result of the underwriters’ full exercise of their over-allotment option, at an offering price of $10.00 per Public Share, generating gross proceeds of approximately $166.8 million, and incurring offering costs of approximately $9.8 million, inclusive of approximately $5.8 million in deferred underwriting commissions.</w:t>
      </w:r>
    </w:p>
    <w:p>
      <w:pPr>
        <w:spacing w:after="0" w:line="93" w:lineRule="exact"/>
        <w:rPr>
          <w:sz w:val="20"/>
          <w:szCs w:val="20"/>
          <w:color w:val="auto"/>
        </w:rPr>
      </w:pPr>
    </w:p>
    <w:p>
      <w:pPr>
        <w:ind w:left="460" w:right="699" w:firstLine="432"/>
        <w:spacing w:after="0" w:line="314" w:lineRule="auto"/>
        <w:rPr>
          <w:sz w:val="20"/>
          <w:szCs w:val="20"/>
          <w:color w:val="auto"/>
        </w:rPr>
      </w:pPr>
      <w:r>
        <w:rPr>
          <w:rFonts w:ascii="Arial" w:cs="Arial" w:eastAsia="Arial" w:hAnsi="Arial"/>
          <w:sz w:val="16"/>
          <w:szCs w:val="16"/>
          <w:color w:val="auto"/>
        </w:rPr>
        <w:t>Simultaneously with the closing of the BCTG IPO, we consummated the private placement (“</w:t>
      </w:r>
      <w:r>
        <w:rPr>
          <w:rFonts w:ascii="Arial" w:cs="Arial" w:eastAsia="Arial" w:hAnsi="Arial"/>
          <w:sz w:val="16"/>
          <w:szCs w:val="16"/>
          <w:b w:val="1"/>
          <w:bCs w:val="1"/>
          <w:color w:val="auto"/>
        </w:rPr>
        <w:t>Private</w:t>
      </w:r>
      <w:r>
        <w:rPr>
          <w:rFonts w:ascii="Arial" w:cs="Arial" w:eastAsia="Arial" w:hAnsi="Arial"/>
          <w:sz w:val="16"/>
          <w:szCs w:val="16"/>
          <w:color w:val="auto"/>
        </w:rPr>
        <w:t xml:space="preserve"> </w:t>
      </w:r>
      <w:r>
        <w:rPr>
          <w:rFonts w:ascii="Arial" w:cs="Arial" w:eastAsia="Arial" w:hAnsi="Arial"/>
          <w:sz w:val="16"/>
          <w:szCs w:val="16"/>
          <w:b w:val="1"/>
          <w:bCs w:val="1"/>
          <w:color w:val="auto"/>
        </w:rPr>
        <w:t>Placement</w:t>
      </w:r>
      <w:r>
        <w:rPr>
          <w:rFonts w:ascii="Arial" w:cs="Arial" w:eastAsia="Arial" w:hAnsi="Arial"/>
          <w:sz w:val="16"/>
          <w:szCs w:val="16"/>
          <w:color w:val="auto"/>
        </w:rPr>
        <w:t>”) of 533,500 shares of common stock (the “</w:t>
      </w:r>
      <w:r>
        <w:rPr>
          <w:rFonts w:ascii="Arial" w:cs="Arial" w:eastAsia="Arial" w:hAnsi="Arial"/>
          <w:sz w:val="16"/>
          <w:szCs w:val="16"/>
          <w:b w:val="1"/>
          <w:bCs w:val="1"/>
          <w:color w:val="auto"/>
        </w:rPr>
        <w:t>Private Placement Shares</w:t>
      </w:r>
      <w:r>
        <w:rPr>
          <w:rFonts w:ascii="Arial" w:cs="Arial" w:eastAsia="Arial" w:hAnsi="Arial"/>
          <w:sz w:val="16"/>
          <w:szCs w:val="16"/>
          <w:color w:val="auto"/>
        </w:rPr>
        <w:t>”), at a price of $10.00 per</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Share to the Sponsor, generating gross proceeds of approximately $5.3 million.</w:t>
      </w:r>
    </w:p>
    <w:p>
      <w:pPr>
        <w:spacing w:after="0" w:line="65" w:lineRule="exact"/>
        <w:rPr>
          <w:sz w:val="20"/>
          <w:szCs w:val="20"/>
          <w:color w:val="auto"/>
        </w:rPr>
      </w:pPr>
    </w:p>
    <w:p>
      <w:pPr>
        <w:ind w:left="460" w:right="619" w:firstLine="432"/>
        <w:spacing w:after="0" w:line="270" w:lineRule="auto"/>
        <w:rPr>
          <w:sz w:val="20"/>
          <w:szCs w:val="20"/>
          <w:color w:val="auto"/>
        </w:rPr>
      </w:pPr>
      <w:r>
        <w:rPr>
          <w:rFonts w:ascii="Arial" w:cs="Arial" w:eastAsia="Arial" w:hAnsi="Arial"/>
          <w:sz w:val="17"/>
          <w:szCs w:val="17"/>
          <w:color w:val="auto"/>
        </w:rPr>
        <w:t>Upon the closing of the BCTG IPO and the Private Placement (including the exercise of the over-allotment) $166.8 million, representing the net proceeds of the sale of the Public Shares in the BCTG IPO and certain proceeds of the Private Placement, was placed in a trust account (“</w:t>
      </w:r>
      <w:r>
        <w:rPr>
          <w:rFonts w:ascii="Arial" w:cs="Arial" w:eastAsia="Arial" w:hAnsi="Arial"/>
          <w:sz w:val="17"/>
          <w:szCs w:val="17"/>
          <w:b w:val="1"/>
          <w:bCs w:val="1"/>
          <w:color w:val="auto"/>
        </w:rPr>
        <w:t>Trust Account</w:t>
      </w:r>
      <w:r>
        <w:rPr>
          <w:rFonts w:ascii="Arial" w:cs="Arial" w:eastAsia="Arial" w:hAnsi="Arial"/>
          <w:sz w:val="17"/>
          <w:szCs w:val="17"/>
          <w:color w:val="auto"/>
        </w:rPr>
        <w:t>”) located in the United States with Continental Stock Transfer&amp; Trust Company acting as trustee, and held as cash or invested only in U.S. “government securities,” within the meaning set forth in Section 2(a)(16) of the Investment Company Act, with a maturity of 185 days or less, or in money market funds meeting certain conditions under the Investment Company Act, which invest only in direct U.S. government treasury obligations, as determined by us, until the earlier of: (i) the completion of a Business Combination and (ii) the distribution of the Trust Account as described below.</w:t>
      </w:r>
    </w:p>
    <w:p>
      <w:pPr>
        <w:spacing w:after="0" w:line="113"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We will have 24 months from the closing of the BCTG IPO, or September 8, 2022, to complete our initial Business Combination (the “</w:t>
      </w:r>
      <w:r>
        <w:rPr>
          <w:rFonts w:ascii="Arial" w:cs="Arial" w:eastAsia="Arial" w:hAnsi="Arial"/>
          <w:sz w:val="16"/>
          <w:szCs w:val="16"/>
          <w:b w:val="1"/>
          <w:bCs w:val="1"/>
          <w:color w:val="auto"/>
        </w:rPr>
        <w:t>Combination Period</w:t>
      </w:r>
      <w:r>
        <w:rPr>
          <w:rFonts w:ascii="Arial" w:cs="Arial" w:eastAsia="Arial" w:hAnsi="Arial"/>
          <w:sz w:val="16"/>
          <w:szCs w:val="16"/>
          <w:color w:val="auto"/>
        </w:rPr>
        <w:t>”). If we do not complete a Business Combination within this period of time (and stockholders do not approve an amendment to the amended and restated certificate of incorporation to extend this date)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stockholders and the board of directors, dissolve and liquidate, subject (in the case of (ii) and</w:t>
      </w:r>
    </w:p>
    <w:p>
      <w:pPr>
        <w:spacing w:after="0" w:line="2" w:lineRule="exact"/>
        <w:rPr>
          <w:sz w:val="20"/>
          <w:szCs w:val="20"/>
          <w:color w:val="auto"/>
        </w:rPr>
      </w:pPr>
    </w:p>
    <w:p>
      <w:pPr>
        <w:ind w:left="460" w:right="479" w:hanging="6"/>
        <w:spacing w:after="0" w:line="285" w:lineRule="auto"/>
        <w:tabs>
          <w:tab w:leader="none" w:pos="775"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above) to our obligations under the DGCL to provide for claims of creditors and the requirements of other applicable law. The initial stockholders have agreed to waive their liquidation rights with respect to the Founders Shares if we fail to complete a Business Combination within the Combination Period. However, if the Initial Stockholders should acquire Public Shares in or after the BCTG IPO, they will be entitled to liquidating distributions from the Trust Account with respect to such Public Shares if we fail to complete a Business Combination within the Combination Period. The underwriters have agreed to waive their rights to their deferred underwriting commission held in the Trust Account in the event we do not complete a Business Combination within the Combination Period and, in such event, such amounts will be included with the funds held in the Trust Account that will be available to fund the redemption of our Public Shares. In the event of such distribution, it is possible that the per share value of the residual assets remaining available for distribution (including Trust Account assets) will be only $10.00 per share initially held in the Trust Account.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Our entire activity since inception up to December 31, 2020 was in preparation for our formation, the BCTG IPO, and, since the closing of the BCTG IPO, a search for business combination candidates. We will not be generating any operating revenues until after the closing and completion of our initial Business Combination.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7" w:name="page198"/>
    <w:bookmarkEnd w:id="19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59" w:firstLine="432"/>
        <w:spacing w:after="0" w:line="257" w:lineRule="auto"/>
        <w:rPr>
          <w:sz w:val="20"/>
          <w:szCs w:val="20"/>
          <w:color w:val="auto"/>
        </w:rPr>
      </w:pPr>
      <w:r>
        <w:rPr>
          <w:rFonts w:ascii="Arial" w:cs="Arial" w:eastAsia="Arial" w:hAnsi="Arial"/>
          <w:sz w:val="18"/>
          <w:szCs w:val="18"/>
          <w:color w:val="auto"/>
        </w:rPr>
        <w:t>For the period from May 21, 2020 (inception) through December 31, 2020, we had net loss of approximately $123,000, which consisted of approximately $109,000 in general and administrative expenses, approximately $40,000 in general and administrative expenses — related party, and approximately $39,000 in franchise and income tax expense, offset by approximately $65,000 in interest income earned on investments held in the Trust Account.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left="460" w:right="1519" w:firstLine="432"/>
        <w:spacing w:after="0" w:line="277" w:lineRule="auto"/>
        <w:rPr>
          <w:sz w:val="20"/>
          <w:szCs w:val="20"/>
          <w:color w:val="auto"/>
        </w:rPr>
      </w:pPr>
      <w:r>
        <w:rPr>
          <w:rFonts w:ascii="Arial" w:cs="Arial" w:eastAsia="Arial" w:hAnsi="Arial"/>
          <w:sz w:val="18"/>
          <w:szCs w:val="18"/>
          <w:color w:val="auto"/>
        </w:rPr>
        <w:t>As of December 31, 2020, we had $1.3 million in cash available for operating expenses and approximately $1.4 million of working capital.</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Prior to the completion of the BCTG IPO, our liquidity needs were satisfied through a payment of</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$25,000 from our Sponsor in exchange for the issuance of the Founders Shares (as defined below), and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loans under the Note (as defined below) of approximately $127,000 to us to cover for offering costs in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connection with the BCTG IPO. We fully repaid the Notes on September 10, 2020. Subsequent to the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consummation of the BCTG IPO on September 8, 2020, the liquidity needs have been satisfied through the net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proceeds from the consummation of the Private Placement not held in the Trust Account. In addition, in order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finance transaction costs in connection with a Business Combination, our officers, directors and initial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stockholders may, but are not obligated to, provide us Working Capital Loans (as defined below). As of</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31, 2020, there were no amounts outstanding under any Working Capital Loans.</w:t>
      </w:r>
    </w:p>
    <w:p>
      <w:pPr>
        <w:spacing w:after="0" w:line="130"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Based on the foregoing, management believes that we will have sufficient working capital and borrowing capacity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10"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Management continues to evaluate the impact of the COVID-19 pandemic and has concluded that the specific impact is not readily determinable as of the date of the balance sheet. The financial statement does not include any adjustments that might result from the outcome of this uncertainty.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Founders Shares</w:t>
      </w:r>
    </w:p>
    <w:p>
      <w:pPr>
        <w:spacing w:after="0" w:line="158"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On June 4, 2020, we issued 3,593,750 shares of common stock to our Sponsor in exchange for a payment of $25,000 (the “</w:t>
      </w:r>
      <w:r>
        <w:rPr>
          <w:rFonts w:ascii="Arial" w:cs="Arial" w:eastAsia="Arial" w:hAnsi="Arial"/>
          <w:sz w:val="16"/>
          <w:szCs w:val="16"/>
          <w:b w:val="1"/>
          <w:bCs w:val="1"/>
          <w:color w:val="auto"/>
        </w:rPr>
        <w:t>Founders Shares</w:t>
      </w:r>
      <w:r>
        <w:rPr>
          <w:rFonts w:ascii="Arial" w:cs="Arial" w:eastAsia="Arial" w:hAnsi="Arial"/>
          <w:sz w:val="16"/>
          <w:szCs w:val="16"/>
          <w:color w:val="auto"/>
        </w:rPr>
        <w:t>”). On September 2, 2020, we declared a dividend of 0.16 shares for each outstanding share of common stock (an aggregate of 575,000 shares), resulting in an aggregate of 4,168,750 shares outstanding. All shares and associated amounts have been retroactively restated to reflect the share dividend. Our Sponsor currently owns an aggregate of 4,488,450 shares of common stock, and our independent directors and advisors collectively own 121,800 shares of common stock. Our Sponsor had agreed to forfeit up to an aggregate of 543,750 Founders Shares, so that the Founders Shares would represent 20% of our issued and outstanding shares after the BCTG IPO, to the extent the underwriters’ over-allotment option was not exercised in full or in part. On September 8, 2020, the underwriters exercised their 15% over-allotment option in full; thus, the Founders Shares were no longer subject to forfeiture.</w:t>
      </w:r>
    </w:p>
    <w:p>
      <w:pPr>
        <w:spacing w:after="0" w:line="87"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The Initial Stockholders agreed not to transfer, assign or sell any of their Founders Shares (except to certain permitted transferees) until the earlier of (i) one year after the date of the consummation of the initial Business Combination or (ii) the date on which the closing price of our common stock equals or exceeds $12.00 per share (as adjusted for stock splits, stock dividends, reorganizations and recapitalizations) for any 20 trading days within any 30-trading day period commencing at least 150 days after the initial Business Combination, or earlier if, subsequent to the initial Business Combination, we consummate a subsequent liquidation, merger, stock exchange or other similar transaction which results in all of the stockholders having the right to exchange their shares of common stock for cash, securities or other property.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8" w:name="page199"/>
    <w:bookmarkEnd w:id="19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Private Shares</w:t>
      </w:r>
    </w:p>
    <w:p>
      <w:pPr>
        <w:spacing w:after="0" w:line="144"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Concurrently with the closing of the BCTG IPO, our Sponsor purchased 533,500 Private Shares, at a price of $10.00 per share, in a private placement for an aggregate purchase price of approximately $5.3 million. The Private Shares are identical to the shares of common stock sold in the BCTG IPO, subject to certain limited exceptions as described in Note 1 of our financial statements.</w:t>
      </w:r>
    </w:p>
    <w:p>
      <w:pPr>
        <w:spacing w:after="0" w:line="104"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Our Sponsor and our officers and directors have agreed, subject to limited exceptions, not to transfer, assign or sell any of their Founders Shares, including the Private Shares until 30 days after the completion of the Initial Business Combination.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Related Party Loans</w:t>
      </w:r>
    </w:p>
    <w:p>
      <w:pPr>
        <w:spacing w:after="0" w:line="158"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On May 21, 2020 and June 10, 2020, our Sponsor agreed to loan us up to $25,025 and $274,975, respectively, for an aggregate amount of $300,000 to be used for the payment of costs related to the BCTG IPO pursuant to a promissory note (each, a “</w:t>
      </w:r>
      <w:r>
        <w:rPr>
          <w:rFonts w:ascii="Arial" w:cs="Arial" w:eastAsia="Arial" w:hAnsi="Arial"/>
          <w:sz w:val="17"/>
          <w:szCs w:val="17"/>
          <w:b w:val="1"/>
          <w:bCs w:val="1"/>
          <w:color w:val="auto"/>
        </w:rPr>
        <w:t>Note</w:t>
      </w:r>
      <w:r>
        <w:rPr>
          <w:rFonts w:ascii="Arial" w:cs="Arial" w:eastAsia="Arial" w:hAnsi="Arial"/>
          <w:sz w:val="17"/>
          <w:szCs w:val="17"/>
          <w:color w:val="auto"/>
        </w:rPr>
        <w:t>” and, collectively, the “</w:t>
      </w:r>
      <w:r>
        <w:rPr>
          <w:rFonts w:ascii="Arial" w:cs="Arial" w:eastAsia="Arial" w:hAnsi="Arial"/>
          <w:sz w:val="17"/>
          <w:szCs w:val="17"/>
          <w:b w:val="1"/>
          <w:bCs w:val="1"/>
          <w:color w:val="auto"/>
        </w:rPr>
        <w:t>Notes</w:t>
      </w:r>
      <w:r>
        <w:rPr>
          <w:rFonts w:ascii="Arial" w:cs="Arial" w:eastAsia="Arial" w:hAnsi="Arial"/>
          <w:sz w:val="17"/>
          <w:szCs w:val="17"/>
          <w:color w:val="auto"/>
        </w:rPr>
        <w:t>”). The Notes were non-interest bearing, unsecured and due upon the date we consummate the BCTG IPO. We borrowed approximately $127,000 under the Notes and repaid the Notes in full on September 10, 2020.</w:t>
      </w:r>
    </w:p>
    <w:p>
      <w:pPr>
        <w:spacing w:after="0" w:line="95"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In order to fund working capital deficiencies or finance transaction costs in connection with an intended initial Business Combination, the initial stockholders, officers and directors and their affiliates may, but are not obligated to, loan us funds as may be required (the “</w:t>
      </w:r>
      <w:r>
        <w:rPr>
          <w:rFonts w:ascii="Arial" w:cs="Arial" w:eastAsia="Arial" w:hAnsi="Arial"/>
          <w:sz w:val="17"/>
          <w:szCs w:val="17"/>
          <w:b w:val="1"/>
          <w:bCs w:val="1"/>
          <w:color w:val="auto"/>
        </w:rPr>
        <w:t>Working Capital Loans</w:t>
      </w:r>
      <w:r>
        <w:rPr>
          <w:rFonts w:ascii="Arial" w:cs="Arial" w:eastAsia="Arial" w:hAnsi="Arial"/>
          <w:sz w:val="17"/>
          <w:szCs w:val="17"/>
          <w:color w:val="auto"/>
        </w:rPr>
        <w:t>”). Each loan would be evidenced by a promissory note. The notes would either be paid upon consummation of the initial Business Combination, without interest, or, at the lender’s discretion, up to $1.5 million of the notes may be converted upon consummation of the Business Combination into additional private placement shares at a conversion price of $10.00 per share. If we do not complete a Business Combination, the loans will not be repaid. Such private placement shares would be identical to the Private Shares. We did not have any borrowings under the Working Capital Loans as of December 31, 2020.</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Administrative Support Agreement</w:t>
      </w:r>
    </w:p>
    <w:p>
      <w:pPr>
        <w:spacing w:after="0" w:line="158"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Commencing on the date of our prospectus, we agreed to pay an affiliate of the Sponsor a total of $10,000 per month for office space and certain office and secretarial services. Upon completion of the Initial Business Combination or our liquidation, we will cease paying these monthly fees. For the period from May 21, 2020 (inception) through December 31, 2020, BCTG incurred $40,000 related to these services. As of December 31, 2020, no amounts were payable related to this agreement.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Share Purchase Commitment</w:t>
      </w:r>
    </w:p>
    <w:p>
      <w:pPr>
        <w:spacing w:after="0" w:line="158"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Our Sponsor entered into an agreement to purchase an aggregate of at least 2,500,000 shares of common for an aggregate purchase price of $25.0 million, or $10.00 per share, prior to, concurrently with, or following the closing of the initial Business Combination in a private placement. The funds from such private placement may be used as part of the consideration to the sellers in the initial Business Combination, and any excess funds from such private placement may be used for working capital in the post-transaction company.</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Registration Rights</w:t>
      </w:r>
    </w:p>
    <w:p>
      <w:pPr>
        <w:spacing w:after="0" w:line="144"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The holders of the Founders Shares and Private Shares are entitled to registration rights pursuant to a registration rights agreement. The holders of a majority of these securities are entitled to make up to two demands that we register such securities. The holders of the majority of the Founders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We will bear the expenses incurred in connection with the filing of any such registration statements.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9" w:name="page200"/>
    <w:bookmarkEnd w:id="19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Underwriting Agreement</w:t>
      </w:r>
    </w:p>
    <w:p>
      <w:pPr>
        <w:spacing w:after="0" w:line="144" w:lineRule="exact"/>
        <w:rPr>
          <w:sz w:val="20"/>
          <w:szCs w:val="20"/>
          <w:color w:val="auto"/>
        </w:rPr>
      </w:pPr>
    </w:p>
    <w:p>
      <w:pPr>
        <w:ind w:left="460" w:right="619" w:firstLine="432"/>
        <w:spacing w:after="0" w:line="296" w:lineRule="auto"/>
        <w:rPr>
          <w:sz w:val="20"/>
          <w:szCs w:val="20"/>
          <w:color w:val="auto"/>
        </w:rPr>
      </w:pPr>
      <w:r>
        <w:rPr>
          <w:rFonts w:ascii="Arial" w:cs="Arial" w:eastAsia="Arial" w:hAnsi="Arial"/>
          <w:sz w:val="16"/>
          <w:szCs w:val="16"/>
          <w:color w:val="auto"/>
        </w:rPr>
        <w:t>The underwriters were entitled to an underwriting discount of $0.20 per share, or approximately $3.3 million in the aggregate, paid upon the closing of the BCTG IPO. In addition, the underwriters will be entitled to a deferred underwriting commission of $0.35 per share, or approximately $5.8 million in the aggregate. The deferred fee will become payable to the underwriters from the amounts held in the Trust Account solely in the event that we complete a Business Combination, subject to the terms of the underwriting agreement.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Investments Held in the Trust Account</w:t>
      </w:r>
    </w:p>
    <w:p>
      <w:pPr>
        <w:spacing w:after="0" w:line="158"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Our portfolio of investments held in the Trust Account is comprised of U.S. government securities, within the meaning set forth in Section 2(a)(16) of the Investment Company Act, with a maturity of 185 days or less, or investments in money market funds that invest in U.S. government securities, or a combination thereof. The investments held in the Trust Account are classified as trading securities. Trading securities are presented on the balance sheet at fair value at the end of each reporting period. Gains and losses resulting from the change in fair value of these securities is included in interest earned on investments held in the Trust Account on the accompanying statement of operations. The estimated fair values of investments held in the Trust Account are determined using available market information.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Common Stock Subject to Possible Redemption</w:t>
      </w:r>
    </w:p>
    <w:p>
      <w:pPr>
        <w:spacing w:after="0" w:line="15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account for our common stock subject to possible redemption in accordance with the guidance in ASC Topic 480 “Distinguishing Liabilities from Equity.” Shares of common stock subject to mandatory redemption (if any) are classified as liability instruments and are measured at fair value. Shares of conditionally redeemable common stock (including common stock that feature redemption rights that are either within the control of the holder or subject to redemption upon the occurrence of uncertain events not solely within our control) are classified as temporary equity. At all other times, shares of common stock are classified as stockholders’ equity. Our common stock features certain redemption rights that are considered to be outside of our control and subject to the occurrence of uncertain future events. Accordingly, as of December 31, 2020, 15,736,221 shares of common stock subject to possible redemption are presented as temporary equity, outside of the stockholders’ equity section of the accompanying balance sheet.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Net Loss Per Common Share</w:t>
      </w:r>
    </w:p>
    <w:p>
      <w:pPr>
        <w:spacing w:after="0" w:line="144"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We comply with accounting and disclosure requirements of FASB ASC Topic 260, “Earnings Per Share.” Net loss per share of common stock is computed by dividing net loss applicable to stockholders by the weighted average number of shares of common stock outstanding during the periods. Weighted average share were reduced for the effect of an aggregate of 543,750 shares of common stock that were subject to forfeiture if the over-allotment option was not exercised by the underwriters. The underwriters exercised their over-allotment option in full on September 8, 2020; thus, these Founders Shares were no longer subject to forfeiture (see Note 6). At December 31, 2020, we did not have any dilutive securities and other contracts that could, potentially, be exercised or converted into shares of common stock and then share in the earnings of the Company. As a result, diluted loss per share is the same as basic loss per share for the periods presented.</w:t>
      </w:r>
    </w:p>
    <w:p>
      <w:pPr>
        <w:spacing w:after="0" w:line="99" w:lineRule="exact"/>
        <w:rPr>
          <w:sz w:val="20"/>
          <w:szCs w:val="20"/>
          <w:color w:val="auto"/>
        </w:rPr>
      </w:pPr>
    </w:p>
    <w:p>
      <w:pPr>
        <w:ind w:left="460" w:right="619" w:firstLine="432"/>
        <w:spacing w:after="0" w:line="271" w:lineRule="auto"/>
        <w:rPr>
          <w:sz w:val="20"/>
          <w:szCs w:val="20"/>
          <w:color w:val="auto"/>
        </w:rPr>
      </w:pPr>
      <w:r>
        <w:rPr>
          <w:rFonts w:ascii="Arial" w:cs="Arial" w:eastAsia="Arial" w:hAnsi="Arial"/>
          <w:sz w:val="17"/>
          <w:szCs w:val="17"/>
          <w:color w:val="auto"/>
        </w:rPr>
        <w:t>Our statement of operations includes a presentation of loss per share for common stock subject to redemption in a manner similar to the two-class method of income per share. Net loss per share, basic and diluted for Public Shares is calculated by dividing the investment income earned on the Trust Account, net of applicable income and franchise taxes of approximately $26,000 for the period from May 21, 2020 (inception) through December 31, 2020, by the weighted average number of shares of Public Shares outstanding for the period. Net loss per share, basic and diluted for Founders Shares is calculated by dividing the net loss of approximately $123,000, less income attributable to Founders Shares, by the weighted average number of shares of Founders Shares outstanding for the periods.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As of December 31, 2020, we did not have any off-balance sheet arrangements as defined in Item 303(a)</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(4)(ii) of Regulation S-K.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0" w:name="page201"/>
    <w:bookmarkEnd w:id="20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JOBS Act</w:t>
      </w:r>
    </w:p>
    <w:p>
      <w:pPr>
        <w:spacing w:after="0" w:line="144" w:lineRule="exact"/>
        <w:rPr>
          <w:sz w:val="20"/>
          <w:szCs w:val="20"/>
          <w:color w:val="auto"/>
        </w:rPr>
      </w:pPr>
    </w:p>
    <w:p>
      <w:pPr>
        <w:ind w:left="460" w:right="599" w:firstLine="432"/>
        <w:spacing w:after="0" w:line="291" w:lineRule="auto"/>
        <w:rPr>
          <w:sz w:val="20"/>
          <w:szCs w:val="20"/>
          <w:color w:val="auto"/>
        </w:rPr>
      </w:pPr>
      <w:r>
        <w:rPr>
          <w:rFonts w:ascii="Arial" w:cs="Arial" w:eastAsia="Arial" w:hAnsi="Arial"/>
          <w:sz w:val="16"/>
          <w:szCs w:val="16"/>
          <w:color w:val="auto"/>
        </w:rPr>
        <w:t>The Jumpstart Our Business Startups Act of 2012 (the “</w:t>
      </w:r>
      <w:r>
        <w:rPr>
          <w:rFonts w:ascii="Arial" w:cs="Arial" w:eastAsia="Arial" w:hAnsi="Arial"/>
          <w:sz w:val="16"/>
          <w:szCs w:val="16"/>
          <w:b w:val="1"/>
          <w:bCs w:val="1"/>
          <w:color w:val="auto"/>
        </w:rPr>
        <w:t>JOBS Act</w:t>
      </w:r>
      <w:r>
        <w:rPr>
          <w:rFonts w:ascii="Arial" w:cs="Arial" w:eastAsia="Arial" w:hAnsi="Arial"/>
          <w:sz w:val="16"/>
          <w:szCs w:val="16"/>
          <w:color w:val="auto"/>
        </w:rPr>
        <w: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have elected to delay the adoption of new or revised accounting standards, and as a result, we may not comply with new or revised accounting standards on the relevant dates on which adoption of such standards is required for non-emerging growth companies. As a result, the financial statements may not be comparable to companies that comply with new or revised accounting pronouncements as of public company effective dates.</w:t>
      </w:r>
    </w:p>
    <w:p>
      <w:pPr>
        <w:spacing w:after="0" w:line="96"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the BCTG IPO or until we are no longer an “emerging growth company,” whichever is earlier.</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ind w:left="460" w:right="759" w:firstLine="432"/>
        <w:spacing w:after="0" w:line="342" w:lineRule="auto"/>
        <w:rPr>
          <w:sz w:val="20"/>
          <w:szCs w:val="20"/>
          <w:color w:val="auto"/>
        </w:rPr>
      </w:pPr>
      <w:r>
        <w:rPr>
          <w:rFonts w:ascii="Arial" w:cs="Arial" w:eastAsia="Arial" w:hAnsi="Arial"/>
          <w:sz w:val="16"/>
          <w:szCs w:val="16"/>
          <w:color w:val="auto"/>
        </w:rPr>
        <w:t>Our management does not believe there are any other recently issued, but not yet effective, accounting pronouncements, if currently adopted, that would have a material effect on our financial statements.</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1" w:name="page202"/>
    <w:bookmarkEnd w:id="20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TANGO</w:t>
      </w:r>
    </w:p>
    <w:p>
      <w:pPr>
        <w:spacing w:after="0" w:line="148"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i w:val="1"/>
          <w:iCs w:val="1"/>
          <w:color w:val="auto"/>
        </w:rPr>
        <w:t>Throughout this section, unless otherwise noted, “we,” “us,” “Tango” and the “Company” refer to Tango Therapeutics, Inc. and its consolidated subsidiaries</w:t>
      </w:r>
      <w:r>
        <w:rPr>
          <w:rFonts w:ascii="Arial" w:cs="Arial" w:eastAsia="Arial" w:hAnsi="Arial"/>
          <w:sz w:val="18"/>
          <w:szCs w:val="18"/>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460" w:right="539" w:firstLine="432"/>
        <w:spacing w:after="0" w:line="285" w:lineRule="auto"/>
        <w:rPr>
          <w:sz w:val="20"/>
          <w:szCs w:val="20"/>
          <w:color w:val="auto"/>
        </w:rPr>
      </w:pPr>
      <w:r>
        <w:rPr>
          <w:rFonts w:ascii="Arial" w:cs="Arial" w:eastAsia="Arial" w:hAnsi="Arial"/>
          <w:sz w:val="16"/>
          <w:szCs w:val="16"/>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establishing a sustainable pipeline optimized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 Our approach also opens possibilities of histology-agnostic treatments for patients harboring specific genome alternations, regardless of cancer type, in cases where a specific tumor suppressor gene loss is common to more than one subgroup of cancers.</w:t>
      </w:r>
    </w:p>
    <w:p>
      <w:pPr>
        <w:spacing w:after="0" w:line="109" w:lineRule="exact"/>
        <w:rPr>
          <w:sz w:val="20"/>
          <w:szCs w:val="20"/>
          <w:color w:val="auto"/>
        </w:rPr>
      </w:pPr>
    </w:p>
    <w:p>
      <w:pPr>
        <w:ind w:left="460" w:right="719" w:firstLine="432"/>
        <w:spacing w:after="0" w:line="263" w:lineRule="auto"/>
        <w:rPr>
          <w:sz w:val="20"/>
          <w:szCs w:val="20"/>
          <w:color w:val="auto"/>
        </w:rPr>
      </w:pPr>
      <w:r>
        <w:rPr>
          <w:rFonts w:ascii="Arial" w:cs="Arial" w:eastAsia="Arial" w:hAnsi="Arial"/>
          <w:sz w:val="18"/>
          <w:szCs w:val="18"/>
          <w:color w:val="auto"/>
        </w:rPr>
        <w:t>Our target discovery and drug development process, which is clinically oriented and guided by patient-focused cancer genetics to produce innovative therapies, can be summarized by the following fundamental elements:</w:t>
      </w:r>
    </w:p>
    <w:p>
      <w:pPr>
        <w:spacing w:after="0" w:line="99" w:lineRule="exact"/>
        <w:rPr>
          <w:sz w:val="20"/>
          <w:szCs w:val="20"/>
          <w:color w:val="auto"/>
        </w:rPr>
      </w:pPr>
    </w:p>
    <w:p>
      <w:pPr>
        <w:ind w:left="1300" w:hanging="414"/>
        <w:spacing w:after="0"/>
        <w:tabs>
          <w:tab w:leader="none" w:pos="1300" w:val="left"/>
        </w:tabs>
        <w:numPr>
          <w:ilvl w:val="0"/>
          <w:numId w:val="237"/>
        </w:numPr>
        <w:rPr>
          <w:rFonts w:ascii="Arial" w:cs="Arial" w:eastAsia="Arial" w:hAnsi="Arial"/>
          <w:sz w:val="18"/>
          <w:szCs w:val="18"/>
          <w:color w:val="auto"/>
        </w:rPr>
      </w:pPr>
      <w:r>
        <w:rPr>
          <w:rFonts w:ascii="Arial" w:cs="Arial" w:eastAsia="Arial" w:hAnsi="Arial"/>
          <w:sz w:val="18"/>
          <w:szCs w:val="18"/>
          <w:b w:val="1"/>
          <w:bCs w:val="1"/>
          <w:color w:val="auto"/>
        </w:rPr>
        <w:t>A singular focus on precision oncology from target discovery through clinical</w:t>
      </w:r>
    </w:p>
    <w:p>
      <w:pPr>
        <w:spacing w:after="0" w:line="27" w:lineRule="exact"/>
        <w:rPr>
          <w:rFonts w:ascii="Arial" w:cs="Arial" w:eastAsia="Arial" w:hAnsi="Arial"/>
          <w:sz w:val="18"/>
          <w:szCs w:val="18"/>
          <w:color w:val="auto"/>
        </w:rPr>
      </w:pPr>
    </w:p>
    <w:p>
      <w:pPr>
        <w:ind w:left="1320" w:right="539"/>
        <w:spacing w:after="0" w:line="253" w:lineRule="auto"/>
        <w:rPr>
          <w:rFonts w:ascii="Arial" w:cs="Arial" w:eastAsia="Arial" w:hAnsi="Arial"/>
          <w:sz w:val="18"/>
          <w:szCs w:val="18"/>
          <w:color w:val="auto"/>
        </w:rPr>
      </w:pPr>
      <w:r>
        <w:rPr>
          <w:rFonts w:ascii="Arial" w:cs="Arial" w:eastAsia="Arial" w:hAnsi="Arial"/>
          <w:sz w:val="18"/>
          <w:szCs w:val="18"/>
          <w:b w:val="1"/>
          <w:bCs w:val="1"/>
          <w:color w:val="auto"/>
        </w:rPr>
        <w:t xml:space="preserve">development. </w:t>
      </w:r>
      <w:r>
        <w:rPr>
          <w:rFonts w:ascii="Arial" w:cs="Arial" w:eastAsia="Arial" w:hAnsi="Arial"/>
          <w:sz w:val="18"/>
          <w:szCs w:val="18"/>
          <w:color w:val="auto"/>
        </w:rPr>
        <w:t>By identifying a target patient population, defining the tumor suppressor gene loss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that characterizes those patients’ cancers and using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that mimic the genetics of those cancer cells in our discovery platform, we concentrate discovery and clinical development paths on treatments for those patients most likely to derive meaningful clinical benefit from each new molecule.</w:t>
      </w:r>
    </w:p>
    <w:p>
      <w:pPr>
        <w:spacing w:after="0" w:line="119" w:lineRule="exact"/>
        <w:rPr>
          <w:rFonts w:ascii="Arial" w:cs="Arial" w:eastAsia="Arial" w:hAnsi="Arial"/>
          <w:sz w:val="18"/>
          <w:szCs w:val="18"/>
          <w:color w:val="auto"/>
        </w:rPr>
      </w:pPr>
    </w:p>
    <w:p>
      <w:pPr>
        <w:jc w:val="both"/>
        <w:ind w:left="1320" w:right="519" w:hanging="434"/>
        <w:spacing w:after="0" w:line="277" w:lineRule="auto"/>
        <w:tabs>
          <w:tab w:leader="none" w:pos="1311" w:val="left"/>
        </w:tabs>
        <w:numPr>
          <w:ilvl w:val="0"/>
          <w:numId w:val="237"/>
        </w:numPr>
        <w:rPr>
          <w:rFonts w:ascii="Arial" w:cs="Arial" w:eastAsia="Arial" w:hAnsi="Arial"/>
          <w:sz w:val="17"/>
          <w:szCs w:val="17"/>
          <w:color w:val="auto"/>
        </w:rPr>
      </w:pPr>
      <w:r>
        <w:rPr>
          <w:rFonts w:ascii="Arial" w:cs="Arial" w:eastAsia="Arial" w:hAnsi="Arial"/>
          <w:sz w:val="17"/>
          <w:szCs w:val="17"/>
          <w:b w:val="1"/>
          <w:bCs w:val="1"/>
          <w:color w:val="auto"/>
        </w:rPr>
        <w:t xml:space="preserve">Deep expertise linking cancer genetics to novel target discovery. </w:t>
      </w:r>
      <w:r>
        <w:rPr>
          <w:rFonts w:ascii="Arial" w:cs="Arial" w:eastAsia="Arial" w:hAnsi="Arial"/>
          <w:sz w:val="17"/>
          <w:szCs w:val="17"/>
          <w:color w:val="auto"/>
        </w:rPr>
        <w:t>We have built a state-of-the-art discovery engine, based on multiple optimized CRISPR systems, advanced functional genomics and a proprietary cloud-based computational biology platform, which we refer to as TANDEM, for sophisticated analysis of our genetic and functional data, enabling integration of target biology with specific genetic alterations in cancer cells.</w:t>
      </w:r>
    </w:p>
    <w:p>
      <w:pPr>
        <w:spacing w:after="0" w:line="100" w:lineRule="exact"/>
        <w:rPr>
          <w:rFonts w:ascii="Arial" w:cs="Arial" w:eastAsia="Arial" w:hAnsi="Arial"/>
          <w:sz w:val="17"/>
          <w:szCs w:val="17"/>
          <w:color w:val="auto"/>
        </w:rPr>
      </w:pPr>
    </w:p>
    <w:p>
      <w:pPr>
        <w:ind w:left="1320" w:right="679" w:hanging="434"/>
        <w:spacing w:after="0" w:line="261" w:lineRule="auto"/>
        <w:tabs>
          <w:tab w:leader="none" w:pos="1311" w:val="left"/>
        </w:tabs>
        <w:numPr>
          <w:ilvl w:val="0"/>
          <w:numId w:val="237"/>
        </w:numPr>
        <w:rPr>
          <w:rFonts w:ascii="Arial" w:cs="Arial" w:eastAsia="Arial" w:hAnsi="Arial"/>
          <w:sz w:val="18"/>
          <w:szCs w:val="18"/>
          <w:color w:val="auto"/>
        </w:rPr>
      </w:pPr>
      <w:r>
        <w:rPr>
          <w:rFonts w:ascii="Arial" w:cs="Arial" w:eastAsia="Arial" w:hAnsi="Arial"/>
          <w:sz w:val="18"/>
          <w:szCs w:val="18"/>
          <w:b w:val="1"/>
          <w:bCs w:val="1"/>
          <w:color w:val="auto"/>
        </w:rPr>
        <w:t xml:space="preserve">A versatile drug discovery approach. </w:t>
      </w:r>
      <w:r>
        <w:rPr>
          <w:rFonts w:ascii="Arial" w:cs="Arial" w:eastAsia="Arial" w:hAnsi="Arial"/>
          <w:sz w:val="18"/>
          <w:szCs w:val="18"/>
          <w:color w:val="auto"/>
        </w:rPr>
        <w:t>We employ our hit-finding and medicinal chemistry</w:t>
      </w:r>
      <w:r>
        <w:rPr>
          <w:rFonts w:ascii="Arial" w:cs="Arial" w:eastAsia="Arial" w:hAnsi="Arial"/>
          <w:sz w:val="18"/>
          <w:szCs w:val="18"/>
          <w:b w:val="1"/>
          <w:bCs w:val="1"/>
          <w:color w:val="auto"/>
        </w:rPr>
        <w:t xml:space="preserve"> </w:t>
      </w:r>
      <w:r>
        <w:rPr>
          <w:rFonts w:ascii="Arial" w:cs="Arial" w:eastAsia="Arial" w:hAnsi="Arial"/>
          <w:sz w:val="18"/>
          <w:szCs w:val="18"/>
          <w:color w:val="auto"/>
        </w:rPr>
        <w:t>expertise to identify tractable chemical matter and solve high resolution crystal structures for our novel targets as the basis for designing potent, selective molecules with the precise mechanism of action required by the target biology.</w:t>
      </w:r>
    </w:p>
    <w:p>
      <w:pPr>
        <w:spacing w:after="0" w:line="98" w:lineRule="exact"/>
        <w:rPr>
          <w:rFonts w:ascii="Arial" w:cs="Arial" w:eastAsia="Arial" w:hAnsi="Arial"/>
          <w:sz w:val="18"/>
          <w:szCs w:val="18"/>
          <w:color w:val="auto"/>
        </w:rPr>
      </w:pPr>
    </w:p>
    <w:p>
      <w:pPr>
        <w:ind w:left="1320" w:right="499" w:hanging="434"/>
        <w:spacing w:after="0" w:line="272" w:lineRule="auto"/>
        <w:tabs>
          <w:tab w:leader="none" w:pos="1311" w:val="left"/>
        </w:tabs>
        <w:numPr>
          <w:ilvl w:val="0"/>
          <w:numId w:val="237"/>
        </w:numPr>
        <w:rPr>
          <w:rFonts w:ascii="Arial" w:cs="Arial" w:eastAsia="Arial" w:hAnsi="Arial"/>
          <w:sz w:val="17"/>
          <w:szCs w:val="17"/>
          <w:color w:val="auto"/>
        </w:rPr>
      </w:pPr>
      <w:r>
        <w:rPr>
          <w:rFonts w:ascii="Arial" w:cs="Arial" w:eastAsia="Arial" w:hAnsi="Arial"/>
          <w:sz w:val="17"/>
          <w:szCs w:val="17"/>
          <w:b w:val="1"/>
          <w:bCs w:val="1"/>
          <w:color w:val="auto"/>
        </w:rPr>
        <w:t xml:space="preserve">A unique ability to bring precision medicine to immuno-oncology. </w:t>
      </w:r>
      <w:r>
        <w:rPr>
          <w:rFonts w:ascii="Arial" w:cs="Arial" w:eastAsia="Arial" w:hAnsi="Arial"/>
          <w:sz w:val="17"/>
          <w:szCs w:val="17"/>
          <w:color w:val="auto"/>
        </w:rPr>
        <w:t>Through our rigorous focus</w:t>
      </w:r>
      <w:r>
        <w:rPr>
          <w:rFonts w:ascii="Arial" w:cs="Arial" w:eastAsia="Arial" w:hAnsi="Arial"/>
          <w:sz w:val="17"/>
          <w:szCs w:val="17"/>
          <w:b w:val="1"/>
          <w:bCs w:val="1"/>
          <w:color w:val="auto"/>
        </w:rPr>
        <w:t xml:space="preserve"> </w:t>
      </w:r>
      <w:r>
        <w:rPr>
          <w:rFonts w:ascii="Arial" w:cs="Arial" w:eastAsia="Arial" w:hAnsi="Arial"/>
          <w:sz w:val="17"/>
          <w:szCs w:val="17"/>
          <w:color w:val="auto"/>
        </w:rPr>
        <w:t>on cancer genetics, we have identified critical links between tumor suppressor gene loss and the ability of tumor cells to evade killing by the immune system causing immune evasion. That knowledge powers our approach to reverse the tumor-intrinsic immune evasion mechanisms driven by specific tumor suppressor gene loss in cancer cells. We plan to design clinical trials that combine the efficiency and success of genetic patient selection with a novel approach to reversing tumor-intrinsic immune evasion, avoiding the known drawbacks of large, empiric clinical trials lacking a patient selection strategy.</w:t>
      </w:r>
    </w:p>
    <w:p>
      <w:pPr>
        <w:spacing w:after="0" w:line="108"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Our first product candidate, TNG908, is a potent, selective, synthetic lethal, small molecule inhibitor of protein arginine methyltransferase 5 (“</w:t>
      </w:r>
      <w:r>
        <w:rPr>
          <w:rFonts w:ascii="Arial" w:cs="Arial" w:eastAsia="Arial" w:hAnsi="Arial"/>
          <w:sz w:val="18"/>
          <w:szCs w:val="18"/>
          <w:b w:val="1"/>
          <w:bCs w:val="1"/>
          <w:color w:val="auto"/>
        </w:rPr>
        <w:t>PRMT5</w:t>
      </w:r>
      <w:r>
        <w:rPr>
          <w:rFonts w:ascii="Arial" w:cs="Arial" w:eastAsia="Arial" w:hAnsi="Arial"/>
          <w:sz w:val="18"/>
          <w:szCs w:val="18"/>
          <w:color w:val="auto"/>
        </w:rPr>
        <w:t>”) designed to work selectively in cancer cells with an - methylthioadenosine phosphorylase (“</w:t>
      </w:r>
      <w:r>
        <w:rPr>
          <w:rFonts w:ascii="Arial" w:cs="Arial" w:eastAsia="Arial" w:hAnsi="Arial"/>
          <w:sz w:val="18"/>
          <w:szCs w:val="18"/>
          <w:b w:val="1"/>
          <w:bCs w:val="1"/>
          <w:color w:val="auto"/>
        </w:rPr>
        <w:t>MTAP</w:t>
      </w:r>
      <w:r>
        <w:rPr>
          <w:rFonts w:ascii="Arial" w:cs="Arial" w:eastAsia="Arial" w:hAnsi="Arial"/>
          <w:sz w:val="18"/>
          <w:szCs w:val="18"/>
          <w:color w:val="auto"/>
        </w:rPr>
        <w:t>”) deletion. MTAP-deletion occurs in approximately 10% to 15% of all human tumors, including many common cancers with high unmet need such as squamous cell lung, esophageal and bladder cancer, creating a significant therapeutic opportunity for patients. The challenge of non-synthetic lethal PRMT5 inhibitors in treating cancer is that they kill rapidly growing normal cells (bone marrow cells in particular) as effectively as cancer cells and therefore the dose needed to kill cancer cells often cannot be achieved without</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2" w:name="page203"/>
    <w:bookmarkEnd w:id="20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84" w:lineRule="auto"/>
        <w:rPr>
          <w:sz w:val="20"/>
          <w:szCs w:val="20"/>
          <w:color w:val="auto"/>
        </w:rPr>
      </w:pPr>
      <w:r>
        <w:rPr>
          <w:rFonts w:ascii="Arial" w:cs="Arial" w:eastAsia="Arial" w:hAnsi="Arial"/>
          <w:sz w:val="16"/>
          <w:szCs w:val="16"/>
          <w:color w:val="auto"/>
        </w:rPr>
        <w:t>endangering patients. To address this problem, we designed TNG908 to be selectively active (synthetic lethal) in cancer cells that have a deletion of MTAP, which is not present in normal cells. MTAP encodes the enzyme that degrades 5’-deoxy-5’-methylthioadenosine (“</w:t>
      </w:r>
      <w:r>
        <w:rPr>
          <w:rFonts w:ascii="Arial" w:cs="Arial" w:eastAsia="Arial" w:hAnsi="Arial"/>
          <w:sz w:val="16"/>
          <w:szCs w:val="16"/>
          <w:b w:val="1"/>
          <w:bCs w:val="1"/>
          <w:color w:val="auto"/>
        </w:rPr>
        <w:t>MTA</w:t>
      </w:r>
      <w:r>
        <w:rPr>
          <w:rFonts w:ascii="Arial" w:cs="Arial" w:eastAsia="Arial" w:hAnsi="Arial"/>
          <w:sz w:val="16"/>
          <w:szCs w:val="16"/>
          <w:color w:val="auto"/>
        </w:rPr>
        <w:t xml:space="preserve">”), an intrinsic inhibitor of PRMT5. Deletion of MTAP is not tumor-promoting by itself but occurs as a “passenger” with deletion of the tumor suppressor gene CDKN2A. As the normal function of MTAP is to degrade MTA, MTAP deletion results in marked accumulation of MTA in cancer cells. This increase in MTA results in partial PRMT5 inhibition, creating a vulnerability that is not sufficient alone to kill tumor cells but makes them more susceptible to PRMT5 inhibition than normal cells. As PRMT5 is an essential gene, treatment with a PRMT5 inhibitor like TNG908 is sufficient to cause cancer cell death without killing normal cells. However, treatment with a non-selective PRMT5 inhibitor kills cancer cells and normal cells at approximately the same exposure, markedly limits potential efficacy. This difference in mechanism of inhibition occurs because TNG908 binds much more efficiently to the PRMT5-MTA complex, so the increased MTA levels in MTAP-deleted cancer cells make TNG908 much more potent in MTAP-deleted cancer cells than in normal cells. In our preclinical studies, TNG908 has demonstrated 15-fold greater potency in MTAP-deleted cancer cells versus normal cells. This unique selectivity of TNG908 for MTAP-deleted cancer cells allows for the near-complete and sustained inhibition of PRMT5 needed to induce tumor cell death while sparing normal cells, including bone marrow cells responsible for the dose-limiting toxicity of non-synthetic lethal PRMT5 inhibitors currently in clinical development. In our preclinical studies, TNG908 has demonstrated selectivity for MTAP-deleted tumors, anti-tumor effects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and pharmacokinetics that, if approved, support its potential to be a first-in-class synthetic lethal PRMT5 inhibitor. We plan to file an Investigational New Drug (“</w:t>
      </w:r>
      <w:r>
        <w:rPr>
          <w:rFonts w:ascii="Arial" w:cs="Arial" w:eastAsia="Arial" w:hAnsi="Arial"/>
          <w:sz w:val="16"/>
          <w:szCs w:val="16"/>
          <w:b w:val="1"/>
          <w:bCs w:val="1"/>
          <w:color w:val="auto"/>
        </w:rPr>
        <w:t>IND</w:t>
      </w:r>
      <w:r>
        <w:rPr>
          <w:rFonts w:ascii="Arial" w:cs="Arial" w:eastAsia="Arial" w:hAnsi="Arial"/>
          <w:sz w:val="16"/>
          <w:szCs w:val="16"/>
          <w:color w:val="auto"/>
        </w:rPr>
        <w:t>”) application for TNG908 in the fourth quarter of 2021 and initiate a Phase 1/2 clinical trial in the first half of 2022.</w:t>
      </w:r>
    </w:p>
    <w:p>
      <w:pPr>
        <w:spacing w:after="0" w:line="330"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Our second product candidate has the potential to be a highly differentiated small molecule inhibitor of ubiquitin-specific protease 1 (“</w:t>
      </w:r>
      <w:r>
        <w:rPr>
          <w:rFonts w:ascii="Arial" w:cs="Arial" w:eastAsia="Arial" w:hAnsi="Arial"/>
          <w:sz w:val="17"/>
          <w:szCs w:val="17"/>
          <w:b w:val="1"/>
          <w:bCs w:val="1"/>
          <w:color w:val="auto"/>
        </w:rPr>
        <w:t>USP1</w:t>
      </w:r>
      <w:r>
        <w:rPr>
          <w:rFonts w:ascii="Arial" w:cs="Arial" w:eastAsia="Arial" w:hAnsi="Arial"/>
          <w:sz w:val="17"/>
          <w:szCs w:val="17"/>
          <w:color w:val="auto"/>
        </w:rPr>
        <w:t>”), a synthetic lethal target for BRCA1-mutant breast, ovarian and prostate cancer. USP1 has the potential to treat a patient population that is comparable in size to approximately half of the patient population for poly (ADP-ribose) polymerase (“</w:t>
      </w:r>
      <w:r>
        <w:rPr>
          <w:rFonts w:ascii="Arial" w:cs="Arial" w:eastAsia="Arial" w:hAnsi="Arial"/>
          <w:sz w:val="17"/>
          <w:szCs w:val="17"/>
          <w:b w:val="1"/>
          <w:bCs w:val="1"/>
          <w:color w:val="auto"/>
        </w:rPr>
        <w:t>PARP</w:t>
      </w:r>
      <w:r>
        <w:rPr>
          <w:rFonts w:ascii="Arial" w:cs="Arial" w:eastAsia="Arial" w:hAnsi="Arial"/>
          <w:sz w:val="17"/>
          <w:szCs w:val="17"/>
          <w:color w:val="auto"/>
        </w:rPr>
        <w:t xml:space="preserve">”) inhibitors that are effective against cancers with BRCA1 and BRCA2 mutations. BRCA1 mutations are present in approximately 15% of ovarian cancer, 5% of breast cancer, and 1% of prostate cancer.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preclinical data suggest this molecule will have the potential to be effective as a single agent in PARP-naive and PARP-resistant cancers with a BRCA1 mutation. Our preclinical data further suggest that USP1 inhibition is synergistic with PARP inhibition, providing the potential for enhanced efficacy in BRCA1-mutant breast, ovarian and prostate cancer in combination with a PARP inhibitor. We anticipate advancing a clinical candidate and filing an IND for this program in 2022.</w:t>
      </w:r>
    </w:p>
    <w:p>
      <w:pPr>
        <w:spacing w:after="0" w:line="114"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Our third program, an undisclosed target (Target 3), exploits our platform developed to find synthetic lethal targets that reverse the immune evasion effects of tumor suppressor gene loss, in this case serine-threonine kinase 11 (“</w:t>
      </w:r>
      <w:r>
        <w:rPr>
          <w:rFonts w:ascii="Arial" w:cs="Arial" w:eastAsia="Arial" w:hAnsi="Arial"/>
          <w:sz w:val="17"/>
          <w:szCs w:val="17"/>
          <w:b w:val="1"/>
          <w:bCs w:val="1"/>
          <w:color w:val="auto"/>
        </w:rPr>
        <w:t>STK11</w:t>
      </w:r>
      <w:r>
        <w:rPr>
          <w:rFonts w:ascii="Arial" w:cs="Arial" w:eastAsia="Arial" w:hAnsi="Arial"/>
          <w:sz w:val="17"/>
          <w:szCs w:val="17"/>
          <w:color w:val="auto"/>
        </w:rPr>
        <w:t>”) loss-of-function mutations. STK11 loss-of-function mutations are present in approximately 20% of non-small cell lung cancers. Using our proprietary target discovery platform, we identified STK11 as a tumor suppressor gene responsible for mediating cancer cell resistance to immunotherapy when deleted (immune evasion) and then identified a novel drug target (Target 3) that reverses this effect when inhibited in preclinical studies. We expect the clinical development plan for this inhibitor in STK11-mutant lung cancer to be the first to combine the power of genetically-based patient selection and checkpoint inhibitor therapy. We anticipate advancing a clinical candidate for this target into IND-enabling studies in the second half of 2022 and filing an IND in 2023.</w:t>
      </w:r>
    </w:p>
    <w:p>
      <w:pPr>
        <w:spacing w:after="0" w:line="100" w:lineRule="exact"/>
        <w:rPr>
          <w:sz w:val="20"/>
          <w:szCs w:val="20"/>
          <w:color w:val="auto"/>
        </w:rPr>
      </w:pPr>
    </w:p>
    <w:p>
      <w:pPr>
        <w:ind w:left="460" w:right="459" w:firstLine="432"/>
        <w:spacing w:after="0" w:line="298" w:lineRule="auto"/>
        <w:rPr>
          <w:sz w:val="20"/>
          <w:szCs w:val="20"/>
          <w:color w:val="auto"/>
        </w:rPr>
      </w:pPr>
      <w:r>
        <w:rPr>
          <w:rFonts w:ascii="Arial" w:cs="Arial" w:eastAsia="Arial" w:hAnsi="Arial"/>
          <w:sz w:val="16"/>
          <w:szCs w:val="16"/>
          <w:color w:val="auto"/>
        </w:rPr>
        <w:t>In October 2018, we entered into a collaboration agreement with Gilead Sciences Inc. (“</w:t>
      </w:r>
      <w:r>
        <w:rPr>
          <w:rFonts w:ascii="Arial" w:cs="Arial" w:eastAsia="Arial" w:hAnsi="Arial"/>
          <w:sz w:val="16"/>
          <w:szCs w:val="16"/>
          <w:b w:val="1"/>
          <w:bCs w:val="1"/>
          <w:color w:val="auto"/>
        </w:rPr>
        <w:t>Gilead</w:t>
      </w:r>
      <w:r>
        <w:rPr>
          <w:rFonts w:ascii="Arial" w:cs="Arial" w:eastAsia="Arial" w:hAnsi="Arial"/>
          <w:sz w:val="16"/>
          <w:szCs w:val="16"/>
          <w:color w:val="auto"/>
        </w:rPr>
        <w:t>”), and this collaboration was expanded in August 2020 (the “</w:t>
      </w:r>
      <w:r>
        <w:rPr>
          <w:rFonts w:ascii="Arial" w:cs="Arial" w:eastAsia="Arial" w:hAnsi="Arial"/>
          <w:sz w:val="16"/>
          <w:szCs w:val="16"/>
          <w:b w:val="1"/>
          <w:bCs w:val="1"/>
          <w:color w:val="auto"/>
        </w:rPr>
        <w:t>Gilead Agreement</w:t>
      </w:r>
      <w:r>
        <w:rPr>
          <w:rFonts w:ascii="Arial" w:cs="Arial" w:eastAsia="Arial" w:hAnsi="Arial"/>
          <w:sz w:val="16"/>
          <w:szCs w:val="16"/>
          <w:color w:val="auto"/>
        </w:rPr>
        <w:t>”). Our immune evasion platform is the foundation for our collaboration with Gilead. Under the Gilead Agreement, we and Gilead collaborate to identify and develop novel immune evasion targets by leveraging our proprietary functional genomics-based discovery platform. To date, Gilead has licensed two of our programs and has research-extended one program.</w:t>
      </w:r>
    </w:p>
    <w:p>
      <w:pPr>
        <w:spacing w:after="0" w:line="90"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Our collaboration with Gilead excludes our lead program, PRMT5, as well as USP1 and our undisclosed target (Target 3) in STK11-mutant cancers. We retain the right to identify and validate targets outside the scope of our collaboration with Gilead, which includes all cell autonomous targets except those discovered in immune evasion contexts, and to develop and commercialize products directed to such targets on our own or in collaboration with third parties.</w:t>
      </w:r>
    </w:p>
    <w:p>
      <w:pPr>
        <w:spacing w:after="0" w:line="120"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 xml:space="preserve">See “— </w:t>
      </w:r>
      <w:r>
        <w:rPr>
          <w:rFonts w:ascii="Arial" w:cs="Arial" w:eastAsia="Arial" w:hAnsi="Arial"/>
          <w:sz w:val="18"/>
          <w:szCs w:val="18"/>
          <w:i w:val="1"/>
          <w:iCs w:val="1"/>
          <w:color w:val="auto"/>
        </w:rPr>
        <w:t>Collaborations and License Agreements — Collaboration and License Agreement with Gilead</w:t>
      </w:r>
      <w:r>
        <w:rPr>
          <w:rFonts w:ascii="Arial" w:cs="Arial" w:eastAsia="Arial" w:hAnsi="Arial"/>
          <w:sz w:val="18"/>
          <w:szCs w:val="18"/>
          <w:color w:val="auto"/>
        </w:rPr>
        <w:t xml:space="preserve"> </w:t>
      </w:r>
      <w:r>
        <w:rPr>
          <w:rFonts w:ascii="Arial" w:cs="Arial" w:eastAsia="Arial" w:hAnsi="Arial"/>
          <w:sz w:val="18"/>
          <w:szCs w:val="18"/>
          <w:i w:val="1"/>
          <w:iCs w:val="1"/>
          <w:color w:val="auto"/>
        </w:rPr>
        <w:t>Sciences</w:t>
      </w:r>
      <w:r>
        <w:rPr>
          <w:rFonts w:ascii="Arial" w:cs="Arial" w:eastAsia="Arial" w:hAnsi="Arial"/>
          <w:sz w:val="18"/>
          <w:szCs w:val="18"/>
          <w:color w:val="auto"/>
        </w:rPr>
        <w:t>” for additional information.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3" w:name="page204"/>
    <w:bookmarkEnd w:id="20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Pipeline</w:t>
      </w:r>
    </w:p>
    <w:p>
      <w:pPr>
        <w:spacing w:after="0" w:line="148"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We are leveraging the power and productivity of our discovery engine to discover and validate multiple novel targets each year. Our growing pipeline consists of discovery programs for multiple cancer types with limited treatment options. Our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82550</wp:posOffset>
            </wp:positionV>
            <wp:extent cx="5143500" cy="19888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Strategy</w:t>
      </w:r>
    </w:p>
    <w:p>
      <w:pPr>
        <w:spacing w:after="0" w:line="148"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We are pioneering novel approaches to the discovery and development of innovative precision oncology therapies. We leverage the following core strategic components, enabling bold thinking in pursuit of transformative therapies for patients with cancer:</w:t>
      </w:r>
    </w:p>
    <w:p>
      <w:pPr>
        <w:spacing w:after="0" w:line="112" w:lineRule="exact"/>
        <w:rPr>
          <w:sz w:val="20"/>
          <w:szCs w:val="20"/>
          <w:color w:val="auto"/>
        </w:rPr>
      </w:pPr>
    </w:p>
    <w:p>
      <w:pPr>
        <w:ind w:left="1320" w:right="819" w:hanging="434"/>
        <w:spacing w:after="0" w:line="293" w:lineRule="auto"/>
        <w:tabs>
          <w:tab w:leader="none" w:pos="1311" w:val="left"/>
        </w:tabs>
        <w:numPr>
          <w:ilvl w:val="0"/>
          <w:numId w:val="238"/>
        </w:numPr>
        <w:rPr>
          <w:rFonts w:ascii="Arial" w:cs="Arial" w:eastAsia="Arial" w:hAnsi="Arial"/>
          <w:sz w:val="16"/>
          <w:szCs w:val="16"/>
          <w:color w:val="auto"/>
        </w:rPr>
      </w:pPr>
      <w:r>
        <w:rPr>
          <w:rFonts w:ascii="Arial" w:cs="Arial" w:eastAsia="Arial" w:hAnsi="Arial"/>
          <w:sz w:val="16"/>
          <w:szCs w:val="16"/>
          <w:b w:val="1"/>
          <w:bCs w:val="1"/>
          <w:color w:val="auto"/>
        </w:rPr>
        <w:t>Advance TNG908, the first PRMT5 inhibitor scheduled to enter the clinic that is synthetic lethal with MTAP deletion, into the clinic in multiple indications with high unmet</w:t>
      </w:r>
    </w:p>
    <w:p>
      <w:pPr>
        <w:spacing w:after="0" w:line="1" w:lineRule="exact"/>
        <w:rPr>
          <w:rFonts w:ascii="Arial" w:cs="Arial" w:eastAsia="Arial" w:hAnsi="Arial"/>
          <w:sz w:val="16"/>
          <w:szCs w:val="16"/>
          <w:color w:val="auto"/>
        </w:rPr>
      </w:pPr>
    </w:p>
    <w:p>
      <w:pPr>
        <w:ind w:left="1320" w:right="819"/>
        <w:spacing w:after="0" w:line="323" w:lineRule="auto"/>
        <w:rPr>
          <w:rFonts w:ascii="Arial" w:cs="Arial" w:eastAsia="Arial" w:hAnsi="Arial"/>
          <w:sz w:val="16"/>
          <w:szCs w:val="16"/>
          <w:color w:val="auto"/>
        </w:rPr>
      </w:pPr>
      <w:r>
        <w:rPr>
          <w:rFonts w:ascii="Arial" w:cs="Arial" w:eastAsia="Arial" w:hAnsi="Arial"/>
          <w:sz w:val="16"/>
          <w:szCs w:val="16"/>
          <w:b w:val="1"/>
          <w:bCs w:val="1"/>
          <w:color w:val="auto"/>
        </w:rPr>
        <w:t xml:space="preserve">need. </w:t>
      </w:r>
      <w:r>
        <w:rPr>
          <w:rFonts w:ascii="Arial" w:cs="Arial" w:eastAsia="Arial" w:hAnsi="Arial"/>
          <w:sz w:val="16"/>
          <w:szCs w:val="16"/>
          <w:color w:val="auto"/>
        </w:rPr>
        <w:t>TNG908, our PRMT5 inhibitor, is currently in IND-enabling studies. We plan to file an</w:t>
      </w:r>
      <w:r>
        <w:rPr>
          <w:rFonts w:ascii="Arial" w:cs="Arial" w:eastAsia="Arial" w:hAnsi="Arial"/>
          <w:sz w:val="16"/>
          <w:szCs w:val="16"/>
          <w:b w:val="1"/>
          <w:bCs w:val="1"/>
          <w:color w:val="auto"/>
        </w:rPr>
        <w:t xml:space="preserve"> </w:t>
      </w:r>
      <w:r>
        <w:rPr>
          <w:rFonts w:ascii="Arial" w:cs="Arial" w:eastAsia="Arial" w:hAnsi="Arial"/>
          <w:sz w:val="16"/>
          <w:szCs w:val="16"/>
          <w:color w:val="auto"/>
        </w:rPr>
        <w:t>IND in the fourth quarter of 2021 and initiate a Phase 1/2 clinical trial in the first half of 2022.</w:t>
      </w:r>
    </w:p>
    <w:p>
      <w:pPr>
        <w:spacing w:after="0" w:line="66" w:lineRule="exact"/>
        <w:rPr>
          <w:rFonts w:ascii="Arial" w:cs="Arial" w:eastAsia="Arial" w:hAnsi="Arial"/>
          <w:sz w:val="16"/>
          <w:szCs w:val="16"/>
          <w:color w:val="auto"/>
        </w:rPr>
      </w:pPr>
    </w:p>
    <w:p>
      <w:pPr>
        <w:ind w:left="1320" w:right="499" w:hanging="434"/>
        <w:spacing w:after="0" w:line="292" w:lineRule="auto"/>
        <w:tabs>
          <w:tab w:leader="none" w:pos="1311" w:val="left"/>
        </w:tabs>
        <w:numPr>
          <w:ilvl w:val="0"/>
          <w:numId w:val="238"/>
        </w:numPr>
        <w:rPr>
          <w:rFonts w:ascii="Arial" w:cs="Arial" w:eastAsia="Arial" w:hAnsi="Arial"/>
          <w:sz w:val="16"/>
          <w:szCs w:val="16"/>
          <w:color w:val="auto"/>
        </w:rPr>
      </w:pPr>
      <w:r>
        <w:rPr>
          <w:rFonts w:ascii="Arial" w:cs="Arial" w:eastAsia="Arial" w:hAnsi="Arial"/>
          <w:sz w:val="16"/>
          <w:szCs w:val="16"/>
          <w:b w:val="1"/>
          <w:bCs w:val="1"/>
          <w:color w:val="auto"/>
        </w:rPr>
        <w:t xml:space="preserve">Advance our USP1 inhibitor program into clinical development in multiple BRCA1-mutant cancer types. </w:t>
      </w:r>
      <w:r>
        <w:rPr>
          <w:rFonts w:ascii="Arial" w:cs="Arial" w:eastAsia="Arial" w:hAnsi="Arial"/>
          <w:sz w:val="16"/>
          <w:szCs w:val="16"/>
          <w:color w:val="auto"/>
        </w:rPr>
        <w:t>We discovered USP1 as a strong synthetic lethal target for BRCA1 loss of function.</w:t>
      </w:r>
      <w:r>
        <w:rPr>
          <w:rFonts w:ascii="Arial" w:cs="Arial" w:eastAsia="Arial" w:hAnsi="Arial"/>
          <w:sz w:val="16"/>
          <w:szCs w:val="16"/>
          <w:b w:val="1"/>
          <w:bCs w:val="1"/>
          <w:color w:val="auto"/>
        </w:rPr>
        <w:t xml:space="preserve"> </w:t>
      </w:r>
      <w:r>
        <w:rPr>
          <w:rFonts w:ascii="Arial" w:cs="Arial" w:eastAsia="Arial" w:hAnsi="Arial"/>
          <w:sz w:val="16"/>
          <w:szCs w:val="16"/>
          <w:color w:val="auto"/>
        </w:rPr>
        <w:t>We are developing a potent, potentially differentiated molecule for the treatment of BRCA1-mutant breast, ovarian and prostate cancer. We plan to file an IND in 2022 and expect this molecule to have both single agent activity in PARPi-naïve and PARPi-resistant BRCA1 mutant cancers and to synergize with PARP inhibitors. As with PARP inhibitors, it may be possible to define additional sensitive patient populations based on the mechanism of action of USP1 inhibition.</w:t>
      </w:r>
    </w:p>
    <w:p>
      <w:pPr>
        <w:spacing w:after="0" w:line="80" w:lineRule="exact"/>
        <w:rPr>
          <w:rFonts w:ascii="Arial" w:cs="Arial" w:eastAsia="Arial" w:hAnsi="Arial"/>
          <w:sz w:val="16"/>
          <w:szCs w:val="16"/>
          <w:color w:val="auto"/>
        </w:rPr>
      </w:pPr>
    </w:p>
    <w:p>
      <w:pPr>
        <w:ind w:left="1320" w:right="619" w:hanging="434"/>
        <w:spacing w:after="0" w:line="255" w:lineRule="auto"/>
        <w:tabs>
          <w:tab w:leader="none" w:pos="1311" w:val="left"/>
        </w:tabs>
        <w:numPr>
          <w:ilvl w:val="0"/>
          <w:numId w:val="238"/>
        </w:numPr>
        <w:rPr>
          <w:rFonts w:ascii="Arial" w:cs="Arial" w:eastAsia="Arial" w:hAnsi="Arial"/>
          <w:sz w:val="18"/>
          <w:szCs w:val="18"/>
          <w:color w:val="auto"/>
        </w:rPr>
      </w:pPr>
      <w:r>
        <w:rPr>
          <w:rFonts w:ascii="Arial" w:cs="Arial" w:eastAsia="Arial" w:hAnsi="Arial"/>
          <w:sz w:val="18"/>
          <w:szCs w:val="18"/>
          <w:b w:val="1"/>
          <w:bCs w:val="1"/>
          <w:color w:val="auto"/>
        </w:rPr>
        <w:t xml:space="preserve">Bring the first immunotherapy program within genetically-defined patients into the clinic in STK11-mutant lung cancer. </w:t>
      </w:r>
      <w:r>
        <w:rPr>
          <w:rFonts w:ascii="Arial" w:cs="Arial" w:eastAsia="Arial" w:hAnsi="Arial"/>
          <w:sz w:val="18"/>
          <w:szCs w:val="18"/>
          <w:color w:val="auto"/>
        </w:rPr>
        <w:t>Using our innovative discovery platform, we identified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validated STK11 as a tumor suppressor gene that, when inactivated causes immune evasion, manifest clinically as checkpoint inhibitor resistance. We are pioneering the development of treatments that reverse STK11-loss mediated immune evasion. We anticipate advancing a clinical candidate for our first immune evasion target into IND-enabling studies in the second half of 2022 and filing an IND in 2023.</w:t>
      </w:r>
    </w:p>
    <w:p>
      <w:pPr>
        <w:spacing w:after="0" w:line="121" w:lineRule="exact"/>
        <w:rPr>
          <w:rFonts w:ascii="Arial" w:cs="Arial" w:eastAsia="Arial" w:hAnsi="Arial"/>
          <w:sz w:val="18"/>
          <w:szCs w:val="18"/>
          <w:color w:val="auto"/>
        </w:rPr>
      </w:pPr>
    </w:p>
    <w:p>
      <w:pPr>
        <w:ind w:left="1320" w:right="539" w:hanging="434"/>
        <w:spacing w:after="0" w:line="255" w:lineRule="auto"/>
        <w:tabs>
          <w:tab w:leader="none" w:pos="1311"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Discover and drug the next generation of precision oncology targets</w:t>
      </w:r>
      <w:r>
        <w:rPr>
          <w:rFonts w:ascii="Arial" w:cs="Arial" w:eastAsia="Arial" w:hAnsi="Arial"/>
          <w:sz w:val="18"/>
          <w:szCs w:val="18"/>
          <w:color w:val="auto"/>
        </w:rPr>
        <w:t>. We are growing our drug</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discovery pipeline with potentially innovative and differentiated discovery programs for multiple common genetically defined cancers. Based on evidence from multiple datasets that hundreds of synthetic lethal pairs remain to be discovered, we believe that our target discovery engine will continue to fuel our drug discovery pipeline for the foreseeable future. Based on the productivity of our discovery platform, we plan to file one new IND every 12 to18 months and have multiple targets in discovery stage.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4" w:name="page205"/>
    <w:bookmarkEnd w:id="20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1320" w:right="479" w:hanging="434"/>
        <w:spacing w:after="0" w:line="271" w:lineRule="auto"/>
        <w:tabs>
          <w:tab w:leader="none" w:pos="1311"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Opportunistically evaluate and maximize the value of our strategic collaboration to bring more medicines to patients, accelerate development timelines and explore combination therapy approaches for our product candidates. </w:t>
      </w:r>
      <w:r>
        <w:rPr>
          <w:rFonts w:ascii="Arial" w:cs="Arial" w:eastAsia="Arial" w:hAnsi="Arial"/>
          <w:sz w:val="17"/>
          <w:szCs w:val="17"/>
          <w:color w:val="auto"/>
        </w:rPr>
        <w:t>Through our collaboration with Gilead, we can</w:t>
      </w:r>
      <w:r>
        <w:rPr>
          <w:rFonts w:ascii="Arial" w:cs="Arial" w:eastAsia="Arial" w:hAnsi="Arial"/>
          <w:sz w:val="17"/>
          <w:szCs w:val="17"/>
          <w:b w:val="1"/>
          <w:bCs w:val="1"/>
          <w:color w:val="auto"/>
        </w:rPr>
        <w:t xml:space="preserve"> </w:t>
      </w:r>
      <w:r>
        <w:rPr>
          <w:rFonts w:ascii="Arial" w:cs="Arial" w:eastAsia="Arial" w:hAnsi="Arial"/>
          <w:sz w:val="17"/>
          <w:szCs w:val="17"/>
          <w:color w:val="auto"/>
        </w:rPr>
        <w:t>validate and develop multiple immune evasion targets, producing more potential drug targets than we can independently develop by accessing the expanded capabilities and global development reach of a large company. We will consider additional collaborations that could maximize the value of our pipeline through the evaluation of our product candidates in combination with compounds owned by third parties and/or through collaborations that allow us to leverage the existing infrastructure of other companies.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Corporate History and Team</w:t>
      </w:r>
    </w:p>
    <w:p>
      <w:pPr>
        <w:spacing w:after="0" w:line="162"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We have assembled an experienced team of experts in genetics, drug discovery and precision oncology to leverage synthetic lethality as a key principle of our strategy. Our Chief Executive Officer and co-founder, Barbara Weber MD, is a board-certified medical oncologist and was a Professor of Medicine and Genetics at the University of Pennsylvania, where she was involved in the identification and characterization of BRCA1 and BRCA2, led a clinical and translational research program in cancer genetics and developed the foundational concepts on which Tango was founded. Moving to industry in 2005, she led early oncology clinical development at GlaxoSmithKline and then Novartis, where she oversaw the filing of more than 80 INDs. She also spearheaded the early development of ceritinib that led to registration of that drug from the Phase I trial. Dr. Weber joined Third Rock Ventures in 2015 as a Venture Partner, where she played a major role in the formation of Relay Therapeutics and Neon Therapeutics (later acquired by BioNTech). She created and led the formation of Tango Therapeutics and launched the Company in 2017. Alan Huang Ph.D., our Chief Scientific Officer, also played a leading role in the creation of Tango, specifically developing the ground-breaking concept of immune evasion driven by tumor suppressor gene loss. He brings fourteen years of oncology translational research, target discovery and drug development experience from his years at Millennium Pharmaceuticals (acquired by Takeda) and Novartis, where he led oncology translational research. Dr. Huang oversaw the laboratory-based efforts supporting the Novartis Oncology portfolio and played a leadership role in establishing the foundation of project DRIVE, a large-scale functional genomics screen platform, as well as the Cancer Cell Line Encyclopedia project, a large external genomic collaboration with The Broad Institute.</w:t>
      </w:r>
    </w:p>
    <w:p>
      <w:pPr>
        <w:spacing w:after="0" w:line="104"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have world-class founders now acting as our scientific advisors, a skilled and experienced management team, and a knowledgeable board of directors with deep expertise in oncology, drug development, clinical operations, and company creation. Alan Ashworth, Ph.D., a scientific founder of Tango, was a leader in the discovery of the BRCA2 gene and discovered that PARP inhibitors are synthetic lethal with BRCA1 and BRCA2 mutations. Nobel prize-winner William Kaelin, MD, also a scientific founder, was among the first to describe synthetic lethality in human cancers and has utilized high throughput screens to identify synthetic lethal gene pairs to known, cancer-associated mutations. Scientific founders Antoni Ribas, MD, Ph.D. professor of medicine, professor of surgery, and professor of molecular and medical pharmacology at the University of California Los Angeles is an internationally recognized translational oncology researcher as was Jose Baselga, MD, Ph.D., former head of oncology R&amp;D at AstraZeneca, at the time of his passing in March 2021. Of note, Dr. Ribas was the first to discover inactivating mutations in cancer genes that result in checkpoint inhibitor resistance.</w:t>
      </w:r>
    </w:p>
    <w:p>
      <w:pPr>
        <w:spacing w:after="0" w:line="98" w:lineRule="exact"/>
        <w:rPr>
          <w:sz w:val="20"/>
          <w:szCs w:val="20"/>
          <w:color w:val="auto"/>
        </w:rPr>
      </w:pPr>
    </w:p>
    <w:p>
      <w:pPr>
        <w:ind w:left="460" w:right="699" w:firstLine="432"/>
        <w:spacing w:after="0" w:line="263" w:lineRule="auto"/>
        <w:rPr>
          <w:sz w:val="20"/>
          <w:szCs w:val="20"/>
          <w:color w:val="auto"/>
        </w:rPr>
      </w:pPr>
      <w:r>
        <w:rPr>
          <w:rFonts w:ascii="Arial" w:cs="Arial" w:eastAsia="Arial" w:hAnsi="Arial"/>
          <w:sz w:val="18"/>
          <w:szCs w:val="18"/>
          <w:color w:val="auto"/>
        </w:rPr>
        <w:t>Since our inception we have raised $166.9 million, including through the sale and issuance of preferred stock, and are supported by a strong syndicate of investors, including Third Rock Ventures, Boxer Capital, Casdin Capital, Cormorant Asset Management and Gilead.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BACKGROUND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Cancer Treatment Landscape</w:t>
      </w:r>
    </w:p>
    <w:p>
      <w:pPr>
        <w:spacing w:after="0" w:line="162"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Cancer is a disease of the genome, and almost all cancers have multiple genetic lesions that must be addressed to develop curative combination therapies. One view of the hallmarks of cancer suggests that targeting oncogenic drivers, tumor suppressor gene loss and the underlying mechanisms by which cancer cells evade immune destruction are the minimum that will be required for cures. The first wave of precision therapies for cancer focused on drugging gene products that are activated by genetic alterations (oncogenes) in specific cancer types and has resulted in many important drugs for a wide range of cancer types. Precision medicines targeting activated oncogenes are available to an increasing number of cancer patients, but despite these very significant advances most patients still receive treatment that includes various chemotherapy regimens and/or radiation. Although chemotherapy provides</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5" w:name="page206"/>
    <w:bookmarkEnd w:id="20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59"/>
        <w:spacing w:after="0" w:line="279" w:lineRule="auto"/>
        <w:rPr>
          <w:sz w:val="20"/>
          <w:szCs w:val="20"/>
          <w:color w:val="auto"/>
        </w:rPr>
      </w:pPr>
      <w:r>
        <w:rPr>
          <w:rFonts w:ascii="Arial" w:cs="Arial" w:eastAsia="Arial" w:hAnsi="Arial"/>
          <w:sz w:val="17"/>
          <w:szCs w:val="17"/>
          <w:color w:val="auto"/>
        </w:rPr>
        <w:t>significant clinical benefit to many patients, cytotoxic mechanisms that affect normal and cancer cells equally limit the dose of treatments that can be safely given to patients and therefore limit the efficacy of many drugs. There is an urgent need to develop precise, effective, and well-tolerated drugs that selectively target unique cancer genetic dependencies without damaging or killing normal cells.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Precision Medicine and Synthetic Lethality</w:t>
      </w:r>
    </w:p>
    <w:p>
      <w:pPr>
        <w:spacing w:after="0" w:line="162" w:lineRule="exact"/>
        <w:rPr>
          <w:sz w:val="20"/>
          <w:szCs w:val="20"/>
          <w:color w:val="auto"/>
        </w:rPr>
      </w:pPr>
    </w:p>
    <w:p>
      <w:pPr>
        <w:ind w:left="460" w:right="539" w:firstLine="432"/>
        <w:spacing w:after="0" w:line="289" w:lineRule="auto"/>
        <w:rPr>
          <w:sz w:val="20"/>
          <w:szCs w:val="20"/>
          <w:color w:val="auto"/>
        </w:rPr>
      </w:pPr>
      <w:r>
        <w:rPr>
          <w:rFonts w:ascii="Arial" w:cs="Arial" w:eastAsia="Arial" w:hAnsi="Arial"/>
          <w:sz w:val="16"/>
          <w:szCs w:val="16"/>
          <w:color w:val="auto"/>
        </w:rPr>
        <w:t>As hundreds of thousands of human cancers have now been characterized by deep genome sequencing, it is believed that sequence-based discovery of oncogenes druggable with conventional approaches has been largely exhausted, and any remaining undiscovered activating mutations occur at very low frequency (less than 1%). Many other genetic drivers of cancer have been well-characterized but have not been directly targeted due to their molecular structure (undruggable oncogenes) or functional loss (tumor suppressor genes). Tumor suppressor gene loss remains a largely untouched target space specifically because these genetic events cannot be directly targeted. Functional genomic screening provides an avenue to overcome these challenges and identify novel drug targets that may lead to the next wave of drugs needed for the large majority of cancer patients with advanced disease who do not currently survive their diagnoses.</w:t>
      </w:r>
    </w:p>
    <w:p>
      <w:pPr>
        <w:spacing w:after="0" w:line="99"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The numerous cancer genome projects that resulted from the advances of the Human Genome Project, as well as systems biology studies using functional genomics technologies (such as RNA interference and CRISPR-Cas9 gene editing), have enabled us to better understand and study cancer based on genetic alterations, rather than by histology and tumor type or tissue of origin. The genetic alterations cataloged by these large-scale cancer genome sequencing efforts include deletions and/or inactivating mutations in almost all human cancer types. Activating mutations in oncogenes have been successfully drugged with multiple inhibitors for HER2 amplification, BCR-ABL translocation, and EGFR and BRAF mutations as well as many others. However, as shown in Figure 1 below, druggable oncogenes represent only a portion of the many genetic alterations that drive the formation of cancers.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1865630</wp:posOffset>
            </wp:positionH>
            <wp:positionV relativeFrom="paragraph">
              <wp:posOffset>72390</wp:posOffset>
            </wp:positionV>
            <wp:extent cx="1988820" cy="15087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98882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60" w:right="539"/>
        <w:spacing w:after="0" w:line="301" w:lineRule="auto"/>
        <w:rPr>
          <w:sz w:val="20"/>
          <w:szCs w:val="20"/>
          <w:color w:val="auto"/>
        </w:rPr>
      </w:pPr>
      <w:r>
        <w:rPr>
          <w:rFonts w:ascii="Arial" w:cs="Arial" w:eastAsia="Arial" w:hAnsi="Arial"/>
          <w:sz w:val="16"/>
          <w:szCs w:val="16"/>
          <w:i w:val="1"/>
          <w:iCs w:val="1"/>
          <w:color w:val="auto"/>
        </w:rPr>
        <w:t>Figure 1: Targeting tumor suppressor gene loss directly is not possible because they are deleted or inactivated, and the immune evasion effects of tumor suppressor gene loss has only recently been described. We are using the concept of synthetic lethality to address the unmet medical need of these large groups of patients characterized by tumor suppressor gene loss and activation of immune evasion genes.</w:t>
      </w:r>
    </w:p>
    <w:p>
      <w:pPr>
        <w:spacing w:after="0" w:line="76"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Activated oncogenes are the “gas pedals” in cancer development and tumor suppressor genes are the “brakes”. Tumor suppressor gene loss is a central mechanism by which normal cells lose the ability to regulate key protective cellular functions as they undergo malignant transformation. Many tumor suppressor genes have been well-characterized, such as TP53, RB1, and BRCA1, but tumor suppressor gene loss is undruggable, as the function or presence of the genes themselves are lost.</w:t>
      </w:r>
    </w:p>
    <w:p>
      <w:pPr>
        <w:spacing w:after="0" w:line="120"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Identification of druggable synthetic lethal partners is currently the only way of targeting the functional loss of tumor suppressor genes in cancer.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6" w:name="page207"/>
    <w:bookmarkEnd w:id="20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 xml:space="preserve">Synthetic lethality, initially described in </w:t>
      </w:r>
      <w:r>
        <w:rPr>
          <w:rFonts w:ascii="Arial" w:cs="Arial" w:eastAsia="Arial" w:hAnsi="Arial"/>
          <w:sz w:val="17"/>
          <w:szCs w:val="17"/>
          <w:i w:val="1"/>
          <w:iCs w:val="1"/>
          <w:color w:val="auto"/>
        </w:rPr>
        <w:t>Drosophila</w:t>
      </w:r>
      <w:r>
        <w:rPr>
          <w:rFonts w:ascii="Arial" w:cs="Arial" w:eastAsia="Arial" w:hAnsi="Arial"/>
          <w:sz w:val="17"/>
          <w:szCs w:val="17"/>
          <w:color w:val="auto"/>
        </w:rPr>
        <w:t xml:space="preserve"> (fruit flies) in the 1930s, is classically defined as the setting in which inactivation of either of two genes individually has little effect on cell viability, but the loss of function of both genes simultaneously leads to cell death. In cancer, the concept of synthetic lethality has been extended to pairs of genes where one is inactivated by a genetic alteration and the other is inhibited pharmacologically. While genetic alterations give rise to the development of cancer, they also create a unique vulnerability that can be exploited therapeutically. Biologically, such vulnerability can be the inability of cancer cells to respond to a specific signal, such as DNA damage or cell cycle arrest, or the inability to remodel chromatin or to maintain cellular homeostasis. The unique advantage of a synthetic lethal approach to cancer therapy is that normal cells are not vulnerable to the synthetic lethal drug target and are largely unaffected at drug doses where the relevant cancer cells are selectively killed. The recent success of PARP inhibitors in BRCA-mutant breast, ovarian and prostate cancers is the first clinical example of using synthetic lethality to target tumor suppressor gene loss.</w:t>
      </w:r>
    </w:p>
    <w:p>
      <w:pPr>
        <w:spacing w:after="0" w:line="111"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 xml:space="preserve">Given the potentially large number of synthetic lethal interactions in the human genome, discovery of synthetic lethal pairs amenable to drug discovery requires a functional genomic approach. We exploit multiple CRISPR technologies to identify synthetic lethal “hits” in cell line panels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models with loss of a specific tumor suppressor gene and matched as closely as possible to models that retain wild-type (“</w:t>
      </w:r>
      <w:r>
        <w:rPr>
          <w:rFonts w:ascii="Arial" w:cs="Arial" w:eastAsia="Arial" w:hAnsi="Arial"/>
          <w:sz w:val="17"/>
          <w:szCs w:val="17"/>
          <w:b w:val="1"/>
          <w:bCs w:val="1"/>
          <w:color w:val="auto"/>
        </w:rPr>
        <w:t>WT</w:t>
      </w:r>
      <w:r>
        <w:rPr>
          <w:rFonts w:ascii="Arial" w:cs="Arial" w:eastAsia="Arial" w:hAnsi="Arial"/>
          <w:sz w:val="17"/>
          <w:szCs w:val="17"/>
          <w:color w:val="auto"/>
        </w:rPr>
        <w:t>”) function of the tumor suppressor gene. “Hits” from these screens are potential synthetic lethal drug targets, and the patient population expected to benefit from inhibiting these targets is defined by the genetic alteration of the tumor suppressor gene being interrogated.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Synthetic Lethality and Novel Target Discovery</w:t>
      </w:r>
    </w:p>
    <w:p>
      <w:pPr>
        <w:spacing w:after="0" w:line="162" w:lineRule="exact"/>
        <w:rPr>
          <w:sz w:val="20"/>
          <w:szCs w:val="20"/>
          <w:color w:val="auto"/>
        </w:rPr>
      </w:pPr>
    </w:p>
    <w:p>
      <w:pPr>
        <w:ind w:left="460" w:right="939" w:firstLine="432"/>
        <w:spacing w:after="0" w:line="259" w:lineRule="auto"/>
        <w:rPr>
          <w:sz w:val="20"/>
          <w:szCs w:val="20"/>
          <w:color w:val="auto"/>
        </w:rPr>
      </w:pPr>
      <w:r>
        <w:rPr>
          <w:rFonts w:ascii="Arial" w:cs="Arial" w:eastAsia="Arial" w:hAnsi="Arial"/>
          <w:sz w:val="18"/>
          <w:szCs w:val="18"/>
          <w:color w:val="auto"/>
        </w:rPr>
        <w:t>Tumor suppressor gene loss of function is a feature of virtually all human cancers — it is a driver of tumorigenesis of equal importance to oncogene activation - and synthetic lethality provides a powerful framework for developing precision therapeutics that are functionally linked to the loss of specific tumor suppressor genes.</w:t>
      </w:r>
    </w:p>
    <w:p>
      <w:pPr>
        <w:spacing w:after="0" w:line="106"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Hundreds of tumor suppressor genes have been described and well-studied. Our internal analyses, supported by published data from the Sanger Institute and other institutions, suggests that there are hundreds of synthetic lethal partner genes for tumor suppressor genes that remain to be discovered which are potential cancer drug targets. As noted above, the first clinically validated example is the PARP-BRCA1/2 synthetic lethal interaction. PARP inhibitors are effective in patients with inactivated tumor suppressor genes BRCA1 and BRCA2, as first described by one of our founders, Alan Ashworth, and summarized in Figure 2 below. Notably, the first PARP inhibitor received U.S. Food and Drug Administration approval in 2016 and this class of molecules is now a multi-billion-dollar market benefiting thousands of patients annually that is projected to become an $8.0 billion market by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1899920</wp:posOffset>
            </wp:positionH>
            <wp:positionV relativeFrom="paragraph">
              <wp:posOffset>81280</wp:posOffset>
            </wp:positionV>
            <wp:extent cx="1920240" cy="1543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92024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60" w:right="499"/>
        <w:spacing w:after="0" w:line="277" w:lineRule="auto"/>
        <w:rPr>
          <w:sz w:val="20"/>
          <w:szCs w:val="20"/>
          <w:color w:val="auto"/>
        </w:rPr>
      </w:pPr>
      <w:r>
        <w:rPr>
          <w:rFonts w:ascii="Arial" w:cs="Arial" w:eastAsia="Arial" w:hAnsi="Arial"/>
          <w:sz w:val="18"/>
          <w:szCs w:val="18"/>
          <w:i w:val="1"/>
          <w:iCs w:val="1"/>
          <w:color w:val="auto"/>
        </w:rPr>
        <w:t>Figure 2. PARP inhibitors selectively kill these BRCA1/2 mutant cancer cells while largely sparing the normal cells. Therefore, these synthetic lethality targets inherently can offer a wide therapeutic index.</w:t>
      </w:r>
    </w:p>
    <w:p>
      <w:pPr>
        <w:spacing w:after="0" w:line="103"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By exploiting the genetic principle of synthetic lethality, our novel molecules lead to selective killing of cancer cells, while being relatively inert in normal cells. We believe that this approach will deliver on the promise of precision medicine to bring more new treatments to the right patients with effective, tolerable drugs for key drivers of cancer, that have heretofore of necessity been ignored in precision oncology.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7" w:name="page208"/>
    <w:bookmarkEnd w:id="20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Tumor Suppressor Gene Loss and Immune Evasion</w:t>
      </w:r>
    </w:p>
    <w:p>
      <w:pPr>
        <w:spacing w:after="0" w:line="148"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classic definition of synthetic lethality applies to events in cancer cells themselves that result in cell death (“</w:t>
      </w:r>
      <w:r>
        <w:rPr>
          <w:rFonts w:ascii="Arial" w:cs="Arial" w:eastAsia="Arial" w:hAnsi="Arial"/>
          <w:sz w:val="16"/>
          <w:szCs w:val="16"/>
          <w:b w:val="1"/>
          <w:bCs w:val="1"/>
          <w:color w:val="auto"/>
        </w:rPr>
        <w:t>cell autonomous</w:t>
      </w:r>
      <w:r>
        <w:rPr>
          <w:rFonts w:ascii="Arial" w:cs="Arial" w:eastAsia="Arial" w:hAnsi="Arial"/>
          <w:sz w:val="16"/>
          <w:szCs w:val="16"/>
          <w:color w:val="auto"/>
        </w:rPr>
        <w:t>” events), but a synthetic lethal target discovery approach can be adapted to identify druggable targets that do not kill cancer cells directly, but rather attract immune cells to destroy them. While a wide variety of mechanisms have been postulated by which cancer cells attain the ability to “hide” from the immune system (immune evasion), including immune editing, T cell exhaustion and an inhibitory microenvironment, important drivers of immune evasion likely come at least in part from the cancer cell itself. However, the genetics of tumor-intrinsic immune evasion have only recently begun to be described, and no drug targets with the potential to reverse this hallmark of cancer have yet been publicly disclosed.</w:t>
      </w:r>
    </w:p>
    <w:p>
      <w:pPr>
        <w:spacing w:after="0" w:line="9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 xml:space="preserve">The remarkable clinical activity of immunotherapies, specifically checkpoint inhibitors that help the immune system kill cancer cells, underscores the value of identifying tumor suppressor gene loss that is linked to immune evasion, whereby tumor cells escape destruction by the immune system. We are using the concept of synthetic lethality to address the unmet medical need of this large group of patients by identifying novel immune evasion genes that (1) are activated by tumor suppressor gene loss, and (2) the effects of which can be reversed through inhibition with a small molecule as illustrated in Figure 3 below. In the first step, we perform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CRISPR-based screen using immune cell-mediated cell killing as the readout. This first step allows us to identify tumor suppressor genes linked to immune evasion. For the second step, we repeat the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CRISPR screen in animals with an intact immune system looking for potential drug targets that reverse the immune evasion effects of the tumor suppressor gene deletion.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83820</wp:posOffset>
            </wp:positionV>
            <wp:extent cx="5143500" cy="22199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0" w:right="479"/>
        <w:spacing w:after="0" w:line="290" w:lineRule="auto"/>
        <w:rPr>
          <w:sz w:val="20"/>
          <w:szCs w:val="20"/>
          <w:color w:val="auto"/>
        </w:rPr>
      </w:pPr>
      <w:r>
        <w:rPr>
          <w:rFonts w:ascii="Arial" w:cs="Arial" w:eastAsia="Arial" w:hAnsi="Arial"/>
          <w:sz w:val="16"/>
          <w:szCs w:val="16"/>
          <w:i w:val="1"/>
          <w:iCs w:val="1"/>
          <w:color w:val="auto"/>
        </w:rPr>
        <w:t>Figure 3. Discovery of novel drug targets that reverse the immune evasion effects of tumor suppressor gene loss requires two sequential in vivo CRISPR-based screens. In the first screen, a CRISPR library of several hundred known tumor suppressor genes is transfected into a syngeneic mouse tumor model, and tumor growth is measured under conditions of increasing immune pressure. “Hits” from this context discovery screen are tumor suppressor genes that are enriched in tumors that grow well even when exposed to anti-PD1 treatment. In the second screen, a CRISPR library of potential drug targets is introduced in a syngeneic mouse tumor model with and without a deletion of the tumor suppressor gene of interest and genes that when knocked out reverse the immune evasion effect of the known tumor suppressor gene are potential drug targets.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APPROACH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Unmasking Vulnerabilities in Cancer to Deliver the Next Generation of Targeted Therapies</w:t>
      </w:r>
    </w:p>
    <w:p>
      <w:pPr>
        <w:spacing w:after="0" w:line="16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were founded on the tenet that tumor suppressor gene loss is a largely unmet target discovery and drug development opportunity. Our target discovery engine, leveraging synthetic lethality with state-of-the-art CRISPR screening, is designed to identify novel drug targets for cancer types with specific tumor suppressor gene loss. We are using this approach to discover synthetic lethal drug targets that pair with specific tumor suppressor gene loss in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8" w:name="page209"/>
    <w:bookmarkEnd w:id="20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519"/>
        <w:spacing w:after="0" w:line="279" w:lineRule="auto"/>
        <w:rPr>
          <w:sz w:val="20"/>
          <w:szCs w:val="20"/>
          <w:color w:val="auto"/>
        </w:rPr>
      </w:pPr>
      <w:r>
        <w:rPr>
          <w:rFonts w:ascii="Arial" w:cs="Arial" w:eastAsia="Arial" w:hAnsi="Arial"/>
          <w:sz w:val="17"/>
          <w:szCs w:val="17"/>
          <w:color w:val="auto"/>
        </w:rPr>
        <w:t>multiple cancer types that have limited treatment options. Moreover, we plan to use the tumor suppressor gene loss as a patient selection marker for clinical trial enrollment to ensure we are enrolling the patients most likely to benefit from each new drug candidate. We believe this approach should enable efficient clinical development and increase the probability of success with maximum clinical benefit for the patient.</w:t>
      </w:r>
    </w:p>
    <w:p>
      <w:pPr>
        <w:spacing w:after="0" w:line="104"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We believe our expertise, capabilities, and experience differentiate us from others and will enable the rapid development of impactful new cancer treatments by:</w:t>
      </w:r>
    </w:p>
    <w:p>
      <w:pPr>
        <w:spacing w:after="0" w:line="103" w:lineRule="exact"/>
        <w:rPr>
          <w:sz w:val="20"/>
          <w:szCs w:val="20"/>
          <w:color w:val="auto"/>
        </w:rPr>
      </w:pPr>
    </w:p>
    <w:p>
      <w:pPr>
        <w:ind w:left="1300" w:hanging="414"/>
        <w:spacing w:after="0"/>
        <w:tabs>
          <w:tab w:leader="none" w:pos="130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Defining the genetic context of patient subgroups with specific tumor suppressor gene loss;</w:t>
      </w:r>
    </w:p>
    <w:p>
      <w:pPr>
        <w:spacing w:after="0" w:line="155" w:lineRule="exact"/>
        <w:rPr>
          <w:rFonts w:ascii="Arial" w:cs="Arial" w:eastAsia="Arial" w:hAnsi="Arial"/>
          <w:sz w:val="17"/>
          <w:szCs w:val="17"/>
          <w:color w:val="auto"/>
        </w:rPr>
      </w:pPr>
    </w:p>
    <w:p>
      <w:pPr>
        <w:ind w:left="1320" w:right="579" w:hanging="434"/>
        <w:spacing w:after="0" w:line="263" w:lineRule="auto"/>
        <w:tabs>
          <w:tab w:leader="none" w:pos="131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Identifying synthetic lethal targets that are selectively active in specific genetic contexts by using cell line and animal models that reflect the patient genomics in our CRISPR-based target discovery platform;</w:t>
      </w:r>
    </w:p>
    <w:p>
      <w:pPr>
        <w:spacing w:after="0" w:line="116" w:lineRule="exact"/>
        <w:rPr>
          <w:rFonts w:ascii="Arial" w:cs="Arial" w:eastAsia="Arial" w:hAnsi="Arial"/>
          <w:sz w:val="18"/>
          <w:szCs w:val="18"/>
          <w:color w:val="auto"/>
        </w:rPr>
      </w:pPr>
    </w:p>
    <w:p>
      <w:pPr>
        <w:ind w:left="1320" w:right="539" w:hanging="434"/>
        <w:spacing w:after="0" w:line="277" w:lineRule="auto"/>
        <w:tabs>
          <w:tab w:leader="none" w:pos="131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Discovering and optimizing molecules with superior biological and innovative chemical properties; and</w:t>
      </w:r>
    </w:p>
    <w:p>
      <w:pPr>
        <w:spacing w:after="0" w:line="102" w:lineRule="exact"/>
        <w:rPr>
          <w:rFonts w:ascii="Arial" w:cs="Arial" w:eastAsia="Arial" w:hAnsi="Arial"/>
          <w:sz w:val="18"/>
          <w:szCs w:val="18"/>
          <w:color w:val="auto"/>
        </w:rPr>
      </w:pPr>
    </w:p>
    <w:p>
      <w:pPr>
        <w:ind w:left="1320" w:right="879" w:hanging="434"/>
        <w:spacing w:after="0" w:line="263" w:lineRule="auto"/>
        <w:tabs>
          <w:tab w:leader="none" w:pos="131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Selecting patients for clinical trials using the cancer genetic context employed during target discovery as patient selection biomarkers to maximize enrollment of the patients most likely to respond</w:t>
      </w:r>
    </w:p>
    <w:p>
      <w:pPr>
        <w:spacing w:after="0" w:line="103"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We are disciplined about adhering to this four-step approach to discovering novel synthetic lethal targets, rigorously validating them, discovering molecules optimized for potency and selectivity for cancer cells and designing genetically driven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82550</wp:posOffset>
            </wp:positionV>
            <wp:extent cx="3771900" cy="21856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77190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60" w:right="559"/>
        <w:spacing w:after="0" w:line="273" w:lineRule="auto"/>
        <w:rPr>
          <w:sz w:val="20"/>
          <w:szCs w:val="20"/>
          <w:color w:val="auto"/>
        </w:rPr>
      </w:pPr>
      <w:r>
        <w:rPr>
          <w:rFonts w:ascii="Arial" w:cs="Arial" w:eastAsia="Arial" w:hAnsi="Arial"/>
          <w:sz w:val="17"/>
          <w:szCs w:val="17"/>
          <w:i w:val="1"/>
          <w:iCs w:val="1"/>
          <w:color w:val="auto"/>
        </w:rPr>
        <w:t>Figure 4. By anchoring our target discovery in the cancer genomic profile of patients with high unmet need, we are using our functional genomics platform to systematically identify the optimal synthetic lethal target that addresses the unique genetic weaknesses inherent to the cancer cells. Once the synthetic lethal interaction for the genetic alteration/target pair has been validated using multiple model systems, we then develop innovative and/or differentiated small molecule inhibitors and match the treatment to the right patient using the genetic alteration as the patient-selection biomarker inherent to that cancer type.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Target and Drug Discovery</w:t>
      </w:r>
    </w:p>
    <w:p>
      <w:pPr>
        <w:spacing w:after="0" w:line="148" w:lineRule="exact"/>
        <w:rPr>
          <w:sz w:val="20"/>
          <w:szCs w:val="20"/>
          <w:color w:val="auto"/>
        </w:rPr>
      </w:pPr>
    </w:p>
    <w:p>
      <w:pPr>
        <w:ind w:left="460" w:right="599" w:firstLine="432"/>
        <w:spacing w:after="0" w:line="273" w:lineRule="auto"/>
        <w:rPr>
          <w:sz w:val="20"/>
          <w:szCs w:val="20"/>
          <w:color w:val="auto"/>
        </w:rPr>
      </w:pPr>
      <w:r>
        <w:rPr>
          <w:rFonts w:ascii="Arial" w:cs="Arial" w:eastAsia="Arial" w:hAnsi="Arial"/>
          <w:sz w:val="17"/>
          <w:szCs w:val="17"/>
          <w:u w:val="single" w:color="auto"/>
          <w:color w:val="auto"/>
        </w:rPr>
        <w:t>Step 1: Patient genomics.</w:t>
      </w:r>
      <w:r>
        <w:rPr>
          <w:rFonts w:ascii="Arial" w:cs="Arial" w:eastAsia="Arial" w:hAnsi="Arial"/>
          <w:sz w:val="17"/>
          <w:szCs w:val="17"/>
          <w:color w:val="auto"/>
        </w:rPr>
        <w:t xml:space="preserve"> The first step in each target discovery effort is to define the genetic background of the cancer type of interest, which ultimately becomes the patient selection strategy. For this, we prioritize genetic alterations and tumor types with high unmet medical need. We concentrate on target classes that are druggable with small molecules (or antibodies for cell surface targets if they arise), minimizing drug discovery risk present in emerging areas, for example protein degradation or protein:protein interaction disruption, and accelerating preclinical development timelines.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9" w:name="page210"/>
    <w:bookmarkEnd w:id="20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u w:val="single" w:color="auto"/>
          <w:color w:val="auto"/>
        </w:rPr>
        <w:t>Step 2: Synthetic lethal targets.</w:t>
      </w:r>
      <w:r>
        <w:rPr>
          <w:rFonts w:ascii="Arial" w:cs="Arial" w:eastAsia="Arial" w:hAnsi="Arial"/>
          <w:sz w:val="16"/>
          <w:szCs w:val="16"/>
          <w:color w:val="auto"/>
        </w:rPr>
        <w:t xml:space="preserve"> CRISPR is a powerful tool that we use for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target discovery and validation. We continue to refine and enhance our capabilities for CRISPR — Cas for gene-editing. In our target discovery screens, we begin with a clinically relevant genetic alteration (tumor suppressor gene loss) that confers defined characteristics, for example, enhanced growth or the ability to avoid immune cell killing causing immune evasion. We then use CRISPR-based gene editing to systematically knock out every gene in a CRISPR library and, using cell viability as a functional readout, to determine which genes may be a synthetic lethal partner with the original mutation or deletion. Our CRISPR libraries vary in size from 200-300 genes for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screening to 5,000 genes for our druggable genome library and 20,000 genes for our whole exome library. Choice of library varies by model system being used and the specific experimental design. Our state-of-the-art CRISPR “toolbox” extends beyond optimized CRISPR-cutting and -mediated knockdown (CRISPRi) systems into sophisticated, optimized combinatorial systems.</w:t>
      </w:r>
    </w:p>
    <w:p>
      <w:pPr>
        <w:spacing w:after="0" w:line="104"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 xml:space="preserve">A unique feature of our toolbox is our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CRISPR screening capability, essential for discovery of immune evasion targets, and a T cell and cancer cell co-culture system that markedly increases the speed and productivity of immune-oncology target discovery and validation. Exploiting our immune evasion platform, we have evaluated approximately 200 tumor suppressor genes for their ability to induce resistance to checkpoint inhibitors when deleted using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syngeneic mouse tumor models with an intact immune system. Once a tumor suppressor gene has been linked to an immune evasion effect, we use CRISPR gene editing tools to generate multiple relevant isogenic tumor models for target discovery. These isogenic models are engineered pairs of cancer cell lines that differ from each other only by the presence or absence of the tumor suppressor gene loss being evaluated. This approach allows us to systematically interrogate potential drug targets for their ability to reverse immune evasion. Our novel undisclosed target (Target 3), a chemically tractable enzyme for reversing immune evasion in STK11-mutant cancers, is an example. This program has the potential to be the first immuno-oncology program for a genetically defined patient population that currently derives minimal benefit from immune checkpoint inhibitor therapy.</w:t>
      </w:r>
    </w:p>
    <w:p>
      <w:pPr>
        <w:spacing w:after="0" w:line="106"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We also have identified synthetic lethal targets using our proprietary computational biology platform, Tango Cancer Dependency Map (“</w:t>
      </w:r>
      <w:r>
        <w:rPr>
          <w:rFonts w:ascii="Arial" w:cs="Arial" w:eastAsia="Arial" w:hAnsi="Arial"/>
          <w:sz w:val="17"/>
          <w:szCs w:val="17"/>
          <w:b w:val="1"/>
          <w:bCs w:val="1"/>
          <w:color w:val="auto"/>
        </w:rPr>
        <w:t>TANDEM</w:t>
      </w:r>
      <w:r>
        <w:rPr>
          <w:rFonts w:ascii="Arial" w:cs="Arial" w:eastAsia="Arial" w:hAnsi="Arial"/>
          <w:sz w:val="17"/>
          <w:szCs w:val="17"/>
          <w:color w:val="auto"/>
        </w:rPr>
        <w:t xml:space="preserve">”), which brings deep computing, machine-learning, and statistical power to our target discovery capabilities. TANDEM enables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analyses of public data for both discovery efforts and target validation and allows for strong clinical hypothesis validation. In addition to analyzing our internally derived data, TANDEM integrates carefully curated genetic and genomic data from the massive external databases generated by the Broad Institute, the Sanger Institute, and the US National Cancer Institute (The Cancer Genome Atlas).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Sophisticated Drug Discovery</w:t>
      </w:r>
    </w:p>
    <w:p>
      <w:pPr>
        <w:spacing w:after="0" w:line="14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u w:val="single" w:color="auto"/>
          <w:color w:val="auto"/>
        </w:rPr>
        <w:t>Step 3: Right molecule.</w:t>
      </w:r>
      <w:r>
        <w:rPr>
          <w:rFonts w:ascii="Arial" w:cs="Arial" w:eastAsia="Arial" w:hAnsi="Arial"/>
          <w:sz w:val="16"/>
          <w:szCs w:val="16"/>
          <w:color w:val="auto"/>
        </w:rPr>
        <w:t xml:space="preserve"> Our genetics and cancer biology expertise is complemented by deep drug discovery expertise incorporating chemistry hit finding, biochemistry, structural biology, chemical biology, computational and medicinal chemistry to identify novel chemical space from large diversity libraries and/or with rational design. We utilize multiple hit-finding approaches for each target to maximize our probability of success and identify the best possible chemical space, including high-throughput biochemical screening of our proprietary 500,000 compound diversity library, as well as other approaches including fragment-based, DNA-encoded library technology, and state-of-the art virtual screenings to identify unique chemical starting points. Of note, our drug discovery accomplishments to date include being the first, we believe, to discover an MTA-cooperative PRMT5 inhibitor, inhibitors for a novel exonuclease, sub-nanomolar inhibitors to a second methyltransferase with a previously unknown role in immune evasion and selective inhibitors for a kinase with a very close structural paralog, any one of which would be a substantive achievement on its own.</w:t>
      </w:r>
    </w:p>
    <w:p>
      <w:pPr>
        <w:spacing w:after="0" w:line="104"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 xml:space="preserve">Our novel target discovery engine and drug discovery expertise are rooted in the fundamental knowledge of cancer genetics and driven by the vision of a leadership team with decades of experience and accomplishments in precision oncology. Our team has deep expertise in the necessary scientific disciplines of cell biology, functional genomics, CRISPR technology, computational biology,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pharmacology using both conventional (CDX) and patient-derived (PDX) xenograft models. Our senior scientists lead the design and execution of experiments in close collaboration with our external partners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mouse modeling, absorption, distribution, metabolism and excretion (ADME), pharmacokinetics and pharmacodynamic analysis (PK/PD), process chemistry, scale-up and toxicology.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0" w:name="page211"/>
    <w:bookmarkEnd w:id="21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Our target discovery platform generates multiple targets of interest, which we validate and prioritize for drug discovery based on the strength of the synthetic lethal interaction, tractability of the target, unmet medical need and the ability to select patients with a fixed genetic alteration. With this powerful platform, we are growing our drug discovery pipeline with a balance of potential innovative and differentiated discovery programs for multiple common genetically defined cancer subtypes. Based on the evidence that hundreds of context-specific synthetic lethal pairs remain to be discovered, we expect our highly productive target discovery engine to feed our novel drug discovery pipeline for the foreseeable future and underlies our goal of generating one new IND every 12 to 18 months.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Clinical Development</w:t>
      </w:r>
    </w:p>
    <w:p>
      <w:pPr>
        <w:spacing w:after="0" w:line="162"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u w:val="single" w:color="auto"/>
          <w:color w:val="auto"/>
        </w:rPr>
        <w:t>Step 4: Right patient.</w:t>
      </w:r>
      <w:r>
        <w:rPr>
          <w:rFonts w:ascii="Arial" w:cs="Arial" w:eastAsia="Arial" w:hAnsi="Arial"/>
          <w:sz w:val="17"/>
          <w:szCs w:val="17"/>
          <w:color w:val="auto"/>
        </w:rPr>
        <w:t xml:space="preserve"> All of our clinical trials will focus on selected patient populations that have the genetic alteration (usually tumor suppressor gene loss) that drove target discovery to increase the probability of maximum therapeutic impact. For example, as our lead program PRMT5 inhibitor is synthetic lethal with MTAP deletion, we will select patients with MTAP-deleted tumors using next-generation sequencing (“</w:t>
      </w:r>
      <w:r>
        <w:rPr>
          <w:rFonts w:ascii="Arial" w:cs="Arial" w:eastAsia="Arial" w:hAnsi="Arial"/>
          <w:sz w:val="17"/>
          <w:szCs w:val="17"/>
          <w:b w:val="1"/>
          <w:bCs w:val="1"/>
          <w:color w:val="auto"/>
        </w:rPr>
        <w:t>NGS</w:t>
      </w:r>
      <w:r>
        <w:rPr>
          <w:rFonts w:ascii="Arial" w:cs="Arial" w:eastAsia="Arial" w:hAnsi="Arial"/>
          <w:sz w:val="17"/>
          <w:szCs w:val="17"/>
          <w:color w:val="auto"/>
        </w:rPr>
        <w:t>”) or immunohistochemistry (“</w:t>
      </w:r>
      <w:r>
        <w:rPr>
          <w:rFonts w:ascii="Arial" w:cs="Arial" w:eastAsia="Arial" w:hAnsi="Arial"/>
          <w:sz w:val="17"/>
          <w:szCs w:val="17"/>
          <w:b w:val="1"/>
          <w:bCs w:val="1"/>
          <w:color w:val="auto"/>
        </w:rPr>
        <w:t>IHC</w:t>
      </w:r>
      <w:r>
        <w:rPr>
          <w:rFonts w:ascii="Arial" w:cs="Arial" w:eastAsia="Arial" w:hAnsi="Arial"/>
          <w:sz w:val="17"/>
          <w:szCs w:val="17"/>
          <w:color w:val="auto"/>
        </w:rPr>
        <w:t>”). As there is the potential to see significant responses across multiple tumor types, we will investigate both histology-specific and histology-agnostic study cohorts, the latter providing a path to tumor agnostic approval if supported by the data. We also will evaluate rare cancer-types where there are no current approved treatments, for example malignant peripheral nerve sheath tumors (“</w:t>
      </w:r>
      <w:r>
        <w:rPr>
          <w:rFonts w:ascii="Arial" w:cs="Arial" w:eastAsia="Arial" w:hAnsi="Arial"/>
          <w:sz w:val="17"/>
          <w:szCs w:val="17"/>
          <w:b w:val="1"/>
          <w:bCs w:val="1"/>
          <w:color w:val="auto"/>
        </w:rPr>
        <w:t>MPNST</w:t>
      </w:r>
      <w:r>
        <w:rPr>
          <w:rFonts w:ascii="Arial" w:cs="Arial" w:eastAsia="Arial" w:hAnsi="Arial"/>
          <w:sz w:val="17"/>
          <w:szCs w:val="17"/>
          <w:color w:val="auto"/>
        </w:rPr>
        <w:t>”), that may allow for an expedited orphan drug registration path. Lastly, for immune evasion targets, we will select patients with resistance to checkpoint inhibitors as well as the genetic alteration of interest, for example STK11 mutations for our undisclosed immune evasion target (Target 3), which would bring genetic patient selection to immuno-oncology for the first time.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PROGRAMS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TNG908</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Overview</w:t>
      </w:r>
    </w:p>
    <w:p>
      <w:pPr>
        <w:spacing w:after="0" w:line="158"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Our lead development candidate, TNG908, is a potent and selective oral small molecule inhibitor of PRMT5 that is synthetic lethal with MTAP deletion. This interaction is one of the strongest and most prevalent synthetic lethal interactions in human cancers and represents a subset of synthetic lethality termed collateral lethality. Collateral lethality occurs when a “passenger” gene adjacent to a tumor suppressor gene is lost along with the “driver” gene. In this case, MTAP is the “passenger” and is frequently co-deleted with the “driver” CDKN2A gene (p16). The interaction occurs because MTAP-deleted cells accumulate high levels of the PRMT5 inhibitory co-factor MTA. As a result, PRMT5 is partially inhibited in MTAP-deleted cells, making those cells are more sensitive than normal cells to further pharmacological inhibition of PRMT5 activity. This dependency provides the potential for a large therapeutic window for PRMT5 inhibitors in patients with MTAP-deleted tumors, given that normal cells (without MTAP deletion) are largely spared, potentially limiting toxicity and allowing for deep and sustained target inhibition in normal cells.</w:t>
      </w:r>
    </w:p>
    <w:p>
      <w:pPr>
        <w:spacing w:after="0" w:line="91"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Taking advantage of this unique interaction between PRMT5 inhibition and MTAP deletion requires a specific mechanism of inhibition called MTA cooperativity. Our lead molecule, TNG908, binds cooperatively with MTA to inhibit PRMT5 function by blocking access to the PRMT5 active site for both protein substrates and the activating PRMT5 co-factor S-adenosyl-L-methionine (“</w:t>
      </w:r>
      <w:r>
        <w:rPr>
          <w:rFonts w:ascii="Arial" w:cs="Arial" w:eastAsia="Arial" w:hAnsi="Arial"/>
          <w:sz w:val="18"/>
          <w:szCs w:val="18"/>
          <w:b w:val="1"/>
          <w:bCs w:val="1"/>
          <w:color w:val="auto"/>
        </w:rPr>
        <w:t>SAM</w:t>
      </w:r>
      <w:r>
        <w:rPr>
          <w:rFonts w:ascii="Arial" w:cs="Arial" w:eastAsia="Arial" w:hAnsi="Arial"/>
          <w:sz w:val="18"/>
          <w:szCs w:val="18"/>
          <w:color w:val="auto"/>
        </w:rPr>
        <w:t>”). This MTA-cooperative mechanism of inhibition selectively inhibits PRMT5 in tumor cells that have lost MTAP (MTAP-null) while being relatively inert in normal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1" w:name="page212"/>
    <w:bookmarkEnd w:id="21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spacing w:after="0" w:line="263" w:lineRule="auto"/>
        <w:rPr>
          <w:sz w:val="20"/>
          <w:szCs w:val="20"/>
          <w:color w:val="auto"/>
        </w:rPr>
      </w:pPr>
      <w:r>
        <w:rPr>
          <w:rFonts w:ascii="Arial" w:cs="Arial" w:eastAsia="Arial" w:hAnsi="Arial"/>
          <w:sz w:val="18"/>
          <w:szCs w:val="18"/>
          <w:color w:val="auto"/>
        </w:rPr>
        <w:t>cells without MTAP deletion (MTAP WT). We believe TNG908 is currently the most advanced MTA-cooperative PRMT5 inhibitor in development and is differentiated from all clinical PRMT5 inhibitors based on this mechanism as illustrated in Figure 5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82550</wp:posOffset>
            </wp:positionV>
            <wp:extent cx="5134610" cy="15005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3461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60" w:right="539"/>
        <w:spacing w:after="0" w:line="301" w:lineRule="auto"/>
        <w:rPr>
          <w:sz w:val="20"/>
          <w:szCs w:val="20"/>
          <w:color w:val="auto"/>
        </w:rPr>
      </w:pPr>
      <w:r>
        <w:rPr>
          <w:rFonts w:ascii="Arial" w:cs="Arial" w:eastAsia="Arial" w:hAnsi="Arial"/>
          <w:sz w:val="16"/>
          <w:szCs w:val="16"/>
          <w:i w:val="1"/>
          <w:iCs w:val="1"/>
          <w:color w:val="auto"/>
        </w:rPr>
        <w:t>Figure 5. MTA-cooperative PRMT5 inhibition is required for synthetic lethality with MTAP. PRMT5 catalyzes the transfer of a methyl group from SAM to protein substrates. All clinical PRMT5 inhibitors function by competing with SAM or protein substrates and are not synthetic lethal with MTAP. TNG908 inhibition of PRMT5 is enhanced by the presence of MTA which is present in marked excess in MTAP-null cells.</w:t>
      </w:r>
    </w:p>
    <w:p>
      <w:pPr>
        <w:spacing w:after="0" w:line="90"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 xml:space="preserve">We are developing TNG908 for the treatment of patients with solid tumors with MTAP deletion, which occurs in 10 to 15% of all human tumors, including many commonly occurring cancers with high unmet need such as squamous cell lung, esophageal and bladder cancer. In pre-clinical studies, TNG908 has demonstrated 15-fold selectivity for MTAP-null cancer cells over MTAP WT normal cells, anti-tumor effects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vivo</w:t>
      </w:r>
      <w:r>
        <w:rPr>
          <w:rFonts w:ascii="Arial" w:cs="Arial" w:eastAsia="Arial" w:hAnsi="Arial"/>
          <w:sz w:val="17"/>
          <w:szCs w:val="17"/>
          <w:color w:val="auto"/>
        </w:rPr>
        <w:t>, and pharmacokinetics that support its potential to be a leading PRMT5 inhibitor if approved. We anticipate</w:t>
      </w:r>
      <w:r>
        <w:rPr>
          <w:rFonts w:ascii="Arial" w:cs="Arial" w:eastAsia="Arial" w:hAnsi="Arial"/>
          <w:sz w:val="17"/>
          <w:szCs w:val="17"/>
          <w:i w:val="1"/>
          <w:iCs w:val="1"/>
          <w:color w:val="auto"/>
        </w:rPr>
        <w:t xml:space="preserve"> </w:t>
      </w:r>
      <w:r>
        <w:rPr>
          <w:rFonts w:ascii="Arial" w:cs="Arial" w:eastAsia="Arial" w:hAnsi="Arial"/>
          <w:sz w:val="17"/>
          <w:szCs w:val="17"/>
          <w:color w:val="auto"/>
        </w:rPr>
        <w:t>filing an IND application for this program in the fourth quarter of 2021.</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PRMT5 mechanism of action</w:t>
      </w:r>
    </w:p>
    <w:p>
      <w:pPr>
        <w:spacing w:after="0" w:line="158"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PRMT5 is a protein arginine methyltransferase that modifies multiple proteins involved in essential cellular processes such as RNA splicing, cell cycling, cell death, and metabolic signaling, by adding a methyl group to substrate proteins. The function of many of these proteins is critical for growth and viability of both normal and cancer cells. In preclinical models, PRMT5 inhibition has been shown to cause cancer cell death and suppress tumor growth. PRMT5 inhibitors in clinical development have been shown to cause tumor regressions in some patients, and a complete response in one instance; however, none are selective for MTAP deletion, and all have a narrow therapeutic window that limits the amount of drug that can be administered without cytotoxic effects on bone marrow cells and therefore limits therapeutic efficacy.</w:t>
      </w:r>
    </w:p>
    <w:p>
      <w:pPr>
        <w:spacing w:after="0" w:line="174" w:lineRule="exact"/>
        <w:rPr>
          <w:sz w:val="20"/>
          <w:szCs w:val="20"/>
          <w:color w:val="auto"/>
        </w:rPr>
      </w:pPr>
    </w:p>
    <w:p>
      <w:pPr>
        <w:ind w:left="460" w:right="1039"/>
        <w:spacing w:after="0" w:line="282" w:lineRule="auto"/>
        <w:rPr>
          <w:sz w:val="20"/>
          <w:szCs w:val="20"/>
          <w:color w:val="auto"/>
        </w:rPr>
      </w:pPr>
      <w:r>
        <w:rPr>
          <w:rFonts w:ascii="Arial" w:cs="Arial" w:eastAsia="Arial" w:hAnsi="Arial"/>
          <w:sz w:val="18"/>
          <w:szCs w:val="18"/>
          <w:b w:val="1"/>
          <w:bCs w:val="1"/>
          <w:color w:val="auto"/>
        </w:rPr>
        <w:t>MTA-cooperative PRMT5 inhibition as a novel mechanism with synthetic lethality in cancers with MTAP-deletion</w:t>
      </w:r>
    </w:p>
    <w:p>
      <w:pPr>
        <w:spacing w:after="0" w:line="85" w:lineRule="exact"/>
        <w:rPr>
          <w:sz w:val="20"/>
          <w:szCs w:val="20"/>
          <w:color w:val="auto"/>
        </w:rPr>
      </w:pPr>
    </w:p>
    <w:p>
      <w:pPr>
        <w:ind w:left="460" w:right="679" w:firstLine="432"/>
        <w:spacing w:after="0" w:line="286" w:lineRule="auto"/>
        <w:rPr>
          <w:sz w:val="20"/>
          <w:szCs w:val="20"/>
          <w:color w:val="auto"/>
        </w:rPr>
      </w:pPr>
      <w:r>
        <w:rPr>
          <w:rFonts w:ascii="Arial" w:cs="Arial" w:eastAsia="Arial" w:hAnsi="Arial"/>
          <w:sz w:val="17"/>
          <w:szCs w:val="17"/>
          <w:color w:val="auto"/>
        </w:rPr>
        <w:t>PRMT5 methylates target proteins by removing a methyl group from SAM and transferring that methyl group to a specific residue on target proteins. This methyl modification, or “mark”, alters the function of the target protein, thereby regulating the cell processes for which the protein is important.</w:t>
      </w:r>
    </w:p>
    <w:p>
      <w:pPr>
        <w:spacing w:after="0" w:line="98"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The function of PRMT5 is regulated in several ways, including by the endogenous inhibitor MTA. MTA directly competes with SAM for binding to the active site in PRMT5 but does not have a methyl donor, thus when present inhibits PRMT5 function.</w:t>
      </w:r>
    </w:p>
    <w:p>
      <w:pPr>
        <w:spacing w:after="0" w:line="116"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In normal, non-cancerous cells, MTA is degraded by the enzyme MTAP. When MTAP is lost in cancer cells intracellular MTA is elevated, but, importantly, MTA is not elevated in adjacent normal cells. TNG908 is a PRMT5 inhibitor that requires a cooperative interaction with MTA to bind to and inhibit PRMT5. As a result, TNG908 selectively kills MTAP-null tumor cells with high MTA levels while sparing normal cells (MTAP-WT).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2" w:name="page213"/>
    <w:bookmarkEnd w:id="21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8"/>
          <w:szCs w:val="18"/>
          <w:i w:val="1"/>
          <w:iCs w:val="1"/>
          <w:color w:val="auto"/>
        </w:rPr>
        <w:t>Figure 6.</w:t>
      </w:r>
      <w:r>
        <w:rPr>
          <w:sz w:val="20"/>
          <w:szCs w:val="20"/>
          <w:color w:val="auto"/>
        </w:rPr>
        <w:tab/>
      </w:r>
      <w:r>
        <w:rPr>
          <w:rFonts w:ascii="Arial" w:cs="Arial" w:eastAsia="Arial" w:hAnsi="Arial"/>
          <w:sz w:val="16"/>
          <w:szCs w:val="16"/>
          <w:i w:val="1"/>
          <w:iCs w:val="1"/>
          <w:color w:val="auto"/>
        </w:rPr>
        <w:t>Schematic of PRMT5 and MTAP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151765</wp:posOffset>
            </wp:positionV>
            <wp:extent cx="4869180" cy="20656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86918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MTAP-deletion frequency in multiple solid tumors</w:t>
      </w:r>
    </w:p>
    <w:p>
      <w:pPr>
        <w:spacing w:after="0" w:line="158"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A partial deletion of chromosome 9p21, driven by loss of the tumor suppressor gene CDKN2A, is the most common homozygous deletion in human cancer. MTAP is immediately adjacent to CDKN2A and is lost along with it in 80-90% of tumors, thus MTAP is one of the most commonly deleted genes across all cancer types. Based on The Cancer Genome Atlas (“</w:t>
      </w:r>
      <w:r>
        <w:rPr>
          <w:rFonts w:ascii="Arial" w:cs="Arial" w:eastAsia="Arial" w:hAnsi="Arial"/>
          <w:sz w:val="17"/>
          <w:szCs w:val="17"/>
          <w:b w:val="1"/>
          <w:bCs w:val="1"/>
          <w:color w:val="auto"/>
        </w:rPr>
        <w:t>TCGA</w:t>
      </w:r>
      <w:r>
        <w:rPr>
          <w:rFonts w:ascii="Arial" w:cs="Arial" w:eastAsia="Arial" w:hAnsi="Arial"/>
          <w:sz w:val="17"/>
          <w:szCs w:val="17"/>
          <w:color w:val="auto"/>
        </w:rPr>
        <w:t>”) data, there are at least 15 cancer types where MTAP loss occurs in more than 10% of patients, including 10% of non-squamous non-small cell lung cancer (NSCLC), 20% of squamous NSCLC, 25% of bladder cancer and 30%to 50% of MPNSTs.</w:t>
      </w:r>
    </w:p>
    <w:p>
      <w:pPr>
        <w:spacing w:after="0" w:line="97"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8"/>
          <w:szCs w:val="18"/>
          <w:i w:val="1"/>
          <w:iCs w:val="1"/>
          <w:color w:val="auto"/>
        </w:rPr>
        <w:t>Figure 7.</w:t>
      </w:r>
      <w:r>
        <w:rPr>
          <w:sz w:val="20"/>
          <w:szCs w:val="20"/>
          <w:color w:val="auto"/>
        </w:rPr>
        <w:tab/>
      </w:r>
      <w:r>
        <w:rPr>
          <w:rFonts w:ascii="Arial" w:cs="Arial" w:eastAsia="Arial" w:hAnsi="Arial"/>
          <w:sz w:val="16"/>
          <w:szCs w:val="16"/>
          <w:i w:val="1"/>
          <w:iCs w:val="1"/>
          <w:color w:val="auto"/>
        </w:rPr>
        <w:t>The frequency of MTAP deletion across tumor types as determined from analysis of TCGA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109220</wp:posOffset>
            </wp:positionV>
            <wp:extent cx="2674620" cy="24860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7462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3" w:name="page214"/>
    <w:bookmarkEnd w:id="21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Limitations of Existing PRMT5 Inhibitors</w:t>
      </w:r>
    </w:p>
    <w:p>
      <w:pPr>
        <w:spacing w:after="0" w:line="148" w:lineRule="exact"/>
        <w:rPr>
          <w:sz w:val="20"/>
          <w:szCs w:val="20"/>
          <w:color w:val="auto"/>
        </w:rPr>
      </w:pPr>
    </w:p>
    <w:p>
      <w:pPr>
        <w:ind w:left="460" w:right="539" w:firstLine="432"/>
        <w:spacing w:after="0" w:line="253" w:lineRule="auto"/>
        <w:rPr>
          <w:sz w:val="20"/>
          <w:szCs w:val="20"/>
          <w:color w:val="auto"/>
        </w:rPr>
      </w:pPr>
      <w:r>
        <w:rPr>
          <w:rFonts w:ascii="Arial" w:cs="Arial" w:eastAsia="Arial" w:hAnsi="Arial"/>
          <w:sz w:val="18"/>
          <w:szCs w:val="18"/>
          <w:color w:val="auto"/>
        </w:rPr>
        <w:t>PRMT5 has long been a therapeutic target of interest for cancer given its role in regulating multiple essential cellular functions. Initial efforts to target PRMT5 focused on making inhibitors that compete with or cooperate with SAM, the co-factor and methyl donor which is necessary for PRMT5 to modify its various substrates. Clinical trials of these existing PRMT5 inhibitors have demonstrated some clinical efficacy, supporting the potential for PRMT5 inhibition to have meaningful clinical benefits for patients. However, all existing inhibitors equally suppress PRMT5 in both tumor and normal cells, resulting in a very narrow therapeutic index with similar cytotoxic effects on cancer and normal cells. PRMT5 and SAM are required in every tissue and cell type, and we believe PRMT5 inhibition with a SAM cooperative or competitive approach is likely to have substantial on-target, dose limiting toxicity in normal cells, which limits therapeutic efficacy. Furthermore, a strategy to select patients likely to benefit from these non-selective PRMT5 inhibitors has yet to be elucidated.</w:t>
      </w:r>
    </w:p>
    <w:p>
      <w:pPr>
        <w:spacing w:after="0" w:line="124"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8"/>
          <w:szCs w:val="18"/>
          <w:i w:val="1"/>
          <w:iCs w:val="1"/>
          <w:color w:val="auto"/>
        </w:rPr>
        <w:t>Figure 8.</w:t>
      </w:r>
      <w:r>
        <w:rPr>
          <w:sz w:val="20"/>
          <w:szCs w:val="20"/>
          <w:color w:val="auto"/>
        </w:rPr>
        <w:tab/>
      </w:r>
      <w:r>
        <w:rPr>
          <w:rFonts w:ascii="Arial" w:cs="Arial" w:eastAsia="Arial" w:hAnsi="Arial"/>
          <w:sz w:val="16"/>
          <w:szCs w:val="16"/>
          <w:i w:val="1"/>
          <w:iCs w:val="1"/>
          <w:color w:val="auto"/>
        </w:rPr>
        <w:t>TNG908 has a unique mechanism of action that is distinct from existing PRMT5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109220</wp:posOffset>
            </wp:positionV>
            <wp:extent cx="5023485" cy="2074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02348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differentiated approach with TNG908</w:t>
      </w:r>
    </w:p>
    <w:p>
      <w:pPr>
        <w:spacing w:after="0" w:line="148"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TNG908 is distinct from existing PRMT5 inhibitors because of its mechanism of binding cooperatively with MTA. This mechanism allows TNG908 to inhibit PRMT5 selectively in MTAP-deleted tumor cells with high intracellular MTA levels while preserving normal cells. We believe this mechanism of action should give TNG908 a large therapeutic index when used in patients selected for MTAP-null tumors. While several PRMT5 inhibitors are in clinical development, they are not selective for MTAP-null cancer cells and their ability to inhibit PRMT5 to the level needed to kill cancer cells is reduced by on-target, dose-limiting bone marrow toxicity.</w:t>
      </w:r>
    </w:p>
    <w:p>
      <w:pPr>
        <w:spacing w:after="0" w:line="127" w:lineRule="exact"/>
        <w:rPr>
          <w:sz w:val="20"/>
          <w:szCs w:val="20"/>
          <w:color w:val="auto"/>
        </w:rPr>
      </w:pPr>
    </w:p>
    <w:p>
      <w:pPr>
        <w:ind w:left="460" w:right="639" w:firstLine="432"/>
        <w:spacing w:after="0" w:line="275" w:lineRule="auto"/>
        <w:rPr>
          <w:sz w:val="20"/>
          <w:szCs w:val="20"/>
          <w:color w:val="auto"/>
        </w:rPr>
      </w:pPr>
      <w:r>
        <w:rPr>
          <w:rFonts w:ascii="Arial" w:cs="Arial" w:eastAsia="Arial" w:hAnsi="Arial"/>
          <w:sz w:val="17"/>
          <w:szCs w:val="17"/>
          <w:color w:val="auto"/>
        </w:rPr>
        <w:t>Our MTA-cooperative PRMT5 inhibitor discovery effort began with a high-throughput screen of a large chemical diversity library designed to identify small molecules that preferentially inhibit PRMT5 in the presence of MTA. We subsequently solved the crystal structure of PRMT5 with inhibitor bound using novel compounds we designed, enabling routine use of structure-based drug design to facilitate efficient design of novel, increasingly potent and selective MTA-cooperative PRMT5 inhibitors.</w:t>
      </w:r>
    </w:p>
    <w:p>
      <w:pPr>
        <w:spacing w:after="0" w:line="109"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We compared the potency and selectivity of our development candidate TNG908 and the clinical PRMT5 inhibitor, GSK3326595, in a panel of 96 cancer cell lines representing non-small cell lung cancer, bladder cancer, pancreatic cancer, cancers of the central nervous system, leukemia and lymphoma. TNG908 demonstrated significant MTAP-selective inhibition of viability, while GSK3326595 showed no selectivity for MTAP-null cell lines over MTAP-WT.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4" w:name="page215"/>
    <w:bookmarkEnd w:id="21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559"/>
        <w:spacing w:after="0" w:line="259" w:lineRule="auto"/>
        <w:rPr>
          <w:sz w:val="20"/>
          <w:szCs w:val="20"/>
          <w:color w:val="auto"/>
        </w:rPr>
      </w:pPr>
      <w:r>
        <w:rPr>
          <w:rFonts w:ascii="Arial" w:cs="Arial" w:eastAsia="Arial" w:hAnsi="Arial"/>
          <w:sz w:val="18"/>
          <w:szCs w:val="18"/>
          <w:i w:val="1"/>
          <w:iCs w:val="1"/>
          <w:color w:val="auto"/>
        </w:rPr>
        <w:t>Figure 9. TNG908 inhibits viability selectively in MTAP-null cancer cell lines. Cellular viability was determined in a panel of 96 cancer cell lines treated for 7 days with either TNG908 or GSK3326595. Cell lines are color-coded by MTAP-status as indicated, and the maximal viability effect (% Amax) is plotted on the y-axis.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76200</wp:posOffset>
            </wp:positionV>
            <wp:extent cx="5134610" cy="18776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34610"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 xml:space="preserve">Further validation of our approach to selectively target MTAP-null cancer cells was achieved </w:t>
      </w:r>
      <w:r>
        <w:rPr>
          <w:rFonts w:ascii="Arial" w:cs="Arial" w:eastAsia="Arial" w:hAnsi="Arial"/>
          <w:sz w:val="18"/>
          <w:szCs w:val="18"/>
          <w:i w:val="1"/>
          <w:iCs w:val="1"/>
          <w:color w:val="auto"/>
        </w:rPr>
        <w:t>in vivo</w:t>
      </w:r>
      <w:r>
        <w:rPr>
          <w:rFonts w:ascii="Arial" w:cs="Arial" w:eastAsia="Arial" w:hAnsi="Arial"/>
          <w:sz w:val="18"/>
          <w:szCs w:val="18"/>
          <w:color w:val="auto"/>
        </w:rPr>
        <w:t>. Xenograft models differing only in MTAP status (MTAP-WT or MTAP-null) were treated TNG908. PRMT5 symmetrically di-methylates specific arginine residues (“</w:t>
      </w:r>
      <w:r>
        <w:rPr>
          <w:rFonts w:ascii="Arial" w:cs="Arial" w:eastAsia="Arial" w:hAnsi="Arial"/>
          <w:sz w:val="18"/>
          <w:szCs w:val="18"/>
          <w:b w:val="1"/>
          <w:bCs w:val="1"/>
          <w:color w:val="auto"/>
        </w:rPr>
        <w:t>SDMA</w:t>
      </w:r>
      <w:r>
        <w:rPr>
          <w:rFonts w:ascii="Arial" w:cs="Arial" w:eastAsia="Arial" w:hAnsi="Arial"/>
          <w:sz w:val="18"/>
          <w:szCs w:val="18"/>
          <w:color w:val="auto"/>
        </w:rPr>
        <w:t>”) of its substrate proteins, a modification that can be detected by specific antibodies and a direct measurement of PRMT5 activity that can be quantified by intracellular SDMA-modified protein levels.</w:t>
      </w:r>
    </w:p>
    <w:p>
      <w:pPr>
        <w:spacing w:after="0" w:line="120"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Consistent with the inhibitory effects of MTA accumulation caused by MTAP-deletion, PRMT5 activity was reduced in MTAP-null tumors at baseline relative to MTAP-WT tumors. When tumor-bearing mice were dosed with TNG908, &gt;90% PRMT5 inhibition was observed in the MTAP-null tumors while PRMT5 inhibition in MTAP-WT tumors remained above the threshold for lethality.</w:t>
      </w:r>
    </w:p>
    <w:p>
      <w:pPr>
        <w:spacing w:after="0" w:line="187" w:lineRule="exact"/>
        <w:rPr>
          <w:sz w:val="20"/>
          <w:szCs w:val="20"/>
          <w:color w:val="auto"/>
        </w:rPr>
      </w:pPr>
    </w:p>
    <w:p>
      <w:pPr>
        <w:ind w:left="460" w:right="719"/>
        <w:spacing w:after="0" w:line="279" w:lineRule="auto"/>
        <w:rPr>
          <w:sz w:val="20"/>
          <w:szCs w:val="20"/>
          <w:color w:val="auto"/>
        </w:rPr>
      </w:pPr>
      <w:r>
        <w:rPr>
          <w:rFonts w:ascii="Arial" w:cs="Arial" w:eastAsia="Arial" w:hAnsi="Arial"/>
          <w:sz w:val="17"/>
          <w:szCs w:val="17"/>
          <w:i w:val="1"/>
          <w:iCs w:val="1"/>
          <w:color w:val="auto"/>
        </w:rPr>
        <w:t>Figure 10. TNG908 selectively inhibits PRMT5 in MTAP-null cancer in vivo. HCT116 MTAP-isogenic xenograft models were generated by deleting endogenous MTAP to create an MTAP-null cell line. Tumor-bearing mice were dosed with TNG908 or vehicle at the indicated dose levels. SDMA-modified protein levels were determined by immunoblot analysis on tumors harvested 8 hours after the last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66040</wp:posOffset>
            </wp:positionV>
            <wp:extent cx="2571750" cy="20320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71750" cy="203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5" w:name="page216"/>
    <w:bookmarkEnd w:id="21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data summary</w:t>
      </w:r>
    </w:p>
    <w:p>
      <w:pPr>
        <w:spacing w:after="0" w:line="144"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TNG908 was discovered with high-throughput screening of over 500,000 compounds using a biochemical assay designed to identify MTA-cooperative inhibitors. The discovery of TNG908, an MTA-cooperative inhibitor, was achieved through a structure-guided optimization, with over 150 x-ray crystal structures generated and good physicochemical properties prioritized during this effort.</w:t>
      </w:r>
    </w:p>
    <w:p>
      <w:pPr>
        <w:spacing w:after="0" w:line="119"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TNG908 is highly selective for PRMT5 against a panel of 38 methyltransferases at 10 µM, showing that TNG908 does not affect other biological processes regulated by this family of enzymes at concentrations well above the predicted clinical efficacious dose. TNG908 has excellent drug-like properties and is easily formulated in standard conditions for oral dosing in preclinical and clinical studies. Pharmacokinetic properties of TNG908 indicate high passive permeability with moderate clearance and bioavailability in preclinical species. Allometric scaling was performed to predict human pharmacokinetics and resulted in an estimated effective human dose of 500 mg twice- daily (BID).</w:t>
      </w:r>
    </w:p>
    <w:p>
      <w:pPr>
        <w:spacing w:after="0" w:line="110"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To determine the cellular potency and selectivity of TNG908 in MTAP-null tumors, we developed assays using engineered isogenic cancer cell lines that differ only by the presence or absence of MTAP. To determine pharmacodynamic potency and selectivity, a HAP1 MTAP-isogenic cell line pair was treated with TNG908 for 24 hours and PRMT5 activity was measured by SDMA quantification. TNG908 inhibits PRMT5 in the MTAP-null HAP1 cell line with an IC50 of 6nM, with marked selectivity over the MTAP-WT cell line. See Figure 11 below.</w:t>
      </w:r>
    </w:p>
    <w:p>
      <w:pPr>
        <w:spacing w:after="0" w:line="111"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8"/>
          <w:szCs w:val="18"/>
          <w:i w:val="1"/>
          <w:iCs w:val="1"/>
          <w:color w:val="auto"/>
        </w:rPr>
        <w:t>Figure 11.</w:t>
      </w:r>
      <w:r>
        <w:rPr>
          <w:sz w:val="20"/>
          <w:szCs w:val="20"/>
          <w:color w:val="auto"/>
        </w:rPr>
        <w:tab/>
      </w:r>
      <w:r>
        <w:rPr>
          <w:rFonts w:ascii="Arial" w:cs="Arial" w:eastAsia="Arial" w:hAnsi="Arial"/>
          <w:sz w:val="16"/>
          <w:szCs w:val="16"/>
          <w:i w:val="1"/>
          <w:iCs w:val="1"/>
          <w:color w:val="auto"/>
        </w:rPr>
        <w:t>PRMT5 inhibition by TNG908 is dose-dependent and MTAP-selective</w:t>
      </w:r>
      <w:r>
        <w:rPr>
          <w:rFonts w:ascii="Arial" w:cs="Arial" w:eastAsia="Arial" w:hAnsi="Arial"/>
          <w:sz w:val="16"/>
          <w:szCs w:val="16"/>
          <w:color w:val="auto"/>
        </w:rPr>
        <w:t>.</w:t>
      </w:r>
    </w:p>
    <w:p>
      <w:pPr>
        <w:spacing w:after="0" w:line="158" w:lineRule="exact"/>
        <w:rPr>
          <w:sz w:val="20"/>
          <w:szCs w:val="20"/>
          <w:color w:val="auto"/>
        </w:rPr>
      </w:pPr>
    </w:p>
    <w:p>
      <w:pPr>
        <w:ind w:left="460" w:right="499"/>
        <w:spacing w:after="0" w:line="277" w:lineRule="auto"/>
        <w:rPr>
          <w:sz w:val="20"/>
          <w:szCs w:val="20"/>
          <w:color w:val="auto"/>
        </w:rPr>
      </w:pPr>
      <w:r>
        <w:rPr>
          <w:rFonts w:ascii="Arial" w:cs="Arial" w:eastAsia="Arial" w:hAnsi="Arial"/>
          <w:sz w:val="18"/>
          <w:szCs w:val="18"/>
          <w:i w:val="1"/>
          <w:iCs w:val="1"/>
          <w:color w:val="auto"/>
        </w:rPr>
        <w:t>In vitro in-cell western data demonstrating dose-dependent reduction of SDMA levels after 24 hours of TNG908 treatment in HAP1 MTAP-isogenic cancer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74295</wp:posOffset>
            </wp:positionV>
            <wp:extent cx="2708910" cy="18942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70891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0" w:right="899" w:firstLine="432"/>
        <w:spacing w:after="0" w:line="286" w:lineRule="auto"/>
        <w:rPr>
          <w:sz w:val="20"/>
          <w:szCs w:val="20"/>
          <w:color w:val="auto"/>
        </w:rPr>
      </w:pPr>
      <w:r>
        <w:rPr>
          <w:rFonts w:ascii="Arial" w:cs="Arial" w:eastAsia="Arial" w:hAnsi="Arial"/>
          <w:sz w:val="17"/>
          <w:szCs w:val="17"/>
          <w:color w:val="auto"/>
        </w:rPr>
        <w:t>For comparison, PRMT5 inhibitors that are currently in clinical development, and are not MTA-cooperative, have not demonstrated MTAP-selective PRMT5 inhibition, as summarized in the table below. These data show that TNG908 is MTAP-selective, and that its activity is on-target.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6" w:name="page217"/>
    <w:bookmarkEnd w:id="21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519"/>
        <w:spacing w:after="0" w:line="277" w:lineRule="auto"/>
        <w:rPr>
          <w:sz w:val="20"/>
          <w:szCs w:val="20"/>
          <w:color w:val="auto"/>
        </w:rPr>
      </w:pPr>
      <w:r>
        <w:rPr>
          <w:rFonts w:ascii="Arial" w:cs="Arial" w:eastAsia="Arial" w:hAnsi="Arial"/>
          <w:sz w:val="18"/>
          <w:szCs w:val="18"/>
          <w:i w:val="1"/>
          <w:iCs w:val="1"/>
          <w:color w:val="auto"/>
        </w:rPr>
        <w:t>Figure 12. TNG908 is differentiated from clinical PRMT5 inhibitors in its ability to inhibit PRMT5 selectively in MTAP-null cells. Average IC50s from in vitro SDMA in-cell western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66040</wp:posOffset>
            </wp:positionV>
            <wp:extent cx="2846070" cy="18256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4607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PRMT5 activity is required for cellular viability, likely due to its role as a regulator of transcriptional activity, cell cycle control, spliceosome assembly and other essential cellular processes. As TNG908 potently inhibited PRMT5 in an MTAP-selective manner, we investigated whether TNG908 also inhibits viability in an MTAP-selective manner. In MTAP-isogenic cell lines representing three different cancer lineages (HAP1 (chronic myelogenous leukemia), LN18 (glioblastoma) and SW1573 (lung carcinoma)), TNG908 potently inhibits cellular viability in MTAP-null cell lines with approximately 15X selectivity over MTAP-WT cell lines.</w:t>
      </w:r>
    </w:p>
    <w:p>
      <w:pPr>
        <w:spacing w:after="0" w:line="97" w:lineRule="exact"/>
        <w:rPr>
          <w:sz w:val="20"/>
          <w:szCs w:val="20"/>
          <w:color w:val="auto"/>
        </w:rPr>
      </w:pPr>
    </w:p>
    <w:p>
      <w:pPr>
        <w:ind w:left="460" w:right="759"/>
        <w:spacing w:after="0" w:line="263" w:lineRule="auto"/>
        <w:rPr>
          <w:sz w:val="20"/>
          <w:szCs w:val="20"/>
          <w:color w:val="auto"/>
        </w:rPr>
      </w:pPr>
      <w:r>
        <w:rPr>
          <w:rFonts w:ascii="Arial" w:cs="Arial" w:eastAsia="Arial" w:hAnsi="Arial"/>
          <w:sz w:val="18"/>
          <w:szCs w:val="18"/>
          <w:i w:val="1"/>
          <w:iCs w:val="1"/>
          <w:color w:val="auto"/>
        </w:rPr>
        <w:t>Figure 13. Inhibition of cellular viability by TNG908 is dose-dependent and MTAP-selective In vitro assay demonstrating dose-dependent cellular viability effects following 7 days of compound treatment in HAP1 (CML), LN18 (GBM) and SW1573 (NSCLC) MTAP-isogenic cancer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82550</wp:posOffset>
            </wp:positionV>
            <wp:extent cx="4989195" cy="11398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989195"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60" w:right="479" w:firstLine="432"/>
        <w:spacing w:after="0" w:line="308" w:lineRule="auto"/>
        <w:rPr>
          <w:sz w:val="20"/>
          <w:szCs w:val="20"/>
          <w:color w:val="auto"/>
        </w:rPr>
      </w:pPr>
      <w:r>
        <w:rPr>
          <w:rFonts w:ascii="Arial" w:cs="Arial" w:eastAsia="Arial" w:hAnsi="Arial"/>
          <w:sz w:val="17"/>
          <w:szCs w:val="17"/>
          <w:color w:val="auto"/>
        </w:rPr>
        <w:t>Though the GSK3326595, JNJ-64619178 and Prelude compounds inhibit cellular viability consistent with their inhibition of PRMT5, none have been shown to selectively target MTAP-null cells.</w:t>
      </w:r>
    </w:p>
    <w:p>
      <w:pPr>
        <w:spacing w:after="0" w:line="65" w:lineRule="exact"/>
        <w:rPr>
          <w:sz w:val="20"/>
          <w:szCs w:val="20"/>
          <w:color w:val="auto"/>
        </w:rPr>
      </w:pPr>
    </w:p>
    <w:p>
      <w:pPr>
        <w:ind w:left="460" w:right="619"/>
        <w:spacing w:after="0" w:line="308" w:lineRule="auto"/>
        <w:rPr>
          <w:sz w:val="20"/>
          <w:szCs w:val="20"/>
          <w:color w:val="auto"/>
        </w:rPr>
      </w:pPr>
      <w:r>
        <w:rPr>
          <w:rFonts w:ascii="Arial" w:cs="Arial" w:eastAsia="Arial" w:hAnsi="Arial"/>
          <w:sz w:val="17"/>
          <w:szCs w:val="17"/>
          <w:i w:val="1"/>
          <w:iCs w:val="1"/>
          <w:color w:val="auto"/>
        </w:rPr>
        <w:t>Table 14. TNG908 is differentiated from clinical PRMT5 inhibitors in ability to selectively inhibit viability in MTAP-null cells. Average IC50s from in vitro cellular viability assay with HAP1 MTAP-isogenic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59055</wp:posOffset>
            </wp:positionV>
            <wp:extent cx="3394710" cy="16973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9471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7" w:name="page218"/>
    <w:bookmarkEnd w:id="21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 xml:space="preserve">Consistent with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TNG908 also demonstrates dose-dependent PRMT5 inhibition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an MTAP-null xenograft model. LN18 tumor-bearing mice were treated with TNG908 at 3, 10, 30 or 60 mg/kg BID for 10 days. Plasma concentrations of TNG908 increased with dose, and tumoral SDMA-modified protein levels decreased in a dose-dependent manner.</w:t>
      </w:r>
    </w:p>
    <w:p>
      <w:pPr>
        <w:spacing w:after="0" w:line="119" w:lineRule="exact"/>
        <w:rPr>
          <w:sz w:val="20"/>
          <w:szCs w:val="20"/>
          <w:color w:val="auto"/>
        </w:rPr>
      </w:pPr>
    </w:p>
    <w:p>
      <w:pPr>
        <w:ind w:left="460" w:right="499"/>
        <w:spacing w:after="0" w:line="279" w:lineRule="auto"/>
        <w:rPr>
          <w:sz w:val="20"/>
          <w:szCs w:val="20"/>
          <w:color w:val="auto"/>
        </w:rPr>
      </w:pPr>
      <w:r>
        <w:rPr>
          <w:rFonts w:ascii="Arial" w:cs="Arial" w:eastAsia="Arial" w:hAnsi="Arial"/>
          <w:sz w:val="17"/>
          <w:szCs w:val="17"/>
          <w:i w:val="1"/>
          <w:iCs w:val="1"/>
          <w:color w:val="auto"/>
        </w:rPr>
        <w:t xml:space="preserve">Figure 15. PRMT5 inhibition with TNG908 is dose-dependent </w:t>
      </w:r>
      <w:r>
        <w:rPr>
          <w:rFonts w:ascii="Arial" w:cs="Arial" w:eastAsia="Arial" w:hAnsi="Arial"/>
          <w:sz w:val="17"/>
          <w:szCs w:val="17"/>
          <w:color w:val="auto"/>
        </w:rPr>
        <w:t>in vivo</w:t>
      </w:r>
      <w:r>
        <w:rPr>
          <w:rFonts w:ascii="Arial" w:cs="Arial" w:eastAsia="Arial" w:hAnsi="Arial"/>
          <w:sz w:val="17"/>
          <w:szCs w:val="17"/>
          <w:i w:val="1"/>
          <w:iCs w:val="1"/>
          <w:color w:val="auto"/>
        </w:rPr>
        <w:t>. LN18 (MTAP-null) tumor-bearing mice were dosed with TNG908 at 3, 10, 30, or 60 mg/kg BID for 10 days. Tumors were harvested at the time points indicated, and the levels of a single SDMA-modified protein were determined by immunoblot. Tumors from the 3 mg/kg group were not harvested at 16 hours post-last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74930</wp:posOffset>
            </wp:positionV>
            <wp:extent cx="3429000" cy="18599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0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Consistent with the PK/PD findings, TNG908 demonstrated significant, dose-dependent antitumor activity in the LN18 MTAP-null xenograft model when dosed at 3, 10 and 30 mg/kg BID. When dosed at 30 mg/kg BID, TNG908 achieved complete tumor stasis with a trend toward regression. The enhanced antitumor activity demonstrated with the 30 mg/kg BID TNG908 dosing scheme is consistent with the degree of sustained PRMT5 inhibition achieved in the 10-day PK/PD study.</w:t>
      </w:r>
    </w:p>
    <w:p>
      <w:pPr>
        <w:spacing w:after="0" w:line="176"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8"/>
          <w:szCs w:val="18"/>
          <w:i w:val="1"/>
          <w:iCs w:val="1"/>
          <w:color w:val="auto"/>
        </w:rPr>
        <w:t>Figure 16.</w:t>
      </w:r>
      <w:r>
        <w:rPr>
          <w:sz w:val="20"/>
          <w:szCs w:val="20"/>
          <w:color w:val="auto"/>
        </w:rPr>
        <w:tab/>
      </w:r>
      <w:r>
        <w:rPr>
          <w:rFonts w:ascii="Arial" w:cs="Arial" w:eastAsia="Arial" w:hAnsi="Arial"/>
          <w:sz w:val="16"/>
          <w:szCs w:val="16"/>
          <w:i w:val="1"/>
          <w:iCs w:val="1"/>
          <w:color w:val="auto"/>
        </w:rPr>
        <w:t>TNG908 demonstrates strong antitumor activity in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109220</wp:posOffset>
            </wp:positionV>
            <wp:extent cx="4886325" cy="18942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88632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8" w:name="page219"/>
    <w:bookmarkEnd w:id="21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TNG908 was evaluated in a second MTAP-null xenograft model, HCT116 a colon cancer cell line. Marked activity was observed at 90 mg/kg BID (Figure 16 above). In comparison, TNG908 had minimal effect on the HCT116 MTAP WT xenografts. Together with PK/PD data, these data demonstrate that TNG908 inhibition of PRMT5 suppresses tumor growth in an on-target and MTAP-selective manner.</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Planned clinical trials</w:t>
      </w:r>
    </w:p>
    <w:p>
      <w:pPr>
        <w:spacing w:after="0" w:line="162" w:lineRule="exact"/>
        <w:rPr>
          <w:sz w:val="20"/>
          <w:szCs w:val="20"/>
          <w:color w:val="auto"/>
        </w:rPr>
      </w:pPr>
    </w:p>
    <w:p>
      <w:pPr>
        <w:ind w:left="460" w:right="459" w:firstLine="432"/>
        <w:spacing w:after="0" w:line="293" w:lineRule="auto"/>
        <w:rPr>
          <w:sz w:val="20"/>
          <w:szCs w:val="20"/>
          <w:color w:val="auto"/>
        </w:rPr>
      </w:pPr>
      <w:r>
        <w:rPr>
          <w:rFonts w:ascii="Arial" w:cs="Arial" w:eastAsia="Arial" w:hAnsi="Arial"/>
          <w:sz w:val="16"/>
          <w:szCs w:val="16"/>
          <w:color w:val="auto"/>
        </w:rPr>
        <w:t>Our Phase 1/2 first-in-human trial is designed to evaluate the oral administration of TNG908 monotherapy in patients with MTAP-null tumors (See Figure 17 below). Our planned indications reflect the unmet medical need for new therapies in prevalent histologies, including both squamous and non-squamous non-small cell lung cancer and bladder cancer as well as indications where there are limited treatment options with no standard of care, including cholangiocarcinoma and MPNST. As TNG908 is designed to selectively work in cancers with MTAP loss, we intend to limit enrollment to patients with MTAP-deleted tumors using either NGS or IHC.</w:t>
      </w:r>
    </w:p>
    <w:p>
      <w:pPr>
        <w:spacing w:after="0" w:line="97"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 dose escalation phase will evaluate safety and dosing regimen in patients with locally advanced or metastatic cancer of any histology with an MTAP deletion. Following determination of the recommended dose, we will evaluate the efficacy of TNG908 in multiple separate expansion arms including NSCLC (squamous and non-squamous), bladder cancer, cholangiocarcinoma and MPNST. In parallel, we will enroll an MTAP-null, histology agnostic “bucket arm” to provide optionality for a registration strategy in all tumors regardless of histology if broad-based activity is observed. Given that MTAP deletion occurs in 10% to 15% of human tumors, we plan to expand into other indications based on activity observed in the histology-agnostic cohort. We anticipate filing an IND in the fourth quarter of 2021 and initiating the Phase 1/2 clinical trial of TNG908 in the first half of 2022. We expect to report preliminary safety and efficacy data for TNG908 monotherapy in the first half of 2023. This program is excluded from the Gilead Agreement.</w:t>
      </w:r>
    </w:p>
    <w:p>
      <w:pPr>
        <w:spacing w:after="0" w:line="185"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8"/>
          <w:szCs w:val="18"/>
          <w:i w:val="1"/>
          <w:iCs w:val="1"/>
          <w:color w:val="auto"/>
        </w:rPr>
        <w:t>Figure 17.</w:t>
      </w:r>
      <w:r>
        <w:rPr>
          <w:sz w:val="20"/>
          <w:szCs w:val="20"/>
          <w:color w:val="auto"/>
        </w:rPr>
        <w:tab/>
      </w:r>
      <w:r>
        <w:rPr>
          <w:rFonts w:ascii="Arial" w:cs="Arial" w:eastAsia="Arial" w:hAnsi="Arial"/>
          <w:sz w:val="16"/>
          <w:szCs w:val="16"/>
          <w:i w:val="1"/>
          <w:iCs w:val="1"/>
          <w:color w:val="auto"/>
        </w:rPr>
        <w:t>TNG908 First-in-human trial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100330</wp:posOffset>
            </wp:positionV>
            <wp:extent cx="3223260" cy="19373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22326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early development programs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USP1</w:t>
      </w:r>
    </w:p>
    <w:p>
      <w:pPr>
        <w:spacing w:after="0" w:line="148" w:lineRule="exact"/>
        <w:rPr>
          <w:sz w:val="20"/>
          <w:szCs w:val="20"/>
          <w:color w:val="auto"/>
        </w:rPr>
      </w:pPr>
    </w:p>
    <w:p>
      <w:pPr>
        <w:ind w:left="460" w:right="599" w:firstLine="432"/>
        <w:spacing w:after="0" w:line="272" w:lineRule="auto"/>
        <w:rPr>
          <w:sz w:val="20"/>
          <w:szCs w:val="20"/>
          <w:color w:val="auto"/>
        </w:rPr>
      </w:pPr>
      <w:r>
        <w:rPr>
          <w:rFonts w:ascii="Arial" w:cs="Arial" w:eastAsia="Arial" w:hAnsi="Arial"/>
          <w:sz w:val="17"/>
          <w:szCs w:val="17"/>
          <w:color w:val="auto"/>
        </w:rPr>
        <w:t>Using our CRISPR-based target discovery platform, we discovered USP1 as a strong synthetic lethal target for BRCA1, but not BRCA2, loss reflected in Figure 18 below. This discovery has since been independently reported and published by several other groups. We are developing a potent, potentially differentiated molecule targeting BRCA1-mutant breast, ovarian, and prostate cancer with plans to file an IND in 2022. USP1 inhibitor has the potential to treat a patient population that is comparable in size to approximately half of the PARP inhibitor market (BRCA1 and BRCA2). BRCA1 mutation is present in approximately 15% of ovarian cancer, 5% of breast cancer, and 1% of prostate cancer.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9" w:name="page220"/>
    <w:bookmarkEnd w:id="21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519"/>
        <w:spacing w:after="0" w:line="259" w:lineRule="auto"/>
        <w:rPr>
          <w:sz w:val="20"/>
          <w:szCs w:val="20"/>
          <w:color w:val="auto"/>
        </w:rPr>
      </w:pPr>
      <w:r>
        <w:rPr>
          <w:rFonts w:ascii="Arial" w:cs="Arial" w:eastAsia="Arial" w:hAnsi="Arial"/>
          <w:sz w:val="18"/>
          <w:szCs w:val="18"/>
          <w:i w:val="1"/>
          <w:iCs w:val="1"/>
          <w:color w:val="auto"/>
        </w:rPr>
        <w:t>Figure 18. Volcano plot shows analysis of CRISPR screens performed in a panel of BRCA1 WT vs. mut cell lines where knockout of USP1 using multiple independent single strand guide RNAs (sgRNAs) leads to selective killing of BRCA1 mutant tumor cells. The clinically proven PARP-BRCA interaction was also identified in this screen as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76200</wp:posOffset>
            </wp:positionV>
            <wp:extent cx="2571750" cy="23742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7175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60" w:right="479" w:firstLine="432"/>
        <w:spacing w:after="0" w:line="303" w:lineRule="auto"/>
        <w:rPr>
          <w:sz w:val="20"/>
          <w:szCs w:val="20"/>
          <w:color w:val="auto"/>
        </w:rPr>
      </w:pPr>
      <w:r>
        <w:rPr>
          <w:rFonts w:ascii="Arial" w:cs="Arial" w:eastAsia="Arial" w:hAnsi="Arial"/>
          <w:sz w:val="16"/>
          <w:szCs w:val="16"/>
          <w:color w:val="auto"/>
        </w:rPr>
        <w:t>USP1 is a deubiquitinating enzyme that facilitates DNA damage response (“</w:t>
      </w:r>
      <w:r>
        <w:rPr>
          <w:rFonts w:ascii="Arial" w:cs="Arial" w:eastAsia="Arial" w:hAnsi="Arial"/>
          <w:sz w:val="16"/>
          <w:szCs w:val="16"/>
          <w:b w:val="1"/>
          <w:bCs w:val="1"/>
          <w:color w:val="auto"/>
        </w:rPr>
        <w:t>DDR</w:t>
      </w:r>
      <w:r>
        <w:rPr>
          <w:rFonts w:ascii="Arial" w:cs="Arial" w:eastAsia="Arial" w:hAnsi="Arial"/>
          <w:sz w:val="16"/>
          <w:szCs w:val="16"/>
          <w:color w:val="auto"/>
        </w:rPr>
        <w:t>”) repair. Our preclinical pharmacology studies show that USP1 tool inhibitor halt the proliferation of cancer cell lines with BRCA1 mutations, as well as a subset of non-small cell lung cancer cell lines that do not have BRCA1 mutations. We are currently conducting experiments to define patient selection markers for these BRCA1 WT cell lines.</w:t>
      </w:r>
    </w:p>
    <w:p>
      <w:pPr>
        <w:spacing w:after="0" w:line="155"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8"/>
          <w:szCs w:val="18"/>
          <w:i w:val="1"/>
          <w:iCs w:val="1"/>
          <w:color w:val="auto"/>
        </w:rPr>
        <w:t>Figure 19.</w:t>
      </w:r>
      <w:r>
        <w:rPr>
          <w:sz w:val="20"/>
          <w:szCs w:val="20"/>
          <w:color w:val="auto"/>
        </w:rPr>
        <w:tab/>
      </w:r>
      <w:r>
        <w:rPr>
          <w:rFonts w:ascii="Arial" w:cs="Arial" w:eastAsia="Arial" w:hAnsi="Arial"/>
          <w:sz w:val="16"/>
          <w:szCs w:val="16"/>
          <w:i w:val="1"/>
          <w:iCs w:val="1"/>
          <w:color w:val="auto"/>
        </w:rPr>
        <w:t>Tango lead series USP1 inhibitor demonstrates selective viability effect and target engagement.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left="460" w:right="819"/>
        <w:spacing w:after="0" w:line="311" w:lineRule="auto"/>
        <w:rPr>
          <w:sz w:val="20"/>
          <w:szCs w:val="20"/>
          <w:color w:val="auto"/>
        </w:rPr>
      </w:pPr>
      <w:r>
        <w:rPr>
          <w:rFonts w:ascii="Arial" w:cs="Arial" w:eastAsia="Arial" w:hAnsi="Arial"/>
          <w:sz w:val="16"/>
          <w:szCs w:val="16"/>
          <w:i w:val="1"/>
          <w:iCs w:val="1"/>
          <w:color w:val="auto"/>
        </w:rPr>
        <w:t xml:space="preserve">(Left) </w:t>
      </w:r>
      <w:r>
        <w:rPr>
          <w:rFonts w:ascii="Arial" w:cs="Arial" w:eastAsia="Arial" w:hAnsi="Arial"/>
          <w:sz w:val="16"/>
          <w:szCs w:val="16"/>
          <w:color w:val="auto"/>
        </w:rPr>
        <w:t>In vitro</w:t>
      </w:r>
      <w:r>
        <w:rPr>
          <w:rFonts w:ascii="Arial" w:cs="Arial" w:eastAsia="Arial" w:hAnsi="Arial"/>
          <w:sz w:val="16"/>
          <w:szCs w:val="16"/>
          <w:i w:val="1"/>
          <w:iCs w:val="1"/>
          <w:color w:val="auto"/>
        </w:rPr>
        <w:t xml:space="preserve"> assay demonstrating cellular viability effects in exemplar BRCA1 mutant but not WT cell line following 10 days of compound treatment. (Right) </w:t>
      </w:r>
      <w:r>
        <w:rPr>
          <w:rFonts w:ascii="Arial" w:cs="Arial" w:eastAsia="Arial" w:hAnsi="Arial"/>
          <w:sz w:val="16"/>
          <w:szCs w:val="16"/>
          <w:color w:val="auto"/>
        </w:rPr>
        <w:t>In vitro</w:t>
      </w:r>
      <w:r>
        <w:rPr>
          <w:rFonts w:ascii="Arial" w:cs="Arial" w:eastAsia="Arial" w:hAnsi="Arial"/>
          <w:sz w:val="16"/>
          <w:szCs w:val="16"/>
          <w:i w:val="1"/>
          <w:iCs w:val="1"/>
          <w:color w:val="auto"/>
        </w:rPr>
        <w:t xml:space="preserve"> assay demonstrating dose dependent increase in monoubiquitinated PCNA, a USP1 substrate, in BRCA1 mutant cell line following 24 hours of treatment.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0" w:name="page221"/>
    <w:bookmarkEnd w:id="22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The DDR pathways regulated by USP1 are not currently targeted by any clinical stage compounds. Moreover, we performed genome-wide CRISPR-Cas9 screens in the presence and absence of our USP1 inhibitor tool compounds and confirmed that USP1 inhibition has a differentiated and novel mechanism of action relative to other DDR-based inhibitors, including PARP inhibitors. We expect this molecule to have both single agent activity in PARPi-naïve and most PARPi-resistant BRCA1 mutant cancers and to synergize with PARP inhibitors. Additional patient selection markers are being evaluated in BRCA1 WT populations with or without homologous recombination deficiency, particularly in a subset of non-small cell lung cancer cell lines sensitive to USP1 inhibition. This program is excluded from the Gilead Agreement.</w:t>
      </w:r>
    </w:p>
    <w:p>
      <w:pPr>
        <w:spacing w:after="0" w:line="178"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8"/>
          <w:szCs w:val="18"/>
          <w:i w:val="1"/>
          <w:iCs w:val="1"/>
          <w:color w:val="auto"/>
        </w:rPr>
        <w:t>Figure 20.</w:t>
      </w:r>
      <w:r>
        <w:rPr>
          <w:sz w:val="20"/>
          <w:szCs w:val="20"/>
          <w:color w:val="auto"/>
        </w:rPr>
        <w:tab/>
      </w:r>
      <w:r>
        <w:rPr>
          <w:rFonts w:ascii="Arial" w:cs="Arial" w:eastAsia="Arial" w:hAnsi="Arial"/>
          <w:sz w:val="16"/>
          <w:szCs w:val="16"/>
          <w:i w:val="1"/>
          <w:iCs w:val="1"/>
          <w:color w:val="auto"/>
        </w:rPr>
        <w:t>USP1 inhibition sensitizes PARP inhibitor in BRCA1 mutant context.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109220</wp:posOffset>
            </wp:positionV>
            <wp:extent cx="5006340" cy="1689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006340" cy="168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60" w:right="519"/>
        <w:spacing w:after="0" w:line="277" w:lineRule="auto"/>
        <w:rPr>
          <w:sz w:val="20"/>
          <w:szCs w:val="20"/>
          <w:color w:val="auto"/>
        </w:rPr>
      </w:pPr>
      <w:r>
        <w:rPr>
          <w:rFonts w:ascii="Arial" w:cs="Arial" w:eastAsia="Arial" w:hAnsi="Arial"/>
          <w:sz w:val="18"/>
          <w:szCs w:val="18"/>
          <w:i w:val="1"/>
          <w:iCs w:val="1"/>
          <w:color w:val="auto"/>
        </w:rPr>
        <w:t>In vitro assay demonstrating cellular viability effects in SUM149PT BRCA1-isogenic cell lines following 7 days of olaparib treatment, in the presence and absence of USP1 inhibitor.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Reversing Immune Evasion in lung cancer with STK11 loss-of-function</w:t>
      </w:r>
    </w:p>
    <w:p>
      <w:pPr>
        <w:spacing w:after="0" w:line="148" w:lineRule="exact"/>
        <w:rPr>
          <w:sz w:val="20"/>
          <w:szCs w:val="20"/>
          <w:color w:val="auto"/>
        </w:rPr>
      </w:pPr>
    </w:p>
    <w:p>
      <w:pPr>
        <w:ind w:left="460" w:right="519" w:firstLine="432"/>
        <w:spacing w:after="0" w:line="253" w:lineRule="auto"/>
        <w:rPr>
          <w:sz w:val="20"/>
          <w:szCs w:val="20"/>
          <w:color w:val="auto"/>
        </w:rPr>
      </w:pPr>
      <w:r>
        <w:rPr>
          <w:rFonts w:ascii="Arial" w:cs="Arial" w:eastAsia="Arial" w:hAnsi="Arial"/>
          <w:sz w:val="18"/>
          <w:szCs w:val="18"/>
          <w:color w:val="auto"/>
        </w:rPr>
        <w:t xml:space="preserve">Using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CRISPR-based screens in mouse syngeneic tumor models, we identified serine-threonine kinase 11 (STK11) loss-of-function mutations, a genetic alteration in approximately 20% of non-small cell lung cancer, as a tumor suppressor gene that when inactivated confers resistance to the efficacy of PD-1 immune checkpoint inhibitors. STK11 loss-of-function mutations trigger complex changes in both cancer cell signaling and in the broader tumor microenvironment. Retrospective analysis of human clinical data by Dr. Ferdinandos Skoulidis, Dr. John Heymach and others (MD Anderson Cancer Center) subsequently identified STK11 as a marker for the lack of durable clinical benefit to pembrolizumab + chemotherapy in non-small cell lung cancer patients, demonstrating that STK11 loss-of-function in lung cancer correlates with primary resistance to anti-PD-1 therapy.</w:t>
      </w:r>
    </w:p>
    <w:p>
      <w:pPr>
        <w:spacing w:after="0" w:line="129" w:lineRule="exact"/>
        <w:rPr>
          <w:sz w:val="20"/>
          <w:szCs w:val="20"/>
          <w:color w:val="auto"/>
        </w:rPr>
      </w:pPr>
    </w:p>
    <w:p>
      <w:pPr>
        <w:ind w:left="460" w:right="679" w:firstLine="432"/>
        <w:spacing w:after="0" w:line="275" w:lineRule="auto"/>
        <w:rPr>
          <w:sz w:val="20"/>
          <w:szCs w:val="20"/>
          <w:color w:val="auto"/>
        </w:rPr>
      </w:pPr>
      <w:r>
        <w:rPr>
          <w:rFonts w:ascii="Arial" w:cs="Arial" w:eastAsia="Arial" w:hAnsi="Arial"/>
          <w:sz w:val="17"/>
          <w:szCs w:val="17"/>
          <w:color w:val="auto"/>
        </w:rPr>
        <w:t>We have generated genetically engineered mouse tumor models that consistently recapitulate the immunosuppressive microenvironment caused by genetic STK11 loss-of-function mutations and have conducted several target discovery screens using these same models. We now have strong genetic and pharmacologic validation showing reprogramming of the tumor microenvironment and strong sensitization to anti-PD1 therapy in a STK11-mutant dependent manner.</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1" w:name="page222"/>
    <w:bookmarkEnd w:id="22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8"/>
          <w:szCs w:val="18"/>
          <w:i w:val="1"/>
          <w:iCs w:val="1"/>
          <w:color w:val="auto"/>
        </w:rPr>
        <w:t>Figure 21:</w:t>
      </w:r>
      <w:r>
        <w:rPr>
          <w:sz w:val="20"/>
          <w:szCs w:val="20"/>
          <w:color w:val="auto"/>
        </w:rPr>
        <w:tab/>
      </w:r>
      <w:r>
        <w:rPr>
          <w:rFonts w:ascii="Arial" w:cs="Arial" w:eastAsia="Arial" w:hAnsi="Arial"/>
          <w:sz w:val="16"/>
          <w:szCs w:val="16"/>
          <w:i w:val="1"/>
          <w:iCs w:val="1"/>
          <w:color w:val="auto"/>
        </w:rPr>
        <w:t>Pharmacologic target validation in STK11 mutant MC38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100330</wp:posOffset>
            </wp:positionV>
            <wp:extent cx="2194560" cy="12084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9456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60" w:right="499"/>
        <w:spacing w:after="0" w:line="273" w:lineRule="auto"/>
        <w:rPr>
          <w:sz w:val="20"/>
          <w:szCs w:val="20"/>
          <w:color w:val="auto"/>
        </w:rPr>
      </w:pPr>
      <w:r>
        <w:rPr>
          <w:rFonts w:ascii="Arial" w:cs="Arial" w:eastAsia="Arial" w:hAnsi="Arial"/>
          <w:sz w:val="16"/>
          <w:szCs w:val="16"/>
          <w:i w:val="1"/>
          <w:iCs w:val="1"/>
          <w:color w:val="auto"/>
        </w:rPr>
        <w:t xml:space="preserve">A Target 3 inhibitor tool compound validates the genetic interaction with STK11 </w:t>
      </w:r>
      <w:r>
        <w:rPr>
          <w:rFonts w:ascii="Arial" w:cs="Arial" w:eastAsia="Arial" w:hAnsi="Arial"/>
          <w:sz w:val="16"/>
          <w:szCs w:val="16"/>
          <w:color w:val="auto"/>
        </w:rPr>
        <w:t>in vivo</w:t>
      </w:r>
      <w:r>
        <w:rPr>
          <w:rFonts w:ascii="Arial" w:cs="Arial" w:eastAsia="Arial" w:hAnsi="Arial"/>
          <w:sz w:val="16"/>
          <w:szCs w:val="16"/>
          <w:i w:val="1"/>
          <w:iCs w:val="1"/>
          <w:color w:val="auto"/>
        </w:rPr>
        <w:t>. Mice were treated with the Target 3 inhibitor for 18 days after tumor implantation either alone or in combination with anti-PD1 therapy. Treatment was stopped at day 18, and all surviving animals on study were sacrificed at day 24. Nine out of 10 mice in the Target 3i + PD1 combination arm had no detectable tumor at endpoint.</w:t>
      </w:r>
    </w:p>
    <w:p>
      <w:pPr>
        <w:spacing w:after="0" w:line="103"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Clinically, loss-of-function mutations in the tumor suppressor gene STK11 are strongly associated with immune checkpoint inhibitor resistance. We have generated clinically relevant mouse models of STK11-mutant cancers and used these models to discover novel targets to reverse the immune evasion effect of this genetic alteration, summarized in Figure 21 above. In these models, treatment with tool compounds against this target are highly synergistic combined with anti-PD1 therapy. In this experiment, mice were treated for 18 days after tumor implantation, treatment was stopped at day 18, animals were sacrificed at day 24, and nine out of 10 mice were found to have no detectable tumor at that time.</w:t>
      </w:r>
    </w:p>
    <w:p>
      <w:pPr>
        <w:spacing w:after="0" w:line="110" w:lineRule="exact"/>
        <w:rPr>
          <w:sz w:val="20"/>
          <w:szCs w:val="20"/>
          <w:color w:val="auto"/>
        </w:rPr>
      </w:pPr>
    </w:p>
    <w:p>
      <w:pPr>
        <w:ind w:left="460" w:right="559" w:firstLine="432"/>
        <w:spacing w:after="0" w:line="301" w:lineRule="auto"/>
        <w:rPr>
          <w:sz w:val="20"/>
          <w:szCs w:val="20"/>
          <w:color w:val="auto"/>
        </w:rPr>
      </w:pPr>
      <w:r>
        <w:rPr>
          <w:rFonts w:ascii="Arial" w:cs="Arial" w:eastAsia="Arial" w:hAnsi="Arial"/>
          <w:sz w:val="16"/>
          <w:szCs w:val="16"/>
          <w:color w:val="auto"/>
        </w:rPr>
        <w:t>We anticipate advancing a clinical candidate this undisclosed immune evasion target (Target 3) into IND-enabling studies in the second half of 2022. The clinical development plan for this program in STK11-mutant lung cancer will combine the power of genetic patient selection for immunotherapy with a novel approach to reversing tumor-intrinsic immune evasion. This program is excluded from the Gilead Agreement.</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Collaboration and License Agreements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Collaboration and License Agreement with Gilead Sciences</w:t>
      </w:r>
    </w:p>
    <w:p>
      <w:pPr>
        <w:spacing w:after="0" w:line="162"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In August 2020, we entered into an amended and restated research collaboration and license agreement, which we refer to as the Gilead Agreement, with Gilead. The Gilead Agreement expanded our 2018 collaboration with Gilead (the “</w:t>
      </w:r>
      <w:r>
        <w:rPr>
          <w:rFonts w:ascii="Arial" w:cs="Arial" w:eastAsia="Arial" w:hAnsi="Arial"/>
          <w:sz w:val="17"/>
          <w:szCs w:val="17"/>
          <w:b w:val="1"/>
          <w:bCs w:val="1"/>
          <w:color w:val="auto"/>
        </w:rPr>
        <w:t>2018 Gilead Agreement</w:t>
      </w:r>
      <w:r>
        <w:rPr>
          <w:rFonts w:ascii="Arial" w:cs="Arial" w:eastAsia="Arial" w:hAnsi="Arial"/>
          <w:sz w:val="17"/>
          <w:szCs w:val="17"/>
          <w:color w:val="auto"/>
        </w:rPr>
        <w:t>”). Pursuant to the Gilead Agreement we will use our proprietary functional genomics-based discovery platform to identify and develop novel immune evasion targets during a seven-year period, or the Research Term. During the Research Term, Gilead has the option to obtain exclusive, worldwide licenses to develop and commercialize products directed to up to 15 targets validated in the collaboration. Prior to exercising its option for a program, Gilead may “extend” such program, in which case we will further collaborate with Gilead during the Research Term to discover and develop immuno-oncology treatments directed to such target(s), potentially through early clinical development and be eligible to receive research extension payments from Gilead. Gilead will retain its option rights to any such extended program. For up to five programs licensed by Gilead, we have the option to co-develop and co-promote the lead product for such program in the United States, subject to certain exceptions, and eligible to receive milestone payments and royalties on ex-U.S. sales.</w:t>
      </w:r>
    </w:p>
    <w:p>
      <w:pPr>
        <w:spacing w:after="0" w:line="105"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Under the terms of the Gilead Agreement, we received an upfront payment of $125.0 million in addition to an upfront payment of $50.0 million received under the 2018 Gilead Agreement. We also received a $20.0 million equity investment in connection with the Gilead Agreement. We are eligible to receive up to an additional $410.0 million per program in license, research extension, and clinical, regulatory and commercial milestone payments. We are also eligible to receive up to low double-digit tiered royalties on net sales by Gilead on a country-by-country and product-by-product basis until the later of (a) the expiration of the last valid claim of our patents or, in some instances, certain Gilead’s patents, in each case covering such product in such country or (b) ten years after the first commercial sale of such product in such country. For those products that we opt to co-develop</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2" w:name="page223"/>
    <w:bookmarkEnd w:id="22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57" w:lineRule="auto"/>
        <w:rPr>
          <w:sz w:val="20"/>
          <w:szCs w:val="20"/>
          <w:color w:val="auto"/>
        </w:rPr>
      </w:pPr>
      <w:r>
        <w:rPr>
          <w:rFonts w:ascii="Arial" w:cs="Arial" w:eastAsia="Arial" w:hAnsi="Arial"/>
          <w:sz w:val="18"/>
          <w:szCs w:val="18"/>
          <w:color w:val="auto"/>
        </w:rPr>
        <w:t>and co-promote in the United States, we and Gilead will equally split profits and losses from the sales of such products in the United States, as well as development costs for such products attributable to the United States. For such products, we will remain eligible to receive certain clinical and regulatory milestone payments as well as commercial milestone payments and up to low double-digit tiered royalties based on net sales outside the United States.</w:t>
      </w:r>
    </w:p>
    <w:p>
      <w:pPr>
        <w:spacing w:after="0" w:line="120"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Either party may terminate the Gilead Agreement if the other party materially breaches the terms of such agreement, subject to specified notice and cure provisions, or enters into bankruptcy or insolvency proceedings. Additionally, Gilead may terminate the agreement for any or no reason, in its entirety or on a program-by-program basis, upon specified written notice. If we terminate the Gilead Agreement for Gilead’s material breach, or Gilead terminates the Gilead Agreement without cause, then Gilead is obligated to negotiate with us in good faith for a specified period regarding the transfer by Gilead of certain assets and the provision by Gilead of certain assistance to enable us to continue the research, development and commercialization of products under any terminated programs.</w:t>
      </w:r>
    </w:p>
    <w:p>
      <w:pPr>
        <w:spacing w:after="0" w:line="124" w:lineRule="exact"/>
        <w:rPr>
          <w:sz w:val="20"/>
          <w:szCs w:val="20"/>
          <w:color w:val="auto"/>
        </w:rPr>
      </w:pPr>
    </w:p>
    <w:p>
      <w:pPr>
        <w:ind w:left="460" w:right="979" w:firstLine="432"/>
        <w:spacing w:after="0" w:line="277" w:lineRule="auto"/>
        <w:rPr>
          <w:sz w:val="20"/>
          <w:szCs w:val="20"/>
          <w:color w:val="auto"/>
        </w:rPr>
      </w:pPr>
      <w:r>
        <w:rPr>
          <w:rFonts w:ascii="Arial" w:cs="Arial" w:eastAsia="Arial" w:hAnsi="Arial"/>
          <w:sz w:val="18"/>
          <w:szCs w:val="18"/>
          <w:color w:val="auto"/>
        </w:rPr>
        <w:t>To date, Gilead has licensed two of our programs and has research-extended one program under the Gilead Agreements.</w:t>
      </w:r>
    </w:p>
    <w:p>
      <w:pPr>
        <w:spacing w:after="0" w:line="89"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Our collaboration with Gilead excludes our lead programs, PRMT5, USP1 and the undisclosed target for development in STK11-mutant lung cancer. We also retain the right to identify and validate targets outside the scope of our collaboration with Gilead (all cell-autonomous targets, exclusive of those in immune evasion contexts), and to develop and commercialize products directed to such targets, on our own or in collaboration with third parties.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License Agreement with Medivir AB</w:t>
      </w:r>
    </w:p>
    <w:p>
      <w:pPr>
        <w:spacing w:after="0" w:line="162" w:lineRule="exact"/>
        <w:rPr>
          <w:sz w:val="20"/>
          <w:szCs w:val="20"/>
          <w:color w:val="auto"/>
        </w:rPr>
      </w:pPr>
    </w:p>
    <w:p>
      <w:pPr>
        <w:ind w:left="460" w:right="699" w:firstLine="432"/>
        <w:spacing w:after="0" w:line="259" w:lineRule="auto"/>
        <w:rPr>
          <w:sz w:val="20"/>
          <w:szCs w:val="20"/>
          <w:color w:val="auto"/>
        </w:rPr>
      </w:pPr>
      <w:r>
        <w:rPr>
          <w:rFonts w:ascii="Arial" w:cs="Arial" w:eastAsia="Arial" w:hAnsi="Arial"/>
          <w:sz w:val="18"/>
          <w:szCs w:val="18"/>
          <w:color w:val="auto"/>
        </w:rPr>
        <w:t>In March 2020, we entered into a license agreement, or the Medivir Agreement, with Medivir AB, or Medivir, pursuant to which we obtained a worldwide, royalty-bearing, exclusive license under certain current and/or future patents and know-how of Medivir, to research, develop and commercialize products that are covered by such licensed patents or otherwise modulate USP1.</w:t>
      </w:r>
    </w:p>
    <w:p>
      <w:pPr>
        <w:spacing w:after="0" w:line="119" w:lineRule="exact"/>
        <w:rPr>
          <w:sz w:val="20"/>
          <w:szCs w:val="20"/>
          <w:color w:val="auto"/>
        </w:rPr>
      </w:pPr>
    </w:p>
    <w:p>
      <w:pPr>
        <w:jc w:val="center"/>
        <w:ind w:left="454" w:right="853"/>
        <w:spacing w:after="0" w:line="291" w:lineRule="auto"/>
        <w:rPr>
          <w:sz w:val="20"/>
          <w:szCs w:val="20"/>
          <w:color w:val="auto"/>
        </w:rPr>
      </w:pPr>
      <w:r>
        <w:rPr>
          <w:rFonts w:ascii="Arial" w:cs="Arial" w:eastAsia="Arial" w:hAnsi="Arial"/>
          <w:sz w:val="16"/>
          <w:szCs w:val="16"/>
          <w:color w:val="auto"/>
        </w:rPr>
        <w:t>Under the terms of the Medivir Agreement, we are obligated to pay Medivir in connection with development, regulatory and commercial activities. We have agreed to make certain milestone payments of</w:t>
      </w:r>
    </w:p>
    <w:p>
      <w:pPr>
        <w:ind w:left="460" w:right="519" w:hanging="6"/>
        <w:spacing w:after="0" w:line="268" w:lineRule="auto"/>
        <w:tabs>
          <w:tab w:leader="none" w:pos="715" w:val="left"/>
        </w:tabs>
        <w:numPr>
          <w:ilvl w:val="0"/>
          <w:numId w:val="241"/>
        </w:numPr>
        <w:rPr>
          <w:rFonts w:ascii="Arial" w:cs="Arial" w:eastAsia="Arial" w:hAnsi="Arial"/>
          <w:sz w:val="17"/>
          <w:szCs w:val="17"/>
          <w:color w:val="auto"/>
        </w:rPr>
      </w:pPr>
      <w:r>
        <w:rPr>
          <w:rFonts w:ascii="Arial" w:cs="Arial" w:eastAsia="Arial" w:hAnsi="Arial"/>
          <w:sz w:val="17"/>
          <w:szCs w:val="17"/>
          <w:color w:val="auto"/>
        </w:rPr>
        <w:t>$1.4 million in the aggregate for the first licensed product that achieves specified clinical milestones plus $25.0 million for the first licensed product that achieves specified regulatory approval and sales milestones, in each case, in either of the first two specified genetic contexts and (2) $0.7 million in the aggregate if that first licensed product achieves specified clinical milestones plus $5.0 million if that first licensed product achieves specified regulatory and sales milestones for a third genetic context or the second licensed product achieves such specified development, regulatory and sales milestones in either of the first two specified genetic contexts. We have the right to reduce these milestone payments by a specified amount in the event the licensed product is not covered by Medivir’s patents or if payments are due to a third party for a license under such third party’s intellectual property rights. We are also obligated to pay Medivir a low single-digit royalty on net sales of any product covered by a licensed patent.</w:t>
      </w:r>
    </w:p>
    <w:p>
      <w:pPr>
        <w:spacing w:after="0" w:line="98"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Payments in respect of net sales or sublicense in a country shall remain in force on a product-by-product, country-by-country basis, with respect to products that are not covered by a licensed patent or certain Tango patents, for ten years from the date of first commercial sale in such country, and products that are covered by a licensed patent or certain Tango patents, until the expiration date of the last to expire of the licensed patents covering such product or its manufacture or use in the applicable country. No milestones have been achieved to date.</w:t>
      </w:r>
    </w:p>
    <w:p>
      <w:pPr>
        <w:spacing w:after="0" w:line="125" w:lineRule="exact"/>
        <w:rPr>
          <w:sz w:val="20"/>
          <w:szCs w:val="20"/>
          <w:color w:val="auto"/>
        </w:rPr>
      </w:pPr>
    </w:p>
    <w:p>
      <w:pPr>
        <w:ind w:left="460" w:right="899" w:firstLine="432"/>
        <w:spacing w:after="0" w:line="308" w:lineRule="auto"/>
        <w:rPr>
          <w:sz w:val="20"/>
          <w:szCs w:val="20"/>
          <w:color w:val="auto"/>
        </w:rPr>
      </w:pPr>
      <w:r>
        <w:rPr>
          <w:rFonts w:ascii="Arial" w:cs="Arial" w:eastAsia="Arial" w:hAnsi="Arial"/>
          <w:sz w:val="17"/>
          <w:szCs w:val="17"/>
          <w:color w:val="auto"/>
        </w:rPr>
        <w:t>The Medivir Agreement expires on the date of expiration of all royalty obligations. Either party may terminate the Medivir Agreement earlier upon an uncured material breach of the other party.</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Manufacturing</w:t>
      </w:r>
    </w:p>
    <w:p>
      <w:pPr>
        <w:spacing w:after="0" w:line="162" w:lineRule="exact"/>
        <w:rPr>
          <w:sz w:val="20"/>
          <w:szCs w:val="20"/>
          <w:color w:val="auto"/>
        </w:rPr>
      </w:pPr>
    </w:p>
    <w:p>
      <w:pPr>
        <w:ind w:left="460" w:right="599" w:firstLine="432"/>
        <w:spacing w:after="0" w:line="272" w:lineRule="auto"/>
        <w:rPr>
          <w:sz w:val="20"/>
          <w:szCs w:val="20"/>
          <w:color w:val="auto"/>
        </w:rPr>
      </w:pPr>
      <w:r>
        <w:rPr>
          <w:rFonts w:ascii="Arial" w:cs="Arial" w:eastAsia="Arial" w:hAnsi="Arial"/>
          <w:sz w:val="17"/>
          <w:szCs w:val="17"/>
          <w:color w:val="auto"/>
        </w:rPr>
        <w:t>Our lead investigational products are small molecule inhibitors that can be readily manufactured without requiring any specialized equipment or processes. We do not own or operate, and currently have no plans to establish any manufacturing facilities. We rely, and expect to continue to rely, on third party Contract Development and Manufacturing Organizations (CDMOs) for the manufacturing, packaging, labeling and distribution of our investigational products for preclinical and clinical testing, as well as for commercial manufacturing if any of our investigational products obtain marketing approval. A team of internal experts and consultants oversees activities at</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23" w:name="page224"/>
    <w:bookmarkEnd w:id="22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54" w:lineRule="auto"/>
        <w:rPr>
          <w:sz w:val="20"/>
          <w:szCs w:val="20"/>
          <w:color w:val="auto"/>
        </w:rPr>
      </w:pPr>
      <w:r>
        <w:rPr>
          <w:rFonts w:ascii="Arial" w:cs="Arial" w:eastAsia="Arial" w:hAnsi="Arial"/>
          <w:sz w:val="18"/>
          <w:szCs w:val="18"/>
          <w:color w:val="auto"/>
        </w:rPr>
        <w:t>contracted CDMOs ensuring our investigational products are being manufactured under current good manufacturing practices (cGMP). At present, we have signed manufacturing and supply agreements for drug substance and drug product to support the first-in-human study of our PRMT5 development candidate TNG908. The contracted CDMOs have the capacity to support registrational studies and commercial supplies, in addition to the first-in-human study. We plan to continue to expand and diversify our supply chain by identifying and contracting other CDMOs with the capacity and expertise to support TNG908 and other investigational products in our pipeline.</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Intellectual Property</w:t>
      </w:r>
    </w:p>
    <w:p>
      <w:pPr>
        <w:spacing w:after="0" w:line="162"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color w:val="auto"/>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also rely on trade secrets relating to our proprietary target discovery technology platform and on know-how, continuing technological innovation and in-licensing opportunities to develop, strengthen and maintain our proprietary position in the field of precision oncology that may be important for the development of our business. We additionally may rely on regulatory protection afforded through data exclusivity, market exclusivity and patent term extensions, where available.</w:t>
      </w:r>
    </w:p>
    <w:p>
      <w:pPr>
        <w:spacing w:after="0" w:line="124" w:lineRule="exact"/>
        <w:rPr>
          <w:sz w:val="20"/>
          <w:szCs w:val="20"/>
          <w:color w:val="auto"/>
        </w:rPr>
      </w:pPr>
    </w:p>
    <w:p>
      <w:pPr>
        <w:ind w:left="460" w:right="579" w:firstLine="432"/>
        <w:spacing w:after="0" w:line="287" w:lineRule="auto"/>
        <w:rPr>
          <w:sz w:val="20"/>
          <w:szCs w:val="20"/>
          <w:color w:val="auto"/>
        </w:rPr>
      </w:pPr>
      <w:r>
        <w:rPr>
          <w:rFonts w:ascii="Arial" w:cs="Arial" w:eastAsia="Arial" w:hAnsi="Arial"/>
          <w:sz w:val="16"/>
          <w:szCs w:val="16"/>
          <w:color w:val="auto"/>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limit third parties from making, using, selling, offering to sell, or importing our products may depend on the extent to which we have rights under valid and enforceable licenses, patents, or trade secrets that cover these activities. In some cases, enforcement of these rights may depend on third 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w:t>
      </w:r>
    </w:p>
    <w:p>
      <w:pPr>
        <w:spacing w:after="0" w:line="91" w:lineRule="exact"/>
        <w:rPr>
          <w:sz w:val="20"/>
          <w:szCs w:val="20"/>
          <w:color w:val="auto"/>
        </w:rPr>
      </w:pPr>
    </w:p>
    <w:p>
      <w:pPr>
        <w:ind w:left="460" w:right="779" w:firstLine="432"/>
        <w:spacing w:after="0" w:line="308" w:lineRule="auto"/>
        <w:rPr>
          <w:sz w:val="20"/>
          <w:szCs w:val="20"/>
          <w:color w:val="auto"/>
        </w:rPr>
      </w:pPr>
      <w:r>
        <w:rPr>
          <w:rFonts w:ascii="Arial" w:cs="Arial" w:eastAsia="Arial" w:hAnsi="Arial"/>
          <w:sz w:val="17"/>
          <w:szCs w:val="17"/>
          <w:color w:val="auto"/>
        </w:rPr>
        <w:t>Patent expiration dates noted in the following paragraphs refer to statutory expiration dates and do not take into account any potential patent term adjustment or extension that may be available.</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PRMT5 inhibitors</w:t>
      </w:r>
    </w:p>
    <w:p>
      <w:pPr>
        <w:spacing w:after="0" w:line="158"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We exclusively own three patent families directed to selective, synthetic lethal, small molecule inhibitors of PRMT5 and methods for using the inhibitors in the treatment of MTAP-deleted cancers. One family discloses and claims first generation small molecule PRMT5 inhibitors and methods of treating MTAP-deleted cancers using the compounds. One United States patent application has been allowed in this family and will expire in 2039. A second family is directed to second-generation small molecule PRMT5 inhibitors and methods of treating MTAP-deleted cancers using the compounds. A Patent Cooperation Treaty application is pending in this family, with a national phase entry date in April 2022. If granted, patents in this family would have an expiration date in 2040. A third family covers third-generation selective, synthetic lethal, small molecule inhibitors of PRMT5 and methods of treating MTAP-deleted cancers using the compounds. This family discloses the first product candidate in the PRMT5 program, TNG908. A United States provisional patent application is pending. Any future patents granted in this family would have an expiration date in 2041.</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USP1 inhibitors</w:t>
      </w:r>
    </w:p>
    <w:p>
      <w:pPr>
        <w:spacing w:after="0" w:line="158"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We own four patent families directed to several chemical classes of small molecule inhibitors of USP1 and to methods for treating cancers, including BRCA1-mutant breast, ovarian and prostate cancers using said inhibitors. United States provisional patent applications are pending in each of the four families. If granted, patents in each of the four families would expire in 2042. Two of the families are exclusively owned by us, and the remaining two are jointly owned by Tango and Medivir AB and exclusively licensed to us under a license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4" w:name="page225"/>
    <w:bookmarkEnd w:id="22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Government Regulation</w:t>
      </w:r>
    </w:p>
    <w:p>
      <w:pPr>
        <w:spacing w:after="0" w:line="148"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drugs. We, along with our vendors, contract research organizations, or CROs, clinical investigators and contract manufacturing organizations, or CMOs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federal, state, local and foreign statutes and regulations requires the expenditure of substantial time and financial resources.</w:t>
      </w:r>
    </w:p>
    <w:p>
      <w:pPr>
        <w:spacing w:after="0" w:line="101"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In the United States, the FDA regulates drug products under the Federal Food, Drug, and Cosmetic Act, or FD&amp;C Act, its implementing regulations, and other federal, state and local statutes and regulations. Drugs are also subject to other federal, state and local statutes and regulations. If we fail to comply with applicable FDA or other requirements at any time with respect to product development, clinical testing, approval or any other regulatory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w:t>
      </w:r>
    </w:p>
    <w:p>
      <w:pPr>
        <w:spacing w:after="0" w:line="104"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Our product candidates must be approved for therapeutic indications by the FDA before they may be marketed in the United States. For drug product candidates regulated under the FD&amp;C Act, FDA must approve a New Drug Application, or NDA. The process generally involves the following:</w:t>
      </w:r>
    </w:p>
    <w:p>
      <w:pPr>
        <w:spacing w:after="0" w:line="103" w:lineRule="exact"/>
        <w:rPr>
          <w:sz w:val="20"/>
          <w:szCs w:val="20"/>
          <w:color w:val="auto"/>
        </w:rPr>
      </w:pPr>
    </w:p>
    <w:p>
      <w:pPr>
        <w:ind w:left="1320" w:right="839" w:hanging="434"/>
        <w:spacing w:after="0" w:line="342" w:lineRule="auto"/>
        <w:tabs>
          <w:tab w:leader="none" w:pos="1311" w:val="left"/>
        </w:tabs>
        <w:numPr>
          <w:ilvl w:val="0"/>
          <w:numId w:val="242"/>
        </w:numPr>
        <w:rPr>
          <w:rFonts w:ascii="Arial" w:cs="Arial" w:eastAsia="Arial" w:hAnsi="Arial"/>
          <w:sz w:val="16"/>
          <w:szCs w:val="16"/>
          <w:color w:val="auto"/>
        </w:rPr>
      </w:pPr>
      <w:r>
        <w:rPr>
          <w:rFonts w:ascii="Arial" w:cs="Arial" w:eastAsia="Arial" w:hAnsi="Arial"/>
          <w:sz w:val="16"/>
          <w:szCs w:val="16"/>
          <w:color w:val="auto"/>
        </w:rPr>
        <w:t>completion of extensive preclinical studies in accordance with applicable regulations, including studies conducted in accordance with good laboratory practice, or GLP, requirements;</w:t>
      </w:r>
    </w:p>
    <w:p>
      <w:pPr>
        <w:spacing w:after="0" w:line="56" w:lineRule="exact"/>
        <w:rPr>
          <w:rFonts w:ascii="Arial" w:cs="Arial" w:eastAsia="Arial" w:hAnsi="Arial"/>
          <w:sz w:val="16"/>
          <w:szCs w:val="16"/>
          <w:color w:val="auto"/>
        </w:rPr>
      </w:pPr>
    </w:p>
    <w:p>
      <w:pPr>
        <w:jc w:val="both"/>
        <w:ind w:left="1320" w:right="539" w:hanging="434"/>
        <w:spacing w:after="0" w:line="263" w:lineRule="auto"/>
        <w:tabs>
          <w:tab w:leader="none" w:pos="131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116" w:lineRule="exact"/>
        <w:rPr>
          <w:rFonts w:ascii="Arial" w:cs="Arial" w:eastAsia="Arial" w:hAnsi="Arial"/>
          <w:sz w:val="18"/>
          <w:szCs w:val="18"/>
          <w:color w:val="auto"/>
        </w:rPr>
      </w:pPr>
    </w:p>
    <w:p>
      <w:pPr>
        <w:ind w:left="1320" w:right="699" w:hanging="434"/>
        <w:spacing w:after="0" w:line="263" w:lineRule="auto"/>
        <w:tabs>
          <w:tab w:leader="none" w:pos="131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clinical trials may begin and must be updated annually and when certain changes are made;</w:t>
      </w:r>
    </w:p>
    <w:p>
      <w:pPr>
        <w:spacing w:after="0" w:line="102"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approval by an institutional review board, or IRB, or independent ethics committee at each clinical trial site before each trial may be initiated;</w:t>
      </w:r>
    </w:p>
    <w:p>
      <w:pPr>
        <w:spacing w:after="0" w:line="102" w:lineRule="exact"/>
        <w:rPr>
          <w:rFonts w:ascii="Arial" w:cs="Arial" w:eastAsia="Arial" w:hAnsi="Arial"/>
          <w:sz w:val="18"/>
          <w:szCs w:val="18"/>
          <w:color w:val="auto"/>
        </w:rPr>
      </w:pPr>
    </w:p>
    <w:p>
      <w:pPr>
        <w:ind w:left="1320" w:right="599" w:hanging="434"/>
        <w:spacing w:after="0" w:line="311" w:lineRule="auto"/>
        <w:tabs>
          <w:tab w:leader="none" w:pos="1311" w:val="left"/>
        </w:tabs>
        <w:numPr>
          <w:ilvl w:val="0"/>
          <w:numId w:val="242"/>
        </w:numPr>
        <w:rPr>
          <w:rFonts w:ascii="Arial" w:cs="Arial" w:eastAsia="Arial" w:hAnsi="Arial"/>
          <w:sz w:val="16"/>
          <w:szCs w:val="16"/>
          <w:color w:val="auto"/>
        </w:rPr>
      </w:pPr>
      <w:r>
        <w:rPr>
          <w:rFonts w:ascii="Arial" w:cs="Arial" w:eastAsia="Arial" w:hAnsi="Arial"/>
          <w:sz w:val="16"/>
          <w:szCs w:val="16"/>
          <w:color w:val="auto"/>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81" w:lineRule="exact"/>
        <w:rPr>
          <w:rFonts w:ascii="Arial" w:cs="Arial" w:eastAsia="Arial" w:hAnsi="Arial"/>
          <w:sz w:val="16"/>
          <w:szCs w:val="16"/>
          <w:color w:val="auto"/>
        </w:rPr>
      </w:pPr>
    </w:p>
    <w:p>
      <w:pPr>
        <w:ind w:left="1300" w:hanging="414"/>
        <w:spacing w:after="0"/>
        <w:tabs>
          <w:tab w:leader="none" w:pos="13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preparation and submission to the FDA of an NDA;</w:t>
      </w:r>
    </w:p>
    <w:p>
      <w:pPr>
        <w:spacing w:after="0" w:line="144" w:lineRule="exact"/>
        <w:rPr>
          <w:rFonts w:ascii="Arial" w:cs="Arial" w:eastAsia="Arial" w:hAnsi="Arial"/>
          <w:sz w:val="18"/>
          <w:szCs w:val="18"/>
          <w:color w:val="auto"/>
        </w:rPr>
      </w:pPr>
    </w:p>
    <w:p>
      <w:pPr>
        <w:ind w:left="1320" w:right="959" w:hanging="434"/>
        <w:spacing w:after="0" w:line="277" w:lineRule="auto"/>
        <w:tabs>
          <w:tab w:leader="none" w:pos="131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application for review;</w:t>
      </w:r>
    </w:p>
    <w:p>
      <w:pPr>
        <w:spacing w:after="0" w:line="102" w:lineRule="exact"/>
        <w:rPr>
          <w:rFonts w:ascii="Arial" w:cs="Arial" w:eastAsia="Arial" w:hAnsi="Arial"/>
          <w:sz w:val="18"/>
          <w:szCs w:val="18"/>
          <w:color w:val="auto"/>
        </w:rPr>
      </w:pPr>
    </w:p>
    <w:p>
      <w:pPr>
        <w:ind w:left="1320" w:right="539" w:hanging="434"/>
        <w:spacing w:after="0" w:line="259" w:lineRule="auto"/>
        <w:tabs>
          <w:tab w:leader="none" w:pos="131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w:t>
      </w:r>
    </w:p>
    <w:p>
      <w:pPr>
        <w:spacing w:after="0" w:line="119" w:lineRule="exact"/>
        <w:rPr>
          <w:rFonts w:ascii="Arial" w:cs="Arial" w:eastAsia="Arial" w:hAnsi="Arial"/>
          <w:sz w:val="18"/>
          <w:szCs w:val="18"/>
          <w:color w:val="auto"/>
        </w:rPr>
      </w:pPr>
    </w:p>
    <w:p>
      <w:pPr>
        <w:ind w:left="1320" w:right="659" w:hanging="434"/>
        <w:spacing w:after="0" w:line="277" w:lineRule="auto"/>
        <w:tabs>
          <w:tab w:leader="none" w:pos="131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satisfactory completion of FDA audit of the clinical trial sites that generated the data in support of the NDA;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5" w:name="page226"/>
    <w:bookmarkEnd w:id="22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payment of user fees for FDA review of the NDA; and</w:t>
      </w:r>
    </w:p>
    <w:p>
      <w:pPr>
        <w:spacing w:after="0" w:line="157" w:lineRule="exact"/>
        <w:rPr>
          <w:rFonts w:ascii="Arial" w:cs="Arial" w:eastAsia="Arial" w:hAnsi="Arial"/>
          <w:sz w:val="18"/>
          <w:szCs w:val="18"/>
          <w:color w:val="auto"/>
        </w:rPr>
      </w:pPr>
    </w:p>
    <w:p>
      <w:pPr>
        <w:ind w:left="1320" w:right="679" w:hanging="434"/>
        <w:spacing w:after="0" w:line="263" w:lineRule="auto"/>
        <w:tabs>
          <w:tab w:leader="none" w:pos="131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FDA review and approval of the NDA, including, where applicable, consideration of the views of any FDA advisory committee, prior to any commercial marketing or sale of the drug in the United States.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studies and clinical trials for drugs</w:t>
      </w:r>
    </w:p>
    <w:p>
      <w:pPr>
        <w:spacing w:after="0" w:line="158" w:lineRule="exact"/>
        <w:rPr>
          <w:sz w:val="20"/>
          <w:szCs w:val="20"/>
          <w:color w:val="auto"/>
        </w:rPr>
      </w:pPr>
    </w:p>
    <w:p>
      <w:pPr>
        <w:ind w:left="460" w:right="659" w:firstLine="432"/>
        <w:spacing w:after="0" w:line="293" w:lineRule="auto"/>
        <w:rPr>
          <w:sz w:val="20"/>
          <w:szCs w:val="20"/>
          <w:color w:val="auto"/>
        </w:rPr>
      </w:pPr>
      <w:r>
        <w:rPr>
          <w:rFonts w:ascii="Arial" w:cs="Arial" w:eastAsia="Arial" w:hAnsi="Arial"/>
          <w:sz w:val="16"/>
          <w:szCs w:val="16"/>
          <w:color w:val="auto"/>
        </w:rPr>
        <w:t xml:space="preserve">Before testing any drug in humans, the product candidate must undergo rigorous preclinical testing. Preclinical studies include laboratory evaluations of product chemistry, formulation and stability, as well as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vitro </w:t>
      </w:r>
      <w:r>
        <w:rPr>
          <w:rFonts w:ascii="Arial" w:cs="Arial" w:eastAsia="Arial" w:hAnsi="Arial"/>
          <w:sz w:val="16"/>
          <w:szCs w:val="16"/>
          <w:color w:val="auto"/>
        </w:rPr>
        <w:t>and animal studies to assess safety and in some cases to establish the rationale for therapeutic use. The</w:t>
      </w:r>
      <w:r>
        <w:rPr>
          <w:rFonts w:ascii="Arial" w:cs="Arial" w:eastAsia="Arial" w:hAnsi="Arial"/>
          <w:sz w:val="16"/>
          <w:szCs w:val="16"/>
          <w:i w:val="1"/>
          <w:iCs w:val="1"/>
          <w:color w:val="auto"/>
        </w:rPr>
        <w:t xml:space="preserve"> </w:t>
      </w:r>
      <w:r>
        <w:rPr>
          <w:rFonts w:ascii="Arial" w:cs="Arial" w:eastAsia="Arial" w:hAnsi="Arial"/>
          <w:sz w:val="16"/>
          <w:szCs w:val="16"/>
          <w:color w:val="auto"/>
        </w:rPr>
        <w:t>conduct of preclinical studies is subject to federal and state regulation and requirements, including GLP requirements for safety/toxicology studies. The results of the preclinical studies, together with manufacturing information and analytical data, must be submitted to the FDA as part of an IND.</w:t>
      </w:r>
    </w:p>
    <w:p>
      <w:pPr>
        <w:spacing w:after="0" w:line="83"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 xml:space="preserve">An IND is a request for authorization from the FDA to administer an investigational product to humans and must be granted and become effective before clinical trials may begin. The central focus of an IND submission is on the general investigational plan and the protocol(s) for clinical studies. The IND also includes the results of animal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full or partial clinical hold. FDA must notify the sponsor of the grounds for the hold and any identified deficiencies must be resolved before the clinical trial can begin. Submission of an IND may result in the FDA not allowing clinical trials to commence or not allowing clinical trials to commence on the terms originally specified in the IND. A clinical hold can also be imposed once a trial has already begun, thereby halting the trial until any safety concerns or deficiencies articulated by FDA are corrected.</w:t>
      </w:r>
    </w:p>
    <w:p>
      <w:pPr>
        <w:spacing w:after="0" w:line="103" w:lineRule="exact"/>
        <w:rPr>
          <w:sz w:val="20"/>
          <w:szCs w:val="20"/>
          <w:color w:val="auto"/>
        </w:rPr>
      </w:pPr>
    </w:p>
    <w:p>
      <w:pPr>
        <w:ind w:left="460" w:right="459" w:firstLine="432"/>
        <w:spacing w:after="0" w:line="267" w:lineRule="auto"/>
        <w:rPr>
          <w:sz w:val="20"/>
          <w:szCs w:val="20"/>
          <w:color w:val="auto"/>
        </w:rPr>
      </w:pPr>
      <w:r>
        <w:rPr>
          <w:rFonts w:ascii="Arial" w:cs="Arial" w:eastAsia="Arial" w:hAnsi="Arial"/>
          <w:sz w:val="17"/>
          <w:szCs w:val="17"/>
          <w:color w:val="auto"/>
        </w:rPr>
        <w:t xml:space="preserve">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 clinical trials, including results for clinical trials other than Phase 1 investigations, must be submitted within specific timeframes for publication on </w:t>
      </w:r>
      <w:r>
        <w:rPr>
          <w:rFonts w:ascii="Arial" w:cs="Arial" w:eastAsia="Arial" w:hAnsi="Arial"/>
          <w:sz w:val="17"/>
          <w:szCs w:val="17"/>
          <w:i w:val="1"/>
          <w:iCs w:val="1"/>
          <w:color w:val="auto"/>
        </w:rPr>
        <w:t>www.ClinicalTrials.gov</w:t>
      </w:r>
      <w:r>
        <w:rPr>
          <w:rFonts w:ascii="Arial" w:cs="Arial" w:eastAsia="Arial" w:hAnsi="Arial"/>
          <w:sz w:val="17"/>
          <w:szCs w:val="17"/>
          <w:color w:val="auto"/>
        </w:rPr>
        <w:t>, a clinical trials database maintained by the National Institutes of Health.</w:t>
      </w:r>
    </w:p>
    <w:p>
      <w:pPr>
        <w:spacing w:after="0" w:line="122"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A sponsor who wishes to conduct a clinical trial outside of the United States may, but need not, obtain FDA authorization to conduct the clinical trial under an IND. If a foreign clinical trial is not conducted under an IND, FDA will nevertheless accept the results of the study in support of an NDA if the study was conducted in accordance with GCP/ICH requirements, and the FDA is able to validate the data through independent analysis and an onsite inspection if deemed necessary.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6" w:name="page227"/>
    <w:bookmarkEnd w:id="22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Clinical trials to evaluate therapeutic indications to support NDAs for marketing approval are typically conducted in three sequential phases, which may overlap.</w:t>
      </w:r>
    </w:p>
    <w:p>
      <w:pPr>
        <w:spacing w:after="0" w:line="103" w:lineRule="exact"/>
        <w:rPr>
          <w:sz w:val="20"/>
          <w:szCs w:val="20"/>
          <w:color w:val="auto"/>
        </w:rPr>
      </w:pPr>
    </w:p>
    <w:p>
      <w:pPr>
        <w:ind w:left="1320" w:right="519" w:hanging="434"/>
        <w:spacing w:after="0" w:line="275" w:lineRule="auto"/>
        <w:tabs>
          <w:tab w:leader="none" w:pos="1311" w:val="left"/>
        </w:tabs>
        <w:numPr>
          <w:ilvl w:val="0"/>
          <w:numId w:val="244"/>
        </w:numPr>
        <w:rPr>
          <w:rFonts w:ascii="Arial" w:cs="Arial" w:eastAsia="Arial" w:hAnsi="Arial"/>
          <w:sz w:val="17"/>
          <w:szCs w:val="17"/>
          <w:color w:val="auto"/>
        </w:rPr>
      </w:pPr>
      <w:r>
        <w:rPr>
          <w:rFonts w:ascii="Arial" w:cs="Arial" w:eastAsia="Arial" w:hAnsi="Arial"/>
          <w:sz w:val="17"/>
          <w:szCs w:val="17"/>
          <w:i w:val="1"/>
          <w:iCs w:val="1"/>
          <w:color w:val="auto"/>
        </w:rPr>
        <w:t xml:space="preserve">Phase 1 </w:t>
      </w:r>
      <w:r>
        <w:rPr>
          <w:rFonts w:ascii="Arial" w:cs="Arial" w:eastAsia="Arial" w:hAnsi="Arial"/>
          <w:sz w:val="17"/>
          <w:szCs w:val="17"/>
          <w:color w:val="auto"/>
        </w:rPr>
        <w:t>— Phase 1 clinical trials involve initial introduction of the investigational product in a</w:t>
      </w:r>
      <w:r>
        <w:rPr>
          <w:rFonts w:ascii="Arial" w:cs="Arial" w:eastAsia="Arial" w:hAnsi="Arial"/>
          <w:sz w:val="17"/>
          <w:szCs w:val="17"/>
          <w:i w:val="1"/>
          <w:iCs w:val="1"/>
          <w:color w:val="auto"/>
        </w:rPr>
        <w:t xml:space="preserve"> </w:t>
      </w:r>
      <w:r>
        <w:rPr>
          <w:rFonts w:ascii="Arial" w:cs="Arial" w:eastAsia="Arial" w:hAnsi="Arial"/>
          <w:sz w:val="17"/>
          <w:szCs w:val="17"/>
          <w:color w:val="auto"/>
        </w:rPr>
        <w:t>limited population of healthy human volunteers or patients with the 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w:t>
      </w:r>
    </w:p>
    <w:p>
      <w:pPr>
        <w:spacing w:after="0" w:line="108" w:lineRule="exact"/>
        <w:rPr>
          <w:rFonts w:ascii="Arial" w:cs="Arial" w:eastAsia="Arial" w:hAnsi="Arial"/>
          <w:sz w:val="17"/>
          <w:szCs w:val="17"/>
          <w:color w:val="auto"/>
        </w:rPr>
      </w:pPr>
    </w:p>
    <w:p>
      <w:pPr>
        <w:ind w:left="1320" w:right="499" w:hanging="434"/>
        <w:spacing w:after="0" w:line="259" w:lineRule="auto"/>
        <w:tabs>
          <w:tab w:leader="none" w:pos="1311"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 Phase 2 clinical trials typically involve administration of the investigational product to a</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patient population with a specified disease or condition to evaluate the drug’s potential efficacy, to determine the optimal dosages and dosing schedule and to identify possible adverse side effects and safety risks.</w:t>
      </w:r>
    </w:p>
    <w:p>
      <w:pPr>
        <w:spacing w:after="0" w:line="105" w:lineRule="exact"/>
        <w:rPr>
          <w:rFonts w:ascii="Arial" w:cs="Arial" w:eastAsia="Arial" w:hAnsi="Arial"/>
          <w:sz w:val="18"/>
          <w:szCs w:val="18"/>
          <w:color w:val="auto"/>
        </w:rPr>
      </w:pPr>
    </w:p>
    <w:p>
      <w:pPr>
        <w:ind w:left="1320" w:right="639" w:hanging="434"/>
        <w:spacing w:after="0" w:line="254" w:lineRule="auto"/>
        <w:tabs>
          <w:tab w:leader="none" w:pos="1311"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 Phase 3 clinical trials typically involve administration of the investigational product to</w:t>
      </w:r>
      <w:r>
        <w:rPr>
          <w:rFonts w:ascii="Arial" w:cs="Arial" w:eastAsia="Arial" w:hAnsi="Arial"/>
          <w:sz w:val="18"/>
          <w:szCs w:val="18"/>
          <w:i w:val="1"/>
          <w:iCs w:val="1"/>
          <w:color w:val="auto"/>
        </w:rPr>
        <w:t xml:space="preserve"> </w:t>
      </w:r>
      <w:r>
        <w:rPr>
          <w:rFonts w:ascii="Arial" w:cs="Arial" w:eastAsia="Arial" w:hAnsi="Arial"/>
          <w:sz w:val="18"/>
          <w:szCs w:val="18"/>
          <w:color w:val="auto"/>
        </w:rPr>
        <w:t>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 Generally, two adequate and well-controlled Phase 3 trials are required by the FDA for approval of an NDA.</w:t>
      </w:r>
    </w:p>
    <w:p>
      <w:pPr>
        <w:spacing w:after="0" w:line="127"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In August 2018, the FDA released a draft guidance 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drug development and reduce development costs and time.</w:t>
      </w:r>
    </w:p>
    <w:p>
      <w:pPr>
        <w:spacing w:after="0" w:line="110" w:lineRule="exact"/>
        <w:rPr>
          <w:sz w:val="20"/>
          <w:szCs w:val="20"/>
          <w:color w:val="auto"/>
        </w:rPr>
      </w:pPr>
    </w:p>
    <w:p>
      <w:pPr>
        <w:ind w:left="460" w:right="719" w:firstLine="432"/>
        <w:spacing w:after="0" w:line="275" w:lineRule="auto"/>
        <w:rPr>
          <w:sz w:val="20"/>
          <w:szCs w:val="20"/>
          <w:color w:val="auto"/>
        </w:rPr>
      </w:pPr>
      <w:r>
        <w:rPr>
          <w:rFonts w:ascii="Arial" w:cs="Arial" w:eastAsia="Arial" w:hAnsi="Arial"/>
          <w:sz w:val="17"/>
          <w:szCs w:val="17"/>
          <w:color w:val="auto"/>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completion of Phase 4 clinical trials as a condition of NDA approval.</w:t>
      </w:r>
    </w:p>
    <w:p>
      <w:pPr>
        <w:spacing w:after="0" w:line="95"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 xml:space="preserve">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98" w:lineRule="exact"/>
        <w:rPr>
          <w:sz w:val="20"/>
          <w:szCs w:val="20"/>
          <w:color w:val="auto"/>
        </w:rPr>
      </w:pPr>
    </w:p>
    <w:p>
      <w:pPr>
        <w:ind w:left="460" w:right="599" w:firstLine="432"/>
        <w:spacing w:after="0" w:line="271"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marketing approval for drugs</w:t>
      </w:r>
    </w:p>
    <w:p>
      <w:pPr>
        <w:spacing w:after="0" w:line="158"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package requesting approval to market the product for one or more indications. An NDA is a request for approval to market a new drug for one</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27" w:name="page228"/>
    <w:bookmarkEnd w:id="22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53" w:lineRule="auto"/>
        <w:rPr>
          <w:sz w:val="20"/>
          <w:szCs w:val="20"/>
          <w:color w:val="auto"/>
        </w:rPr>
      </w:pPr>
      <w:r>
        <w:rPr>
          <w:rFonts w:ascii="Arial" w:cs="Arial" w:eastAsia="Arial" w:hAnsi="Arial"/>
          <w:sz w:val="18"/>
          <w:szCs w:val="18"/>
          <w:color w:val="auto"/>
        </w:rPr>
        <w:t>or more specified indications and must contain proof of the drug’s safety and efficacy for the requested indications. The marketing application is required to include both negative and ambiguous results of preclinical studies and clinical trials, as well as positive findings, together with detailed information relating to the product’s chemistry, manufacturing, controls, and proposed labeling, among other things.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drug to the satisfaction of the FDA. FDA must approve an NDA before a drug may be marketed in the United States.</w:t>
      </w:r>
    </w:p>
    <w:p>
      <w:pPr>
        <w:spacing w:after="0" w:line="129" w:lineRule="exact"/>
        <w:rPr>
          <w:sz w:val="20"/>
          <w:szCs w:val="20"/>
          <w:color w:val="auto"/>
        </w:rPr>
      </w:pPr>
    </w:p>
    <w:p>
      <w:pPr>
        <w:ind w:left="460" w:right="539" w:firstLine="432"/>
        <w:spacing w:after="0" w:line="268" w:lineRule="auto"/>
        <w:rPr>
          <w:sz w:val="20"/>
          <w:szCs w:val="20"/>
          <w:color w:val="auto"/>
        </w:rPr>
      </w:pPr>
      <w:r>
        <w:rPr>
          <w:rFonts w:ascii="Arial" w:cs="Arial" w:eastAsia="Arial" w:hAnsi="Arial"/>
          <w:sz w:val="17"/>
          <w:szCs w:val="17"/>
          <w:color w:val="auto"/>
        </w:rPr>
        <w:t>The FDA reviews all submitted NDAs to ensure they are sufficiently complete to permit substantive review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in-depth substantive review of the NDA. The FDA reviews an NDA to determine, among other things, whether the product is safe and effective for the indications sought and whether the facility in which it is manufactured, processed, packaged or held meets standards designed, including cGMP requirements, designed to assure and preserve the product’s continued identity, strength, quality and purity. Under the goals and polices agreed to by the FDA under the Prescription Drug User Fee Act, or PDUFA, the FDA targets ten months, from the filing date, in which to complete its initial review of a new molecular entity NDA and respond to the applicant, and six months from the filing date of a new molecular entity NDA for priority review. The FDA does not always meet its PDUFA goal dates for standard or priority NDAs, and the review process is often extended by FDA requests for additional information or clarification.</w:t>
      </w:r>
    </w:p>
    <w:p>
      <w:pPr>
        <w:spacing w:after="0" w:line="119"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Further, under PDUFA, as amended, each NDA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07"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The FDA also may require submission of a Risk Evaluation and Mitigation Strategy, or REMS, if it believes that a risk evaluation and mitigation strategy is necessary to ensure that the benefits of the drug outweigh its risks. A REMS can include use of risk evaluation and mitigation strategies like medication guides, physician communication plans, assessment plans, and/or elements to assure safe use, such as restricted distribution methods, patient registries, special monitoring or other risk-minimization tools.</w:t>
      </w:r>
    </w:p>
    <w:p>
      <w:pPr>
        <w:spacing w:after="0" w:line="109"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20"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the FDA may inspect one or more clinical trial sites to assure compliance with GCP and other requirements and the integrity of the clinical data submitted to the FDA.</w:t>
      </w:r>
    </w:p>
    <w:p>
      <w:pPr>
        <w:spacing w:after="0" w:line="111"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generally contains a statement of specific conditions that must be met in order to secure final approval of the NDA,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require additional clinical or preclinical testing or recommend other actions, such as requests for additional information or clarification, that the applicant might take in order for the FDA to reconsider the application. Even with submission</w:t>
      </w:r>
    </w:p>
    <w:p>
      <w:pPr>
        <w:sectPr>
          <w:pgSz w:w="11900" w:h="16838" w:orient="portrait"/>
          <w:cols w:equalWidth="0" w:num="1">
            <w:col w:w="9019"/>
          </w:cols>
          <w:pgMar w:left="1440" w:top="274" w:right="1440" w:bottom="1440" w:gutter="0" w:footer="0" w:header="0"/>
        </w:sectPr>
      </w:pP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28" w:name="page229"/>
    <w:bookmarkEnd w:id="22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spacing w:after="0" w:line="259" w:lineRule="auto"/>
        <w:rPr>
          <w:sz w:val="20"/>
          <w:szCs w:val="20"/>
          <w:color w:val="auto"/>
        </w:rPr>
      </w:pPr>
      <w:r>
        <w:rPr>
          <w:rFonts w:ascii="Arial" w:cs="Arial" w:eastAsia="Arial" w:hAnsi="Arial"/>
          <w:sz w:val="18"/>
          <w:szCs w:val="18"/>
          <w:color w:val="auto"/>
        </w:rPr>
        <w:t>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19"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15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Under the Orphan Drug Act, the FDA may grant orphan drug designation to a drug intended to treat a rare disease or condition, which is a disease or condition with either a patient population of fewer than 200,000 individuals in the United States, or a patient population greater than 200,000 individuals in the United States when there is no reasonable expectation that the cost of developing and making the product available in the United States for the disease or condition will be recovered from sales of the product. Orphan drug designation must be requested before submitting an NDA.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104" w:lineRule="exact"/>
        <w:rPr>
          <w:sz w:val="20"/>
          <w:szCs w:val="20"/>
          <w:color w:val="auto"/>
        </w:rPr>
      </w:pPr>
    </w:p>
    <w:p>
      <w:pPr>
        <w:ind w:left="460" w:right="539" w:firstLine="432"/>
        <w:spacing w:after="0" w:line="268"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Expedited development and review programs for drugs</w:t>
      </w:r>
    </w:p>
    <w:p>
      <w:pPr>
        <w:spacing w:after="0" w:line="158"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and the purpose of these programs is to either expedite the development or review of important new drugs to get them to patients more quickly than standard FDA review timelines typically permit.</w:t>
      </w:r>
    </w:p>
    <w:p>
      <w:pPr>
        <w:spacing w:after="0" w:line="94"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A new drug is eligible for Fast Track designation if it is intended to treat a serious or life-threatening disease or condition and demonstrates the potential to address unmet medical needs for such disease or condition. Fast track designation applies to the combination of the product candidate and the specific indication for which it is being studied. Fast Track designation provides increased opportunities for sponsor interactions with the FDA during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9" w:name="page230"/>
    <w:bookmarkEnd w:id="22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63" w:lineRule="auto"/>
        <w:rPr>
          <w:sz w:val="20"/>
          <w:szCs w:val="20"/>
          <w:color w:val="auto"/>
        </w:rPr>
      </w:pPr>
      <w:r>
        <w:rPr>
          <w:rFonts w:ascii="Arial" w:cs="Arial" w:eastAsia="Arial" w:hAnsi="Arial"/>
          <w:sz w:val="18"/>
          <w:szCs w:val="18"/>
          <w:color w:val="auto"/>
        </w:rPr>
        <w:t>preclinical and clinical development, in addition to the potential for rolling review once a marketing application is filed. Rolling review means that the FDA may review portions of the marketing application before the sponsor submits the complete application.</w:t>
      </w:r>
    </w:p>
    <w:p>
      <w:pPr>
        <w:spacing w:after="0" w:line="116"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In addition, a new drug may be eligible for Breakthrough Therapy designation if it is intended to treat a serious or life-threatening disease or condition and preliminary clinical evidence indicates that the drug, alone or in combination with one or more other drugs,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product development program beginning as early as Phase 1, and FDA organizational commitment to expedited development, including involvement of senior managers and experienced review staff in a cross-disciplinary review, where appropriate.</w:t>
      </w:r>
    </w:p>
    <w:p>
      <w:pPr>
        <w:spacing w:after="0" w:line="98"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once an NDA is submitted, if the product that is the subject of the marketing application has the potential to provide a significant improvement in safety or effectiveness in the treatment, diagnosis or prevention of a serious disease or condition. Under priority review, the FDA’s goal date to take action on the marketing application is six months compared to ten months for a standard review.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98"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Accelerated Approval is usually contingent on a sponsor’s agreement to conduct, in a diligent manner, adequate and well-controlled additional post-approval confirmatory studies to verify and describe the product’s clinical benefit. The FDA may withdraw approval of a drug or an indication approved under Accelerated Approval if, for example, the confirmatory trial fails to verify the predicted clinical benefit of the product. In addition, the FDA generally requires, as a condition for Accelerated Approval, that all advertising and promotional materials intended for dissemination or publication within 120 days of marketing approval be submitted to the agency for review during the pre-approval review period. After the 120-day period has passed, all advertising and promotional materials must be submitted at least 30 days prior to the intended time of initial dissemination or publication.</w:t>
      </w:r>
    </w:p>
    <w:p>
      <w:pPr>
        <w:spacing w:after="0" w:line="113"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though they may expedite the development or review process.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Pediatric information and pediatric exclusivity</w:t>
      </w:r>
    </w:p>
    <w:p>
      <w:pPr>
        <w:spacing w:after="0" w:line="158"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Under the Pediatric Research Equity Act, or PREA, as amended, certain NDAs and NDA supplements must contain data that can be used to assess the safety and efficacy of the product candidate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product candidate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0" w:name="page231"/>
    <w:bookmarkEnd w:id="23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39"/>
        <w:spacing w:after="0" w:line="271" w:lineRule="auto"/>
        <w:rPr>
          <w:sz w:val="20"/>
          <w:szCs w:val="20"/>
          <w:color w:val="auto"/>
        </w:rPr>
      </w:pPr>
      <w:r>
        <w:rPr>
          <w:rFonts w:ascii="Arial" w:cs="Arial" w:eastAsia="Arial" w:hAnsi="Arial"/>
          <w:sz w:val="17"/>
          <w:szCs w:val="17"/>
          <w:color w:val="auto"/>
        </w:rPr>
        <w:t>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 Unless otherwise required by regulation, PREA does not apply to a drug for an indication for which orphan designation has been granted, except that PREA will apply to an original NDA for a new active ingredient that is orphan-designated if the drug is a molecularly targeted cancer product intended for the treatment of an adult cancer and is directed at a molecular target that FDA determines to be substantially relevant to the growth or progression of a pediatric cancer.</w:t>
      </w:r>
    </w:p>
    <w:p>
      <w:pPr>
        <w:spacing w:after="0" w:line="111" w:lineRule="exact"/>
        <w:rPr>
          <w:sz w:val="20"/>
          <w:szCs w:val="20"/>
          <w:color w:val="auto"/>
        </w:rPr>
      </w:pPr>
    </w:p>
    <w:p>
      <w:pPr>
        <w:ind w:left="460" w:right="619" w:firstLine="432"/>
        <w:spacing w:after="0" w:line="301" w:lineRule="auto"/>
        <w:rPr>
          <w:sz w:val="20"/>
          <w:szCs w:val="20"/>
          <w:color w:val="auto"/>
        </w:rPr>
      </w:pPr>
      <w:r>
        <w:rPr>
          <w:rFonts w:ascii="Arial" w:cs="Arial" w:eastAsia="Arial" w:hAnsi="Arial"/>
          <w:sz w:val="16"/>
          <w:szCs w:val="16"/>
          <w:color w:val="auto"/>
        </w:rPr>
        <w:t>A drug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post-approval requirements for drugs</w:t>
      </w:r>
    </w:p>
    <w:p>
      <w:pPr>
        <w:spacing w:after="0" w:line="15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including investigation by federal and state authorities. Failure to comply with these requirements can result in, among other things, adverse publicity, warning letters, corrective advertising and potential civil and criminal penalties, including liabilities under the False Claims Act where products are obtain reimbursement under federal health care programs. Promotional materials for approved drugs must be submitted to the FDA in conjunction with their first use or first publication. Further, if there are 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w:t>
      </w:r>
    </w:p>
    <w:p>
      <w:pPr>
        <w:spacing w:after="0" w:line="93"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The FDA may impose a number of post-approval requirements as a condition of approval of an NDA. For example, the FDA may require post-market testing, including Phase 4 clinical trials, and surveillance to further assess and monitor the product’s safety and effectiveness after commercialization. In addition,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on sponsors and their CMOs.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 party manufacturers that a sponsor may use. Accordingly, manufacturers must continue to expend time money and effort in the area of production and quality control to maintain compliance with cGMP and other aspects of regulatory compliance. Failure to comply with statutory and regulatory requirements may subject a manufacturer to possible legal or regulatory action, such as warning letters, suspension of manufacturing, product seizures, injunctions, civil penalties or criminal prosecution. There is also a continuing, annual program user fee for any marketed product.</w:t>
      </w:r>
    </w:p>
    <w:p>
      <w:pPr>
        <w:spacing w:after="0" w:line="327"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The FDA may withdraw approval of a product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1" w:name="page232"/>
    <w:bookmarkEnd w:id="23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spacing w:after="0" w:line="263" w:lineRule="auto"/>
        <w:rPr>
          <w:sz w:val="20"/>
          <w:szCs w:val="20"/>
          <w:color w:val="auto"/>
        </w:rPr>
      </w:pPr>
      <w:r>
        <w:rPr>
          <w:rFonts w:ascii="Arial" w:cs="Arial" w:eastAsia="Arial" w:hAnsi="Arial"/>
          <w:sz w:val="18"/>
          <w:szCs w:val="18"/>
          <w:color w:val="auto"/>
        </w:rPr>
        <w:t>add new safety information, requirements for post-market studies or clinical trials to assess new safety risks, or imposition of distribution or other restrictions under a REMS. Other potential consequences include, among other things:</w:t>
      </w:r>
    </w:p>
    <w:p>
      <w:pPr>
        <w:spacing w:after="0" w:line="116" w:lineRule="exact"/>
        <w:rPr>
          <w:sz w:val="20"/>
          <w:szCs w:val="20"/>
          <w:color w:val="auto"/>
        </w:rPr>
      </w:pPr>
    </w:p>
    <w:p>
      <w:pPr>
        <w:ind w:left="1320" w:right="639" w:hanging="434"/>
        <w:spacing w:after="0" w:line="277" w:lineRule="auto"/>
        <w:tabs>
          <w:tab w:leader="none" w:pos="1311" w:val="left"/>
        </w:tabs>
        <w:numPr>
          <w:ilvl w:val="0"/>
          <w:numId w:val="24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02" w:lineRule="exact"/>
        <w:rPr>
          <w:rFonts w:ascii="Arial" w:cs="Arial" w:eastAsia="Arial" w:hAnsi="Arial"/>
          <w:sz w:val="18"/>
          <w:szCs w:val="18"/>
          <w:color w:val="auto"/>
        </w:rPr>
      </w:pPr>
    </w:p>
    <w:p>
      <w:pPr>
        <w:jc w:val="both"/>
        <w:ind w:left="1320" w:right="1639" w:hanging="434"/>
        <w:spacing w:after="0" w:line="381" w:lineRule="auto"/>
        <w:tabs>
          <w:tab w:leader="none" w:pos="1311" w:val="left"/>
        </w:tabs>
        <w:numPr>
          <w:ilvl w:val="0"/>
          <w:numId w:val="245"/>
        </w:numPr>
        <w:rPr>
          <w:rFonts w:ascii="Arial" w:cs="Arial" w:eastAsia="Arial" w:hAnsi="Arial"/>
          <w:sz w:val="15"/>
          <w:szCs w:val="15"/>
          <w:color w:val="auto"/>
        </w:rPr>
      </w:pPr>
      <w:r>
        <w:rPr>
          <w:rFonts w:ascii="Arial" w:cs="Arial" w:eastAsia="Arial" w:hAnsi="Arial"/>
          <w:sz w:val="15"/>
          <w:szCs w:val="15"/>
          <w:color w:val="auto"/>
        </w:rPr>
        <w:t>the issuance of safety alerts, Dear Healthcare Provider letters, press releases or other communications containing warnings or other safety information about the product;</w:t>
      </w:r>
    </w:p>
    <w:p>
      <w:pPr>
        <w:spacing w:after="0" w:line="19" w:lineRule="exact"/>
        <w:rPr>
          <w:rFonts w:ascii="Arial" w:cs="Arial" w:eastAsia="Arial" w:hAnsi="Arial"/>
          <w:sz w:val="15"/>
          <w:szCs w:val="15"/>
          <w:color w:val="auto"/>
        </w:rPr>
      </w:pPr>
    </w:p>
    <w:p>
      <w:pPr>
        <w:ind w:left="1300" w:hanging="414"/>
        <w:spacing w:after="0"/>
        <w:tabs>
          <w:tab w:leader="none" w:pos="13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57"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245"/>
        </w:numPr>
        <w:rPr>
          <w:rFonts w:ascii="Arial" w:cs="Arial" w:eastAsia="Arial" w:hAnsi="Arial"/>
          <w:sz w:val="18"/>
          <w:szCs w:val="18"/>
          <w:color w:val="auto"/>
        </w:rPr>
      </w:pPr>
      <w:r>
        <w:rPr>
          <w:rFonts w:ascii="Arial" w:cs="Arial" w:eastAsia="Arial" w:hAnsi="Arial"/>
          <w:sz w:val="18"/>
          <w:szCs w:val="18"/>
          <w:color w:val="auto"/>
        </w:rPr>
        <w:t>refusal of the FDA to approve applications or supplements to approved applications, or suspension or revocation of product approvals;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157" w:lineRule="exact"/>
        <w:rPr>
          <w:rFonts w:ascii="Arial" w:cs="Arial" w:eastAsia="Arial" w:hAnsi="Arial"/>
          <w:sz w:val="18"/>
          <w:szCs w:val="18"/>
          <w:color w:val="auto"/>
        </w:rPr>
      </w:pPr>
    </w:p>
    <w:p>
      <w:pPr>
        <w:ind w:left="1320" w:right="779" w:hanging="434"/>
        <w:spacing w:after="0" w:line="263" w:lineRule="auto"/>
        <w:tabs>
          <w:tab w:leader="none" w:pos="1311" w:val="left"/>
        </w:tabs>
        <w:numPr>
          <w:ilvl w:val="0"/>
          <w:numId w:val="245"/>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 or mandated modification of promotional materials and labeling and issuance of corrective information.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Regulation of companion diagnostics</w:t>
      </w:r>
    </w:p>
    <w:p>
      <w:pPr>
        <w:spacing w:after="0" w:line="158" w:lineRule="exact"/>
        <w:rPr>
          <w:sz w:val="20"/>
          <w:szCs w:val="20"/>
          <w:color w:val="auto"/>
        </w:rPr>
      </w:pPr>
    </w:p>
    <w:p>
      <w:pPr>
        <w:ind w:left="460" w:right="659" w:firstLine="432"/>
        <w:spacing w:after="0" w:line="287" w:lineRule="auto"/>
        <w:rPr>
          <w:sz w:val="20"/>
          <w:szCs w:val="20"/>
          <w:color w:val="auto"/>
        </w:rPr>
      </w:pPr>
      <w:r>
        <w:rPr>
          <w:rFonts w:ascii="Arial" w:cs="Arial" w:eastAsia="Arial" w:hAnsi="Arial"/>
          <w:sz w:val="16"/>
          <w:szCs w:val="16"/>
          <w:color w:val="auto"/>
        </w:rPr>
        <w:t>Companion diagnostics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regulated as medical devices by the FDA. In the United States, the FD&amp;C Act,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or approval from the FDA prior to commercialization. The two primary types of FDA marketing authorization applicable to a medical device are clearance of a premarket notification, or 510(k), and approval of a premarket approval application, or PMA.</w:t>
      </w:r>
    </w:p>
    <w:p>
      <w:pPr>
        <w:spacing w:after="0" w:line="87"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To obtain 510(k) clearance for a medical device, or for certain modifications to devices that have received 510(k) clearance, a manufacturer must submit a premarket notification demonstrating that the proposed device is substantially equivalent to a previously cleared 510(k) device or to a pre-amendment device that was in commercial distribution before May 28, 1976, or a predicate device, for which the FDA has not yet called for the submission of a PMA. In making a determination that the device is substantially equivalent to a predicate device, the FDA compares the proposed device to the predicate device and assesses whether the subject device is comparable to the predicate device with respect to intended use, technology, design and other features which could affect safety and effectiveness. If the FDA determines that the subject device is substantially equivalent to the predicate device, the subject device may be cleared for marketing. The 510(k) premarket notification pathway generally takes from three to twelve months from the date the application is completed, but can take significantly longer.</w:t>
      </w:r>
    </w:p>
    <w:p>
      <w:pPr>
        <w:spacing w:after="0" w:line="11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A PMA must be supported by valid scientific evidence, which typically requires extensive data, including technical, preclinical, clinical and manufacturing data, to demonstrate to the FDA’s satisfaction the safety and effectiveness of the device. For diagnostic tests, a PMA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The FDA’s review of an initial PMA is required by statute to take between six to ten months, although the process typically takes longer, and may require several years to complete. If the FDA evaluations of both the PMA and the manufacturing facilities are favorable, the FDA will either issue an approval letter or an approvable letter, which usually contains a number of conditions that must be met in order to secure the final approval of the PMA. If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2" w:name="page233"/>
    <w:bookmarkEnd w:id="23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spacing w:after="0" w:line="296" w:lineRule="auto"/>
        <w:rPr>
          <w:sz w:val="20"/>
          <w:szCs w:val="20"/>
          <w:color w:val="auto"/>
        </w:rPr>
      </w:pPr>
      <w:r>
        <w:rPr>
          <w:rFonts w:ascii="Arial" w:cs="Arial" w:eastAsia="Arial" w:hAnsi="Arial"/>
          <w:sz w:val="16"/>
          <w:szCs w:val="16"/>
          <w:color w:val="auto"/>
        </w:rPr>
        <w:t>FDA’s evaluation of the PMA or manufacturing facilities is not favorable, the FDA will deny the approval of the PMA or issue a not approvable letter. A not approvable letter will outline the deficiencies in the application and, where practical, will identify what is necessary to make the PMA approvable. Once granted, PMA approval may be withdrawn by the FDA if compliance with post-approval requirements, conditions of approval or other regulatory standards is not maintained or problems are identified following initial marketing.</w:t>
      </w:r>
    </w:p>
    <w:p>
      <w:pPr>
        <w:spacing w:after="0" w:line="9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 xml:space="preserve">On July 31, 2014, the FDA issued a final guidance document addressing the development and approval process for “In Vitro Companion Diagnostic Devices.” According to the guidance document, for novel therapeutic products that depend on the use of a diagnostic test and where the diagnostic device could be essential for the safe and effective use of the corresponding therapeutic product, the companion diagnostic device should be developed and approved or cleared contemporaneously with the therapeutic, although the FDA recognizes that there may be cases when contemporaneous development may not be possible. However, in cases where a drug cannot be used safely or effectively without the companion diagnostic, the FDA’s guidance indicates it will generally not approve the drug without the approval or clearance of the diagnostic device. The FDA also issued a draft guidance in July 2016 setting forth the principles for co-development of an in vitro companion diagnostic device with a therapeutic product. The draft guidance describes principles to guide the development and contemporaneous marketing authorization for the therapeutic product and its corresponding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companion diagnostic.</w:t>
      </w:r>
    </w:p>
    <w:p>
      <w:pPr>
        <w:spacing w:after="0" w:line="111"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Once cleared or approved, the companion diagnostic device must adhere to post-marketing requirements including the requirements of the FDA’s QSR, adverse event reporting, recalls and corrections along with product marketing requirements and limitations. Like drug makers, companion diagnostic makers are subject to unannounced FDA inspections at any time during which the FDA will conduct an audit of the product(s) and the company’s facilities for compliance with its authorities.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144" w:lineRule="exact"/>
        <w:rPr>
          <w:sz w:val="20"/>
          <w:szCs w:val="20"/>
          <w:color w:val="auto"/>
        </w:rPr>
      </w:pPr>
    </w:p>
    <w:p>
      <w:pPr>
        <w:ind w:left="460" w:right="579" w:firstLine="432"/>
        <w:spacing w:after="0" w:line="272" w:lineRule="auto"/>
        <w:rPr>
          <w:sz w:val="20"/>
          <w:szCs w:val="20"/>
          <w:color w:val="auto"/>
        </w:rPr>
      </w:pPr>
      <w:r>
        <w:rPr>
          <w:rFonts w:ascii="Arial" w:cs="Arial" w:eastAsia="Arial" w:hAnsi="Arial"/>
          <w:sz w:val="17"/>
          <w:szCs w:val="17"/>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the U.S.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58" w:lineRule="exact"/>
        <w:rPr>
          <w:sz w:val="20"/>
          <w:szCs w:val="20"/>
          <w:color w:val="auto"/>
        </w:rPr>
      </w:pPr>
    </w:p>
    <w:p>
      <w:pPr>
        <w:ind w:left="460" w:right="639" w:firstLine="432"/>
        <w:spacing w:after="0" w:line="271" w:lineRule="auto"/>
        <w:rPr>
          <w:sz w:val="20"/>
          <w:szCs w:val="20"/>
          <w:color w:val="auto"/>
        </w:rPr>
      </w:pPr>
      <w:r>
        <w:rPr>
          <w:rFonts w:ascii="Arial" w:cs="Arial" w:eastAsia="Arial" w:hAnsi="Arial"/>
          <w:sz w:val="17"/>
          <w:szCs w:val="17"/>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certain liabilities and other healthcare laws and regulations that may constrain the business or financial arrangements and relationships through which we develop, market, sell and distribute any drugs for which we obtain marketing approval. In the United States, these laws include, without limitation, state and federal anti-kickback, false claims, physician transparency, and patient data privacy and security laws and regulations, including but not limited to those described below.</w:t>
      </w:r>
    </w:p>
    <w:p>
      <w:pPr>
        <w:spacing w:after="0" w:line="111" w:lineRule="exact"/>
        <w:rPr>
          <w:sz w:val="20"/>
          <w:szCs w:val="20"/>
          <w:color w:val="auto"/>
        </w:rPr>
      </w:pPr>
    </w:p>
    <w:p>
      <w:pPr>
        <w:ind w:left="1320" w:right="539" w:hanging="434"/>
        <w:spacing w:after="0" w:line="287" w:lineRule="auto"/>
        <w:tabs>
          <w:tab w:leader="none" w:pos="1311"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and entities from knowingly and willfully soliciting, offering, paying, receiving or providing any remuneration (including any kickback, bribe,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that includes items or services resulting from a violation of the federal Anti-Kickback Statute constitutes a false or fraudulent claim for purposes of the civil False Claims Act.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3" w:name="page234"/>
    <w:bookmarkEnd w:id="23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39" w:hanging="434"/>
        <w:spacing w:after="0" w:line="268" w:lineRule="auto"/>
        <w:tabs>
          <w:tab w:leader="none" w:pos="1311"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civil False Claims Act, or FCA,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False Claims Act, the government may impose civil fines and penalties for each false claim, plus treble damages, and exclude the entity from participation in Medicare, Medicaid and other federal healthcare programs.</w:t>
      </w:r>
    </w:p>
    <w:p>
      <w:pPr>
        <w:spacing w:after="0" w:line="116" w:lineRule="exact"/>
        <w:rPr>
          <w:rFonts w:ascii="Arial" w:cs="Arial" w:eastAsia="Arial" w:hAnsi="Arial"/>
          <w:sz w:val="17"/>
          <w:szCs w:val="17"/>
          <w:color w:val="auto"/>
        </w:rPr>
      </w:pPr>
    </w:p>
    <w:p>
      <w:pPr>
        <w:jc w:val="both"/>
        <w:ind w:left="1320" w:right="559" w:hanging="434"/>
        <w:spacing w:after="0" w:line="263" w:lineRule="auto"/>
        <w:tabs>
          <w:tab w:leader="none" w:pos="131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federal civil monetary penalties laws impose civil fines for, among other things, the offering or transfer or remuneration to a Medicare or state healthcare program beneficiary, if the person knows or</w:t>
      </w:r>
    </w:p>
    <w:p>
      <w:pPr>
        <w:spacing w:after="0" w:line="116" w:lineRule="exact"/>
        <w:rPr>
          <w:rFonts w:ascii="Arial" w:cs="Arial" w:eastAsia="Arial" w:hAnsi="Arial"/>
          <w:sz w:val="18"/>
          <w:szCs w:val="18"/>
          <w:color w:val="auto"/>
        </w:rPr>
      </w:pPr>
    </w:p>
    <w:p>
      <w:pPr>
        <w:jc w:val="both"/>
        <w:ind w:left="1320" w:right="499" w:hanging="434"/>
        <w:spacing w:after="0" w:line="263" w:lineRule="auto"/>
        <w:tabs>
          <w:tab w:leader="none" w:pos="131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should know it is likely to influence the beneficiary’s selection of a particular provider, practitioner, or supplier of services reimbursable by Medicare or a state health care program, unless an exception applies.</w:t>
      </w:r>
    </w:p>
    <w:p>
      <w:pPr>
        <w:spacing w:after="0" w:line="102" w:lineRule="exact"/>
        <w:rPr>
          <w:rFonts w:ascii="Arial" w:cs="Arial" w:eastAsia="Arial" w:hAnsi="Arial"/>
          <w:sz w:val="18"/>
          <w:szCs w:val="18"/>
          <w:color w:val="auto"/>
        </w:rPr>
      </w:pPr>
    </w:p>
    <w:p>
      <w:pPr>
        <w:ind w:left="1320" w:right="499" w:hanging="434"/>
        <w:spacing w:after="0" w:line="253" w:lineRule="auto"/>
        <w:tabs>
          <w:tab w:leader="none" w:pos="131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or HIPAA,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 Similar to the federal Anti-Kickback Statute, a person or entity may be found guilty of violating HIPAA without actual knowledge of the statute or specific intent to violate it.</w:t>
      </w:r>
    </w:p>
    <w:p>
      <w:pPr>
        <w:spacing w:after="0" w:line="128" w:lineRule="exact"/>
        <w:rPr>
          <w:rFonts w:ascii="Arial" w:cs="Arial" w:eastAsia="Arial" w:hAnsi="Arial"/>
          <w:sz w:val="18"/>
          <w:szCs w:val="18"/>
          <w:color w:val="auto"/>
        </w:rPr>
      </w:pPr>
    </w:p>
    <w:p>
      <w:pPr>
        <w:ind w:left="1320" w:right="499" w:hanging="434"/>
        <w:spacing w:after="0" w:line="289" w:lineRule="auto"/>
        <w:tabs>
          <w:tab w:leader="none" w:pos="1311" w:val="left"/>
        </w:tabs>
        <w:numPr>
          <w:ilvl w:val="0"/>
          <w:numId w:val="247"/>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respective implementing regulations, impose, among other things, specified requirements on covered entities and their respective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98" w:lineRule="exact"/>
        <w:rPr>
          <w:rFonts w:ascii="Arial" w:cs="Arial" w:eastAsia="Arial" w:hAnsi="Arial"/>
          <w:sz w:val="16"/>
          <w:szCs w:val="16"/>
          <w:color w:val="auto"/>
        </w:rPr>
      </w:pPr>
    </w:p>
    <w:p>
      <w:pPr>
        <w:ind w:left="1320" w:right="479" w:hanging="434"/>
        <w:spacing w:after="0" w:line="269" w:lineRule="auto"/>
        <w:tabs>
          <w:tab w:leader="none" w:pos="1311"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Physician Payments Sunshine Act, enacted as part of the Patient Protection and Affordable Care Act, as amended by the Health Care and Education Reconciliation Act of 2010, or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(currently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in the previous year to certain non-physician providers such as physician assistants and nurse practitioners.</w:t>
      </w:r>
    </w:p>
    <w:p>
      <w:pPr>
        <w:spacing w:after="0" w:line="104" w:lineRule="exact"/>
        <w:rPr>
          <w:rFonts w:ascii="Arial" w:cs="Arial" w:eastAsia="Arial" w:hAnsi="Arial"/>
          <w:sz w:val="17"/>
          <w:szCs w:val="17"/>
          <w:color w:val="auto"/>
        </w:rPr>
      </w:pPr>
    </w:p>
    <w:p>
      <w:pPr>
        <w:ind w:left="1320" w:right="759" w:hanging="434"/>
        <w:spacing w:after="0" w:line="277" w:lineRule="auto"/>
        <w:tabs>
          <w:tab w:leader="none" w:pos="131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broadly regulate marketplace activities and activities that potentially harm consumers.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4" w:name="page235"/>
    <w:bookmarkEnd w:id="23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79" w:hanging="434"/>
        <w:spacing w:after="0" w:line="288" w:lineRule="auto"/>
        <w:tabs>
          <w:tab w:leader="none" w:pos="1311" w:val="left"/>
        </w:tabs>
        <w:numPr>
          <w:ilvl w:val="0"/>
          <w:numId w:val="248"/>
        </w:numPr>
        <w:rPr>
          <w:rFonts w:ascii="Arial" w:cs="Arial" w:eastAsia="Arial" w:hAnsi="Arial"/>
          <w:sz w:val="16"/>
          <w:szCs w:val="16"/>
          <w:color w:val="auto"/>
        </w:rPr>
      </w:pPr>
      <w:r>
        <w:rPr>
          <w:rFonts w:ascii="Arial" w:cs="Arial" w:eastAsia="Arial" w:hAnsi="Arial"/>
          <w:sz w:val="16"/>
          <w:szCs w:val="16"/>
          <w:color w:val="auto"/>
        </w:rPr>
        <w:t>Analogous state and foreign laws and regulations, including, but not limited to, state anti-kickback and false claims laws, may be broader in scope than the provisions described above and may apply regardless of payor. Some state laws require pharmaceutical companies to comply with the pharmaceutical industry’s voluntary compliance guidelines and relevant federal government compliance guidance; require drug manufacturers to report information related to payments and other transfers of value to physicians and other healthcare providers; restrict marketing practices or require disclosure of marketing expenditures and pricing information. State and foreign laws may govern the privacy and security of health information in some circumstances. These data privacy and security laws may differ from each other in significant ways and often are not pre-empted by HIPAA, which may complicate compliance efforts.</w:t>
      </w:r>
    </w:p>
    <w:p>
      <w:pPr>
        <w:spacing w:after="0" w:line="101"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are found to not be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its business.</w:t>
      </w:r>
    </w:p>
    <w:p>
      <w:pPr>
        <w:spacing w:after="0" w:line="3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Insurance Coverage and Reimbursement</w:t>
      </w:r>
    </w:p>
    <w:p>
      <w:pPr>
        <w:spacing w:after="0" w:line="158"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09"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In order to secure coverage and reimbursement for any product that might be approved for sale, a company may need to conduct expensive pharmacoeconomic studies in order to demonstrate the medical necessity and cost-effectiveness of the product, which will require additional expenditure above and beyond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35" w:name="page236"/>
    <w:bookmarkEnd w:id="23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639"/>
        <w:spacing w:after="0" w:line="286" w:lineRule="auto"/>
        <w:rPr>
          <w:sz w:val="20"/>
          <w:szCs w:val="20"/>
          <w:color w:val="auto"/>
        </w:rPr>
      </w:pPr>
      <w:r>
        <w:rPr>
          <w:rFonts w:ascii="Arial" w:cs="Arial" w:eastAsia="Arial" w:hAnsi="Arial"/>
          <w:sz w:val="17"/>
          <w:szCs w:val="17"/>
          <w:color w:val="auto"/>
        </w:rPr>
        <w:t>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98"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Current and future healthcare reform legislation</w:t>
      </w:r>
    </w:p>
    <w:p>
      <w:pPr>
        <w:spacing w:after="0" w:line="158" w:lineRule="exact"/>
        <w:rPr>
          <w:sz w:val="20"/>
          <w:szCs w:val="20"/>
          <w:color w:val="auto"/>
        </w:rPr>
      </w:pPr>
    </w:p>
    <w:p>
      <w:pPr>
        <w:ind w:left="460" w:right="559" w:firstLine="432"/>
        <w:spacing w:after="0" w:line="293" w:lineRule="auto"/>
        <w:rPr>
          <w:sz w:val="20"/>
          <w:szCs w:val="20"/>
          <w:color w:val="auto"/>
        </w:rPr>
      </w:pPr>
      <w:r>
        <w:rPr>
          <w:rFonts w:ascii="Arial" w:cs="Arial" w:eastAsia="Arial" w:hAnsi="Arial"/>
          <w:sz w:val="16"/>
          <w:szCs w:val="16"/>
          <w:color w:val="auto"/>
        </w:rPr>
        <w:t>In the United States and certain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March 2010, the United States Congress enacted the ACA, which, among other things, includes changes to the coverage and payment for products under government health care programs. The ACA includes provisions of importance to our potential product candidates that:</w:t>
      </w:r>
    </w:p>
    <w:p>
      <w:pPr>
        <w:spacing w:after="0" w:line="83" w:lineRule="exact"/>
        <w:rPr>
          <w:sz w:val="20"/>
          <w:szCs w:val="20"/>
          <w:color w:val="auto"/>
        </w:rPr>
      </w:pPr>
    </w:p>
    <w:p>
      <w:pPr>
        <w:ind w:left="1320" w:right="479" w:hanging="434"/>
        <w:spacing w:after="0" w:line="263" w:lineRule="auto"/>
        <w:tabs>
          <w:tab w:leader="none" w:pos="131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116" w:lineRule="exact"/>
        <w:rPr>
          <w:rFonts w:ascii="Arial" w:cs="Arial" w:eastAsia="Arial" w:hAnsi="Arial"/>
          <w:sz w:val="18"/>
          <w:szCs w:val="18"/>
          <w:color w:val="auto"/>
        </w:rPr>
      </w:pPr>
    </w:p>
    <w:p>
      <w:pPr>
        <w:ind w:left="1320" w:right="459" w:hanging="434"/>
        <w:spacing w:after="0" w:line="286" w:lineRule="auto"/>
        <w:tabs>
          <w:tab w:leader="none" w:pos="1311" w:val="left"/>
        </w:tabs>
        <w:numPr>
          <w:ilvl w:val="0"/>
          <w:numId w:val="249"/>
        </w:numPr>
        <w:rPr>
          <w:rFonts w:ascii="Arial" w:cs="Arial" w:eastAsia="Arial" w:hAnsi="Arial"/>
          <w:sz w:val="17"/>
          <w:szCs w:val="17"/>
          <w:color w:val="auto"/>
        </w:rPr>
      </w:pPr>
      <w:r>
        <w:rPr>
          <w:rFonts w:ascii="Arial" w:cs="Arial" w:eastAsia="Arial" w:hAnsi="Arial"/>
          <w:sz w:val="17"/>
          <w:szCs w:val="17"/>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97" w:lineRule="exact"/>
        <w:rPr>
          <w:rFonts w:ascii="Arial" w:cs="Arial" w:eastAsia="Arial" w:hAnsi="Arial"/>
          <w:sz w:val="17"/>
          <w:szCs w:val="17"/>
          <w:color w:val="auto"/>
        </w:rPr>
      </w:pPr>
    </w:p>
    <w:p>
      <w:pPr>
        <w:ind w:left="1320" w:right="719" w:hanging="434"/>
        <w:spacing w:after="0" w:line="259" w:lineRule="auto"/>
        <w:tabs>
          <w:tab w:leader="none" w:pos="131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105" w:lineRule="exact"/>
        <w:rPr>
          <w:rFonts w:ascii="Arial" w:cs="Arial" w:eastAsia="Arial" w:hAnsi="Arial"/>
          <w:sz w:val="18"/>
          <w:szCs w:val="18"/>
          <w:color w:val="auto"/>
        </w:rPr>
      </w:pPr>
    </w:p>
    <w:p>
      <w:pPr>
        <w:jc w:val="both"/>
        <w:ind w:left="1320" w:right="679" w:hanging="434"/>
        <w:spacing w:after="0" w:line="342" w:lineRule="auto"/>
        <w:tabs>
          <w:tab w:leader="none" w:pos="1311"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addressed a new methodology by which rebates owed by manufacturers under the Medicaid Drug Rebate Program are calculated for drugs that are inhaled, infused, instilled, implanted or injected;</w:t>
      </w:r>
    </w:p>
    <w:p>
      <w:pPr>
        <w:spacing w:after="0" w:line="56" w:lineRule="exact"/>
        <w:rPr>
          <w:rFonts w:ascii="Arial" w:cs="Arial" w:eastAsia="Arial" w:hAnsi="Arial"/>
          <w:sz w:val="16"/>
          <w:szCs w:val="16"/>
          <w:color w:val="auto"/>
        </w:rPr>
      </w:pPr>
    </w:p>
    <w:p>
      <w:pPr>
        <w:ind w:left="1300" w:hanging="414"/>
        <w:spacing w:after="0"/>
        <w:tabs>
          <w:tab w:leader="none" w:pos="13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57" w:lineRule="exact"/>
        <w:rPr>
          <w:rFonts w:ascii="Arial" w:cs="Arial" w:eastAsia="Arial" w:hAnsi="Arial"/>
          <w:sz w:val="18"/>
          <w:szCs w:val="18"/>
          <w:color w:val="auto"/>
        </w:rPr>
      </w:pPr>
    </w:p>
    <w:p>
      <w:pPr>
        <w:ind w:left="1320" w:right="479" w:hanging="434"/>
        <w:spacing w:after="0" w:line="259" w:lineRule="auto"/>
        <w:tabs>
          <w:tab w:leader="none" w:pos="131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spacing w:after="0" w:line="105" w:lineRule="exact"/>
        <w:rPr>
          <w:rFonts w:ascii="Arial" w:cs="Arial" w:eastAsia="Arial" w:hAnsi="Arial"/>
          <w:sz w:val="18"/>
          <w:szCs w:val="18"/>
          <w:color w:val="auto"/>
        </w:rPr>
      </w:pPr>
    </w:p>
    <w:p>
      <w:pPr>
        <w:ind w:left="1320" w:right="699" w:hanging="434"/>
        <w:spacing w:after="0" w:line="342" w:lineRule="auto"/>
        <w:tabs>
          <w:tab w:leader="none" w:pos="1311" w:val="left"/>
        </w:tabs>
        <w:numPr>
          <w:ilvl w:val="0"/>
          <w:numId w:val="249"/>
        </w:numPr>
        <w:rPr>
          <w:rFonts w:ascii="Arial" w:cs="Arial" w:eastAsia="Arial" w:hAnsi="Arial"/>
          <w:sz w:val="16"/>
          <w:szCs w:val="16"/>
          <w:color w:val="auto"/>
        </w:rPr>
      </w:pPr>
      <w:r>
        <w:rPr>
          <w:rFonts w:ascii="Arial" w:cs="Arial" w:eastAsia="Arial" w:hAnsi="Arial"/>
          <w:sz w:val="16"/>
          <w:szCs w:val="16"/>
          <w:color w:val="auto"/>
        </w:rPr>
        <w:t>created a new Patient-Centered Outcomes Research Institute to oversee, identify priorities in, and conduct comparative clinical effectiveness research, along with funding for such research.</w:t>
      </w:r>
    </w:p>
    <w:p>
      <w:pPr>
        <w:spacing w:after="0" w:line="56"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and we expect there will be additional challenges and amendments to the ACA in the future. Various portions of the ACA are currently undergoing legal and constitutional challenges in the United States Supreme Court; the former Trump Administration issued various Executive Orders eliminating cost sharing subsidies and various provisions that would impose a fiscal burden on states or a cost, fee, tax, penalty or regulatory burden on individuals, healthcare providers, health insurers, or manufacturers of pharmaceuticals or medical devices; and Congress has introduced several pieces of legislation aimed at significantly revising or repealing the ACA. The United States Supreme Court is expected to rule on a legal challenge to the constitutionality of the ACA in 2021. The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6" w:name="page237"/>
    <w:bookmarkEnd w:id="23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spacing w:after="0" w:line="259" w:lineRule="auto"/>
        <w:rPr>
          <w:sz w:val="20"/>
          <w:szCs w:val="20"/>
          <w:color w:val="auto"/>
        </w:rPr>
      </w:pPr>
      <w:r>
        <w:rPr>
          <w:rFonts w:ascii="Arial" w:cs="Arial" w:eastAsia="Arial" w:hAnsi="Arial"/>
          <w:sz w:val="18"/>
          <w:szCs w:val="18"/>
          <w:color w:val="auto"/>
        </w:rPr>
        <w:t>implementation of the ACA is ongoing, the law appears likely to continue the downward pressure on pharmaceutical pricing, especially under the Medicare program, and may also increase our regulatory burdens and operating costs. Litigation and legislation related to the ACA are likely to continue, with unpredictable and uncertain results.</w:t>
      </w:r>
    </w:p>
    <w:p>
      <w:pPr>
        <w:spacing w:after="0" w:line="119" w:lineRule="exact"/>
        <w:rPr>
          <w:sz w:val="20"/>
          <w:szCs w:val="20"/>
          <w:color w:val="auto"/>
        </w:rPr>
      </w:pPr>
    </w:p>
    <w:p>
      <w:pPr>
        <w:ind w:left="460" w:right="559" w:firstLine="432"/>
        <w:spacing w:after="0" w:line="287" w:lineRule="auto"/>
        <w:rPr>
          <w:sz w:val="20"/>
          <w:szCs w:val="20"/>
          <w:color w:val="auto"/>
        </w:rPr>
      </w:pPr>
      <w:r>
        <w:rPr>
          <w:rFonts w:ascii="Arial" w:cs="Arial" w:eastAsia="Arial" w:hAnsi="Arial"/>
          <w:sz w:val="16"/>
          <w:szCs w:val="16"/>
          <w:color w:val="auto"/>
        </w:rPr>
        <w:t>Other legislative changes have been proposed and adopted in the United States since the Affordable Care Act was enacted. For example, in August 2011, the Budget Control Act of 2011, among other things, included aggregate reductions of Medicare payments to providers of 2% per fiscal year, which went into effect in April 2013 and, due to subsequent legislative amendments to the statute, will remain in effect through 2030 unless additional Congressional action is taken. The Coronavirus Aid, Relief and Economic Security Act, or CARES Act, which was signed into law in March 2020 and is designed to provide financial support and resources to individuals and businesses affected by the COVID-19 pandemic, suspended these reductions from May 1, 2020 through December 31, 2020.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04"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CMS may develop new payment and delivery models, including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For example, at the federal level, the former Trump administration’s budget proposal for fiscal year 2021 included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Trump administration also previously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HHS has already implemented certain measures. For example, in May 2019, CMS issued a final rule to allow Medicare Advantage Plans the option of using step therapy for Part B drugs beginning January 1, 2020. However, it is unclear whether the Biden administration will challenge, reverse, revoke or otherwise modify these executive and administrative actions.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310"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10"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7" w:name="page238"/>
    <w:bookmarkEnd w:id="23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In the European Union, pricing and reimbursement schemes vary widely from country to country. Some countries provide that products may be marketed only after a reimbursement price has been agreed upon.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3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Compliance with other federal and state laws or requirements; changing legal requirements</w:t>
      </w:r>
    </w:p>
    <w:p>
      <w:pPr>
        <w:spacing w:after="0" w:line="158"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If any products that we may develop are made available to authorized users of the Federal Supply Schedule of the General Services Administration, additional laws and requirements apply. Products must meet applicable child-resistant packaging requirements under the U.S. Poison Prevention Packaging Act. Manufacturing, labeling, packaging, distribution, sales, promotion and other activities also are potentially subject to federal and state consumer protection and unfair competition laws, among other requirements to which we may be subject.</w:t>
      </w:r>
    </w:p>
    <w:p>
      <w:pPr>
        <w:spacing w:after="0" w:line="125" w:lineRule="exact"/>
        <w:rPr>
          <w:sz w:val="20"/>
          <w:szCs w:val="20"/>
          <w:color w:val="auto"/>
        </w:rPr>
      </w:pPr>
    </w:p>
    <w:p>
      <w:pPr>
        <w:jc w:val="both"/>
        <w:ind w:left="460" w:right="1119" w:firstLine="432"/>
        <w:spacing w:after="0" w:line="263"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03"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The failure to comply with any of these laws or regulatory requirements may subject firms to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w:t>
      </w:r>
    </w:p>
    <w:p>
      <w:pPr>
        <w:spacing w:after="0" w:line="113" w:lineRule="exact"/>
        <w:rPr>
          <w:sz w:val="20"/>
          <w:szCs w:val="20"/>
          <w:color w:val="auto"/>
        </w:rPr>
      </w:pPr>
    </w:p>
    <w:p>
      <w:pPr>
        <w:ind w:left="460" w:right="619" w:firstLine="432"/>
        <w:spacing w:after="0" w:line="287" w:lineRule="auto"/>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 (i) changes to our manufacturing arrangements; (ii) additions or modifications to product labeling or packaging; (iii) the recall or discontinuation of our products; or</w:t>
      </w:r>
    </w:p>
    <w:p>
      <w:pPr>
        <w:spacing w:after="0" w:line="2" w:lineRule="exact"/>
        <w:rPr>
          <w:sz w:val="20"/>
          <w:szCs w:val="20"/>
          <w:color w:val="auto"/>
        </w:rPr>
      </w:pPr>
    </w:p>
    <w:p>
      <w:pPr>
        <w:ind w:left="460" w:right="499" w:hanging="6"/>
        <w:spacing w:after="0" w:line="260" w:lineRule="auto"/>
        <w:tabs>
          <w:tab w:leader="none" w:pos="76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additional recordkeeping requirements. If any such changes were to be imposed, they could adversely affect the operation of our business.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U.S. environmental, health and safety laws and regulations</w:t>
      </w:r>
    </w:p>
    <w:p>
      <w:pPr>
        <w:spacing w:after="0" w:line="158" w:lineRule="exact"/>
        <w:rPr>
          <w:sz w:val="20"/>
          <w:szCs w:val="20"/>
          <w:color w:val="auto"/>
        </w:rPr>
      </w:pPr>
    </w:p>
    <w:p>
      <w:pPr>
        <w:ind w:left="460" w:right="659" w:firstLine="432"/>
        <w:spacing w:after="0" w:line="257" w:lineRule="auto"/>
        <w:rPr>
          <w:sz w:val="20"/>
          <w:szCs w:val="20"/>
          <w:color w:val="auto"/>
        </w:rPr>
      </w:pPr>
      <w:r>
        <w:rPr>
          <w:rFonts w:ascii="Arial" w:cs="Arial" w:eastAsia="Arial" w:hAnsi="Arial"/>
          <w:sz w:val="18"/>
          <w:szCs w:val="18"/>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8" w:name="page239"/>
    <w:bookmarkEnd w:id="23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39"/>
        <w:spacing w:after="0" w:line="296" w:lineRule="auto"/>
        <w:rPr>
          <w:sz w:val="20"/>
          <w:szCs w:val="20"/>
          <w:color w:val="auto"/>
        </w:rPr>
      </w:pPr>
      <w:r>
        <w:rPr>
          <w:rFonts w:ascii="Arial" w:cs="Arial" w:eastAsia="Arial" w:hAnsi="Arial"/>
          <w:sz w:val="16"/>
          <w:szCs w:val="16"/>
          <w:color w:val="auto"/>
        </w:rPr>
        <w:t>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94"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We maintain workers’ compensation insurance to cover us for costs and expenses that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119"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Government regulation of drugs outside of the United States</w:t>
      </w:r>
    </w:p>
    <w:p>
      <w:pPr>
        <w:spacing w:after="0" w:line="144"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To market any product outside of the United States, we would need to comply with numerous and varying regulatory requirements of other countries regarding safety and efficacy and governing, among other things, clinical trials, marketing authorization, manufacturing, commercial sales and distribution of our products. For instance, in the United Kingdom and the European Economic Area, or the EEA (comprised of the 27 EU Member States plus Iceland, Liechtenstein and Norway), medicinal products must be authorized for marketing by using either the centralized authorization procedure or national authorization procedures.</w:t>
      </w:r>
    </w:p>
    <w:p>
      <w:pPr>
        <w:spacing w:after="0" w:line="110" w:lineRule="exact"/>
        <w:rPr>
          <w:sz w:val="20"/>
          <w:szCs w:val="20"/>
          <w:color w:val="auto"/>
        </w:rPr>
      </w:pPr>
    </w:p>
    <w:p>
      <w:pPr>
        <w:ind w:left="1320" w:right="479" w:hanging="434"/>
        <w:spacing w:after="0" w:line="284" w:lineRule="auto"/>
        <w:tabs>
          <w:tab w:leader="none" w:pos="1311" w:val="left"/>
        </w:tabs>
        <w:numPr>
          <w:ilvl w:val="0"/>
          <w:numId w:val="25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Centralized procedure </w:t>
      </w:r>
      <w:r>
        <w:rPr>
          <w:rFonts w:ascii="Arial" w:cs="Arial" w:eastAsia="Arial" w:hAnsi="Arial"/>
          <w:sz w:val="16"/>
          <w:szCs w:val="16"/>
          <w:color w:val="auto"/>
        </w:rPr>
        <w:t>— The centralized procedure provides for the grant of a single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 by the European Commission that is valid throughout the EEA. Pursuant to Regulation (EC) No. 726/2004, the centralized procedure is compulsory for specific products, including for medicines produced by certain biotechnological processes, products designated as orphan medicinal products, advanced therapy products (gene therapy, somatic cell therapy and tissue engineered products) and products with a new active substance indicated for the treatment of certain diseases, which includes products for the treatment of cancer. For medicines that do not fall within one of the mandatory categories, an applicant still has the option of submitting an application for a centralized marketing authorization to the European Medicines Agency, or EMA, as long as the medicine concerned contains a new active substance not yet authorized in the EEA, is a significant therapeutic, scientific or technical innovation, or if its authorization would be in the interest of public health in the EEA. If pursuing marketing authorization of a product candidate for a therapeutic indication under the centralized procedure, the EMA’s Committee for Medicinal Products for Human Use, or CHMP, is responsible for conducting an initial assessment of whether a product meets the required quality, safety and efficacy requirements, and whether a product has a positive benefit/risk ratio. Under the centralized procedure the maximum timeframe for the evaluation of a marketing authorization application, or MAA, by the EMA is 210 days, excluding clock stops, when additional written or oral information is to be provided by the applicant in response to questions asked by the CHMP. Clock stops may extend the timeframe of evaluation of a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9" w:name="page240"/>
    <w:bookmarkEnd w:id="23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519" w:hanging="434"/>
        <w:spacing w:after="0" w:line="263" w:lineRule="auto"/>
        <w:tabs>
          <w:tab w:leader="none" w:pos="1311" w:val="left"/>
        </w:tabs>
        <w:numPr>
          <w:ilvl w:val="0"/>
          <w:numId w:val="25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National authorization procedures </w:t>
      </w:r>
      <w:r>
        <w:rPr>
          <w:rFonts w:ascii="Arial" w:cs="Arial" w:eastAsia="Arial" w:hAnsi="Arial"/>
          <w:sz w:val="18"/>
          <w:szCs w:val="18"/>
          <w:color w:val="auto"/>
        </w:rPr>
        <w:t>— There are also two other possible routes to authorize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therapeutic indications in several countries, which are available for products that fall outside the scope of the centralized procedure:</w:t>
      </w:r>
    </w:p>
    <w:p>
      <w:pPr>
        <w:spacing w:after="0" w:line="116" w:lineRule="exact"/>
        <w:rPr>
          <w:rFonts w:ascii="Arial" w:cs="Arial" w:eastAsia="Arial" w:hAnsi="Arial"/>
          <w:sz w:val="18"/>
          <w:szCs w:val="18"/>
          <w:i w:val="1"/>
          <w:iCs w:val="1"/>
          <w:color w:val="auto"/>
        </w:rPr>
      </w:pPr>
    </w:p>
    <w:p>
      <w:pPr>
        <w:ind w:left="1760" w:right="559" w:hanging="442"/>
        <w:spacing w:after="0" w:line="259" w:lineRule="auto"/>
        <w:tabs>
          <w:tab w:leader="none" w:pos="1751" w:val="left"/>
        </w:tabs>
        <w:numPr>
          <w:ilvl w:val="1"/>
          <w:numId w:val="252"/>
        </w:numPr>
        <w:rPr>
          <w:rFonts w:ascii="Arial" w:cs="Arial" w:eastAsia="Arial" w:hAnsi="Arial"/>
          <w:sz w:val="18"/>
          <w:szCs w:val="18"/>
          <w:color w:val="auto"/>
        </w:rPr>
      </w:pPr>
      <w:r>
        <w:rPr>
          <w:rFonts w:ascii="Arial" w:cs="Arial" w:eastAsia="Arial" w:hAnsi="Arial"/>
          <w:sz w:val="18"/>
          <w:szCs w:val="18"/>
          <w:i w:val="1"/>
          <w:iCs w:val="1"/>
          <w:color w:val="auto"/>
        </w:rPr>
        <w:t xml:space="preserve">Decentralized procedure </w:t>
      </w:r>
      <w:r>
        <w:rPr>
          <w:rFonts w:ascii="Arial" w:cs="Arial" w:eastAsia="Arial" w:hAnsi="Arial"/>
          <w:sz w:val="18"/>
          <w:szCs w:val="18"/>
          <w:color w:val="auto"/>
        </w:rPr>
        <w:t>— Using the decentralized procedure, an applicant may apply for</w:t>
      </w:r>
      <w:r>
        <w:rPr>
          <w:rFonts w:ascii="Arial" w:cs="Arial" w:eastAsia="Arial" w:hAnsi="Arial"/>
          <w:sz w:val="18"/>
          <w:szCs w:val="18"/>
          <w:i w:val="1"/>
          <w:iCs w:val="1"/>
          <w:color w:val="auto"/>
        </w:rPr>
        <w:t xml:space="preserve"> </w:t>
      </w:r>
      <w:r>
        <w:rPr>
          <w:rFonts w:ascii="Arial" w:cs="Arial" w:eastAsia="Arial" w:hAnsi="Arial"/>
          <w:sz w:val="18"/>
          <w:szCs w:val="18"/>
          <w:color w:val="auto"/>
        </w:rPr>
        <w:t>simultaneous authorization in more than one EEA Member State for a medicinal product that has not yet been authorized in any EEA Member State and that does not fall within the mandatory scope of the centralized procedure.</w:t>
      </w:r>
    </w:p>
    <w:p>
      <w:pPr>
        <w:spacing w:after="0" w:line="119" w:lineRule="exact"/>
        <w:rPr>
          <w:rFonts w:ascii="Arial" w:cs="Arial" w:eastAsia="Arial" w:hAnsi="Arial"/>
          <w:sz w:val="18"/>
          <w:szCs w:val="18"/>
          <w:color w:val="auto"/>
        </w:rPr>
      </w:pPr>
    </w:p>
    <w:p>
      <w:pPr>
        <w:ind w:left="1760" w:right="639" w:hanging="442"/>
        <w:spacing w:after="0" w:line="257" w:lineRule="auto"/>
        <w:tabs>
          <w:tab w:leader="none" w:pos="1751" w:val="left"/>
        </w:tabs>
        <w:numPr>
          <w:ilvl w:val="1"/>
          <w:numId w:val="252"/>
        </w:numPr>
        <w:rPr>
          <w:rFonts w:ascii="Arial" w:cs="Arial" w:eastAsia="Arial" w:hAnsi="Arial"/>
          <w:sz w:val="18"/>
          <w:szCs w:val="18"/>
          <w:color w:val="auto"/>
        </w:rPr>
      </w:pPr>
      <w:r>
        <w:rPr>
          <w:rFonts w:ascii="Arial" w:cs="Arial" w:eastAsia="Arial" w:hAnsi="Arial"/>
          <w:sz w:val="18"/>
          <w:szCs w:val="18"/>
          <w:i w:val="1"/>
          <w:iCs w:val="1"/>
          <w:color w:val="auto"/>
        </w:rPr>
        <w:t xml:space="preserve">Mutual recognition procedure </w:t>
      </w:r>
      <w:r>
        <w:rPr>
          <w:rFonts w:ascii="Arial" w:cs="Arial" w:eastAsia="Arial" w:hAnsi="Arial"/>
          <w:sz w:val="18"/>
          <w:szCs w:val="18"/>
          <w:color w:val="auto"/>
        </w:rPr>
        <w:t>— In the mutual recognition procedure, a medicine is first</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in one EEA Member State, in accordance with the national procedures of that country. Following this, additional marketing authorizations can be sought from other EEA Member States in a procedure whereby the countries concerned recognize the validity of the original, national marketing authorization.</w:t>
      </w:r>
    </w:p>
    <w:p>
      <w:pPr>
        <w:spacing w:after="0" w:line="107"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In both cases, as with the centralized procedure, the competent authorities of the EEA Member States assess the risk-benefit balance of the product on the basis of scientific criteria concerning its quality, safety and efficacy before granting the marketing authorization.</w:t>
      </w:r>
    </w:p>
    <w:p>
      <w:pPr>
        <w:spacing w:after="0" w:line="116" w:lineRule="exact"/>
        <w:rPr>
          <w:sz w:val="20"/>
          <w:szCs w:val="20"/>
          <w:color w:val="auto"/>
        </w:rPr>
      </w:pPr>
    </w:p>
    <w:p>
      <w:pPr>
        <w:ind w:left="460" w:right="559" w:firstLine="432"/>
        <w:spacing w:after="0" w:line="268" w:lineRule="auto"/>
        <w:rPr>
          <w:sz w:val="20"/>
          <w:szCs w:val="20"/>
          <w:color w:val="auto"/>
        </w:rPr>
      </w:pPr>
      <w:r>
        <w:rPr>
          <w:rFonts w:ascii="Arial" w:cs="Arial" w:eastAsia="Arial" w:hAnsi="Arial"/>
          <w:sz w:val="17"/>
          <w:szCs w:val="17"/>
          <w:color w:val="auto"/>
        </w:rPr>
        <w:t>In the EEA, new products for therapeutic indications that are authorized for marketing (i.e., innovator products) qualify for eight years of data exclusivity and an additional two years of market exclusivity upon marketing authorization. The data exclusivity period prevents generic or biosimilar applicants from referencing the preclinical and clinical trial data contained in the dossier of the innovator product when applying for a generic or biosimilar marketing authorization in the EEA during a period of eight years from the date on which the innovator product was first authorized in the EEA. The additional two-year period of market exclusivity period prevents a successful generic or biosimilar applicant from commercializing its product in the EEA until ten years have elapsed from the initial authorization of the reference product in the EU. The overall ten-year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 MAA with a complete independent data package of pharmaceutical tests, preclinical tests and clinical trials</w:t>
      </w:r>
    </w:p>
    <w:p>
      <w:pPr>
        <w:spacing w:after="0" w:line="114"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The criteria for designating an “orphan medicinal product” in the EEA are similar in principle to those in the United States. Under Article 3 of Regulation (EC) 141/2000, in the EEA a medicinal product may be designated as orphan if it meets the following criteria (1) it is intended for the diagnosis, prevention or treatment of a life-threatening or chronically debilitating condition; and (2) either (a) such condition affects no more than five in 10,000 persons in the EEA when the application is made, or (b) it is unlikely that the product, without the benefits derived from orphan status, would generate sufficient return in the EEA to justify the investment needed for its development; and (3) there exists no satisfactory method of diagnosis, prevention or treatment of such condition, or if such a method exists, the product will be of significant benefit to those affected by the condition. Orphan medicinal products are eligible for financial incentives such as reduction of fees or fee waivers and are, upon grant of a marketing authorization, entitled to ten years of market exclusivity for the approved therapeutic indication. During this ten-year orphan market exclusivity period, no marketing authorization application shall be accepted, and no marketing authorization shall be granted for a similar medicinal product for the same indication, although similar, is safer, more effective or otherwise clinically superior than the authorized product; (ii) the marketing authorization holder of the authorized product consents to a second orphan medicinal product application; or (iii) the marketing authorization holder of the authorized product cannot supply enough orphan medicinal product. An orphan product can also obtain an additional two years of market exclusivity in the EU for pediatric studies.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The application for orphan drug designation must be submitted before the application for marketing authorization. The applicant will receive a fee reduction for the MAA if the orphan</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0" w:name="page241"/>
    <w:bookmarkEnd w:id="24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spacing w:after="0" w:line="263" w:lineRule="auto"/>
        <w:rPr>
          <w:sz w:val="20"/>
          <w:szCs w:val="20"/>
          <w:color w:val="auto"/>
        </w:rPr>
      </w:pPr>
      <w:r>
        <w:rPr>
          <w:rFonts w:ascii="Arial" w:cs="Arial" w:eastAsia="Arial" w:hAnsi="Arial"/>
          <w:sz w:val="18"/>
          <w:szCs w:val="18"/>
          <w:color w:val="auto"/>
        </w:rPr>
        <w:t>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16"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color w:val="auto"/>
        </w:rPr>
        <w:t>Similar to the United States, the various phases of non-clinical and clinical research in the European Union are subject to significant regulatory controls.</w:t>
      </w:r>
    </w:p>
    <w:p>
      <w:pPr>
        <w:spacing w:after="0" w:line="103"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 Clinical Trials Directive 2001/20/EC, the Directive 2005/28/EC on GCP and the related national implementing provisions of the individual EU Member States govern the system for the approval of clinical trials in the European Union. Under this system, an applicant must obtain prior approval from the national competent authority, or NCA, of the EU Member States in which the clinical trial is to be conducted. Furthermore, the applicant may only start a clinical trial at a specific study site after the competent ethics committee, or EC, has issued a favorable opinion. The clinical trial application must be accompanied by, among other documents, an investigational medicinal product dossier (the Common Technical Document) with supporting information prescribed by Directive 2001/20/EC, Directive 2005/28/EC, and the provisions of the individual EU Member States’ legislation implementing the Clinical Trials Directive. Under the current regime (the EU Clinical Trials Directive 2001/20/EC and corresponding national laws) all suspected unexpected serious adverse reactions to the investigated drug that occur during the clinical trial have to be reported to the NCA and ECs of the Member State where they occurred.</w:t>
      </w:r>
    </w:p>
    <w:p>
      <w:pPr>
        <w:spacing w:after="0" w:line="98" w:lineRule="exact"/>
        <w:rPr>
          <w:sz w:val="20"/>
          <w:szCs w:val="20"/>
          <w:color w:val="auto"/>
        </w:rPr>
      </w:pPr>
    </w:p>
    <w:p>
      <w:pPr>
        <w:ind w:left="460" w:right="499" w:firstLine="432"/>
        <w:spacing w:after="0" w:line="284" w:lineRule="auto"/>
        <w:rPr>
          <w:sz w:val="20"/>
          <w:szCs w:val="20"/>
          <w:color w:val="auto"/>
        </w:rPr>
      </w:pPr>
      <w:r>
        <w:rPr>
          <w:rFonts w:ascii="Arial" w:cs="Arial" w:eastAsia="Arial" w:hAnsi="Arial"/>
          <w:sz w:val="16"/>
          <w:szCs w:val="16"/>
          <w:color w:val="auto"/>
        </w:rPr>
        <w:t>In April 2014, the new Clinical Trials Regulation, (EU) No 536/2014 (Clinical Trials Regulation) was adopted. It is expected that the new Clinical Trials Regulation (EU) No 536/2014 will apply following confirmation of full functionality of the Clinical Trials Information System (CTIS), the centralized European Union portal and database for clinical trials foreseen by the regulation, through an independent audit. The regulation becomes applicable six months after the European Commission publishes notice of this confirmation. The Clinical Trials Regulation will be directly applicable in all the EU Member States, repealing the current Clinical Trials Directive 2001/20/EC. Conduct of all clinical trials performed in the European Union will continue to be bound by the Clinical Trials Directive and the Member States’ national implementing legislation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 The new Clinical Trials Regulation aims to simplify and streamline the approval of clinical trials in the European Union. The main characteristics of the regulation include: a streamlined application procedure via a single-entry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3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Government regulation of data collection outside of the United States</w:t>
      </w:r>
    </w:p>
    <w:p>
      <w:pPr>
        <w:spacing w:after="0" w:line="158"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In the event we conduct clinical trials in the European Union, we will be subject to additional privacy restrictions. The collection and use of personal health data in the European Economic Area, or EEA (being the European Union plus Norway, Iceland, and Liechtenstein), is governed by the General Data Protection Regulation, or the GDPR, which became effective on May 25, 2018. The GDPR applies to the processing of personal data by any company established in the EEA and to companies established outside the EEA to the extent they process personal data in connection with the offering of goods or services to data subjects in the EEA or the monitoring of the behavior of data subjects in the EEA. The GDPR enhances data protection obligations for data controllers of personal data, including stringent requirements relating to the consent of data subjects, expanded disclosures about how personal data is used, enhanced requirements for securing personal data, requirements to conduct privacy impact assessments for “high risk” processing, limitations on retention of personal data, mandatory data breach notification and “privacy by design” requirements, and creates direct obligations on service providers acting as processors. The GDPR also imposes strict rules on the transfer of personal data outside of the EEA to countries that do not ensure an adequate level of protection, like the United States. Failure to comply with the requirements of the GDPR and the</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41" w:name="page242"/>
    <w:bookmarkEnd w:id="24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85" w:lineRule="auto"/>
        <w:rPr>
          <w:sz w:val="20"/>
          <w:szCs w:val="20"/>
          <w:color w:val="auto"/>
        </w:rPr>
      </w:pPr>
      <w:r>
        <w:rPr>
          <w:rFonts w:ascii="Arial" w:cs="Arial" w:eastAsia="Arial" w:hAnsi="Arial"/>
          <w:sz w:val="16"/>
          <w:szCs w:val="16"/>
          <w:color w:val="auto"/>
        </w:rPr>
        <w:t>related national data protection laws of the European Union Member States and Norway, Iceland and Liechtenstein, which may deviate slightly from the GDPR, may result in fines of up to 4% of a company’s global revenue for the preceding financial year, or €20,000,000, whichever is greater. Moreover, the GDPR grants data subjects the right to claim material and non-material damages resulting from infringement of the GDPR. Given the breadth and depth of changes in data protection obligations, maintaining compliance with the GDPR will require significant time, resources and expense, and we may be required to put in place additional controls and processes ensuring compliance with the new data protection rules. There has been limited enforcement of the GDPR to date, particularly in biopharmaceutical development, so we face uncertainty as to the exact interpretation of the new requirements on any future trials and we may be unsuccessful in implementing all measures required by data protection authorities or courts in interpretation of the new law. Further, the United Kingdom’s decision to leave the European Union, means that it has in force its own legislation which is aligned with the GDPR, known as the Data Protection Act 2018. The requirements are similar except that the United Kingdom is now regarded as a “third country” for the purposes of transfers of personal data from the EEA. Transfers continue to flow freely from the UK to the EEA; however, as part of the agreement between the UK and the EU, the UK intends to obtain an adequacy decision from the European Commission to ensure personal data can continue to flow freely from the EU to the UK. The UK hopes to obtain this decision by the end of June 2021.</w:t>
      </w:r>
    </w:p>
    <w:p>
      <w:pPr>
        <w:spacing w:after="0" w:line="325"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Data protection authority activity differs across the EU, with certain authorities applying their own agenda which shows there is uncertainty in the manner in which data protection authorities will seek to enforce compliance with GDPR. For example, it is not clear if the authorities will conduct random audits of companies doing business in the EU, or if the authorities will wait for complaints to be filed by individuals who claim their rights have been violated. Enforcement uncertainty and the costs associated with ensuring GDPR compliance are onerous and may adversely affect our business, financial condition, results of operations and prospects.</w:t>
      </w:r>
    </w:p>
    <w:p>
      <w:pPr>
        <w:spacing w:after="0" w:line="97"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Should we utilize third party distributors, compliance with such foreign governmental regulations would generally be the responsibility of such distributors, who may be independent contractors over whom we have limited control.</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We face direct competition from pharmaceutical and biotechnology companies leveraging the principle of synthetic lethality as well as companies developing therapies for the same target pathway. Well- established companies that are developing or may develop therapies based on synthetic lethality include AstraZeneca, GlaxoSmithKline, Bristol Myers Squibb, Merck KGaA and Pfizer. Smaller and earlier-stage companies focused on synthetic lethality include Artios Pharma, Cyteir Therapeutics, KSQ Therapeutics, Ideaya Biosciences, MetaboMed, Mirati Therapeutics and Repare Therapeutics.</w:t>
      </w:r>
    </w:p>
    <w:p>
      <w:pPr>
        <w:spacing w:after="0" w:line="110"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Related to our PRMT5 inhibitor program, TNG908, we face direct competition from companies that have advanced preclinical-stage, MTA-cooperative PRMT5 inhibitors that are selective for MTAP-deleted cancers. We are aware that Mirati Therapeutics, Inc. has a preclinical MTA-cooperative PRMT5 inhibitor program, using the same mechanism of action as TNG908.</w:t>
      </w:r>
    </w:p>
    <w:p>
      <w:pPr>
        <w:spacing w:after="0" w:line="119"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Indirect competition may come from non-MTAP deletion selective PRMT5 programs or MAT2A inhibitor programs that are uniquely different than the TNG908 mechanism of action. Several non-MTAP deletion selective PRMT5 inhibitors are in clinical development, including GlaxoSmithKline (GSK3326595), Prelude Therapeutics (PRT543 and PRT811), Johnson &amp; Johnson (JNJ 64619178) and Pfizer (PF 06939999). These PRMT5 inhibitors are not selective for MTAP deletions, do not have a patient selection strategy based on MTAP deletion and we believe TNG908 may have a wider therapeutic window than these non-selective competitor candidates. MAT2A is an enzyme upstream of PRMT5 essential for the metabolism of the PRMT5 co-factor SAM that acts on the same pathway as TNG908. Agios Pharmaceuticals (AG-0270) and Ideaya Biosciences (IDE397) are the two companies we are aware of competing in the MAT2A space. Agios announced the divestment of their oncology portfolio to Servier Pharmaceuticals, including the MAT2A program in December 2020.</w:t>
      </w:r>
    </w:p>
    <w:p>
      <w:pPr>
        <w:spacing w:after="0" w:line="111" w:lineRule="exact"/>
        <w:rPr>
          <w:sz w:val="20"/>
          <w:szCs w:val="20"/>
          <w:color w:val="auto"/>
        </w:rPr>
      </w:pPr>
    </w:p>
    <w:p>
      <w:pPr>
        <w:ind w:left="460" w:right="879" w:firstLine="432"/>
        <w:spacing w:after="0" w:line="277" w:lineRule="auto"/>
        <w:rPr>
          <w:sz w:val="20"/>
          <w:szCs w:val="20"/>
          <w:color w:val="auto"/>
        </w:rPr>
      </w:pPr>
      <w:r>
        <w:rPr>
          <w:rFonts w:ascii="Arial" w:cs="Arial" w:eastAsia="Arial" w:hAnsi="Arial"/>
          <w:sz w:val="18"/>
          <w:szCs w:val="18"/>
          <w:color w:val="auto"/>
        </w:rPr>
        <w:t>Competition for our preclinical USP1 inhibitor program comes from KSQ Therapeutics, which has a USP1 program in preclinical development.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2" w:name="page243"/>
    <w:bookmarkEnd w:id="24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We face competition more broadly across the oncology market for safe, efficacious,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As of March 31, 2021, we had 77 full-time employees, of which 39 have M.D. or Ph.D. degrees. Within our workforce, 62 employees are engaged in research and development and 15 are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120" w:lineRule="exact"/>
        <w:rPr>
          <w:sz w:val="20"/>
          <w:szCs w:val="20"/>
          <w:color w:val="auto"/>
        </w:rPr>
      </w:pPr>
    </w:p>
    <w:p>
      <w:pPr>
        <w:ind w:left="460" w:right="879" w:firstLine="432"/>
        <w:spacing w:after="0" w:line="259"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48" w:lineRule="exact"/>
        <w:rPr>
          <w:sz w:val="20"/>
          <w:szCs w:val="20"/>
          <w:color w:val="auto"/>
        </w:rPr>
      </w:pPr>
    </w:p>
    <w:p>
      <w:pPr>
        <w:ind w:left="460" w:right="939" w:firstLine="432"/>
        <w:spacing w:after="0" w:line="263" w:lineRule="auto"/>
        <w:rPr>
          <w:sz w:val="20"/>
          <w:szCs w:val="20"/>
          <w:color w:val="auto"/>
        </w:rPr>
      </w:pPr>
      <w:r>
        <w:rPr>
          <w:rFonts w:ascii="Arial" w:cs="Arial" w:eastAsia="Arial" w:hAnsi="Arial"/>
          <w:sz w:val="18"/>
          <w:szCs w:val="18"/>
          <w:color w:val="auto"/>
        </w:rPr>
        <w:t>Our corporate headquarters is located in Cambridge, Massachusetts, where we lease and occupy approximately 22,383 square feet of office and laboratory space, or the Cambridge Lease. The term of our Cambridge Lease expires on June 30, 2026.</w:t>
      </w:r>
    </w:p>
    <w:p>
      <w:pPr>
        <w:spacing w:after="0" w:line="116"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7"/>
          <w:szCs w:val="17"/>
          <w:color w:val="auto"/>
        </w:rPr>
        <w:t>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3" w:name="page244"/>
    <w:bookmarkEnd w:id="24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 OF TANGO</w:t>
      </w:r>
    </w:p>
    <w:p>
      <w:pPr>
        <w:spacing w:after="0" w:line="148"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i w:val="1"/>
          <w:iCs w:val="1"/>
          <w:color w:val="auto"/>
        </w:rPr>
        <w:t>Throughout this section, unless otherwise noted, “we,” “us,” “Tango” and the “Company” refer to Tango Therapeutics, Inc. and its consolidated subsidiaries.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Compensation Overview</w:t>
      </w:r>
    </w:p>
    <w:p>
      <w:pPr>
        <w:spacing w:after="0" w:line="162"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Historically, our executive compensation program has reflected our growth and development-oriented corporate culture. To date, the compensation of our Chief Executive Officer and President and our other executive officers identified in the 2020 Summary Compensation Table below, who we refer to as the named executive officers, has consisted of a combination of base salary, bonuses and long-term incentive compensation in the form of restricted common stock awards and incentive stock options. Our named executive officers who are full-time employees, like all other full-time employees, are eligible to participate in our retirement and health and welfare benefit plans. As we transition from a private company to a publicly traded company, we will evaluate our compensation values and philosophy and compensation plans and arrangements as circumstances merit. At a minimum, we expect to review executive compensation annually with input from a compensation consultant. As part of this review process, we expect the board of directors and the compensation committee to apply our values and philosophy, while considering the compensation levels needed to ensure our executive compensation program remains competitive with our peers. In connection with our executive compensation program, we will also review whether we are meeting our retention objectives and the potential cost of replacing a key employee.</w:t>
      </w:r>
    </w:p>
    <w:p>
      <w:pPr>
        <w:spacing w:after="0" w:line="117"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following table shows the total compensation awarded to, earned by, or paid to during the year ended December 31, 2020 to (1) our principal executive officer, (2) our two next most highly compensated executive officers who earned more than $100,000 during the fiscal year ended December 31, 2020 and were serving as executive officers as of such date.</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named executive officers for 2020 who appear in the Summary Compensation Table are:</w:t>
      </w:r>
    </w:p>
    <w:p>
      <w:pPr>
        <w:spacing w:after="0" w:line="158" w:lineRule="exact"/>
        <w:rPr>
          <w:sz w:val="20"/>
          <w:szCs w:val="20"/>
          <w:color w:val="auto"/>
        </w:rPr>
      </w:pPr>
    </w:p>
    <w:p>
      <w:pPr>
        <w:ind w:left="1300" w:hanging="414"/>
        <w:spacing w:after="0"/>
        <w:tabs>
          <w:tab w:leader="none" w:pos="13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Barbara Weber, M.D., our President and Chief Executive Officer</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Daniella Beckman, C.P.A, our Chief Financial Officer;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Alan Huang, Ph.D., our Chief Scientific Officer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2020 Summary Compensation Table</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Non-Equity</w:t>
            </w: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Nonqualified</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8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89"/>
              </w:rPr>
              <w:t>Deferred</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3"/>
              </w:rPr>
              <w:t>Salary</w:t>
            </w:r>
            <w:r>
              <w:rPr>
                <w:rFonts w:ascii="Arial" w:cs="Arial" w:eastAsia="Arial" w:hAnsi="Arial"/>
                <w:sz w:val="14"/>
                <w:szCs w:val="14"/>
                <w:b w:val="1"/>
                <w:bCs w:val="1"/>
                <w:color w:val="auto"/>
                <w:w w:val="83"/>
                <w:vertAlign w:val="superscript"/>
              </w:rPr>
              <w:t>(1)</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1"/>
                <w:szCs w:val="11"/>
                <w:color w:val="auto"/>
              </w:rPr>
            </w:pPr>
          </w:p>
        </w:tc>
        <w:tc>
          <w:tcPr>
            <w:tcW w:w="620" w:type="dxa"/>
            <w:vAlign w:val="bottom"/>
          </w:tcPr>
          <w:p>
            <w:pPr>
              <w:jc w:val="center"/>
              <w:ind w:right="53"/>
              <w:spacing w:after="0" w:line="135" w:lineRule="exact"/>
              <w:rPr>
                <w:sz w:val="20"/>
                <w:szCs w:val="20"/>
                <w:color w:val="auto"/>
              </w:rPr>
            </w:pPr>
            <w:r>
              <w:rPr>
                <w:rFonts w:ascii="Arial" w:cs="Arial" w:eastAsia="Arial" w:hAnsi="Arial"/>
                <w:sz w:val="13"/>
                <w:szCs w:val="13"/>
                <w:b w:val="1"/>
                <w:bCs w:val="1"/>
                <w:color w:val="auto"/>
                <w:w w:val="90"/>
              </w:rPr>
              <w:t>Option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All Other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460" w:type="dxa"/>
            <w:vAlign w:val="bottom"/>
          </w:tcPr>
          <w:p>
            <w:pPr>
              <w:spacing w:after="0" w:line="144" w:lineRule="exact"/>
              <w:rPr>
                <w:sz w:val="20"/>
                <w:szCs w:val="20"/>
                <w:color w:val="auto"/>
              </w:rPr>
            </w:pPr>
            <w:r>
              <w:rPr>
                <w:rFonts w:ascii="Arial" w:cs="Arial" w:eastAsia="Arial" w:hAnsi="Arial"/>
                <w:sz w:val="13"/>
                <w:szCs w:val="13"/>
                <w:b w:val="1"/>
                <w:bCs w:val="1"/>
                <w:color w:val="auto"/>
              </w:rPr>
              <w:t>Name and Principal</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6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83"/>
              </w:rPr>
              <w:t>Bonus</w:t>
            </w:r>
          </w:p>
        </w:tc>
        <w:tc>
          <w:tcPr>
            <w:tcW w:w="52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9"/>
              </w:rPr>
              <w:t>Awards</w:t>
            </w:r>
          </w:p>
        </w:tc>
        <w:tc>
          <w:tcPr>
            <w:tcW w:w="100" w:type="dxa"/>
            <w:vAlign w:val="bottom"/>
          </w:tcPr>
          <w:p>
            <w:pPr>
              <w:spacing w:after="0"/>
              <w:rPr>
                <w:sz w:val="12"/>
                <w:szCs w:val="12"/>
                <w:color w:val="auto"/>
              </w:rPr>
            </w:pPr>
          </w:p>
        </w:tc>
        <w:tc>
          <w:tcPr>
            <w:tcW w:w="620" w:type="dxa"/>
            <w:vAlign w:val="bottom"/>
          </w:tcPr>
          <w:p>
            <w:pPr>
              <w:jc w:val="center"/>
              <w:ind w:right="13"/>
              <w:spacing w:after="0" w:line="144" w:lineRule="exact"/>
              <w:rPr>
                <w:sz w:val="20"/>
                <w:szCs w:val="20"/>
                <w:color w:val="auto"/>
              </w:rPr>
            </w:pPr>
            <w:r>
              <w:rPr>
                <w:rFonts w:ascii="Arial" w:cs="Arial" w:eastAsia="Arial" w:hAnsi="Arial"/>
                <w:sz w:val="13"/>
                <w:szCs w:val="13"/>
                <w:b w:val="1"/>
                <w:bCs w:val="1"/>
                <w:color w:val="auto"/>
                <w:w w:val="85"/>
              </w:rPr>
              <w:t>Awards</w:t>
            </w:r>
            <w:r>
              <w:rPr>
                <w:rFonts w:ascii="Arial" w:cs="Arial" w:eastAsia="Arial" w:hAnsi="Arial"/>
                <w:sz w:val="14"/>
                <w:szCs w:val="14"/>
                <w:b w:val="1"/>
                <w:bCs w:val="1"/>
                <w:color w:val="auto"/>
                <w:w w:val="85"/>
                <w:vertAlign w:val="superscript"/>
              </w:rPr>
              <w:t>(3)</w:t>
            </w:r>
          </w:p>
        </w:tc>
        <w:tc>
          <w:tcPr>
            <w:tcW w:w="100" w:type="dxa"/>
            <w:vAlign w:val="bottom"/>
          </w:tcPr>
          <w:p>
            <w:pPr>
              <w:spacing w:after="0"/>
              <w:rPr>
                <w:sz w:val="12"/>
                <w:szCs w:val="12"/>
                <w:color w:val="auto"/>
              </w:rPr>
            </w:pPr>
          </w:p>
        </w:tc>
        <w:tc>
          <w:tcPr>
            <w:tcW w:w="1060" w:type="dxa"/>
            <w:vAlign w:val="bottom"/>
            <w:gridSpan w:val="3"/>
          </w:tcPr>
          <w:p>
            <w:pPr>
              <w:jc w:val="center"/>
              <w:ind w:right="80"/>
              <w:spacing w:after="0" w:line="144" w:lineRule="exact"/>
              <w:rPr>
                <w:sz w:val="20"/>
                <w:szCs w:val="20"/>
                <w:color w:val="auto"/>
              </w:rPr>
            </w:pPr>
            <w:r>
              <w:rPr>
                <w:rFonts w:ascii="Arial" w:cs="Arial" w:eastAsia="Arial" w:hAnsi="Arial"/>
                <w:sz w:val="13"/>
                <w:szCs w:val="13"/>
                <w:b w:val="1"/>
                <w:bCs w:val="1"/>
                <w:color w:val="auto"/>
                <w:w w:val="84"/>
              </w:rPr>
              <w:t>Compensation</w:t>
            </w:r>
            <w:r>
              <w:rPr>
                <w:rFonts w:ascii="Arial" w:cs="Arial" w:eastAsia="Arial" w:hAnsi="Arial"/>
                <w:sz w:val="14"/>
                <w:szCs w:val="14"/>
                <w:b w:val="1"/>
                <w:bCs w:val="1"/>
                <w:color w:val="auto"/>
                <w:w w:val="84"/>
                <w:vertAlign w:val="superscript"/>
              </w:rPr>
              <w:t>(6)</w:t>
            </w:r>
          </w:p>
        </w:tc>
        <w:tc>
          <w:tcPr>
            <w:tcW w:w="8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9"/>
              </w:rPr>
              <w:t>Earnings</w:t>
            </w:r>
          </w:p>
        </w:tc>
        <w:tc>
          <w:tcPr>
            <w:tcW w:w="86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w w:val="92"/>
              </w:rPr>
              <w:t>Compensation</w:t>
            </w:r>
          </w:p>
        </w:tc>
        <w:tc>
          <w:tcPr>
            <w:tcW w:w="140" w:type="dxa"/>
            <w:vAlign w:val="bottom"/>
          </w:tcPr>
          <w:p>
            <w:pPr>
              <w:spacing w:after="0"/>
              <w:rPr>
                <w:sz w:val="12"/>
                <w:szCs w:val="12"/>
                <w:color w:val="auto"/>
              </w:rPr>
            </w:pPr>
          </w:p>
        </w:tc>
        <w:tc>
          <w:tcPr>
            <w:tcW w:w="56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4"/>
        </w:trPr>
        <w:tc>
          <w:tcPr>
            <w:tcW w:w="1460" w:type="dxa"/>
            <w:vAlign w:val="bottom"/>
          </w:tcPr>
          <w:p>
            <w:pPr>
              <w:spacing w:after="0"/>
              <w:rPr>
                <w:sz w:val="20"/>
                <w:szCs w:val="20"/>
                <w:color w:val="auto"/>
              </w:rPr>
            </w:pPr>
            <w:r>
              <w:rPr>
                <w:rFonts w:ascii="Arial" w:cs="Arial" w:eastAsia="Arial" w:hAnsi="Arial"/>
                <w:sz w:val="13"/>
                <w:szCs w:val="13"/>
                <w:b w:val="1"/>
                <w:bCs w:val="1"/>
                <w:color w:val="auto"/>
              </w:rPr>
              <w:t>Position</w:t>
            </w:r>
          </w:p>
        </w:tc>
        <w:tc>
          <w:tcPr>
            <w:tcW w:w="8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3"/>
                <w:szCs w:val="13"/>
                <w:b w:val="1"/>
                <w:bCs w:val="1"/>
                <w:color w:val="auto"/>
                <w:w w:val="92"/>
              </w:rPr>
              <w:t>Year</w:t>
            </w:r>
          </w:p>
        </w:tc>
        <w:tc>
          <w:tcPr>
            <w:tcW w:w="820" w:type="dxa"/>
            <w:vAlign w:val="bottom"/>
            <w:gridSpan w:val="2"/>
          </w:tcPr>
          <w:p>
            <w:pPr>
              <w:jc w:val="right"/>
              <w:ind w:right="235"/>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36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13"/>
              <w:spacing w:after="0"/>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233"/>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ind w:left="120"/>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460" w:type="dxa"/>
            <w:vAlign w:val="bottom"/>
            <w:shd w:val="clear" w:color="auto" w:fill="CCEEFF"/>
          </w:tcPr>
          <w:p>
            <w:pPr>
              <w:ind w:left="1220"/>
              <w:spacing w:after="0" w:line="115" w:lineRule="exact"/>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center"/>
              <w:spacing w:after="0" w:line="115" w:lineRule="exact"/>
              <w:rPr>
                <w:sz w:val="20"/>
                <w:szCs w:val="20"/>
                <w:color w:val="auto"/>
              </w:rPr>
            </w:pPr>
            <w:r>
              <w:rPr>
                <w:rFonts w:ascii="Arial" w:cs="Arial" w:eastAsia="Arial" w:hAnsi="Arial"/>
                <w:sz w:val="13"/>
                <w:szCs w:val="13"/>
                <w:color w:val="auto"/>
              </w:rPr>
              <w:t>2020</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line="115" w:lineRule="exact"/>
              <w:rPr>
                <w:sz w:val="20"/>
                <w:szCs w:val="20"/>
                <w:color w:val="auto"/>
              </w:rPr>
            </w:pPr>
            <w:r>
              <w:rPr>
                <w:rFonts w:ascii="Arial" w:cs="Arial" w:eastAsia="Arial" w:hAnsi="Arial"/>
                <w:sz w:val="13"/>
                <w:szCs w:val="13"/>
                <w:color w:val="auto"/>
              </w:rPr>
              <w:t>$ 491,617</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ind w:left="220"/>
              <w:spacing w:after="0" w:line="115"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ind w:left="280"/>
              <w:spacing w:after="0" w:line="115"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53"/>
              <w:spacing w:after="0" w:line="115" w:lineRule="exact"/>
              <w:rPr>
                <w:sz w:val="20"/>
                <w:szCs w:val="20"/>
                <w:color w:val="auto"/>
              </w:rPr>
            </w:pPr>
            <w:r>
              <w:rPr>
                <w:rFonts w:ascii="Arial" w:cs="Arial" w:eastAsia="Arial" w:hAnsi="Arial"/>
                <w:sz w:val="13"/>
                <w:szCs w:val="13"/>
                <w:color w:val="auto"/>
              </w:rPr>
              <w:t>227,622</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226,194</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ind w:left="640"/>
              <w:spacing w:after="0" w:line="115"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15"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12,788</w:t>
            </w:r>
            <w:r>
              <w:rPr>
                <w:rFonts w:ascii="Arial" w:cs="Arial" w:eastAsia="Arial" w:hAnsi="Arial"/>
                <w:sz w:val="9"/>
                <w:szCs w:val="9"/>
                <w:color w:val="auto"/>
              </w:rPr>
              <w:t>(7)</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ind w:left="60"/>
              <w:spacing w:after="0" w:line="115" w:lineRule="exact"/>
              <w:rPr>
                <w:sz w:val="20"/>
                <w:szCs w:val="20"/>
                <w:color w:val="auto"/>
              </w:rPr>
            </w:pPr>
            <w:r>
              <w:rPr>
                <w:rFonts w:ascii="Arial" w:cs="Arial" w:eastAsia="Arial" w:hAnsi="Arial"/>
                <w:sz w:val="13"/>
                <w:szCs w:val="13"/>
                <w:color w:val="auto"/>
                <w:w w:val="97"/>
              </w:rPr>
              <w:t>958,221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Barbara Weber, M.D.</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i w:val="1"/>
                <w:iCs w:val="1"/>
                <w:color w:val="auto"/>
              </w:rPr>
              <w:t>President, Chief</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i w:val="1"/>
                <w:iCs w:val="1"/>
                <w:color w:val="auto"/>
                <w:w w:val="94"/>
              </w:rPr>
              <w:t>Executive Officer and</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i w:val="1"/>
                <w:iCs w:val="1"/>
                <w:color w:val="auto"/>
              </w:rPr>
              <w:t>Chairperson</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4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Daniella Beckman</w:t>
            </w:r>
          </w:p>
        </w:tc>
        <w:tc>
          <w:tcPr>
            <w:tcW w:w="46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6"/>
              </w:rPr>
              <w:t>2020</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6"/>
              </w:rPr>
              <w:t>$ 323,447</w:t>
            </w:r>
            <w:r>
              <w:rPr>
                <w:rFonts w:ascii="Arial" w:cs="Arial" w:eastAsia="Arial" w:hAnsi="Arial"/>
                <w:sz w:val="10"/>
                <w:szCs w:val="10"/>
                <w:color w:val="auto"/>
                <w:w w:val="96"/>
              </w:rPr>
              <w:t>(2)</w:t>
            </w:r>
          </w:p>
        </w:tc>
        <w:tc>
          <w:tcPr>
            <w:tcW w:w="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368,323</w:t>
            </w:r>
            <w:r>
              <w:rPr>
                <w:rFonts w:ascii="Arial" w:cs="Arial" w:eastAsia="Arial" w:hAnsi="Arial"/>
                <w:sz w:val="10"/>
                <w:szCs w:val="10"/>
                <w:color w:val="auto"/>
                <w:w w:val="95"/>
              </w:rPr>
              <w:t>(4)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131,828</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10,776</w:t>
            </w:r>
            <w:r>
              <w:rPr>
                <w:rFonts w:ascii="Arial" w:cs="Arial" w:eastAsia="Arial" w:hAnsi="Arial"/>
                <w:sz w:val="10"/>
                <w:szCs w:val="10"/>
                <w:color w:val="auto"/>
              </w:rPr>
              <w:t>(8)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4"/>
                <w:szCs w:val="14"/>
                <w:color w:val="auto"/>
                <w:w w:val="90"/>
              </w:rPr>
              <w:t>834,374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146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460" w:type="dxa"/>
            <w:vAlign w:val="bottom"/>
            <w:shd w:val="clear" w:color="auto" w:fill="CCEEFF"/>
          </w:tcPr>
          <w:p>
            <w:pPr>
              <w:ind w:left="180"/>
              <w:spacing w:after="0" w:line="155" w:lineRule="exact"/>
              <w:rPr>
                <w:sz w:val="20"/>
                <w:szCs w:val="20"/>
                <w:color w:val="auto"/>
              </w:rPr>
            </w:pPr>
            <w:r>
              <w:rPr>
                <w:rFonts w:ascii="Arial" w:cs="Arial" w:eastAsia="Arial" w:hAnsi="Arial"/>
                <w:sz w:val="14"/>
                <w:szCs w:val="14"/>
                <w:i w:val="1"/>
                <w:iCs w:val="1"/>
                <w:color w:val="auto"/>
              </w:rPr>
              <w:t>Chief Financial</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i w:val="1"/>
                <w:iCs w:val="1"/>
                <w:color w:val="auto"/>
              </w:rPr>
              <w:t>Officer</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7"/>
        </w:trPr>
        <w:tc>
          <w:tcPr>
            <w:tcW w:w="1460" w:type="dxa"/>
            <w:vAlign w:val="bottom"/>
            <w:vMerge w:val="restart"/>
          </w:tcPr>
          <w:p>
            <w:pPr>
              <w:spacing w:after="0"/>
              <w:rPr>
                <w:sz w:val="20"/>
                <w:szCs w:val="20"/>
                <w:color w:val="auto"/>
              </w:rPr>
            </w:pPr>
            <w:r>
              <w:rPr>
                <w:rFonts w:ascii="Arial" w:cs="Arial" w:eastAsia="Arial" w:hAnsi="Arial"/>
                <w:sz w:val="14"/>
                <w:szCs w:val="14"/>
                <w:color w:val="auto"/>
              </w:rPr>
              <w:t>Alan Huang, Ph.D.</w:t>
            </w:r>
          </w:p>
        </w:tc>
        <w:tc>
          <w:tcPr>
            <w:tcW w:w="460" w:type="dxa"/>
            <w:vAlign w:val="bottom"/>
            <w:gridSpan w:val="2"/>
          </w:tcPr>
          <w:p>
            <w:pPr>
              <w:jc w:val="center"/>
              <w:ind w:left="8"/>
              <w:spacing w:after="0"/>
              <w:rPr>
                <w:sz w:val="20"/>
                <w:szCs w:val="20"/>
                <w:color w:val="auto"/>
              </w:rPr>
            </w:pPr>
            <w:r>
              <w:rPr>
                <w:rFonts w:ascii="Arial" w:cs="Arial" w:eastAsia="Arial" w:hAnsi="Arial"/>
                <w:sz w:val="14"/>
                <w:szCs w:val="14"/>
                <w:color w:val="auto"/>
                <w:w w:val="96"/>
              </w:rPr>
              <w:t>2020</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$ 373,806</w:t>
            </w:r>
          </w:p>
        </w:tc>
        <w:tc>
          <w:tcPr>
            <w:tcW w:w="80" w:type="dxa"/>
            <w:vAlign w:val="bottom"/>
          </w:tcPr>
          <w:p>
            <w:pPr>
              <w:spacing w:after="0"/>
              <w:rPr>
                <w:sz w:val="24"/>
                <w:szCs w:val="24"/>
                <w:color w:val="auto"/>
              </w:rPr>
            </w:pPr>
          </w:p>
        </w:tc>
        <w:tc>
          <w:tcPr>
            <w:tcW w:w="4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53"/>
              <w:spacing w:after="0"/>
              <w:rPr>
                <w:sz w:val="20"/>
                <w:szCs w:val="20"/>
                <w:color w:val="auto"/>
              </w:rPr>
            </w:pPr>
            <w:r>
              <w:rPr>
                <w:rFonts w:ascii="Arial" w:cs="Arial" w:eastAsia="Arial" w:hAnsi="Arial"/>
                <w:sz w:val="14"/>
                <w:szCs w:val="14"/>
                <w:color w:val="auto"/>
              </w:rPr>
              <w:t>70,566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135,769</w:t>
            </w:r>
          </w:p>
        </w:tc>
        <w:tc>
          <w:tcPr>
            <w:tcW w:w="8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9,376</w:t>
            </w:r>
            <w:r>
              <w:rPr>
                <w:rFonts w:ascii="Arial" w:cs="Arial" w:eastAsia="Arial" w:hAnsi="Arial"/>
                <w:sz w:val="10"/>
                <w:szCs w:val="10"/>
                <w:color w:val="auto"/>
              </w:rPr>
              <w:t>(9)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ind w:left="60"/>
              <w:spacing w:after="0"/>
              <w:rPr>
                <w:sz w:val="20"/>
                <w:szCs w:val="20"/>
                <w:color w:val="auto"/>
              </w:rPr>
            </w:pPr>
            <w:r>
              <w:rPr>
                <w:rFonts w:ascii="Arial" w:cs="Arial" w:eastAsia="Arial" w:hAnsi="Arial"/>
                <w:sz w:val="14"/>
                <w:szCs w:val="14"/>
                <w:color w:val="auto"/>
                <w:w w:val="94"/>
              </w:rPr>
              <w:t>589,517</w:t>
            </w:r>
          </w:p>
        </w:tc>
        <w:tc>
          <w:tcPr>
            <w:tcW w:w="0" w:type="dxa"/>
            <w:vAlign w:val="bottom"/>
          </w:tcPr>
          <w:p>
            <w:pPr>
              <w:spacing w:after="0"/>
              <w:rPr>
                <w:sz w:val="1"/>
                <w:szCs w:val="1"/>
                <w:color w:val="auto"/>
              </w:rPr>
            </w:pPr>
          </w:p>
        </w:tc>
      </w:tr>
      <w:tr>
        <w:trPr>
          <w:trHeight w:val="95"/>
        </w:trPr>
        <w:tc>
          <w:tcPr>
            <w:tcW w:w="14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-163195</wp:posOffset>
            </wp:positionV>
            <wp:extent cx="5143500" cy="3943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00" cy="39433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4"/>
          <w:szCs w:val="14"/>
          <w:i w:val="1"/>
          <w:iCs w:val="1"/>
          <w:color w:val="auto"/>
        </w:rPr>
        <w:t>Chief Scientific</w:t>
      </w:r>
    </w:p>
    <w:p>
      <w:pPr>
        <w:ind w:left="640"/>
        <w:spacing w:after="0"/>
        <w:rPr>
          <w:sz w:val="20"/>
          <w:szCs w:val="20"/>
          <w:color w:val="auto"/>
        </w:rPr>
      </w:pPr>
      <w:r>
        <w:rPr>
          <w:rFonts w:ascii="Arial" w:cs="Arial" w:eastAsia="Arial" w:hAnsi="Arial"/>
          <w:sz w:val="14"/>
          <w:szCs w:val="14"/>
          <w:i w:val="1"/>
          <w:iCs w:val="1"/>
          <w:color w:val="auto"/>
        </w:rPr>
        <w:t>Officer</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459" w:hanging="426"/>
        <w:spacing w:after="0" w:line="266" w:lineRule="auto"/>
        <w:tabs>
          <w:tab w:leader="none" w:pos="88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Salary amount represents actual amounts paid during 2020. See “— Narrative to the summary Compensation Table — Annual Base Salary” below.</w:t>
      </w:r>
    </w:p>
    <w:p>
      <w:pPr>
        <w:spacing w:after="0" w:line="1" w:lineRule="exact"/>
        <w:rPr>
          <w:rFonts w:ascii="Arial" w:cs="Arial" w:eastAsia="Arial" w:hAnsi="Arial"/>
          <w:sz w:val="16"/>
          <w:szCs w:val="16"/>
          <w:color w:val="auto"/>
        </w:rPr>
      </w:pPr>
    </w:p>
    <w:p>
      <w:pPr>
        <w:ind w:left="880" w:right="699" w:hanging="426"/>
        <w:spacing w:after="0" w:line="264" w:lineRule="auto"/>
        <w:tabs>
          <w:tab w:leader="none" w:pos="88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Mrs. Beckman earned a base salary of $288,000 for the period between January 1, 2020 and June 30, 2020, which reflected her part-time status. Upon her appointment to full-time on July 1, 2020, her salary was increased to $360,000. Her base salary and bonus were prorated to reflect her partial year of full-time employment from July 1, 2020 through December 31, 2020.</w:t>
      </w:r>
    </w:p>
    <w:p>
      <w:pPr>
        <w:ind w:left="880" w:right="479" w:hanging="426"/>
        <w:spacing w:after="0" w:line="322" w:lineRule="auto"/>
        <w:tabs>
          <w:tab w:leader="none" w:pos="880" w:val="left"/>
        </w:tabs>
        <w:numPr>
          <w:ilvl w:val="0"/>
          <w:numId w:val="254"/>
        </w:numPr>
        <w:rPr>
          <w:rFonts w:ascii="Arial" w:cs="Arial" w:eastAsia="Arial" w:hAnsi="Arial"/>
          <w:sz w:val="14"/>
          <w:szCs w:val="14"/>
          <w:color w:val="auto"/>
        </w:rPr>
      </w:pPr>
      <w:r>
        <w:rPr>
          <w:rFonts w:ascii="Arial" w:cs="Arial" w:eastAsia="Arial" w:hAnsi="Arial"/>
          <w:sz w:val="14"/>
          <w:szCs w:val="14"/>
          <w:color w:val="auto"/>
        </w:rPr>
        <w:t>In accordance with SEC rules, this column reflects the aggregate grant date fair value of the option awards granted during fiscal year 2020 computed in accordance with ASC 718 for share-based compensation transactions. These amounts do not reflect the actual economic value that will be realized by the named executive officer upon the vesting of the share options, the exercise of the share options or the sale of the common shares underlying such share options.</w:t>
      </w:r>
    </w:p>
    <w:p>
      <w:pPr>
        <w:sectPr>
          <w:pgSz w:w="11900" w:h="16838" w:orient="portrait"/>
          <w:cols w:equalWidth="0" w:num="1">
            <w:col w:w="9019"/>
          </w:cols>
          <w:pgMar w:left="1440" w:top="274" w:right="1440"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44" w:name="page245"/>
    <w:bookmarkEnd w:id="24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right="919" w:hanging="426"/>
        <w:spacing w:after="0" w:line="260" w:lineRule="auto"/>
        <w:tabs>
          <w:tab w:leader="none" w:pos="87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amounts reflected include an increase to Mrs. Beckman’s stock options to reflect her appointment full-time status, effective on July 1, 2020.</w:t>
      </w:r>
    </w:p>
    <w:p>
      <w:pPr>
        <w:ind w:left="880" w:right="519" w:hanging="426"/>
        <w:spacing w:after="0" w:line="264" w:lineRule="auto"/>
        <w:tabs>
          <w:tab w:leader="none" w:pos="88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Dr. Weber also serves as a member of our board of directors but does not receive any additional compensation for her service as a director.</w:t>
      </w:r>
    </w:p>
    <w:p>
      <w:pPr>
        <w:ind w:left="880" w:right="519" w:hanging="426"/>
        <w:spacing w:after="0" w:line="264" w:lineRule="auto"/>
        <w:tabs>
          <w:tab w:leader="none" w:pos="88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Reflects performance-based cash bonuses awarded to our named executive officers. See “-Non-equity incentive plan compensation” below for a description of the material terms of the program pursuant to which this compensation was awarded.</w:t>
      </w:r>
    </w:p>
    <w:p>
      <w:pPr>
        <w:ind w:left="880" w:right="659" w:hanging="426"/>
        <w:spacing w:after="0" w:line="301" w:lineRule="auto"/>
        <w:tabs>
          <w:tab w:leader="none" w:pos="877" w:val="left"/>
        </w:tabs>
        <w:numPr>
          <w:ilvl w:val="0"/>
          <w:numId w:val="255"/>
        </w:numPr>
        <w:rPr>
          <w:rFonts w:ascii="Arial" w:cs="Arial" w:eastAsia="Arial" w:hAnsi="Arial"/>
          <w:sz w:val="14"/>
          <w:szCs w:val="14"/>
          <w:color w:val="auto"/>
        </w:rPr>
      </w:pPr>
      <w:r>
        <w:rPr>
          <w:rFonts w:ascii="Arial" w:cs="Arial" w:eastAsia="Arial" w:hAnsi="Arial"/>
          <w:sz w:val="14"/>
          <w:szCs w:val="14"/>
          <w:color w:val="auto"/>
        </w:rPr>
        <w:t>The amounts reported reflect $4,320 of commuter benefits, $2,865 of health benefits and life &amp; disability insurance and $5,603 of expenses for phone services and home office expenses that our company paid for on behalf of</w:t>
      </w:r>
    </w:p>
    <w:p>
      <w:pPr>
        <w:spacing w:after="0" w:line="1"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6"/>
          <w:szCs w:val="16"/>
          <w:color w:val="auto"/>
        </w:rPr>
        <w:t>Dr. Weber.</w:t>
      </w:r>
    </w:p>
    <w:p>
      <w:pPr>
        <w:spacing w:after="0" w:line="18" w:lineRule="exact"/>
        <w:rPr>
          <w:rFonts w:ascii="Arial" w:cs="Arial" w:eastAsia="Arial" w:hAnsi="Arial"/>
          <w:sz w:val="14"/>
          <w:szCs w:val="14"/>
          <w:color w:val="auto"/>
        </w:rPr>
      </w:pPr>
    </w:p>
    <w:p>
      <w:pPr>
        <w:ind w:left="880" w:right="899" w:hanging="426"/>
        <w:spacing w:after="0" w:line="301" w:lineRule="auto"/>
        <w:tabs>
          <w:tab w:leader="none" w:pos="877" w:val="left"/>
        </w:tabs>
        <w:numPr>
          <w:ilvl w:val="0"/>
          <w:numId w:val="255"/>
        </w:numPr>
        <w:rPr>
          <w:rFonts w:ascii="Arial" w:cs="Arial" w:eastAsia="Arial" w:hAnsi="Arial"/>
          <w:sz w:val="14"/>
          <w:szCs w:val="14"/>
          <w:color w:val="auto"/>
        </w:rPr>
      </w:pPr>
      <w:r>
        <w:rPr>
          <w:rFonts w:ascii="Arial" w:cs="Arial" w:eastAsia="Arial" w:hAnsi="Arial"/>
          <w:sz w:val="14"/>
          <w:szCs w:val="14"/>
          <w:color w:val="auto"/>
        </w:rPr>
        <w:t>The amounts reported reflect $4,320 of commuter benefits, $1,684 for life &amp; disability premiums and $4,772 of expenses for phone services and home office expenses that our company paid for on behalf of Mrs. Beckman.</w:t>
      </w:r>
    </w:p>
    <w:p>
      <w:pPr>
        <w:spacing w:after="0" w:line="1" w:lineRule="exact"/>
        <w:rPr>
          <w:rFonts w:ascii="Arial" w:cs="Arial" w:eastAsia="Arial" w:hAnsi="Arial"/>
          <w:sz w:val="14"/>
          <w:szCs w:val="14"/>
          <w:color w:val="auto"/>
        </w:rPr>
      </w:pPr>
    </w:p>
    <w:p>
      <w:pPr>
        <w:ind w:left="880" w:right="899" w:hanging="426"/>
        <w:spacing w:after="0" w:line="323" w:lineRule="auto"/>
        <w:tabs>
          <w:tab w:leader="none" w:pos="877" w:val="left"/>
        </w:tabs>
        <w:numPr>
          <w:ilvl w:val="0"/>
          <w:numId w:val="255"/>
        </w:numPr>
        <w:rPr>
          <w:rFonts w:ascii="Arial" w:cs="Arial" w:eastAsia="Arial" w:hAnsi="Arial"/>
          <w:sz w:val="15"/>
          <w:szCs w:val="15"/>
          <w:color w:val="auto"/>
        </w:rPr>
      </w:pPr>
      <w:r>
        <w:rPr>
          <w:rFonts w:ascii="Arial" w:cs="Arial" w:eastAsia="Arial" w:hAnsi="Arial"/>
          <w:sz w:val="15"/>
          <w:szCs w:val="15"/>
          <w:color w:val="auto"/>
        </w:rPr>
        <w:t>The amounts reported reflect $4,320 of commuter benefits, $1,684 for life &amp; disability premiums and $3,372 of expenses for phone services and home office expenses that our company paid for on behalf of Mr. Huang.</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Narrative Disclosures to the Summary Compensation Table</w:t>
      </w:r>
    </w:p>
    <w:p>
      <w:pPr>
        <w:spacing w:after="0" w:line="148"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Our board of directors reviews compensation annually for all employees, including our named executives. In setting executive base salaries and bonuses and granting equity incentive awards, we consider compensation for comparable positions in the market, historical compensation level of our executives, individual performance as compared to our expectations and objectives, our desire to motivate employees to achieve short- and long-term results that are in the best interests of our stockholders and a long-term commitment to value creation for our company.</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2020 Base Salaries</w:t>
      </w:r>
    </w:p>
    <w:p>
      <w:pPr>
        <w:spacing w:after="0" w:line="158"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The annual base salaries of our named executive officers are generally determined, approved and reviewed periodically by our compensation committee in order to compensate our named executive officers for their satisfactory performance of duties to our company. Annual base salaries are intended to provide a fixed component of compensation to our named executive officers, reflecting their skill sets, experience, roles and responsibilities. Base salaries for our named executive officers have generally been set at levels deemed necessary to attract and retain individuals with superior talent.</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2020 Base</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35"/>
              <w:spacing w:after="0"/>
              <w:rPr>
                <w:sz w:val="20"/>
                <w:szCs w:val="20"/>
                <w:color w:val="auto"/>
              </w:rPr>
            </w:pPr>
            <w:r>
              <w:rPr>
                <w:rFonts w:ascii="Arial" w:cs="Arial" w:eastAsia="Arial" w:hAnsi="Arial"/>
                <w:sz w:val="16"/>
                <w:szCs w:val="16"/>
                <w:b w:val="1"/>
                <w:bCs w:val="1"/>
                <w:color w:val="auto"/>
                <w:w w:val="89"/>
              </w:rPr>
              <w:t>2021 Base</w:t>
            </w: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Salary</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35"/>
              <w:spacing w:after="0"/>
              <w:rPr>
                <w:sz w:val="20"/>
                <w:szCs w:val="20"/>
                <w:color w:val="auto"/>
              </w:rPr>
            </w:pPr>
            <w:r>
              <w:rPr>
                <w:rFonts w:ascii="Arial" w:cs="Arial" w:eastAsia="Arial" w:hAnsi="Arial"/>
                <w:sz w:val="16"/>
                <w:szCs w:val="16"/>
                <w:b w:val="1"/>
                <w:bCs w:val="1"/>
                <w:color w:val="auto"/>
                <w:w w:val="95"/>
              </w:rPr>
              <w:t>Salary</w:t>
            </w: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60" w:type="dxa"/>
            <w:vAlign w:val="bottom"/>
          </w:tcPr>
          <w:p>
            <w:pPr>
              <w:spacing w:after="0"/>
              <w:rPr>
                <w:sz w:val="18"/>
                <w:szCs w:val="18"/>
                <w:color w:val="auto"/>
              </w:rPr>
            </w:pPr>
          </w:p>
        </w:tc>
        <w:tc>
          <w:tcPr>
            <w:tcW w:w="980" w:type="dxa"/>
            <w:vAlign w:val="bottom"/>
          </w:tcPr>
          <w:p>
            <w:pPr>
              <w:jc w:val="center"/>
              <w:ind w:right="55"/>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5"/>
              <w:spacing w:after="0"/>
              <w:rPr>
                <w:sz w:val="20"/>
                <w:szCs w:val="20"/>
                <w:color w:val="auto"/>
              </w:rPr>
            </w:pPr>
            <w:r>
              <w:rPr>
                <w:rFonts w:ascii="Arial" w:cs="Arial" w:eastAsia="Arial" w:hAnsi="Arial"/>
                <w:sz w:val="16"/>
                <w:szCs w:val="16"/>
                <w:b w:val="1"/>
                <w:bCs w:val="1"/>
                <w:color w:val="auto"/>
                <w:w w:val="91"/>
              </w:rPr>
              <w:t>($)</w:t>
            </w: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Barbara Weber, M.D.</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491,617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506,479</w:t>
            </w:r>
          </w:p>
        </w:tc>
      </w:tr>
      <w:tr>
        <w:trPr>
          <w:trHeight w:val="283"/>
        </w:trPr>
        <w:tc>
          <w:tcPr>
            <w:tcW w:w="5600" w:type="dxa"/>
            <w:vAlign w:val="bottom"/>
            <w:gridSpan w:val="2"/>
          </w:tcPr>
          <w:p>
            <w:pPr>
              <w:spacing w:after="0"/>
              <w:rPr>
                <w:sz w:val="20"/>
                <w:szCs w:val="20"/>
                <w:color w:val="auto"/>
              </w:rPr>
            </w:pPr>
            <w:r>
              <w:rPr>
                <w:rFonts w:ascii="Arial" w:cs="Arial" w:eastAsia="Arial" w:hAnsi="Arial"/>
                <w:sz w:val="18"/>
                <w:szCs w:val="18"/>
                <w:color w:val="auto"/>
              </w:rPr>
              <w:t>Daniella Beckman</w:t>
            </w:r>
            <w:r>
              <w:rPr>
                <w:rFonts w:ascii="Arial" w:cs="Arial" w:eastAsia="Arial" w:hAnsi="Arial"/>
                <w:sz w:val="20"/>
                <w:szCs w:val="20"/>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360,000</w:t>
            </w:r>
          </w:p>
        </w:tc>
        <w:tc>
          <w:tcPr>
            <w:tcW w:w="220" w:type="dxa"/>
            <w:vAlign w:val="bottom"/>
            <w:gridSpan w:val="2"/>
          </w:tcPr>
          <w:p>
            <w:pPr>
              <w:jc w:val="right"/>
              <w:ind w:right="27"/>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370,800</w:t>
            </w: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Alan Huang, Ph.D.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373,806</w:t>
            </w:r>
          </w:p>
        </w:tc>
        <w:tc>
          <w:tcPr>
            <w:tcW w:w="220" w:type="dxa"/>
            <w:vAlign w:val="bottom"/>
            <w:tcBorders>
              <w:bottom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385,107</w:t>
            </w: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1019" w:hanging="426"/>
        <w:spacing w:after="0" w:line="293" w:lineRule="auto"/>
        <w:tabs>
          <w:tab w:leader="none" w:pos="88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Mrs. Beckman transitioned to full-time employment on July 1, 2020 and her salary was adjusted to reflect her employment status with our company.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5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Our bonus program is intended to recognize and reward associates for achieving established objectives that are linked to the company’s growth and success, thereby allowing you to share in our performance based on corporate and individual accomplishments. Early in 2020, our Board of Directors determined a number of company performance goals for fiscal 2020 pertaining to (i) Early-stage target discovery efforts of 30%</w:t>
      </w:r>
    </w:p>
    <w:p>
      <w:pPr>
        <w:spacing w:after="0" w:line="1" w:lineRule="exact"/>
        <w:rPr>
          <w:sz w:val="20"/>
          <w:szCs w:val="20"/>
          <w:color w:val="auto"/>
        </w:rPr>
      </w:pPr>
    </w:p>
    <w:p>
      <w:pPr>
        <w:ind w:left="720" w:hanging="266"/>
        <w:spacing w:after="0"/>
        <w:tabs>
          <w:tab w:leader="none" w:pos="7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Drug discovery efforts, including the development efforts for our TNG-908 program of 55% and</w:t>
      </w:r>
    </w:p>
    <w:p>
      <w:pPr>
        <w:spacing w:after="0" w:line="9" w:lineRule="exact"/>
        <w:rPr>
          <w:rFonts w:ascii="Arial" w:cs="Arial" w:eastAsia="Arial" w:hAnsi="Arial"/>
          <w:sz w:val="18"/>
          <w:szCs w:val="18"/>
          <w:color w:val="auto"/>
        </w:rPr>
      </w:pPr>
    </w:p>
    <w:p>
      <w:pPr>
        <w:ind w:left="760" w:hanging="306"/>
        <w:spacing w:after="0"/>
        <w:tabs>
          <w:tab w:leader="none" w:pos="7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Corporate Strategy and organizational objectives of 15%.</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5"/>
              </w:rPr>
              <w:t>2020</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r>
      <w:tr>
        <w:trPr>
          <w:trHeight w:val="202"/>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Bonus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8"/>
              </w:rPr>
              <w:t>Bonus</w:t>
            </w:r>
          </w:p>
        </w:tc>
      </w:tr>
      <w:tr>
        <w:trPr>
          <w:trHeight w:val="210"/>
        </w:trPr>
        <w:tc>
          <w:tcPr>
            <w:tcW w:w="55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Target (%)</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7"/>
              </w:rPr>
              <w:t>Target (%)</w:t>
            </w:r>
          </w:p>
        </w:tc>
      </w:tr>
      <w:tr>
        <w:trPr>
          <w:trHeight w:val="47"/>
        </w:trPr>
        <w:tc>
          <w:tcPr>
            <w:tcW w:w="54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Barbara Weber, M.D.</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5560" w:type="dxa"/>
            <w:vAlign w:val="bottom"/>
            <w:gridSpan w:val="2"/>
          </w:tcPr>
          <w:p>
            <w:pPr>
              <w:spacing w:after="0"/>
              <w:rPr>
                <w:sz w:val="20"/>
                <w:szCs w:val="20"/>
                <w:color w:val="auto"/>
              </w:rPr>
            </w:pPr>
            <w:r>
              <w:rPr>
                <w:rFonts w:ascii="Arial" w:cs="Arial" w:eastAsia="Arial" w:hAnsi="Arial"/>
                <w:sz w:val="18"/>
                <w:szCs w:val="18"/>
                <w:color w:val="auto"/>
              </w:rPr>
              <w:t>Daniella Beckman</w:t>
            </w: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0"/>
        </w:trPr>
        <w:tc>
          <w:tcPr>
            <w:tcW w:w="5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3"/>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Huang, Ph.D.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41"/>
        </w:trPr>
        <w:tc>
          <w:tcPr>
            <w:tcW w:w="54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779" w:firstLine="432"/>
        <w:spacing w:after="0" w:line="263" w:lineRule="auto"/>
        <w:rPr>
          <w:sz w:val="20"/>
          <w:szCs w:val="20"/>
          <w:color w:val="auto"/>
        </w:rPr>
      </w:pPr>
      <w:r>
        <w:rPr>
          <w:rFonts w:ascii="Arial" w:cs="Arial" w:eastAsia="Arial" w:hAnsi="Arial"/>
          <w:sz w:val="18"/>
          <w:szCs w:val="18"/>
          <w:color w:val="auto"/>
        </w:rPr>
        <w:t>Dr. Weber, Ms. Beckman and Mr. Huang all earned bonuses as set forth in the 2020 Summary Compensation Table. Theses bonuses were based on specified company and individual performance metrics which were approved by the board of directors.</w:t>
      </w:r>
    </w:p>
    <w:p>
      <w:pPr>
        <w:sectPr>
          <w:pgSz w:w="11900" w:h="16838" w:orient="portrait"/>
          <w:cols w:equalWidth="0" w:num="1">
            <w:col w:w="9019"/>
          </w:cols>
          <w:pgMar w:left="1440" w:top="274" w:right="1440"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45" w:name="page246"/>
    <w:bookmarkEnd w:id="24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Incentive Compensation</w:t>
      </w:r>
    </w:p>
    <w:p>
      <w:pPr>
        <w:spacing w:after="0" w:line="144"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Our equity-based incentive awards granted to our named executive officers are designed to align our interested and those of our stockholders with those of our employees and consultants, including our executive officers.</w:t>
      </w:r>
    </w:p>
    <w:p>
      <w:pPr>
        <w:spacing w:after="0" w:line="116"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We have historically used share options as an incentive for long-term compensation to our executive officers because the share options allow our executive officers to profit from this form of equity compensation only if our share price increases relative to the share option’s exercise price, which exercise price is set at the fair market value of our common shares on the date of grant. We may grant equity awards at such times as our board of directors or compensation committee determines appropriate. Our executives generally are awarded an initial grant in the form of a share option in connection with their commencement of employment with us. Additional grants may occur periodically in order to specifically incentivize executives with respect to achieving corporate goals or to reward certain performance. Our stock options typically vest as to 25% of the underlying shares on the first anniversary of the vesting commencement date and in 36 equal monthly installments over the following three years, subject to the holder’s continued employment with us. From time to time, the board of directors may also construct alternative vesting schedules as it determines are appropriate to motivate particular employees. All options are granted with an exercise price that is no less than the fair market value of our common shares on the date of such grant of such award.</w:t>
      </w:r>
    </w:p>
    <w:p>
      <w:pPr>
        <w:spacing w:after="0" w:line="106"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Prior to the Business Combination, we have granted all share options pursuant to our Tango Therapeutics, Inc. 2017 Stock Option and Grant Plan. The terms of our equity plans are described below under “</w:t>
      </w:r>
      <w:r>
        <w:rPr>
          <w:rFonts w:ascii="Arial" w:cs="Arial" w:eastAsia="Arial" w:hAnsi="Arial"/>
          <w:sz w:val="18"/>
          <w:szCs w:val="18"/>
          <w:i w:val="1"/>
          <w:iCs w:val="1"/>
          <w:color w:val="auto"/>
        </w:rPr>
        <w:t>Equity</w:t>
      </w:r>
      <w:r>
        <w:rPr>
          <w:rFonts w:ascii="Arial" w:cs="Arial" w:eastAsia="Arial" w:hAnsi="Arial"/>
          <w:sz w:val="18"/>
          <w:szCs w:val="18"/>
          <w:color w:val="auto"/>
        </w:rPr>
        <w:t xml:space="preserve"> </w:t>
      </w:r>
      <w:r>
        <w:rPr>
          <w:rFonts w:ascii="Arial" w:cs="Arial" w:eastAsia="Arial" w:hAnsi="Arial"/>
          <w:sz w:val="18"/>
          <w:szCs w:val="18"/>
          <w:i w:val="1"/>
          <w:iCs w:val="1"/>
          <w:color w:val="auto"/>
        </w:rPr>
        <w:t>Incentive Plans.</w:t>
      </w:r>
      <w:r>
        <w:rPr>
          <w:rFonts w:ascii="Arial" w:cs="Arial" w:eastAsia="Arial" w:hAnsi="Arial"/>
          <w:sz w:val="18"/>
          <w:szCs w:val="18"/>
          <w:color w:val="auto"/>
        </w:rPr>
        <w: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Compensation Arrangements</w:t>
      </w:r>
    </w:p>
    <w:p>
      <w:pPr>
        <w:spacing w:after="0" w:line="144" w:lineRule="exact"/>
        <w:rPr>
          <w:sz w:val="20"/>
          <w:szCs w:val="20"/>
          <w:color w:val="auto"/>
        </w:rPr>
      </w:pPr>
    </w:p>
    <w:p>
      <w:pPr>
        <w:ind w:left="460" w:right="1099" w:firstLine="432"/>
        <w:spacing w:after="0" w:line="277" w:lineRule="auto"/>
        <w:rPr>
          <w:sz w:val="20"/>
          <w:szCs w:val="20"/>
          <w:color w:val="auto"/>
        </w:rPr>
      </w:pPr>
      <w:r>
        <w:rPr>
          <w:rFonts w:ascii="Arial" w:cs="Arial" w:eastAsia="Arial" w:hAnsi="Arial"/>
          <w:sz w:val="18"/>
          <w:szCs w:val="18"/>
          <w:color w:val="auto"/>
        </w:rPr>
        <w:t>Prior to the Closing, we intend to enter into new employment agreements with each of Dr. Weber, Dr. Huang and Ms. Beckman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Employment Arrangements in Place Prior to the Closing for Named Executive Officers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Barbara Weber, M.D.</w:t>
      </w:r>
    </w:p>
    <w:p>
      <w:pPr>
        <w:spacing w:after="0" w:line="162"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Effective September 1, 2017, we entered into an offer letter with Dr. Weber, or the Weber Offer Letter, for the position of Chief Executive Officer. The Weber Offer Letter provides for Dr. Weber’s at-will employment. Dr. Weber’s current annual base salary is $506,479, and she is eligible for an annual bonus with a target amount of 45% of her current annual base salary. Dr. Weber is eligible to participate in the employee benefit plans available to our employees, subject to the terms of those plans.</w:t>
      </w:r>
    </w:p>
    <w:p>
      <w:pPr>
        <w:spacing w:after="0" w:line="109" w:lineRule="exact"/>
        <w:rPr>
          <w:sz w:val="20"/>
          <w:szCs w:val="20"/>
          <w:color w:val="auto"/>
        </w:rPr>
      </w:pPr>
    </w:p>
    <w:p>
      <w:pPr>
        <w:ind w:left="460" w:right="539" w:firstLine="432"/>
        <w:spacing w:after="0" w:line="284" w:lineRule="auto"/>
        <w:rPr>
          <w:sz w:val="20"/>
          <w:szCs w:val="20"/>
          <w:color w:val="auto"/>
        </w:rPr>
      </w:pPr>
      <w:r>
        <w:rPr>
          <w:rFonts w:ascii="Arial" w:cs="Arial" w:eastAsia="Arial" w:hAnsi="Arial"/>
          <w:sz w:val="16"/>
          <w:szCs w:val="16"/>
          <w:color w:val="auto"/>
        </w:rPr>
        <w:t>Pursuant to the Weber Offer Letter, in the event that Dr. Weber’s employment is terminated by us without “cause” (as defined in the Weber Offer Letter), subject to the execution and effectiveness of a separation and release of claims agreement, which must become effective within thirty-five (35) days of the date of termination, Dr. Weber will be entitled to receive (i) twelve months of base salary continuation, (ii) the amount of any unpaid bonus that had previously been approved by the board of directors for any prior year, (iii) if, and to the extent approved by the board of directors and consistent with the Company’s then current compensation policy, the pro-rated share of her bonus (or portion thereof) for the current year, (iv) payment for twelve (12) months of monthly COBRA premiums at the same rate as the Company pays for active employees for</w:t>
      </w:r>
    </w:p>
    <w:p>
      <w:pPr>
        <w:spacing w:after="0" w:line="1" w:lineRule="exact"/>
        <w:rPr>
          <w:sz w:val="20"/>
          <w:szCs w:val="20"/>
          <w:color w:val="auto"/>
        </w:rPr>
      </w:pPr>
    </w:p>
    <w:p>
      <w:pPr>
        <w:ind w:left="460" w:right="539"/>
        <w:spacing w:after="0" w:line="269" w:lineRule="auto"/>
        <w:rPr>
          <w:sz w:val="20"/>
          <w:szCs w:val="20"/>
          <w:color w:val="auto"/>
        </w:rPr>
      </w:pPr>
      <w:r>
        <w:rPr>
          <w:rFonts w:ascii="Arial" w:cs="Arial" w:eastAsia="Arial" w:hAnsi="Arial"/>
          <w:sz w:val="17"/>
          <w:szCs w:val="17"/>
          <w:color w:val="auto"/>
        </w:rPr>
        <w:t>Dr. Weber and her eligible dependents, and (v) if, and to the extent approved by the board of directors, accelerated vesting of that portion of the restricted stock award granted to Dr. Weber in connection with the Weber Offer Letter that would have vested in the twelve months following termination had Dr. Weber remained employed. In the event that such termination occurs without “cause” or by Dr. Weber’s resignation for “good reason” (as defined in the Weber Offer Letter), within twelve months after a “change in control” (as defined in the Weber Offer Letter), Dr. Weber will be entitled to receive accelerated vesting of 100% of any stock options and restricted stock awards held by Dr. Weber.</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Daniella Beckman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entered into an offer letter with Ms. Beckman on August 16, 2019, as amended on December 4, 2019</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and August 11, 2020, or the Beckman Offer Letter, for the position of Chief Finance Officer. The Beckman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Offer Letter provides for Ms. Beckman’s at-will employment. Ms. Beckman’s current annual base salary is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$370,800, and she is eligible for an annual bonus with a target amount of 35% of her current annual base salary.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Ms. Beckman is eligible to participate in the employee benefit plans available to our employees, subject to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terms of those plans.</w:t>
      </w:r>
    </w:p>
    <w:p>
      <w:pPr>
        <w:sectPr>
          <w:pgSz w:w="11900" w:h="16838" w:orient="portrait"/>
          <w:cols w:equalWidth="0" w:num="1">
            <w:col w:w="9019"/>
          </w:cols>
          <w:pgMar w:left="1440" w:top="274" w:right="1440"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46" w:name="page247"/>
    <w:bookmarkEnd w:id="24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Pursuant to the Beckman Offer Letter, in the event that Ms. Beckman’s employment is terminated by us without “cause” (as defined in the Beckman Offer Letter), subject to the execution and effectiveness of a separation and release of claims agreement, which must become effective within thirty-five (35) days of the date of termination, Ms. Beckman will be entitled to receive (i) twelve months of base salary continuation and</w:t>
      </w:r>
    </w:p>
    <w:p>
      <w:pPr>
        <w:spacing w:after="0" w:line="1" w:lineRule="exact"/>
        <w:rPr>
          <w:sz w:val="20"/>
          <w:szCs w:val="20"/>
          <w:color w:val="auto"/>
        </w:rPr>
      </w:pPr>
    </w:p>
    <w:p>
      <w:pPr>
        <w:ind w:left="460" w:right="619" w:hanging="6"/>
        <w:spacing w:after="0" w:line="281" w:lineRule="auto"/>
        <w:tabs>
          <w:tab w:leader="none" w:pos="725" w:val="left"/>
        </w:tabs>
        <w:numPr>
          <w:ilvl w:val="0"/>
          <w:numId w:val="258"/>
        </w:numPr>
        <w:rPr>
          <w:rFonts w:ascii="Arial" w:cs="Arial" w:eastAsia="Arial" w:hAnsi="Arial"/>
          <w:sz w:val="16"/>
          <w:szCs w:val="16"/>
          <w:color w:val="auto"/>
        </w:rPr>
      </w:pPr>
      <w:r>
        <w:rPr>
          <w:rFonts w:ascii="Arial" w:cs="Arial" w:eastAsia="Arial" w:hAnsi="Arial"/>
          <w:sz w:val="16"/>
          <w:szCs w:val="16"/>
          <w:color w:val="auto"/>
        </w:rPr>
        <w:t>payment for twelve (12) months of monthly COBRA premiums at the same rate as the Company pays for active employees for Ms. Beckman and her eligible dependents. In the event that such termination occurs without “cause” or by Ms. Beckman’s resignation for “good reason” (as defined in the Beckman Offer Letter), within twelve months after a “change in control” (as defined in the Beckman Offer Letter), Ms. Beckman will be entitled to receive accelerated vesting of 100% of any unvested time based equity grants held by</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Ms. Beckman.</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Alan Huang, Ph.D.</w:t>
      </w:r>
    </w:p>
    <w:p>
      <w:pPr>
        <w:spacing w:after="0" w:line="162" w:lineRule="exact"/>
        <w:rPr>
          <w:sz w:val="20"/>
          <w:szCs w:val="20"/>
          <w:color w:val="auto"/>
        </w:rPr>
      </w:pPr>
    </w:p>
    <w:p>
      <w:pPr>
        <w:ind w:left="460" w:right="919" w:firstLine="432"/>
        <w:spacing w:after="0" w:line="291" w:lineRule="auto"/>
        <w:rPr>
          <w:sz w:val="20"/>
          <w:szCs w:val="20"/>
          <w:color w:val="auto"/>
        </w:rPr>
      </w:pPr>
      <w:r>
        <w:rPr>
          <w:rFonts w:ascii="Arial" w:cs="Arial" w:eastAsia="Arial" w:hAnsi="Arial"/>
          <w:sz w:val="16"/>
          <w:szCs w:val="16"/>
          <w:color w:val="auto"/>
        </w:rPr>
        <w:t>On May 1, 2018, we entered into an offer letter with Dr. Huang, or the Huang Offer Letter, for the position of Chief Scientific Officer. The Huang Offer Letter provides for Dr. Huang’s at-will employment.</w:t>
      </w:r>
    </w:p>
    <w:p>
      <w:pPr>
        <w:ind w:left="460" w:right="579"/>
        <w:spacing w:after="0" w:line="255" w:lineRule="auto"/>
        <w:rPr>
          <w:sz w:val="20"/>
          <w:szCs w:val="20"/>
          <w:color w:val="auto"/>
        </w:rPr>
      </w:pPr>
      <w:r>
        <w:rPr>
          <w:rFonts w:ascii="Arial" w:cs="Arial" w:eastAsia="Arial" w:hAnsi="Arial"/>
          <w:sz w:val="18"/>
          <w:szCs w:val="18"/>
          <w:color w:val="auto"/>
        </w:rPr>
        <w:t>Dr. Huang’s current annual base salary is $374,000, and he is eligible for an annual bonus with a target amount of 35% of his current annual base salary. Dr. Huang is eligible to participate in the employee benefit plans available to our employees, subject to the terms of those plans.</w:t>
      </w:r>
    </w:p>
    <w:p>
      <w:pPr>
        <w:spacing w:after="0" w:line="122"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Pursuant to the Huang Offer Letter, in the event that Dr. Huang’s employment is terminated by us without “cause” (as defined in the Huang Offer Letter), subject to the execution and effectiveness of a separation and release of claims agreement, which must become effective within thirty-five (35) days of the date of termination, Dr. Huang will be entitled to receive (i) twelve months of base salary continuation and (ii) payment for twelve (12) months of monthly COBRA premiums at the same rate as the Company pays for active employees for Dr. Huang and his eligible dependents. In the event that such termination occurs without “cause” or by Dr. Huang’s resignation for “good reason” (as defined in the Huang Offer Letter), within twelve months after a “change in control” (as defined in the Huang Offer Letter), Dr. Huang will be entitled to receive accelerated vesting of 100% of any unvested time-based options and restricted stock held by Dr. Huang.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40"/>
        </w:trPr>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4"/>
          </w:tcPr>
          <w:p>
            <w:pPr>
              <w:ind w:left="540"/>
              <w:spacing w:after="0"/>
              <w:rPr>
                <w:sz w:val="20"/>
                <w:szCs w:val="20"/>
                <w:color w:val="auto"/>
              </w:rPr>
            </w:pPr>
            <w:r>
              <w:rPr>
                <w:rFonts w:ascii="Arial" w:cs="Arial" w:eastAsia="Arial" w:hAnsi="Arial"/>
                <w:sz w:val="11"/>
                <w:szCs w:val="11"/>
                <w:b w:val="1"/>
                <w:bCs w:val="1"/>
                <w:color w:val="auto"/>
              </w:rPr>
              <w:t>Option Awards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right"/>
              <w:ind w:right="300"/>
              <w:spacing w:after="0"/>
              <w:rPr>
                <w:sz w:val="20"/>
                <w:szCs w:val="20"/>
                <w:color w:val="auto"/>
              </w:rPr>
            </w:pPr>
            <w:r>
              <w:rPr>
                <w:rFonts w:ascii="Arial" w:cs="Arial" w:eastAsia="Arial" w:hAnsi="Arial"/>
                <w:sz w:val="11"/>
                <w:szCs w:val="11"/>
                <w:b w:val="1"/>
                <w:bCs w:val="1"/>
                <w:color w:val="auto"/>
              </w:rPr>
              <w:t>Stock Awards</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5"/>
              </w:rPr>
              <w:t>Equity</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2"/>
              </w:rPr>
              <w:t>Incentive</w:t>
            </w:r>
          </w:p>
        </w:tc>
        <w:tc>
          <w:tcPr>
            <w:tcW w:w="0" w:type="dxa"/>
            <w:vAlign w:val="bottom"/>
          </w:tcPr>
          <w:p>
            <w:pPr>
              <w:spacing w:after="0"/>
              <w:rPr>
                <w:sz w:val="1"/>
                <w:szCs w:val="1"/>
                <w:color w:val="auto"/>
              </w:rPr>
            </w:pPr>
          </w:p>
        </w:tc>
      </w:tr>
      <w:tr>
        <w:trPr>
          <w:trHeight w:val="121"/>
        </w:trPr>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rPr>
              <w:t>Equity</w:t>
            </w:r>
          </w:p>
        </w:tc>
        <w:tc>
          <w:tcPr>
            <w:tcW w:w="56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85"/>
              </w:rPr>
              <w:t>Plan</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Incentive</w:t>
            </w:r>
          </w:p>
        </w:tc>
        <w:tc>
          <w:tcPr>
            <w:tcW w:w="56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2"/>
              </w:rPr>
              <w:t>Awards:</w:t>
            </w:r>
          </w:p>
        </w:tc>
        <w:tc>
          <w:tcPr>
            <w:tcW w:w="0" w:type="dxa"/>
            <w:vAlign w:val="bottom"/>
          </w:tcPr>
          <w:p>
            <w:pPr>
              <w:spacing w:after="0"/>
              <w:rPr>
                <w:sz w:val="1"/>
                <w:szCs w:val="1"/>
                <w:color w:val="auto"/>
              </w:rPr>
            </w:pPr>
          </w:p>
        </w:tc>
      </w:tr>
      <w:tr>
        <w:trPr>
          <w:trHeight w:val="121"/>
        </w:trPr>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5"/>
              </w:rPr>
              <w:t>Plan</w:t>
            </w:r>
          </w:p>
        </w:tc>
        <w:tc>
          <w:tcPr>
            <w:tcW w:w="56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6"/>
              </w:rPr>
              <w:t>Market or</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Equity</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2"/>
              </w:rPr>
              <w:t>Awards:</w:t>
            </w:r>
          </w:p>
        </w:tc>
        <w:tc>
          <w:tcPr>
            <w:tcW w:w="56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87"/>
              </w:rPr>
              <w:t>Payout</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Incentive</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ind w:right="60"/>
              <w:spacing w:after="0" w:line="122" w:lineRule="exact"/>
              <w:rPr>
                <w:sz w:val="20"/>
                <w:szCs w:val="20"/>
                <w:color w:val="auto"/>
              </w:rPr>
            </w:pPr>
            <w:r>
              <w:rPr>
                <w:rFonts w:ascii="Arial" w:cs="Arial" w:eastAsia="Arial" w:hAnsi="Arial"/>
                <w:sz w:val="11"/>
                <w:szCs w:val="11"/>
                <w:b w:val="1"/>
                <w:bCs w:val="1"/>
                <w:color w:val="auto"/>
                <w:w w:val="87"/>
              </w:rPr>
              <w:t>Number of</w:t>
            </w:r>
          </w:p>
        </w:tc>
        <w:tc>
          <w:tcPr>
            <w:tcW w:w="56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89"/>
              </w:rPr>
              <w:t>Value Of</w:t>
            </w:r>
          </w:p>
        </w:tc>
        <w:tc>
          <w:tcPr>
            <w:tcW w:w="0" w:type="dxa"/>
            <w:vAlign w:val="bottom"/>
          </w:tcPr>
          <w:p>
            <w:pPr>
              <w:spacing w:after="0"/>
              <w:rPr>
                <w:sz w:val="1"/>
                <w:szCs w:val="1"/>
                <w:color w:val="auto"/>
              </w:rPr>
            </w:pPr>
          </w:p>
        </w:tc>
      </w:tr>
      <w:tr>
        <w:trPr>
          <w:trHeight w:val="121"/>
        </w:trPr>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Plan</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rPr>
              <w:t>Market</w:t>
            </w:r>
          </w:p>
        </w:tc>
        <w:tc>
          <w:tcPr>
            <w:tcW w:w="5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Unearned</w:t>
            </w:r>
          </w:p>
        </w:tc>
        <w:tc>
          <w:tcPr>
            <w:tcW w:w="56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0"/>
              </w:rPr>
              <w:t>Unearned</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100"/>
              <w:spacing w:after="0" w:line="109" w:lineRule="exact"/>
              <w:rPr>
                <w:sz w:val="20"/>
                <w:szCs w:val="20"/>
                <w:color w:val="auto"/>
              </w:rPr>
            </w:pPr>
            <w:r>
              <w:rPr>
                <w:rFonts w:ascii="Arial" w:cs="Arial" w:eastAsia="Arial" w:hAnsi="Arial"/>
                <w:sz w:val="11"/>
                <w:szCs w:val="11"/>
                <w:b w:val="1"/>
                <w:bCs w:val="1"/>
                <w:color w:val="auto"/>
                <w:w w:val="87"/>
              </w:rPr>
              <w:t>Awards:</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jc w:val="center"/>
              <w:ind w:right="10"/>
              <w:spacing w:after="0" w:line="109" w:lineRule="exact"/>
              <w:rPr>
                <w:sz w:val="20"/>
                <w:szCs w:val="20"/>
                <w:color w:val="auto"/>
              </w:rPr>
            </w:pPr>
            <w:r>
              <w:rPr>
                <w:rFonts w:ascii="Arial" w:cs="Arial" w:eastAsia="Arial" w:hAnsi="Arial"/>
                <w:sz w:val="11"/>
                <w:szCs w:val="11"/>
                <w:b w:val="1"/>
                <w:bCs w:val="1"/>
                <w:color w:val="auto"/>
                <w:w w:val="91"/>
              </w:rPr>
              <w:t>Number</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560" w:type="dxa"/>
            <w:vAlign w:val="bottom"/>
            <w:gridSpan w:val="2"/>
          </w:tcPr>
          <w:p>
            <w:pPr>
              <w:jc w:val="center"/>
              <w:ind w:right="100"/>
              <w:spacing w:after="0" w:line="109" w:lineRule="exact"/>
              <w:rPr>
                <w:sz w:val="20"/>
                <w:szCs w:val="20"/>
                <w:color w:val="auto"/>
              </w:rPr>
            </w:pPr>
            <w:r>
              <w:rPr>
                <w:rFonts w:ascii="Arial" w:cs="Arial" w:eastAsia="Arial" w:hAnsi="Arial"/>
                <w:sz w:val="11"/>
                <w:szCs w:val="11"/>
                <w:b w:val="1"/>
                <w:bCs w:val="1"/>
                <w:color w:val="auto"/>
                <w:w w:val="85"/>
              </w:rPr>
              <w:t>Shares,</w:t>
            </w:r>
          </w:p>
        </w:tc>
        <w:tc>
          <w:tcPr>
            <w:tcW w:w="560" w:type="dxa"/>
            <w:vAlign w:val="bottom"/>
            <w:gridSpan w:val="2"/>
          </w:tcPr>
          <w:p>
            <w:pPr>
              <w:jc w:val="center"/>
              <w:ind w:right="60"/>
              <w:spacing w:after="0" w:line="109" w:lineRule="exact"/>
              <w:rPr>
                <w:sz w:val="20"/>
                <w:szCs w:val="20"/>
                <w:color w:val="auto"/>
              </w:rPr>
            </w:pPr>
            <w:r>
              <w:rPr>
                <w:rFonts w:ascii="Arial" w:cs="Arial" w:eastAsia="Arial" w:hAnsi="Arial"/>
                <w:sz w:val="11"/>
                <w:szCs w:val="11"/>
                <w:b w:val="1"/>
                <w:bCs w:val="1"/>
                <w:color w:val="auto"/>
                <w:w w:val="85"/>
              </w:rPr>
              <w:t>Shares,</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center"/>
              <w:ind w:left="41"/>
              <w:spacing w:after="0" w:line="122" w:lineRule="exact"/>
              <w:rPr>
                <w:sz w:val="20"/>
                <w:szCs w:val="20"/>
                <w:color w:val="auto"/>
              </w:rPr>
            </w:pPr>
            <w:r>
              <w:rPr>
                <w:rFonts w:ascii="Arial" w:cs="Arial" w:eastAsia="Arial" w:hAnsi="Arial"/>
                <w:sz w:val="11"/>
                <w:szCs w:val="11"/>
                <w:b w:val="1"/>
                <w:bCs w:val="1"/>
                <w:color w:val="auto"/>
                <w:w w:val="76"/>
              </w:rPr>
              <w:t>of</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8"/>
              </w:rPr>
              <w:t>Value</w:t>
            </w:r>
          </w:p>
        </w:tc>
        <w:tc>
          <w:tcPr>
            <w:tcW w:w="5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Units or</w:t>
            </w:r>
          </w:p>
        </w:tc>
        <w:tc>
          <w:tcPr>
            <w:tcW w:w="56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1"/>
              </w:rPr>
              <w:t>Units or</w:t>
            </w:r>
          </w:p>
        </w:tc>
        <w:tc>
          <w:tcPr>
            <w:tcW w:w="0" w:type="dxa"/>
            <w:vAlign w:val="bottom"/>
          </w:tcPr>
          <w:p>
            <w:pPr>
              <w:spacing w:after="0"/>
              <w:rPr>
                <w:sz w:val="1"/>
                <w:szCs w:val="1"/>
                <w:color w:val="auto"/>
              </w:rPr>
            </w:pPr>
          </w:p>
        </w:tc>
      </w:tr>
      <w:tr>
        <w:trPr>
          <w:trHeight w:val="121"/>
        </w:trPr>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6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Securities</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Shares or</w:t>
            </w:r>
          </w:p>
        </w:tc>
        <w:tc>
          <w:tcPr>
            <w:tcW w:w="68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w w:val="93"/>
              </w:rPr>
              <w:t>of Shares or</w:t>
            </w:r>
          </w:p>
        </w:tc>
        <w:tc>
          <w:tcPr>
            <w:tcW w:w="56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5"/>
              </w:rPr>
              <w:t>Other</w:t>
            </w:r>
          </w:p>
        </w:tc>
        <w:tc>
          <w:tcPr>
            <w:tcW w:w="56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5"/>
              </w:rPr>
              <w:t>Other</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3"/>
              </w:rPr>
              <w:t>Securities</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Securities</w:t>
            </w:r>
          </w:p>
        </w:tc>
        <w:tc>
          <w:tcPr>
            <w:tcW w:w="6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Underlying</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Units of</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Units of</w:t>
            </w:r>
          </w:p>
        </w:tc>
        <w:tc>
          <w:tcPr>
            <w:tcW w:w="5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Rights</w:t>
            </w:r>
          </w:p>
        </w:tc>
        <w:tc>
          <w:tcPr>
            <w:tcW w:w="56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w w:val="87"/>
              </w:rPr>
              <w:t>Rights</w:t>
            </w:r>
          </w:p>
        </w:tc>
        <w:tc>
          <w:tcPr>
            <w:tcW w:w="0" w:type="dxa"/>
            <w:vAlign w:val="bottom"/>
          </w:tcPr>
          <w:p>
            <w:pPr>
              <w:spacing w:after="0"/>
              <w:rPr>
                <w:sz w:val="1"/>
                <w:szCs w:val="1"/>
                <w:color w:val="auto"/>
              </w:rPr>
            </w:pPr>
          </w:p>
        </w:tc>
      </w:tr>
      <w:tr>
        <w:trPr>
          <w:trHeight w:val="121"/>
        </w:trPr>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Underlying</w:t>
            </w:r>
          </w:p>
        </w:tc>
        <w:tc>
          <w:tcPr>
            <w:tcW w:w="8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Underlying</w:t>
            </w:r>
          </w:p>
        </w:tc>
        <w:tc>
          <w:tcPr>
            <w:tcW w:w="64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5"/>
              </w:rPr>
              <w:t>Unexercised</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center"/>
              <w:ind w:left="21"/>
              <w:spacing w:after="0" w:line="122" w:lineRule="exact"/>
              <w:rPr>
                <w:sz w:val="20"/>
                <w:szCs w:val="20"/>
                <w:color w:val="auto"/>
              </w:rPr>
            </w:pPr>
            <w:r>
              <w:rPr>
                <w:rFonts w:ascii="Arial" w:cs="Arial" w:eastAsia="Arial" w:hAnsi="Arial"/>
                <w:sz w:val="11"/>
                <w:szCs w:val="11"/>
                <w:b w:val="1"/>
                <w:bCs w:val="1"/>
                <w:color w:val="auto"/>
                <w:w w:val="86"/>
              </w:rPr>
              <w:t>Stock</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Stock That</w:t>
            </w:r>
          </w:p>
        </w:tc>
        <w:tc>
          <w:tcPr>
            <w:tcW w:w="560" w:type="dxa"/>
            <w:vAlign w:val="bottom"/>
            <w:gridSpan w:val="2"/>
          </w:tcPr>
          <w:p>
            <w:pPr>
              <w:jc w:val="right"/>
              <w:ind w:right="60"/>
              <w:spacing w:after="0" w:line="122" w:lineRule="exact"/>
              <w:rPr>
                <w:sz w:val="20"/>
                <w:szCs w:val="20"/>
                <w:color w:val="auto"/>
              </w:rPr>
            </w:pPr>
            <w:r>
              <w:rPr>
                <w:rFonts w:ascii="Arial" w:cs="Arial" w:eastAsia="Arial" w:hAnsi="Arial"/>
                <w:sz w:val="11"/>
                <w:szCs w:val="11"/>
                <w:b w:val="1"/>
                <w:bCs w:val="1"/>
                <w:color w:val="auto"/>
                <w:w w:val="91"/>
              </w:rPr>
              <w:t>That Have</w:t>
            </w:r>
          </w:p>
        </w:tc>
        <w:tc>
          <w:tcPr>
            <w:tcW w:w="56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4"/>
              </w:rPr>
              <w:t>That</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Vesting</w:t>
            </w:r>
          </w:p>
        </w:tc>
        <w:tc>
          <w:tcPr>
            <w:tcW w:w="60" w:type="dxa"/>
            <w:vAlign w:val="bottom"/>
          </w:tcPr>
          <w:p>
            <w:pPr>
              <w:spacing w:after="0"/>
              <w:rPr>
                <w:sz w:val="10"/>
                <w:szCs w:val="10"/>
                <w:color w:val="auto"/>
              </w:rPr>
            </w:pPr>
          </w:p>
        </w:tc>
        <w:tc>
          <w:tcPr>
            <w:tcW w:w="6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5"/>
              </w:rPr>
              <w:t>Unexercised</w:t>
            </w:r>
          </w:p>
        </w:tc>
        <w:tc>
          <w:tcPr>
            <w:tcW w:w="8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5"/>
              </w:rPr>
              <w:t>Unexercised</w:t>
            </w:r>
          </w:p>
        </w:tc>
        <w:tc>
          <w:tcPr>
            <w:tcW w:w="6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Unearned</w:t>
            </w:r>
          </w:p>
        </w:tc>
        <w:tc>
          <w:tcPr>
            <w:tcW w:w="440" w:type="dxa"/>
            <w:vAlign w:val="bottom"/>
            <w:gridSpan w:val="3"/>
          </w:tcPr>
          <w:p>
            <w:pPr>
              <w:jc w:val="right"/>
              <w:ind w:right="120"/>
              <w:spacing w:after="0" w:line="122" w:lineRule="exact"/>
              <w:rPr>
                <w:sz w:val="20"/>
                <w:szCs w:val="20"/>
                <w:color w:val="auto"/>
              </w:rPr>
            </w:pPr>
            <w:r>
              <w:rPr>
                <w:rFonts w:ascii="Arial" w:cs="Arial" w:eastAsia="Arial" w:hAnsi="Arial"/>
                <w:sz w:val="11"/>
                <w:szCs w:val="11"/>
                <w:b w:val="1"/>
                <w:bCs w:val="1"/>
                <w:color w:val="auto"/>
                <w:w w:val="84"/>
              </w:rPr>
              <w:t>Option</w:t>
            </w:r>
          </w:p>
        </w:tc>
        <w:tc>
          <w:tcPr>
            <w:tcW w:w="64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Option</w:t>
            </w:r>
          </w:p>
        </w:tc>
        <w:tc>
          <w:tcPr>
            <w:tcW w:w="420" w:type="dxa"/>
            <w:vAlign w:val="bottom"/>
          </w:tcPr>
          <w:p>
            <w:pPr>
              <w:jc w:val="center"/>
              <w:ind w:left="21"/>
              <w:spacing w:after="0" w:line="122" w:lineRule="exact"/>
              <w:rPr>
                <w:sz w:val="20"/>
                <w:szCs w:val="20"/>
                <w:color w:val="auto"/>
              </w:rPr>
            </w:pPr>
            <w:r>
              <w:rPr>
                <w:rFonts w:ascii="Arial" w:cs="Arial" w:eastAsia="Arial" w:hAnsi="Arial"/>
                <w:sz w:val="11"/>
                <w:szCs w:val="11"/>
                <w:b w:val="1"/>
                <w:bCs w:val="1"/>
                <w:color w:val="auto"/>
                <w:w w:val="94"/>
              </w:rPr>
              <w:t>That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2"/>
              </w:rPr>
              <w:t>Have Not</w:t>
            </w:r>
          </w:p>
        </w:tc>
        <w:tc>
          <w:tcPr>
            <w:tcW w:w="56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7"/>
              </w:rPr>
              <w:t>Not</w:t>
            </w:r>
          </w:p>
        </w:tc>
        <w:tc>
          <w:tcPr>
            <w:tcW w:w="56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2"/>
              </w:rPr>
              <w:t>Have Not</w:t>
            </w:r>
          </w:p>
        </w:tc>
        <w:tc>
          <w:tcPr>
            <w:tcW w:w="0" w:type="dxa"/>
            <w:vAlign w:val="bottom"/>
          </w:tcPr>
          <w:p>
            <w:pPr>
              <w:spacing w:after="0"/>
              <w:rPr>
                <w:sz w:val="1"/>
                <w:szCs w:val="1"/>
                <w:color w:val="auto"/>
              </w:rPr>
            </w:pPr>
          </w:p>
        </w:tc>
      </w:tr>
      <w:tr>
        <w:trPr>
          <w:trHeight w:val="122"/>
        </w:trPr>
        <w:tc>
          <w:tcPr>
            <w:tcW w:w="11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Name and Principal</w:t>
            </w:r>
          </w:p>
        </w:tc>
        <w:tc>
          <w:tcPr>
            <w:tcW w:w="58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Grant</w:t>
            </w:r>
          </w:p>
        </w:tc>
        <w:tc>
          <w:tcPr>
            <w:tcW w:w="6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Commencement</w:t>
            </w:r>
          </w:p>
        </w:tc>
        <w:tc>
          <w:tcPr>
            <w:tcW w:w="60" w:type="dxa"/>
            <w:vAlign w:val="bottom"/>
          </w:tcPr>
          <w:p>
            <w:pPr>
              <w:spacing w:after="0"/>
              <w:rPr>
                <w:sz w:val="10"/>
                <w:szCs w:val="10"/>
                <w:color w:val="auto"/>
              </w:rPr>
            </w:pPr>
          </w:p>
        </w:tc>
        <w:tc>
          <w:tcPr>
            <w:tcW w:w="6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Options (#)</w:t>
            </w:r>
          </w:p>
        </w:tc>
        <w:tc>
          <w:tcPr>
            <w:tcW w:w="8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Options (#)</w:t>
            </w:r>
          </w:p>
        </w:tc>
        <w:tc>
          <w:tcPr>
            <w:tcW w:w="6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Options</w:t>
            </w:r>
          </w:p>
        </w:tc>
        <w:tc>
          <w:tcPr>
            <w:tcW w:w="440" w:type="dxa"/>
            <w:vAlign w:val="bottom"/>
            <w:gridSpan w:val="3"/>
          </w:tcPr>
          <w:p>
            <w:pPr>
              <w:jc w:val="right"/>
              <w:ind w:right="60"/>
              <w:spacing w:after="0" w:line="122" w:lineRule="exact"/>
              <w:rPr>
                <w:sz w:val="20"/>
                <w:szCs w:val="20"/>
                <w:color w:val="auto"/>
              </w:rPr>
            </w:pPr>
            <w:r>
              <w:rPr>
                <w:rFonts w:ascii="Arial" w:cs="Arial" w:eastAsia="Arial" w:hAnsi="Arial"/>
                <w:sz w:val="11"/>
                <w:szCs w:val="11"/>
                <w:b w:val="1"/>
                <w:bCs w:val="1"/>
                <w:color w:val="auto"/>
                <w:w w:val="79"/>
              </w:rPr>
              <w:t>Exercise</w:t>
            </w:r>
          </w:p>
        </w:tc>
        <w:tc>
          <w:tcPr>
            <w:tcW w:w="6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2"/>
              </w:rPr>
              <w:t>Expiration</w:t>
            </w:r>
          </w:p>
        </w:tc>
        <w:tc>
          <w:tcPr>
            <w:tcW w:w="5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Have Not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3"/>
              </w:rPr>
              <w:t>Vested</w:t>
            </w:r>
          </w:p>
        </w:tc>
        <w:tc>
          <w:tcPr>
            <w:tcW w:w="5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3"/>
              </w:rPr>
              <w:t>Vested</w:t>
            </w:r>
          </w:p>
        </w:tc>
        <w:tc>
          <w:tcPr>
            <w:tcW w:w="56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3"/>
              </w:rPr>
              <w:t>Vested</w:t>
            </w:r>
          </w:p>
        </w:tc>
        <w:tc>
          <w:tcPr>
            <w:tcW w:w="0" w:type="dxa"/>
            <w:vAlign w:val="bottom"/>
          </w:tcPr>
          <w:p>
            <w:pPr>
              <w:spacing w:after="0"/>
              <w:rPr>
                <w:sz w:val="1"/>
                <w:szCs w:val="1"/>
                <w:color w:val="auto"/>
              </w:rPr>
            </w:pPr>
          </w:p>
        </w:tc>
      </w:tr>
      <w:tr>
        <w:trPr>
          <w:trHeight w:val="153"/>
        </w:trPr>
        <w:tc>
          <w:tcPr>
            <w:tcW w:w="1120" w:type="dxa"/>
            <w:vAlign w:val="bottom"/>
            <w:gridSpan w:val="2"/>
          </w:tcPr>
          <w:p>
            <w:pPr>
              <w:spacing w:after="0"/>
              <w:rPr>
                <w:sz w:val="20"/>
                <w:szCs w:val="20"/>
                <w:color w:val="auto"/>
              </w:rPr>
            </w:pPr>
            <w:r>
              <w:rPr>
                <w:rFonts w:ascii="Arial" w:cs="Arial" w:eastAsia="Arial" w:hAnsi="Arial"/>
                <w:sz w:val="11"/>
                <w:szCs w:val="11"/>
                <w:b w:val="1"/>
                <w:bCs w:val="1"/>
                <w:color w:val="auto"/>
              </w:rPr>
              <w:t>Position</w:t>
            </w:r>
          </w:p>
        </w:tc>
        <w:tc>
          <w:tcPr>
            <w:tcW w:w="580" w:type="dxa"/>
            <w:vAlign w:val="bottom"/>
          </w:tcPr>
          <w:p>
            <w:pPr>
              <w:ind w:left="160"/>
              <w:spacing w:after="0"/>
              <w:rPr>
                <w:sz w:val="20"/>
                <w:szCs w:val="20"/>
                <w:color w:val="auto"/>
              </w:rPr>
            </w:pPr>
            <w:r>
              <w:rPr>
                <w:rFonts w:ascii="Arial" w:cs="Arial" w:eastAsia="Arial" w:hAnsi="Arial"/>
                <w:sz w:val="11"/>
                <w:szCs w:val="11"/>
                <w:b w:val="1"/>
                <w:bCs w:val="1"/>
                <w:color w:val="auto"/>
              </w:rPr>
              <w:t>Date</w:t>
            </w:r>
            <w:r>
              <w:rPr>
                <w:rFonts w:ascii="Arial" w:cs="Arial" w:eastAsia="Arial" w:hAnsi="Arial"/>
                <w:sz w:val="11"/>
                <w:szCs w:val="11"/>
                <w:b w:val="1"/>
                <w:bCs w:val="1"/>
                <w:color w:val="auto"/>
                <w:vertAlign w:val="superscript"/>
              </w:rPr>
              <w:t>(1)</w:t>
            </w:r>
          </w:p>
        </w:tc>
        <w:tc>
          <w:tcPr>
            <w:tcW w:w="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3"/>
              </w:rPr>
              <w:t>Date</w:t>
            </w:r>
          </w:p>
        </w:tc>
        <w:tc>
          <w:tcPr>
            <w:tcW w:w="60" w:type="dxa"/>
            <w:vAlign w:val="bottom"/>
          </w:tcPr>
          <w:p>
            <w:pPr>
              <w:spacing w:after="0"/>
              <w:rPr>
                <w:sz w:val="13"/>
                <w:szCs w:val="13"/>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0"/>
              </w:rPr>
              <w:t>(Exercisable)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w w:val="93"/>
              </w:rPr>
              <w:t>(UnExercisable)</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80" w:type="dxa"/>
            <w:vAlign w:val="bottom"/>
          </w:tcPr>
          <w:p>
            <w:pPr>
              <w:spacing w:after="0"/>
              <w:rPr>
                <w:sz w:val="13"/>
                <w:szCs w:val="13"/>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w w:val="89"/>
              </w:rPr>
              <w:t>Price</w:t>
            </w:r>
            <w:r>
              <w:rPr>
                <w:rFonts w:ascii="Arial" w:cs="Arial" w:eastAsia="Arial" w:hAnsi="Arial"/>
                <w:sz w:val="11"/>
                <w:szCs w:val="11"/>
                <w:b w:val="1"/>
                <w:bCs w:val="1"/>
                <w:color w:val="auto"/>
                <w:w w:val="89"/>
                <w:vertAlign w:val="superscript"/>
              </w:rPr>
              <w:t>(2)</w:t>
            </w:r>
          </w:p>
        </w:tc>
        <w:tc>
          <w:tcPr>
            <w:tcW w:w="6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2"/>
              </w:rPr>
              <w:t>Date</w:t>
            </w:r>
          </w:p>
        </w:tc>
        <w:tc>
          <w:tcPr>
            <w:tcW w:w="420" w:type="dxa"/>
            <w:vAlign w:val="bottom"/>
          </w:tcPr>
          <w:p>
            <w:pPr>
              <w:jc w:val="center"/>
              <w:ind w:left="61"/>
              <w:spacing w:after="0"/>
              <w:rPr>
                <w:sz w:val="20"/>
                <w:szCs w:val="20"/>
                <w:color w:val="auto"/>
              </w:rPr>
            </w:pPr>
            <w:r>
              <w:rPr>
                <w:rFonts w:ascii="Arial" w:cs="Arial" w:eastAsia="Arial" w:hAnsi="Arial"/>
                <w:sz w:val="11"/>
                <w:szCs w:val="11"/>
                <w:b w:val="1"/>
                <w:bCs w:val="1"/>
                <w:color w:val="auto"/>
                <w:w w:val="83"/>
              </w:rPr>
              <w:t>Vested</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ind w:right="20"/>
              <w:spacing w:after="0"/>
              <w:rPr>
                <w:sz w:val="20"/>
                <w:szCs w:val="20"/>
                <w:color w:val="auto"/>
              </w:rPr>
            </w:pPr>
            <w:r>
              <w:rPr>
                <w:rFonts w:ascii="Arial" w:cs="Arial" w:eastAsia="Arial" w:hAnsi="Arial"/>
                <w:sz w:val="11"/>
                <w:szCs w:val="11"/>
                <w:b w:val="1"/>
                <w:bCs w:val="1"/>
                <w:color w:val="auto"/>
                <w:w w:val="89"/>
              </w:rPr>
              <w:t>($)</w:t>
            </w:r>
            <w:r>
              <w:rPr>
                <w:rFonts w:ascii="Arial" w:cs="Arial" w:eastAsia="Arial" w:hAnsi="Arial"/>
                <w:sz w:val="11"/>
                <w:szCs w:val="11"/>
                <w:b w:val="1"/>
                <w:bCs w:val="1"/>
                <w:color w:val="auto"/>
                <w:w w:val="89"/>
                <w:vertAlign w:val="superscript"/>
              </w:rPr>
              <w:t>(5)</w:t>
            </w:r>
          </w:p>
        </w:tc>
        <w:tc>
          <w:tcPr>
            <w:tcW w:w="6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108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w w:val="86"/>
              </w:rPr>
              <w:t>Barbara Weber, M.D.</w:t>
            </w:r>
          </w:p>
        </w:tc>
        <w:tc>
          <w:tcPr>
            <w:tcW w:w="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7/30/2017</w:t>
            </w:r>
          </w:p>
        </w:tc>
        <w:tc>
          <w:tcPr>
            <w:tcW w:w="820" w:type="dxa"/>
            <w:vAlign w:val="bottom"/>
            <w:gridSpan w:val="2"/>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6/13/2017</w:t>
            </w:r>
          </w:p>
        </w:tc>
        <w:tc>
          <w:tcPr>
            <w:tcW w:w="6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5"/>
              </w:rPr>
              <w:t>403,208</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6"/>
                <w:szCs w:val="6"/>
                <w:color w:val="auto"/>
                <w:w w:val="81"/>
              </w:rPr>
              <w:t>(3)</w:t>
            </w:r>
          </w:p>
        </w:tc>
        <w:tc>
          <w:tcPr>
            <w:tcW w:w="14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5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w w:val="97"/>
              </w:rPr>
              <w:t>479,818</w:t>
            </w:r>
          </w:p>
        </w:tc>
        <w:tc>
          <w:tcPr>
            <w:tcW w:w="5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ind w:left="400"/>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2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i w:val="1"/>
                <w:iCs w:val="1"/>
                <w:color w:val="auto"/>
                <w:w w:val="99"/>
              </w:rPr>
              <w:t>President, Chief</w:t>
            </w:r>
          </w:p>
        </w:tc>
        <w:tc>
          <w:tcPr>
            <w:tcW w:w="580" w:type="dxa"/>
            <w:vAlign w:val="bottom"/>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gridSpan w:val="2"/>
            <w:vMerge w:val="continue"/>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20" w:type="dxa"/>
            <w:vAlign w:val="bottom"/>
            <w:gridSpan w:val="2"/>
            <w:shd w:val="clear" w:color="auto" w:fill="CCEEFF"/>
          </w:tcPr>
          <w:p>
            <w:pPr>
              <w:ind w:left="180"/>
              <w:spacing w:after="0" w:line="123" w:lineRule="exact"/>
              <w:rPr>
                <w:sz w:val="20"/>
                <w:szCs w:val="20"/>
                <w:color w:val="auto"/>
              </w:rPr>
            </w:pPr>
            <w:r>
              <w:rPr>
                <w:rFonts w:ascii="Arial" w:cs="Arial" w:eastAsia="Arial" w:hAnsi="Arial"/>
                <w:sz w:val="13"/>
                <w:szCs w:val="13"/>
                <w:i w:val="1"/>
                <w:iCs w:val="1"/>
                <w:color w:val="auto"/>
                <w:w w:val="93"/>
              </w:rPr>
              <w:t>Executive Officer</w:t>
            </w: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7"/>
                <w:szCs w:val="7"/>
                <w:color w:val="auto"/>
              </w:rPr>
              <w:t>(6)</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20" w:type="dxa"/>
            <w:vAlign w:val="bottom"/>
            <w:gridSpan w:val="2"/>
            <w:shd w:val="clear" w:color="auto" w:fill="CCEEFF"/>
          </w:tcPr>
          <w:p>
            <w:pPr>
              <w:ind w:left="180"/>
              <w:spacing w:after="0"/>
              <w:rPr>
                <w:sz w:val="20"/>
                <w:szCs w:val="20"/>
                <w:color w:val="auto"/>
              </w:rPr>
            </w:pPr>
            <w:r>
              <w:rPr>
                <w:rFonts w:ascii="Arial" w:cs="Arial" w:eastAsia="Arial" w:hAnsi="Arial"/>
                <w:sz w:val="13"/>
                <w:szCs w:val="13"/>
                <w:i w:val="1"/>
                <w:iCs w:val="1"/>
                <w:color w:val="auto"/>
                <w:w w:val="95"/>
              </w:rPr>
              <w:t>and Chairperson</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1/24/2019</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1/1/2019</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309,125</w:t>
            </w:r>
          </w:p>
        </w:tc>
        <w:tc>
          <w:tcPr>
            <w:tcW w:w="720" w:type="dxa"/>
            <w:vAlign w:val="bottom"/>
            <w:shd w:val="clear" w:color="auto" w:fill="CCEEFF"/>
          </w:tcPr>
          <w:p>
            <w:pPr>
              <w:jc w:val="right"/>
              <w:ind w:right="63"/>
              <w:spacing w:after="0"/>
              <w:rPr>
                <w:sz w:val="20"/>
                <w:szCs w:val="20"/>
                <w:color w:val="auto"/>
              </w:rPr>
            </w:pPr>
            <w:r>
              <w:rPr>
                <w:rFonts w:ascii="Arial" w:cs="Arial" w:eastAsia="Arial" w:hAnsi="Arial"/>
                <w:sz w:val="13"/>
                <w:szCs w:val="13"/>
                <w:color w:val="auto"/>
              </w:rPr>
              <w:t>336,007</w:t>
            </w: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ind w:left="440"/>
              <w:spacing w:after="0"/>
              <w:rPr>
                <w:sz w:val="20"/>
                <w:szCs w:val="20"/>
                <w:color w:val="auto"/>
              </w:rPr>
            </w:pPr>
            <w:r>
              <w:rPr>
                <w:rFonts w:ascii="Arial" w:cs="Arial" w:eastAsia="Arial" w:hAnsi="Arial"/>
                <w:sz w:val="13"/>
                <w:szCs w:val="13"/>
                <w:color w:val="auto"/>
              </w:rPr>
              <w:t>— $</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0.52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6"/>
              </w:rPr>
              <w:t>1/24/2029</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1/30/2020</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1/1/2020</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645,132</w:t>
            </w:r>
            <w:r>
              <w:rPr>
                <w:rFonts w:ascii="Arial" w:cs="Arial" w:eastAsia="Arial" w:hAnsi="Arial"/>
                <w:sz w:val="7"/>
                <w:szCs w:val="7"/>
                <w:color w:val="auto"/>
              </w:rPr>
              <w:t>(6)</w:t>
            </w: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ind w:left="440"/>
              <w:spacing w:after="0"/>
              <w:rPr>
                <w:sz w:val="20"/>
                <w:szCs w:val="20"/>
                <w:color w:val="auto"/>
              </w:rPr>
            </w:pPr>
            <w:r>
              <w:rPr>
                <w:rFonts w:ascii="Arial" w:cs="Arial" w:eastAsia="Arial" w:hAnsi="Arial"/>
                <w:sz w:val="13"/>
                <w:szCs w:val="13"/>
                <w:color w:val="auto"/>
              </w:rPr>
              <w:t>— $</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0.56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6"/>
              </w:rPr>
              <w:t>1/30/2030</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0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1120" w:type="dxa"/>
            <w:vAlign w:val="bottom"/>
            <w:gridSpan w:val="2"/>
          </w:tcPr>
          <w:p>
            <w:pPr>
              <w:spacing w:after="0"/>
              <w:rPr>
                <w:sz w:val="20"/>
                <w:szCs w:val="20"/>
                <w:color w:val="auto"/>
              </w:rPr>
            </w:pPr>
            <w:r>
              <w:rPr>
                <w:rFonts w:ascii="Arial" w:cs="Arial" w:eastAsia="Arial" w:hAnsi="Arial"/>
                <w:sz w:val="13"/>
                <w:szCs w:val="13"/>
                <w:color w:val="auto"/>
              </w:rPr>
              <w:t>Daniella Beckman</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6"/>
              </w:rPr>
              <w:t>10/18/2019</w:t>
            </w:r>
          </w:p>
        </w:tc>
        <w:tc>
          <w:tcPr>
            <w:tcW w:w="820" w:type="dxa"/>
            <w:vAlign w:val="bottom"/>
            <w:gridSpan w:val="2"/>
            <w:vMerge w:val="restart"/>
          </w:tcPr>
          <w:p>
            <w:pPr>
              <w:jc w:val="center"/>
              <w:spacing w:after="0"/>
              <w:rPr>
                <w:sz w:val="20"/>
                <w:szCs w:val="20"/>
                <w:color w:val="auto"/>
              </w:rPr>
            </w:pPr>
            <w:r>
              <w:rPr>
                <w:rFonts w:ascii="Arial" w:cs="Arial" w:eastAsia="Arial" w:hAnsi="Arial"/>
                <w:sz w:val="13"/>
                <w:szCs w:val="13"/>
                <w:color w:val="auto"/>
                <w:w w:val="89"/>
              </w:rPr>
              <w:t>9/10/2019</w:t>
            </w:r>
          </w:p>
        </w:tc>
        <w:tc>
          <w:tcPr>
            <w:tcW w:w="74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152,187</w:t>
            </w:r>
          </w:p>
        </w:tc>
        <w:tc>
          <w:tcPr>
            <w:tcW w:w="720" w:type="dxa"/>
            <w:vAlign w:val="bottom"/>
          </w:tcPr>
          <w:p>
            <w:pPr>
              <w:jc w:val="right"/>
              <w:spacing w:after="0"/>
              <w:rPr>
                <w:sz w:val="20"/>
                <w:szCs w:val="20"/>
                <w:color w:val="auto"/>
              </w:rPr>
            </w:pPr>
            <w:r>
              <w:rPr>
                <w:rFonts w:ascii="Arial" w:cs="Arial" w:eastAsia="Arial" w:hAnsi="Arial"/>
                <w:sz w:val="7"/>
                <w:szCs w:val="7"/>
                <w:color w:val="auto"/>
              </w:rPr>
              <w:t>(7)</w:t>
            </w:r>
          </w:p>
        </w:tc>
        <w:tc>
          <w:tcPr>
            <w:tcW w:w="80" w:type="dxa"/>
            <w:vAlign w:val="bottom"/>
          </w:tcPr>
          <w:p>
            <w:pPr>
              <w:spacing w:after="0"/>
              <w:rPr>
                <w:sz w:val="22"/>
                <w:szCs w:val="22"/>
                <w:color w:val="auto"/>
              </w:rPr>
            </w:pPr>
          </w:p>
        </w:tc>
        <w:tc>
          <w:tcPr>
            <w:tcW w:w="740" w:type="dxa"/>
            <w:vAlign w:val="bottom"/>
            <w:gridSpan w:val="3"/>
            <w:vMerge w:val="restart"/>
          </w:tcPr>
          <w:p>
            <w:pPr>
              <w:ind w:left="440"/>
              <w:spacing w:after="0"/>
              <w:rPr>
                <w:sz w:val="20"/>
                <w:szCs w:val="20"/>
                <w:color w:val="auto"/>
              </w:rPr>
            </w:pPr>
            <w:r>
              <w:rPr>
                <w:rFonts w:ascii="Arial" w:cs="Arial" w:eastAsia="Arial" w:hAnsi="Arial"/>
                <w:sz w:val="13"/>
                <w:szCs w:val="13"/>
                <w:color w:val="auto"/>
              </w:rPr>
              <w:t>— $</w:t>
            </w:r>
          </w:p>
        </w:tc>
        <w:tc>
          <w:tcPr>
            <w:tcW w:w="3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0.52</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w w:val="86"/>
              </w:rPr>
              <w:t>10/18/2029</w:t>
            </w: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ind w:left="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120" w:type="dxa"/>
            <w:vAlign w:val="bottom"/>
            <w:gridSpan w:val="2"/>
          </w:tcPr>
          <w:p>
            <w:pPr>
              <w:ind w:left="180"/>
              <w:spacing w:after="0" w:line="148" w:lineRule="exact"/>
              <w:rPr>
                <w:sz w:val="20"/>
                <w:szCs w:val="20"/>
                <w:color w:val="auto"/>
              </w:rPr>
            </w:pPr>
            <w:r>
              <w:rPr>
                <w:rFonts w:ascii="Arial" w:cs="Arial" w:eastAsia="Arial" w:hAnsi="Arial"/>
                <w:sz w:val="13"/>
                <w:szCs w:val="13"/>
                <w:i w:val="1"/>
                <w:iCs w:val="1"/>
                <w:color w:val="auto"/>
              </w:rPr>
              <w:t>Chief Financial</w:t>
            </w:r>
          </w:p>
        </w:tc>
        <w:tc>
          <w:tcPr>
            <w:tcW w:w="58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720" w:type="dxa"/>
            <w:vAlign w:val="bottom"/>
          </w:tcPr>
          <w:p>
            <w:pPr>
              <w:jc w:val="right"/>
              <w:ind w:right="63"/>
              <w:spacing w:after="0" w:line="135" w:lineRule="exact"/>
              <w:rPr>
                <w:sz w:val="20"/>
                <w:szCs w:val="20"/>
                <w:color w:val="auto"/>
              </w:rPr>
            </w:pPr>
            <w:r>
              <w:rPr>
                <w:rFonts w:ascii="Arial" w:cs="Arial" w:eastAsia="Arial" w:hAnsi="Arial"/>
                <w:sz w:val="13"/>
                <w:szCs w:val="13"/>
                <w:color w:val="auto"/>
              </w:rPr>
              <w:t>334,813</w:t>
            </w:r>
          </w:p>
        </w:tc>
        <w:tc>
          <w:tcPr>
            <w:tcW w:w="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1120" w:type="dxa"/>
            <w:vAlign w:val="bottom"/>
            <w:gridSpan w:val="2"/>
          </w:tcPr>
          <w:p>
            <w:pPr>
              <w:ind w:left="180"/>
              <w:spacing w:after="0"/>
              <w:rPr>
                <w:sz w:val="20"/>
                <w:szCs w:val="20"/>
                <w:color w:val="auto"/>
              </w:rPr>
            </w:pPr>
            <w:r>
              <w:rPr>
                <w:rFonts w:ascii="Arial" w:cs="Arial" w:eastAsia="Arial" w:hAnsi="Arial"/>
                <w:sz w:val="13"/>
                <w:szCs w:val="13"/>
                <w:i w:val="1"/>
                <w:iCs w:val="1"/>
                <w:color w:val="auto"/>
              </w:rPr>
              <w:t>Officer</w:t>
            </w:r>
          </w:p>
        </w:tc>
        <w:tc>
          <w:tcPr>
            <w:tcW w:w="580" w:type="dxa"/>
            <w:vAlign w:val="bottom"/>
          </w:tcPr>
          <w:p>
            <w:pPr>
              <w:jc w:val="center"/>
              <w:spacing w:after="0"/>
              <w:rPr>
                <w:sz w:val="20"/>
                <w:szCs w:val="20"/>
                <w:color w:val="auto"/>
              </w:rPr>
            </w:pPr>
            <w:r>
              <w:rPr>
                <w:rFonts w:ascii="Arial" w:cs="Arial" w:eastAsia="Arial" w:hAnsi="Arial"/>
                <w:sz w:val="13"/>
                <w:szCs w:val="13"/>
                <w:color w:val="auto"/>
                <w:w w:val="89"/>
              </w:rPr>
              <w:t>1/30/2020</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w w:val="89"/>
              </w:rPr>
              <w:t>11/1/2019</w:t>
            </w: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44,010</w:t>
            </w:r>
          </w:p>
        </w:tc>
        <w:tc>
          <w:tcPr>
            <w:tcW w:w="720" w:type="dxa"/>
            <w:vAlign w:val="bottom"/>
          </w:tcPr>
          <w:p>
            <w:pPr>
              <w:jc w:val="right"/>
              <w:spacing w:after="0"/>
              <w:rPr>
                <w:sz w:val="20"/>
                <w:szCs w:val="20"/>
                <w:color w:val="auto"/>
              </w:rPr>
            </w:pPr>
            <w:r>
              <w:rPr>
                <w:rFonts w:ascii="Arial" w:cs="Arial" w:eastAsia="Arial" w:hAnsi="Arial"/>
                <w:sz w:val="13"/>
                <w:szCs w:val="13"/>
                <w:color w:val="auto"/>
              </w:rPr>
              <w:t>118,490</w:t>
            </w:r>
            <w:r>
              <w:rPr>
                <w:rFonts w:ascii="Arial" w:cs="Arial" w:eastAsia="Arial" w:hAnsi="Arial"/>
                <w:sz w:val="14"/>
                <w:szCs w:val="14"/>
                <w:color w:val="auto"/>
                <w:vertAlign w:val="superscript"/>
              </w:rPr>
              <w:t>(7)</w:t>
            </w:r>
          </w:p>
        </w:tc>
        <w:tc>
          <w:tcPr>
            <w:tcW w:w="80" w:type="dxa"/>
            <w:vAlign w:val="bottom"/>
          </w:tcPr>
          <w:p>
            <w:pPr>
              <w:spacing w:after="0"/>
              <w:rPr>
                <w:sz w:val="22"/>
                <w:szCs w:val="22"/>
                <w:color w:val="auto"/>
              </w:rPr>
            </w:pPr>
          </w:p>
        </w:tc>
        <w:tc>
          <w:tcPr>
            <w:tcW w:w="740" w:type="dxa"/>
            <w:vAlign w:val="bottom"/>
            <w:gridSpan w:val="3"/>
          </w:tcPr>
          <w:p>
            <w:pPr>
              <w:ind w:left="440"/>
              <w:spacing w:after="0"/>
              <w:rPr>
                <w:sz w:val="20"/>
                <w:szCs w:val="20"/>
                <w:color w:val="auto"/>
              </w:rPr>
            </w:pPr>
            <w:r>
              <w:rPr>
                <w:rFonts w:ascii="Arial" w:cs="Arial" w:eastAsia="Arial" w:hAnsi="Arial"/>
                <w:sz w:val="13"/>
                <w:szCs w:val="13"/>
                <w:color w:val="auto"/>
              </w:rPr>
              <w:t>— $</w:t>
            </w: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0.56</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w w:val="96"/>
              </w:rPr>
              <w:t>1/30/2020</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89"/>
              </w:rPr>
              <w:t>10/1/2020</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w w:val="86"/>
              </w:rPr>
              <w:t>7/1/2020</w:t>
            </w: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20,885</w:t>
            </w:r>
          </w:p>
        </w:tc>
        <w:tc>
          <w:tcPr>
            <w:tcW w:w="720" w:type="dxa"/>
            <w:vAlign w:val="bottom"/>
          </w:tcPr>
          <w:p>
            <w:pPr>
              <w:jc w:val="right"/>
              <w:spacing w:after="0"/>
              <w:rPr>
                <w:sz w:val="20"/>
                <w:szCs w:val="20"/>
                <w:color w:val="auto"/>
              </w:rPr>
            </w:pPr>
            <w:r>
              <w:rPr>
                <w:rFonts w:ascii="Arial" w:cs="Arial" w:eastAsia="Arial" w:hAnsi="Arial"/>
                <w:sz w:val="13"/>
                <w:szCs w:val="13"/>
                <w:color w:val="auto"/>
              </w:rPr>
              <w:t>179,615</w:t>
            </w:r>
            <w:r>
              <w:rPr>
                <w:rFonts w:ascii="Arial" w:cs="Arial" w:eastAsia="Arial" w:hAnsi="Arial"/>
                <w:sz w:val="14"/>
                <w:szCs w:val="14"/>
                <w:color w:val="auto"/>
                <w:vertAlign w:val="superscript"/>
              </w:rPr>
              <w:t>(8)</w:t>
            </w:r>
          </w:p>
        </w:tc>
        <w:tc>
          <w:tcPr>
            <w:tcW w:w="80" w:type="dxa"/>
            <w:vAlign w:val="bottom"/>
          </w:tcPr>
          <w:p>
            <w:pPr>
              <w:spacing w:after="0"/>
              <w:rPr>
                <w:sz w:val="24"/>
                <w:szCs w:val="24"/>
                <w:color w:val="auto"/>
              </w:rPr>
            </w:pPr>
          </w:p>
        </w:tc>
        <w:tc>
          <w:tcPr>
            <w:tcW w:w="740" w:type="dxa"/>
            <w:vAlign w:val="bottom"/>
            <w:gridSpan w:val="3"/>
          </w:tcPr>
          <w:p>
            <w:pPr>
              <w:ind w:left="440"/>
              <w:spacing w:after="0"/>
              <w:rPr>
                <w:sz w:val="20"/>
                <w:szCs w:val="20"/>
                <w:color w:val="auto"/>
              </w:rPr>
            </w:pPr>
            <w:r>
              <w:rPr>
                <w:rFonts w:ascii="Arial" w:cs="Arial" w:eastAsia="Arial" w:hAnsi="Arial"/>
                <w:sz w:val="13"/>
                <w:szCs w:val="13"/>
                <w:color w:val="auto"/>
              </w:rPr>
              <w:t>— $</w:t>
            </w: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1.09</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w w:val="96"/>
              </w:rPr>
              <w:t>10/1/2030</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1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Alan Huang, Ph.D.</w:t>
            </w: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3/16/2017</w:t>
            </w:r>
          </w:p>
        </w:tc>
        <w:tc>
          <w:tcPr>
            <w:tcW w:w="820" w:type="dxa"/>
            <w:vAlign w:val="bottom"/>
            <w:gridSpan w:val="2"/>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3/16/2017</w:t>
            </w:r>
          </w:p>
        </w:tc>
        <w:tc>
          <w:tcPr>
            <w:tcW w:w="60" w:type="dxa"/>
            <w:vAlign w:val="bottom"/>
            <w:shd w:val="clear" w:color="auto" w:fill="CCEEFF"/>
          </w:tcPr>
          <w:p>
            <w:pPr>
              <w:spacing w:after="0"/>
              <w:rPr>
                <w:sz w:val="23"/>
                <w:szCs w:val="23"/>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3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18,750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6"/>
                <w:szCs w:val="6"/>
                <w:color w:val="auto"/>
                <w:w w:val="81"/>
              </w:rPr>
              <w:t>(4)</w:t>
            </w:r>
          </w:p>
        </w:tc>
        <w:tc>
          <w:tcPr>
            <w:tcW w:w="14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5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22,313</w:t>
            </w:r>
          </w:p>
        </w:tc>
        <w:tc>
          <w:tcPr>
            <w:tcW w:w="5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ind w:left="400"/>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6"/>
        </w:trPr>
        <w:tc>
          <w:tcPr>
            <w:tcW w:w="1120" w:type="dxa"/>
            <w:vAlign w:val="bottom"/>
            <w:gridSpan w:val="2"/>
            <w:vMerge w:val="restart"/>
            <w:shd w:val="clear" w:color="auto" w:fill="CCEEFF"/>
          </w:tcPr>
          <w:p>
            <w:pPr>
              <w:ind w:left="180"/>
              <w:spacing w:after="0" w:line="136" w:lineRule="exact"/>
              <w:rPr>
                <w:sz w:val="20"/>
                <w:szCs w:val="20"/>
                <w:color w:val="auto"/>
              </w:rPr>
            </w:pPr>
            <w:r>
              <w:rPr>
                <w:rFonts w:ascii="Arial" w:cs="Arial" w:eastAsia="Arial" w:hAnsi="Arial"/>
                <w:sz w:val="13"/>
                <w:szCs w:val="13"/>
                <w:i w:val="1"/>
                <w:iCs w:val="1"/>
                <w:color w:val="auto"/>
              </w:rPr>
              <w:t>Chief Scientific</w:t>
            </w:r>
          </w:p>
        </w:tc>
        <w:tc>
          <w:tcPr>
            <w:tcW w:w="580" w:type="dxa"/>
            <w:vAlign w:val="bottom"/>
            <w:vMerge w:val="continue"/>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gridSpan w:val="2"/>
            <w:vMerge w:val="continue"/>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64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vMerge w:val="continue"/>
            <w:shd w:val="clear" w:color="auto" w:fill="CCEEFF"/>
          </w:tcPr>
          <w:p>
            <w:pPr>
              <w:spacing w:after="0"/>
              <w:rPr>
                <w:sz w:val="9"/>
                <w:szCs w:val="9"/>
                <w:color w:val="auto"/>
              </w:rPr>
            </w:pPr>
          </w:p>
        </w:tc>
        <w:tc>
          <w:tcPr>
            <w:tcW w:w="640" w:type="dxa"/>
            <w:vAlign w:val="bottom"/>
            <w:gridSpan w:val="2"/>
            <w:vMerge w:val="continue"/>
            <w:shd w:val="clear" w:color="auto" w:fill="CCEEFF"/>
          </w:tcPr>
          <w:p>
            <w:pPr>
              <w:spacing w:after="0"/>
              <w:rPr>
                <w:sz w:val="9"/>
                <w:szCs w:val="9"/>
                <w:color w:val="auto"/>
              </w:rPr>
            </w:pPr>
          </w:p>
        </w:tc>
        <w:tc>
          <w:tcPr>
            <w:tcW w:w="4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gridSpan w:val="2"/>
            <w:vMerge w:val="continue"/>
            <w:shd w:val="clear" w:color="auto" w:fill="CCEEFF"/>
          </w:tcPr>
          <w:p>
            <w:pPr>
              <w:spacing w:after="0"/>
              <w:rPr>
                <w:sz w:val="9"/>
                <w:szCs w:val="9"/>
                <w:color w:val="auto"/>
              </w:rPr>
            </w:pPr>
          </w:p>
        </w:tc>
        <w:tc>
          <w:tcPr>
            <w:tcW w:w="540" w:type="dxa"/>
            <w:vAlign w:val="bottom"/>
            <w:gridSpan w:val="2"/>
            <w:vMerge w:val="continue"/>
            <w:shd w:val="clear" w:color="auto" w:fill="CCEEFF"/>
          </w:tcPr>
          <w:p>
            <w:pPr>
              <w:spacing w:after="0"/>
              <w:rPr>
                <w:sz w:val="9"/>
                <w:szCs w:val="9"/>
                <w:color w:val="auto"/>
              </w:rPr>
            </w:pPr>
          </w:p>
        </w:tc>
        <w:tc>
          <w:tcPr>
            <w:tcW w:w="560" w:type="dxa"/>
            <w:vAlign w:val="bottom"/>
            <w:gridSpan w:val="2"/>
            <w:vMerge w:val="continue"/>
            <w:shd w:val="clear" w:color="auto" w:fill="CCEEFF"/>
          </w:tcPr>
          <w:p>
            <w:pPr>
              <w:spacing w:after="0"/>
              <w:rPr>
                <w:sz w:val="9"/>
                <w:szCs w:val="9"/>
                <w:color w:val="auto"/>
              </w:rPr>
            </w:pPr>
          </w:p>
        </w:tc>
        <w:tc>
          <w:tcPr>
            <w:tcW w:w="54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120" w:type="dxa"/>
            <w:vAlign w:val="bottom"/>
            <w:gridSpan w:val="2"/>
            <w:vMerge w:val="continue"/>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1120" w:type="dxa"/>
            <w:vAlign w:val="bottom"/>
            <w:gridSpan w:val="2"/>
            <w:shd w:val="clear" w:color="auto" w:fill="CCEEFF"/>
          </w:tcPr>
          <w:p>
            <w:pPr>
              <w:ind w:left="180"/>
              <w:spacing w:after="0"/>
              <w:rPr>
                <w:sz w:val="20"/>
                <w:szCs w:val="20"/>
                <w:color w:val="auto"/>
              </w:rPr>
            </w:pPr>
            <w:r>
              <w:rPr>
                <w:rFonts w:ascii="Arial" w:cs="Arial" w:eastAsia="Arial" w:hAnsi="Arial"/>
                <w:sz w:val="13"/>
                <w:szCs w:val="13"/>
                <w:i w:val="1"/>
                <w:iCs w:val="1"/>
                <w:color w:val="auto"/>
              </w:rPr>
              <w:t>Officer</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4/12/2018</w:t>
            </w:r>
          </w:p>
        </w:tc>
        <w:tc>
          <w:tcPr>
            <w:tcW w:w="60" w:type="dxa"/>
            <w:vAlign w:val="bottom"/>
            <w:shd w:val="clear" w:color="auto" w:fill="CCEEFF"/>
          </w:tcPr>
          <w:p>
            <w:pPr>
              <w:spacing w:after="0"/>
              <w:rPr>
                <w:sz w:val="22"/>
                <w:szCs w:val="2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1/1/2018</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182,291</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67,709</w:t>
            </w:r>
            <w:r>
              <w:rPr>
                <w:rFonts w:ascii="Arial" w:cs="Arial" w:eastAsia="Arial" w:hAnsi="Arial"/>
                <w:sz w:val="14"/>
                <w:szCs w:val="14"/>
                <w:color w:val="auto"/>
                <w:vertAlign w:val="superscript"/>
              </w:rPr>
              <w:t>(7)</w:t>
            </w:r>
          </w:p>
        </w:tc>
        <w:tc>
          <w:tcPr>
            <w:tcW w:w="80" w:type="dxa"/>
            <w:vAlign w:val="bottom"/>
            <w:shd w:val="clear" w:color="auto" w:fill="CCEEFF"/>
          </w:tcPr>
          <w:p>
            <w:pPr>
              <w:spacing w:after="0"/>
              <w:rPr>
                <w:sz w:val="22"/>
                <w:szCs w:val="22"/>
                <w:color w:val="auto"/>
              </w:rPr>
            </w:pPr>
          </w:p>
        </w:tc>
        <w:tc>
          <w:tcPr>
            <w:tcW w:w="740" w:type="dxa"/>
            <w:vAlign w:val="bottom"/>
            <w:gridSpan w:val="3"/>
            <w:shd w:val="clear" w:color="auto" w:fill="CCEEFF"/>
          </w:tcPr>
          <w:p>
            <w:pPr>
              <w:ind w:left="440"/>
              <w:spacing w:after="0"/>
              <w:rPr>
                <w:sz w:val="20"/>
                <w:szCs w:val="20"/>
                <w:color w:val="auto"/>
              </w:rPr>
            </w:pPr>
            <w:r>
              <w:rPr>
                <w:rFonts w:ascii="Arial" w:cs="Arial" w:eastAsia="Arial" w:hAnsi="Arial"/>
                <w:sz w:val="13"/>
                <w:szCs w:val="13"/>
                <w:color w:val="auto"/>
              </w:rPr>
              <w:t>— $</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0.47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6"/>
              </w:rPr>
              <w:t>4/11/2028</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10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4/12/2018</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4/1/2018</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216,666</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108,334</w:t>
            </w:r>
            <w:r>
              <w:rPr>
                <w:rFonts w:ascii="Arial" w:cs="Arial" w:eastAsia="Arial" w:hAnsi="Arial"/>
                <w:sz w:val="14"/>
                <w:szCs w:val="14"/>
                <w:color w:val="auto"/>
                <w:vertAlign w:val="superscript"/>
              </w:rPr>
              <w:t>(7)</w:t>
            </w:r>
          </w:p>
        </w:tc>
        <w:tc>
          <w:tcPr>
            <w:tcW w:w="80" w:type="dxa"/>
            <w:vAlign w:val="bottom"/>
            <w:shd w:val="clear" w:color="auto" w:fill="CCEEFF"/>
          </w:tcPr>
          <w:p>
            <w:pPr>
              <w:spacing w:after="0"/>
              <w:rPr>
                <w:sz w:val="24"/>
                <w:szCs w:val="24"/>
                <w:color w:val="auto"/>
              </w:rPr>
            </w:pPr>
          </w:p>
        </w:tc>
        <w:tc>
          <w:tcPr>
            <w:tcW w:w="740" w:type="dxa"/>
            <w:vAlign w:val="bottom"/>
            <w:gridSpan w:val="3"/>
            <w:shd w:val="clear" w:color="auto" w:fill="CCEEFF"/>
          </w:tcPr>
          <w:p>
            <w:pPr>
              <w:ind w:left="440"/>
              <w:spacing w:after="0"/>
              <w:rPr>
                <w:sz w:val="20"/>
                <w:szCs w:val="20"/>
                <w:color w:val="auto"/>
              </w:rPr>
            </w:pPr>
            <w:r>
              <w:rPr>
                <w:rFonts w:ascii="Arial" w:cs="Arial" w:eastAsia="Arial" w:hAnsi="Arial"/>
                <w:sz w:val="13"/>
                <w:szCs w:val="13"/>
                <w:color w:val="auto"/>
              </w:rPr>
              <w:t>— $</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0.47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6"/>
              </w:rPr>
              <w:t>4/11/2028</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1/24/2019</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1/1/2019</w:t>
            </w:r>
          </w:p>
        </w:tc>
        <w:tc>
          <w:tcPr>
            <w:tcW w:w="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95,833</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104,167</w:t>
            </w:r>
            <w:r>
              <w:rPr>
                <w:rFonts w:ascii="Arial" w:cs="Arial" w:eastAsia="Arial" w:hAnsi="Arial"/>
                <w:sz w:val="14"/>
                <w:szCs w:val="14"/>
                <w:color w:val="auto"/>
                <w:vertAlign w:val="superscript"/>
              </w:rPr>
              <w:t>(6)</w:t>
            </w:r>
          </w:p>
        </w:tc>
        <w:tc>
          <w:tcPr>
            <w:tcW w:w="80" w:type="dxa"/>
            <w:vAlign w:val="bottom"/>
            <w:shd w:val="clear" w:color="auto" w:fill="CCEEFF"/>
          </w:tcPr>
          <w:p>
            <w:pPr>
              <w:spacing w:after="0"/>
              <w:rPr>
                <w:sz w:val="24"/>
                <w:szCs w:val="24"/>
                <w:color w:val="auto"/>
              </w:rPr>
            </w:pPr>
          </w:p>
        </w:tc>
        <w:tc>
          <w:tcPr>
            <w:tcW w:w="740" w:type="dxa"/>
            <w:vAlign w:val="bottom"/>
            <w:gridSpan w:val="3"/>
            <w:shd w:val="clear" w:color="auto" w:fill="CCEEFF"/>
          </w:tcPr>
          <w:p>
            <w:pPr>
              <w:ind w:left="440"/>
              <w:spacing w:after="0"/>
              <w:rPr>
                <w:sz w:val="20"/>
                <w:szCs w:val="20"/>
                <w:color w:val="auto"/>
              </w:rPr>
            </w:pPr>
            <w:r>
              <w:rPr>
                <w:rFonts w:ascii="Arial" w:cs="Arial" w:eastAsia="Arial" w:hAnsi="Arial"/>
                <w:sz w:val="13"/>
                <w:szCs w:val="13"/>
                <w:color w:val="auto"/>
              </w:rPr>
              <w:t>— $</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0.52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6"/>
              </w:rPr>
              <w:t>1/24/2029</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0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9"/>
              </w:rPr>
              <w:t>1/30/2020</w:t>
            </w: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6"/>
              </w:rPr>
              <w:t>1/1/2020</w:t>
            </w:r>
          </w:p>
        </w:tc>
        <w:tc>
          <w:tcPr>
            <w:tcW w:w="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200,000</w:t>
            </w:r>
            <w:r>
              <w:rPr>
                <w:rFonts w:ascii="Arial" w:cs="Arial" w:eastAsia="Arial" w:hAnsi="Arial"/>
                <w:sz w:val="14"/>
                <w:szCs w:val="14"/>
                <w:color w:val="auto"/>
                <w:vertAlign w:val="superscript"/>
              </w:rPr>
              <w:t>(6)</w:t>
            </w: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3"/>
                <w:szCs w:val="13"/>
                <w:color w:val="auto"/>
              </w:rPr>
              <w:t>— $</w:t>
            </w: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0.56</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6"/>
              </w:rPr>
              <w:t>1/30/2030</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0"/>
                <w:szCs w:val="20"/>
                <w:color w:val="auto"/>
              </w:rPr>
            </w:pPr>
            <w:r>
              <w:rPr>
                <w:rFonts w:ascii="Arial" w:cs="Arial" w:eastAsia="Arial" w:hAnsi="Arial"/>
                <w:sz w:val="16"/>
                <w:szCs w:val="16"/>
                <w:color w:val="auto"/>
                <w:w w:val="99"/>
              </w:rPr>
              <w:t>____________</w:t>
            </w: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880" w:right="759" w:hanging="426"/>
        <w:spacing w:after="0" w:line="266" w:lineRule="auto"/>
        <w:tabs>
          <w:tab w:leader="none" w:pos="871" w:val="left"/>
        </w:tabs>
        <w:numPr>
          <w:ilvl w:val="0"/>
          <w:numId w:val="259"/>
        </w:numPr>
        <w:rPr>
          <w:rFonts w:ascii="Arial" w:cs="Arial" w:eastAsia="Arial" w:hAnsi="Arial"/>
          <w:sz w:val="16"/>
          <w:szCs w:val="16"/>
          <w:color w:val="auto"/>
        </w:rPr>
      </w:pPr>
      <w:r>
        <w:rPr>
          <w:rFonts w:ascii="Arial" w:cs="Arial" w:eastAsia="Arial" w:hAnsi="Arial"/>
          <w:sz w:val="16"/>
          <w:szCs w:val="16"/>
          <w:color w:val="auto"/>
        </w:rPr>
        <w:t>All of the awards in this table were granted under the Existing Plan, the terms of which are described below under “— Equity Incentive Plan — Existing Plan.”</w:t>
      </w:r>
    </w:p>
    <w:p>
      <w:pPr>
        <w:spacing w:after="0" w:line="1" w:lineRule="exact"/>
        <w:rPr>
          <w:rFonts w:ascii="Arial" w:cs="Arial" w:eastAsia="Arial" w:hAnsi="Arial"/>
          <w:sz w:val="16"/>
          <w:szCs w:val="16"/>
          <w:color w:val="auto"/>
        </w:rPr>
      </w:pPr>
    </w:p>
    <w:p>
      <w:pPr>
        <w:ind w:left="880" w:right="499" w:hanging="426"/>
        <w:spacing w:after="0" w:line="276" w:lineRule="auto"/>
        <w:tabs>
          <w:tab w:leader="none" w:pos="871" w:val="left"/>
        </w:tabs>
        <w:numPr>
          <w:ilvl w:val="0"/>
          <w:numId w:val="259"/>
        </w:numPr>
        <w:rPr>
          <w:rFonts w:ascii="Arial" w:cs="Arial" w:eastAsia="Arial" w:hAnsi="Arial"/>
          <w:sz w:val="16"/>
          <w:szCs w:val="16"/>
          <w:color w:val="auto"/>
        </w:rPr>
      </w:pPr>
      <w:r>
        <w:rPr>
          <w:rFonts w:ascii="Arial" w:cs="Arial" w:eastAsia="Arial" w:hAnsi="Arial"/>
          <w:sz w:val="16"/>
          <w:szCs w:val="16"/>
          <w:color w:val="auto"/>
        </w:rPr>
        <w:t>All of the option awards listed in the table were granted with an exercise price per share that is no less than the fair market value of our common shares on the date of grant of such award. The fair market value has been determined by independent valuation experts and determined in good faith by our board of directors.</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47" w:name="page248"/>
    <w:bookmarkEnd w:id="24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right="679" w:hanging="426"/>
        <w:spacing w:after="0" w:line="262" w:lineRule="auto"/>
        <w:tabs>
          <w:tab w:leader="none" w:pos="877"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These shares represent the unvested amount of restricted stock awards granted in July 2017. The total award grant was 3,225,660 and vested 25% after the first anniversary and monthly over the next 36 months. These shares are subject to Dr. Weber’s continued employment in the company and the unvested amount is subject to the company’s repurchase if no longer employed.</w:t>
      </w:r>
    </w:p>
    <w:p>
      <w:pPr>
        <w:ind w:left="880" w:right="559" w:hanging="426"/>
        <w:spacing w:after="0" w:line="264" w:lineRule="auto"/>
        <w:tabs>
          <w:tab w:leader="none" w:pos="877"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There was no public market value for our common stock as of December 31, 2020. Market value as of December 31, 2020 was determined as $1.19/share, as determined by an independent valuation.</w:t>
      </w:r>
    </w:p>
    <w:p>
      <w:pPr>
        <w:ind w:left="880" w:right="479" w:hanging="426"/>
        <w:spacing w:after="0" w:line="248" w:lineRule="auto"/>
        <w:tabs>
          <w:tab w:leader="none" w:pos="88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25% vesting after 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anniversary and monthly vesting thereafter for 36 months assuming continuing employment with the company.</w:t>
      </w:r>
    </w:p>
    <w:p>
      <w:pPr>
        <w:ind w:left="880" w:hanging="426"/>
        <w:spacing w:after="0"/>
        <w:tabs>
          <w:tab w:leader="none" w:pos="88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Monthly vesting for 48 months assuming continued employment with our company.</w:t>
      </w:r>
    </w:p>
    <w:p>
      <w:pPr>
        <w:spacing w:after="0" w:line="18" w:lineRule="exact"/>
        <w:rPr>
          <w:rFonts w:ascii="Arial" w:cs="Arial" w:eastAsia="Arial" w:hAnsi="Arial"/>
          <w:sz w:val="16"/>
          <w:szCs w:val="16"/>
          <w:color w:val="auto"/>
        </w:rPr>
      </w:pPr>
    </w:p>
    <w:p>
      <w:pPr>
        <w:ind w:left="880" w:right="779" w:hanging="426"/>
        <w:spacing w:after="0" w:line="288" w:lineRule="auto"/>
        <w:tabs>
          <w:tab w:leader="none" w:pos="88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Shares represent Mrs. Beckman’s transition to full-time status and are vested over 48 months assuming continued employment with our company.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Elements of Compensation; Perquisites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Health and Welfare Plans</w:t>
      </w:r>
    </w:p>
    <w:p>
      <w:pPr>
        <w:spacing w:after="0" w:line="144"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During their employment, our named executive officers are eligible to participate in our employee benefit plans and programs, including medical and dental benefits, life insurance &amp; disability benefits, to the same extent as our other full-time employees, subject to the terms and eligibility requirements of those plans.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Retirement Plan</w:t>
      </w:r>
    </w:p>
    <w:p>
      <w:pPr>
        <w:spacing w:after="0" w:line="158"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We maintain a 401(k) retirement savings plan for our employees, including our named executive officers, who satisfy certain eligibility requirements. The savings plan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Under this plan, we do not currently offer any matching contributions but will reserve the right to evaluate changes in the future. Our named executive officers are eligible to participate in the 401(k) plan on the same terms as other full-time employees.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 Plans</w:t>
      </w:r>
    </w:p>
    <w:p>
      <w:pPr>
        <w:spacing w:after="0" w:line="162"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7"/>
          <w:szCs w:val="17"/>
          <w:color w:val="auto"/>
        </w:rPr>
        <w:t>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plans are summarized below.</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2017 Stock Option and Grant Plan</w:t>
      </w:r>
    </w:p>
    <w:p>
      <w:pPr>
        <w:spacing w:after="0" w:line="144" w:lineRule="exact"/>
        <w:rPr>
          <w:sz w:val="20"/>
          <w:szCs w:val="20"/>
          <w:color w:val="auto"/>
        </w:rPr>
      </w:pPr>
    </w:p>
    <w:p>
      <w:pPr>
        <w:ind w:left="460" w:right="719" w:firstLine="432"/>
        <w:spacing w:after="0" w:line="275" w:lineRule="auto"/>
        <w:rPr>
          <w:sz w:val="20"/>
          <w:szCs w:val="20"/>
          <w:color w:val="auto"/>
        </w:rPr>
      </w:pPr>
      <w:r>
        <w:rPr>
          <w:rFonts w:ascii="Arial" w:cs="Arial" w:eastAsia="Arial" w:hAnsi="Arial"/>
          <w:sz w:val="17"/>
          <w:szCs w:val="17"/>
          <w:color w:val="auto"/>
        </w:rPr>
        <w:t>Our 2017 Plan was initially adopted by our board of directors and approved by our stockholders in March 2017. The 2017 plan has been amended from time to time, and was amended and restated in December 2020 to increase the number of shares of common stock reserved for issuance under the plan as described below. The 2017 Plan provides for the grant of options to purchase shares of our common stock, as well as for the award of restricted stock, or RSAs, restricted stock units, or RSUs.</w:t>
      </w:r>
    </w:p>
    <w:p>
      <w:pPr>
        <w:spacing w:after="0" w:line="109"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As of December 31, 2020, we had 30,600,000 shares of our common stock reserved for issuance pursuant to grants under our 2017 Plan, of which 11,927,610 remained available for grant. As of December 31, 2020, options to purchase 81,870 shares had been exercised and options to purchase 11,951,362 remained outstanding, with a weighted-average exercise price of $0.64 per share.</w:t>
      </w:r>
    </w:p>
    <w:p>
      <w:pPr>
        <w:spacing w:after="0" w:line="104"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2017 Plan is administered by our board of directors, and following the Closing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administered by our compensation committee, referred to as the committee. Subject to the terms of the 2017 Plan, the committee has the power and authority to grant awards consistent with the terms of the plan, and among other things, prescribe, amend, expand, modify and rescind rules and regulations relating to the 2017 Plan.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8" w:name="page249"/>
    <w:bookmarkEnd w:id="24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Pursuant to the 2017 Plan, we may grant incentive stock options, which are intended to</w:t>
      </w:r>
      <w:r>
        <w:rPr>
          <w:rFonts w:ascii="Arial" w:cs="Arial" w:eastAsia="Arial" w:hAnsi="Arial"/>
          <w:sz w:val="17"/>
          <w:szCs w:val="17"/>
          <w:i w:val="1"/>
          <w:iCs w:val="1"/>
          <w:color w:val="auto"/>
        </w:rPr>
        <w:t xml:space="preserve"> </w:t>
      </w:r>
      <w:r>
        <w:rPr>
          <w:rFonts w:ascii="Arial" w:cs="Arial" w:eastAsia="Arial" w:hAnsi="Arial"/>
          <w:sz w:val="17"/>
          <w:szCs w:val="17"/>
          <w:color w:val="auto"/>
        </w:rPr>
        <w:t>qualify for tax treatment as set forth under Section 422 of the Internal Revenue Code, as amended, or the Code, only to our full-time or part-time employees (including officers and directors who are also employees). We may grant non-statutory stock options and all other types of awards to our employees (including officers and directors who are also employees), non-employee directors and consultants.</w:t>
      </w:r>
    </w:p>
    <w:p>
      <w:pPr>
        <w:spacing w:after="0" w:line="109"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The 2017 Plan provides that the exercise price per share for the Shares covered by a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 shall be determined by the Committee at the time of grant but shall not be less than 100 percent of the Fair Market Value on the Grant Date. In the case of an Incentive Stock Option that is granted to a Ten Percent Owner, the exercise price per share for the Shares covered by such Incentive Stock Option shall not be less than 110 percent of the Fair Market Value on the Grant Date.</w:t>
      </w:r>
    </w:p>
    <w:p>
      <w:pPr>
        <w:spacing w:after="0" w:line="109" w:lineRule="exact"/>
        <w:rPr>
          <w:sz w:val="20"/>
          <w:szCs w:val="20"/>
          <w:color w:val="auto"/>
        </w:rPr>
      </w:pPr>
    </w:p>
    <w:p>
      <w:pPr>
        <w:jc w:val="both"/>
        <w:ind w:left="460" w:right="599" w:firstLine="432"/>
        <w:spacing w:after="0" w:line="263" w:lineRule="auto"/>
        <w:rPr>
          <w:sz w:val="20"/>
          <w:szCs w:val="20"/>
          <w:color w:val="auto"/>
        </w:rPr>
      </w:pPr>
      <w:r>
        <w:rPr>
          <w:rFonts w:ascii="Arial" w:cs="Arial" w:eastAsia="Arial" w:hAnsi="Arial"/>
          <w:sz w:val="18"/>
          <w:szCs w:val="18"/>
          <w:color w:val="auto"/>
        </w:rPr>
        <w:t>The maximum permitted term of options granted under our 2017 Plan is ten years from the date of grant. In the case of an Incentive Stock Option that is granted to a Ten Percent Owner, the term of such Stock Option shall be no more than five years from the Grant Date.</w:t>
      </w:r>
    </w:p>
    <w:p>
      <w:pPr>
        <w:spacing w:after="0" w:line="103"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i w:val="1"/>
          <w:iCs w:val="1"/>
          <w:color w:val="auto"/>
        </w:rPr>
        <w:t>Restricted Stock Awards. T</w:t>
      </w:r>
      <w:r>
        <w:rPr>
          <w:rFonts w:ascii="Arial" w:cs="Arial" w:eastAsia="Arial" w:hAnsi="Arial"/>
          <w:sz w:val="18"/>
          <w:szCs w:val="18"/>
          <w:color w:val="auto"/>
        </w:rPr>
        <w:t>he 2017 Plan also provides for the issuance of RSA’s pursuant to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may purchase restricted shares of our common stock. Among other terms and conditions, we may retain an option to repurchase the unvested restricted stock for defined periods of time following the holder’s termination of service.</w:t>
      </w:r>
    </w:p>
    <w:p>
      <w:pPr>
        <w:spacing w:after="0" w:line="119"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i w:val="1"/>
          <w:iCs w:val="1"/>
          <w:color w:val="auto"/>
        </w:rPr>
        <w:t xml:space="preserve">Limited transferability. </w:t>
      </w:r>
      <w:r>
        <w:rPr>
          <w:rFonts w:ascii="Arial" w:cs="Arial" w:eastAsia="Arial" w:hAnsi="Arial"/>
          <w:sz w:val="18"/>
          <w:szCs w:val="18"/>
          <w:color w:val="auto"/>
        </w:rPr>
        <w:t>Unless otherwise determined by the committee, awards granted under our 2017</w:t>
      </w:r>
      <w:r>
        <w:rPr>
          <w:rFonts w:ascii="Arial" w:cs="Arial" w:eastAsia="Arial" w:hAnsi="Arial"/>
          <w:sz w:val="18"/>
          <w:szCs w:val="18"/>
          <w:i w:val="1"/>
          <w:iCs w:val="1"/>
          <w:color w:val="auto"/>
        </w:rPr>
        <w:t xml:space="preserve"> </w:t>
      </w:r>
      <w:r>
        <w:rPr>
          <w:rFonts w:ascii="Arial" w:cs="Arial" w:eastAsia="Arial" w:hAnsi="Arial"/>
          <w:sz w:val="18"/>
          <w:szCs w:val="18"/>
          <w:color w:val="auto"/>
        </w:rPr>
        <w:t>Plan generally may not be transferred or assigned in any manner other than by will or the laws of descent and distribution.</w:t>
      </w:r>
    </w:p>
    <w:p>
      <w:pPr>
        <w:spacing w:after="0" w:line="116"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In the case of a “sale event” (as defined in the 2017 Plan), the Plan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Options issued hereunder shall terminate upon the effective time of any such Sale Event unless assumed or continued by the successor entity, or new stock options or other awards of the successor entity or parent thereof are substituted therefor, with an equitable or proportionate adjustment as to the number and kind of shares and, if appropriate, the per share exercise prices, as such parties shall agree (after taking into account any acceleration hereunder and/or pursuant to the terms of any Award Agreement).</w:t>
      </w:r>
    </w:p>
    <w:p>
      <w:pPr>
        <w:spacing w:after="0" w:line="83"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In the event of the termination of the 2017 Plan, each Holder of Options shall be permitted, within a period of time prior to the consummation of the Sale Event as specified by the Committee, to exercise all such Options which are then exercisable or will become exercisable as of the effective time of the Sale Event; provided, however, that the exercise of Options not exercisable prior to the Sale Event shall be subject to the consummation of the Sale Event. The Company may also have the right but not the obligation, to make or provide for a cash payment to the Holders of Options, without any consent of the Holders, in exchange for the cancellation thereof, in an amount equal to the difference between (A) the value as determined by the Committee of the consideration payable per share of Stock pursuant to the Sale Event (the “</w:t>
      </w:r>
      <w:r>
        <w:rPr>
          <w:rFonts w:ascii="Arial" w:cs="Arial" w:eastAsia="Arial" w:hAnsi="Arial"/>
          <w:sz w:val="16"/>
          <w:szCs w:val="16"/>
          <w:b w:val="1"/>
          <w:bCs w:val="1"/>
          <w:color w:val="auto"/>
        </w:rPr>
        <w:t>Sale Price</w:t>
      </w:r>
      <w:r>
        <w:rPr>
          <w:rFonts w:ascii="Arial" w:cs="Arial" w:eastAsia="Arial" w:hAnsi="Arial"/>
          <w:sz w:val="16"/>
          <w:szCs w:val="16"/>
          <w:color w:val="auto"/>
        </w:rPr>
        <w:t>”) times the number of Shares subject to outstanding Options being cancelled (to the extent then vested and exercisable, including by reason of acceleration in connection with such Sale Event, at prices not in excess of the Sale Price) and (B) the aggregate exercise price of all such outstanding vested and exercisable Options.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9" w:name="page250"/>
    <w:bookmarkEnd w:id="24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48" w:lineRule="exact"/>
        <w:rPr>
          <w:sz w:val="20"/>
          <w:szCs w:val="20"/>
          <w:color w:val="auto"/>
        </w:rPr>
      </w:pPr>
    </w:p>
    <w:p>
      <w:pPr>
        <w:ind w:left="460" w:right="719" w:firstLine="432"/>
        <w:spacing w:after="0" w:line="263" w:lineRule="auto"/>
        <w:rPr>
          <w:sz w:val="20"/>
          <w:szCs w:val="20"/>
          <w:color w:val="auto"/>
        </w:rPr>
      </w:pPr>
      <w:r>
        <w:rPr>
          <w:rFonts w:ascii="Arial" w:cs="Arial" w:eastAsia="Arial" w:hAnsi="Arial"/>
          <w:sz w:val="18"/>
          <w:szCs w:val="18"/>
          <w:color w:val="auto"/>
        </w:rPr>
        <w:t>Effective upon the Closing, we adopted a compensation program for our non-employee directors under which each non-employee director will receive the following amounts for their services on our board of directors.</w:t>
      </w:r>
    </w:p>
    <w:p>
      <w:pPr>
        <w:spacing w:after="0" w:line="116" w:lineRule="exact"/>
        <w:rPr>
          <w:sz w:val="20"/>
          <w:szCs w:val="20"/>
          <w:color w:val="auto"/>
        </w:rPr>
      </w:pPr>
    </w:p>
    <w:p>
      <w:pPr>
        <w:ind w:left="1320" w:right="819" w:hanging="434"/>
        <w:spacing w:after="0" w:line="277" w:lineRule="auto"/>
        <w:tabs>
          <w:tab w:leader="none" w:pos="131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 option to purchase 40,000 shares of our common stock upon the director’s initial election or appointment to our board of directors that occurs after the Closing.</w:t>
      </w:r>
    </w:p>
    <w:p>
      <w:pPr>
        <w:spacing w:after="0" w:line="102" w:lineRule="exact"/>
        <w:rPr>
          <w:rFonts w:ascii="Arial" w:cs="Arial" w:eastAsia="Arial" w:hAnsi="Arial"/>
          <w:sz w:val="18"/>
          <w:szCs w:val="18"/>
          <w:color w:val="auto"/>
        </w:rPr>
      </w:pPr>
    </w:p>
    <w:p>
      <w:pPr>
        <w:jc w:val="both"/>
        <w:ind w:left="1320" w:right="539" w:hanging="434"/>
        <w:spacing w:after="0" w:line="263" w:lineRule="auto"/>
        <w:tabs>
          <w:tab w:leader="none" w:pos="131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 annual option to purchase 20,000 shares of our common stock on the date of the annual meeting for such year. Directors who were elected in the 12 months preceding the annual grant are pro-rated on a monthly basis for time in service.</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 annual director fee of $40,000 and</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If the director serves on a committee of our board of directors or in the other capacities stated below, an additional annual fee as follows:</w:t>
      </w:r>
    </w:p>
    <w:p>
      <w:pPr>
        <w:spacing w:after="0" w:line="102" w:lineRule="exact"/>
        <w:rPr>
          <w:rFonts w:ascii="Arial" w:cs="Arial" w:eastAsia="Arial" w:hAnsi="Arial"/>
          <w:sz w:val="18"/>
          <w:szCs w:val="18"/>
          <w:color w:val="auto"/>
        </w:rPr>
      </w:pPr>
    </w:p>
    <w:p>
      <w:pPr>
        <w:ind w:left="1740" w:hanging="422"/>
        <w:spacing w:after="0"/>
        <w:tabs>
          <w:tab w:leader="none" w:pos="174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Non-executive chairperson, $30,000</w:t>
      </w:r>
    </w:p>
    <w:p>
      <w:pPr>
        <w:spacing w:after="0" w:line="144" w:lineRule="exact"/>
        <w:rPr>
          <w:rFonts w:ascii="Arial" w:cs="Arial" w:eastAsia="Arial" w:hAnsi="Arial"/>
          <w:sz w:val="18"/>
          <w:szCs w:val="18"/>
          <w:color w:val="auto"/>
        </w:rPr>
      </w:pPr>
    </w:p>
    <w:p>
      <w:pPr>
        <w:ind w:left="1740" w:hanging="422"/>
        <w:spacing w:after="0"/>
        <w:tabs>
          <w:tab w:leader="none" w:pos="174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Lead independent director, $15,000</w:t>
      </w:r>
    </w:p>
    <w:p>
      <w:pPr>
        <w:spacing w:after="0" w:line="157" w:lineRule="exact"/>
        <w:rPr>
          <w:rFonts w:ascii="Arial" w:cs="Arial" w:eastAsia="Arial" w:hAnsi="Arial"/>
          <w:sz w:val="18"/>
          <w:szCs w:val="18"/>
          <w:color w:val="auto"/>
        </w:rPr>
      </w:pPr>
    </w:p>
    <w:p>
      <w:pPr>
        <w:ind w:left="1740" w:hanging="422"/>
        <w:spacing w:after="0"/>
        <w:tabs>
          <w:tab w:leader="none" w:pos="174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Audit committee chairperson, $15,000</w:t>
      </w:r>
    </w:p>
    <w:p>
      <w:pPr>
        <w:spacing w:after="0" w:line="157" w:lineRule="exact"/>
        <w:rPr>
          <w:rFonts w:ascii="Arial" w:cs="Arial" w:eastAsia="Arial" w:hAnsi="Arial"/>
          <w:sz w:val="18"/>
          <w:szCs w:val="18"/>
          <w:color w:val="auto"/>
        </w:rPr>
      </w:pPr>
    </w:p>
    <w:p>
      <w:pPr>
        <w:ind w:left="1740" w:hanging="422"/>
        <w:spacing w:after="0"/>
        <w:tabs>
          <w:tab w:leader="none" w:pos="174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Audit committee member, $7,500</w:t>
      </w:r>
    </w:p>
    <w:p>
      <w:pPr>
        <w:spacing w:after="0" w:line="144" w:lineRule="exact"/>
        <w:rPr>
          <w:rFonts w:ascii="Arial" w:cs="Arial" w:eastAsia="Arial" w:hAnsi="Arial"/>
          <w:sz w:val="18"/>
          <w:szCs w:val="18"/>
          <w:color w:val="auto"/>
        </w:rPr>
      </w:pPr>
    </w:p>
    <w:p>
      <w:pPr>
        <w:ind w:left="1740" w:hanging="422"/>
        <w:spacing w:after="0"/>
        <w:tabs>
          <w:tab w:leader="none" w:pos="174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Compensation committee chairperson, $10,000</w:t>
      </w:r>
    </w:p>
    <w:p>
      <w:pPr>
        <w:spacing w:after="0" w:line="157" w:lineRule="exact"/>
        <w:rPr>
          <w:rFonts w:ascii="Arial" w:cs="Arial" w:eastAsia="Arial" w:hAnsi="Arial"/>
          <w:sz w:val="18"/>
          <w:szCs w:val="18"/>
          <w:color w:val="auto"/>
        </w:rPr>
      </w:pPr>
    </w:p>
    <w:p>
      <w:pPr>
        <w:ind w:left="1740" w:hanging="422"/>
        <w:spacing w:after="0"/>
        <w:tabs>
          <w:tab w:leader="none" w:pos="174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Compensation committee member, $5,000</w:t>
      </w:r>
    </w:p>
    <w:p>
      <w:pPr>
        <w:spacing w:after="0" w:line="157" w:lineRule="exact"/>
        <w:rPr>
          <w:rFonts w:ascii="Arial" w:cs="Arial" w:eastAsia="Arial" w:hAnsi="Arial"/>
          <w:sz w:val="18"/>
          <w:szCs w:val="18"/>
          <w:color w:val="auto"/>
        </w:rPr>
      </w:pPr>
    </w:p>
    <w:p>
      <w:pPr>
        <w:ind w:left="1740" w:hanging="422"/>
        <w:spacing w:after="0"/>
        <w:tabs>
          <w:tab w:leader="none" w:pos="174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Nomination and governance committee chairperson, $8,000</w:t>
      </w:r>
    </w:p>
    <w:p>
      <w:pPr>
        <w:spacing w:after="0" w:line="144" w:lineRule="exact"/>
        <w:rPr>
          <w:rFonts w:ascii="Arial" w:cs="Arial" w:eastAsia="Arial" w:hAnsi="Arial"/>
          <w:sz w:val="18"/>
          <w:szCs w:val="18"/>
          <w:color w:val="auto"/>
        </w:rPr>
      </w:pPr>
    </w:p>
    <w:p>
      <w:pPr>
        <w:ind w:left="1740" w:hanging="422"/>
        <w:spacing w:after="0"/>
        <w:tabs>
          <w:tab w:leader="none" w:pos="174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Nomination and governance committee member, $4,000</w:t>
      </w:r>
    </w:p>
    <w:p>
      <w:pPr>
        <w:spacing w:after="0" w:line="158"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Options granted to our non-employee directors under the program will have an exercise price equal to the fair market value of our common stock on the date of grant and will expire not later than ten years after the date of grant. The options granted upon a director’s initial election or appointment will vest in 48 substantially equal monthly installments following the date of grant. In addition, all unvested options will vest in full upon the occurrence of a change in control.</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2020 Director Compensation Table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2"/>
              </w:rPr>
              <w:t>Fees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Nonqualified</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gridSpan w:val="4"/>
          </w:tcPr>
          <w:p>
            <w:pPr>
              <w:ind w:left="100"/>
              <w:spacing w:after="0"/>
              <w:rPr>
                <w:sz w:val="20"/>
                <w:szCs w:val="20"/>
                <w:color w:val="auto"/>
              </w:rPr>
            </w:pPr>
            <w:r>
              <w:rPr>
                <w:rFonts w:ascii="Arial" w:cs="Arial" w:eastAsia="Arial" w:hAnsi="Arial"/>
                <w:sz w:val="16"/>
                <w:szCs w:val="16"/>
                <w:b w:val="1"/>
                <w:bCs w:val="1"/>
                <w:color w:val="auto"/>
              </w:rPr>
              <w:t>Earned or</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Non-Equity</w:t>
            </w:r>
          </w:p>
        </w:tc>
        <w:tc>
          <w:tcPr>
            <w:tcW w:w="11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Deferred</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Paid-in</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6"/>
              </w:rPr>
              <w:t>Stock</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w w:val="93"/>
              </w:rPr>
              <w:t>Option</w:t>
            </w:r>
          </w:p>
        </w:tc>
        <w:tc>
          <w:tcPr>
            <w:tcW w:w="10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Incentive Plan</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8"/>
              </w:rPr>
              <w:t>Compensation</w:t>
            </w:r>
          </w:p>
        </w:tc>
        <w:tc>
          <w:tcPr>
            <w:tcW w:w="1260" w:type="dxa"/>
            <w:vAlign w:val="bottom"/>
            <w:gridSpan w:val="3"/>
          </w:tcPr>
          <w:p>
            <w:pPr>
              <w:jc w:val="center"/>
              <w:ind w:right="190"/>
              <w:spacing w:after="0"/>
              <w:rPr>
                <w:sz w:val="20"/>
                <w:szCs w:val="20"/>
                <w:color w:val="auto"/>
              </w:rPr>
            </w:pPr>
            <w:r>
              <w:rPr>
                <w:rFonts w:ascii="Arial" w:cs="Arial" w:eastAsia="Arial" w:hAnsi="Arial"/>
                <w:sz w:val="16"/>
                <w:szCs w:val="16"/>
                <w:b w:val="1"/>
                <w:bCs w:val="1"/>
                <w:color w:val="auto"/>
                <w:w w:val="97"/>
              </w:rPr>
              <w:t>All Other</w:t>
            </w:r>
          </w:p>
        </w:tc>
        <w:tc>
          <w:tcPr>
            <w:tcW w:w="62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Cash</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9"/>
              </w:rPr>
              <w:t>Awards</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w w:val="89"/>
              </w:rPr>
              <w:t>Awards</w:t>
            </w:r>
          </w:p>
        </w:tc>
        <w:tc>
          <w:tcPr>
            <w:tcW w:w="10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88"/>
              </w:rPr>
              <w:t>Compensation</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Earnings</w:t>
            </w:r>
          </w:p>
        </w:tc>
        <w:tc>
          <w:tcPr>
            <w:tcW w:w="1260" w:type="dxa"/>
            <w:vAlign w:val="bottom"/>
            <w:gridSpan w:val="3"/>
          </w:tcPr>
          <w:p>
            <w:pPr>
              <w:jc w:val="center"/>
              <w:ind w:right="170"/>
              <w:spacing w:after="0"/>
              <w:rPr>
                <w:sz w:val="20"/>
                <w:szCs w:val="20"/>
                <w:color w:val="auto"/>
              </w:rPr>
            </w:pPr>
            <w:r>
              <w:rPr>
                <w:rFonts w:ascii="Arial" w:cs="Arial" w:eastAsia="Arial" w:hAnsi="Arial"/>
                <w:sz w:val="16"/>
                <w:szCs w:val="16"/>
                <w:b w:val="1"/>
                <w:bCs w:val="1"/>
                <w:color w:val="auto"/>
                <w:w w:val="89"/>
              </w:rPr>
              <w:t>Compensation</w:t>
            </w:r>
          </w:p>
        </w:tc>
        <w:tc>
          <w:tcPr>
            <w:tcW w:w="620" w:type="dxa"/>
            <w:vAlign w:val="bottom"/>
          </w:tcPr>
          <w:p>
            <w:pPr>
              <w:jc w:val="right"/>
              <w:ind w:right="132"/>
              <w:spacing w:after="0"/>
              <w:rPr>
                <w:sz w:val="20"/>
                <w:szCs w:val="20"/>
                <w:color w:val="auto"/>
              </w:rPr>
            </w:pPr>
            <w:r>
              <w:rPr>
                <w:rFonts w:ascii="Arial" w:cs="Arial" w:eastAsia="Arial" w:hAnsi="Arial"/>
                <w:sz w:val="16"/>
                <w:szCs w:val="16"/>
                <w:b w:val="1"/>
                <w:bCs w:val="1"/>
                <w:color w:val="auto"/>
                <w:w w:val="99"/>
              </w:rPr>
              <w:t>Total</w:t>
            </w:r>
          </w:p>
        </w:tc>
      </w:tr>
      <w:tr>
        <w:trPr>
          <w:trHeight w:val="210"/>
        </w:trPr>
        <w:tc>
          <w:tcPr>
            <w:tcW w:w="128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540" w:type="dxa"/>
            <w:vAlign w:val="bottom"/>
          </w:tcPr>
          <w:p>
            <w:pPr>
              <w:ind w:left="120"/>
              <w:spacing w:after="0"/>
              <w:rPr>
                <w:sz w:val="20"/>
                <w:szCs w:val="20"/>
                <w:color w:val="auto"/>
              </w:rPr>
            </w:pPr>
            <w:r>
              <w:rPr>
                <w:rFonts w:ascii="Arial" w:cs="Arial" w:eastAsia="Arial" w:hAnsi="Arial"/>
                <w:sz w:val="16"/>
                <w:szCs w:val="16"/>
                <w:b w:val="1"/>
                <w:bCs w:val="1"/>
                <w:color w:val="auto"/>
              </w:rPr>
              <w:t>Year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8"/>
                <w:szCs w:val="18"/>
                <w:color w:val="auto"/>
              </w:rPr>
            </w:pPr>
          </w:p>
        </w:tc>
        <w:tc>
          <w:tcPr>
            <w:tcW w:w="540" w:type="dxa"/>
            <w:vAlign w:val="bottom"/>
          </w:tcPr>
          <w:p>
            <w:pPr>
              <w:jc w:val="right"/>
              <w:ind w:right="9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540" w:type="dxa"/>
            <w:vAlign w:val="bottom"/>
          </w:tcPr>
          <w:p>
            <w:pPr>
              <w:jc w:val="right"/>
              <w:ind w:right="93"/>
              <w:spacing w:after="0"/>
              <w:rPr>
                <w:sz w:val="20"/>
                <w:szCs w:val="20"/>
                <w:color w:val="auto"/>
              </w:rPr>
            </w:pPr>
            <w:r>
              <w:rPr>
                <w:rFonts w:ascii="Arial" w:cs="Arial" w:eastAsia="Arial" w:hAnsi="Arial"/>
                <w:sz w:val="16"/>
                <w:szCs w:val="16"/>
                <w:b w:val="1"/>
                <w:bCs w:val="1"/>
                <w:color w:val="auto"/>
              </w:rPr>
              <w:t>($)</w:t>
            </w:r>
          </w:p>
        </w:tc>
        <w:tc>
          <w:tcPr>
            <w:tcW w:w="1120" w:type="dxa"/>
            <w:vAlign w:val="bottom"/>
            <w:gridSpan w:val="2"/>
          </w:tcPr>
          <w:p>
            <w:pPr>
              <w:jc w:val="center"/>
              <w:ind w:left="15"/>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212"/>
              <w:spacing w:after="0"/>
              <w:rPr>
                <w:sz w:val="20"/>
                <w:szCs w:val="20"/>
                <w:color w:val="auto"/>
              </w:rPr>
            </w:pPr>
            <w:r>
              <w:rPr>
                <w:rFonts w:ascii="Arial" w:cs="Arial" w:eastAsia="Arial" w:hAnsi="Arial"/>
                <w:sz w:val="16"/>
                <w:szCs w:val="16"/>
                <w:b w:val="1"/>
                <w:bCs w:val="1"/>
                <w:color w:val="auto"/>
              </w:rPr>
              <w:t>($)</w:t>
            </w:r>
          </w:p>
        </w:tc>
      </w:tr>
      <w:tr>
        <w:trPr>
          <w:trHeight w:val="47"/>
        </w:trPr>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3"/>
        </w:trPr>
        <w:tc>
          <w:tcPr>
            <w:tcW w:w="1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Aaron Davis</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w w:val="77"/>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1280" w:type="dxa"/>
            <w:vAlign w:val="bottom"/>
            <w:gridSpan w:val="2"/>
          </w:tcPr>
          <w:p>
            <w:pPr>
              <w:spacing w:after="0"/>
              <w:rPr>
                <w:sz w:val="20"/>
                <w:szCs w:val="20"/>
                <w:color w:val="auto"/>
              </w:rPr>
            </w:pPr>
            <w:r>
              <w:rPr>
                <w:rFonts w:ascii="Arial" w:cs="Arial" w:eastAsia="Arial" w:hAnsi="Arial"/>
                <w:sz w:val="18"/>
                <w:szCs w:val="18"/>
                <w:color w:val="auto"/>
              </w:rPr>
              <w:t>Alexis Borisy</w:t>
            </w:r>
          </w:p>
        </w:tc>
        <w:tc>
          <w:tcPr>
            <w:tcW w:w="540" w:type="dxa"/>
            <w:vAlign w:val="bottom"/>
          </w:tcPr>
          <w:p>
            <w:pPr>
              <w:ind w:left="100"/>
              <w:spacing w:after="0"/>
              <w:rPr>
                <w:sz w:val="20"/>
                <w:szCs w:val="20"/>
                <w:color w:val="auto"/>
              </w:rPr>
            </w:pPr>
            <w:r>
              <w:rPr>
                <w:rFonts w:ascii="Arial" w:cs="Arial" w:eastAsia="Arial" w:hAnsi="Arial"/>
                <w:sz w:val="18"/>
                <w:szCs w:val="18"/>
                <w:color w:val="auto"/>
              </w:rPr>
              <w:t>2020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25,000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62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40"/>
        </w:trPr>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1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Cary Pfeffer</w:t>
            </w:r>
          </w:p>
        </w:tc>
        <w:tc>
          <w:tcPr>
            <w:tcW w:w="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1280" w:type="dxa"/>
            <w:vAlign w:val="bottom"/>
            <w:gridSpan w:val="2"/>
          </w:tcPr>
          <w:p>
            <w:pPr>
              <w:spacing w:after="0"/>
              <w:rPr>
                <w:sz w:val="20"/>
                <w:szCs w:val="20"/>
                <w:color w:val="auto"/>
              </w:rPr>
            </w:pPr>
            <w:r>
              <w:rPr>
                <w:rFonts w:ascii="Arial" w:cs="Arial" w:eastAsia="Arial" w:hAnsi="Arial"/>
                <w:sz w:val="18"/>
                <w:szCs w:val="18"/>
                <w:color w:val="auto"/>
              </w:rPr>
              <w:t>Malte Peters</w:t>
            </w:r>
          </w:p>
        </w:tc>
        <w:tc>
          <w:tcPr>
            <w:tcW w:w="540" w:type="dxa"/>
            <w:vAlign w:val="bottom"/>
          </w:tcPr>
          <w:p>
            <w:pPr>
              <w:ind w:left="100"/>
              <w:spacing w:after="0"/>
              <w:rPr>
                <w:sz w:val="20"/>
                <w:szCs w:val="20"/>
                <w:color w:val="auto"/>
              </w:rPr>
            </w:pPr>
            <w:r>
              <w:rPr>
                <w:rFonts w:ascii="Arial" w:cs="Arial" w:eastAsia="Arial" w:hAnsi="Arial"/>
                <w:sz w:val="18"/>
                <w:szCs w:val="18"/>
                <w:color w:val="auto"/>
              </w:rPr>
              <w:t>2020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25,000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62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40"/>
        </w:trPr>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1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Mike Pellini</w:t>
            </w:r>
          </w:p>
        </w:tc>
        <w:tc>
          <w:tcPr>
            <w:tcW w:w="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25,000</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43"/>
        </w:trPr>
        <w:tc>
          <w:tcPr>
            <w:tcW w:w="1280" w:type="dxa"/>
            <w:vAlign w:val="bottom"/>
            <w:gridSpan w:val="2"/>
          </w:tcPr>
          <w:p>
            <w:pPr>
              <w:spacing w:after="0"/>
              <w:rPr>
                <w:sz w:val="20"/>
                <w:szCs w:val="20"/>
                <w:color w:val="auto"/>
              </w:rPr>
            </w:pPr>
            <w:r>
              <w:rPr>
                <w:rFonts w:ascii="Arial" w:cs="Arial" w:eastAsia="Arial" w:hAnsi="Arial"/>
                <w:sz w:val="18"/>
                <w:szCs w:val="18"/>
                <w:color w:val="auto"/>
              </w:rPr>
              <w:t>Reid Huber</w:t>
            </w:r>
          </w:p>
        </w:tc>
        <w:tc>
          <w:tcPr>
            <w:tcW w:w="540" w:type="dxa"/>
            <w:vAlign w:val="bottom"/>
          </w:tcPr>
          <w:p>
            <w:pPr>
              <w:ind w:left="10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45"/>
        </w:trPr>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753"/>
              <w:spacing w:after="0"/>
              <w:rPr>
                <w:sz w:val="20"/>
                <w:szCs w:val="20"/>
                <w:color w:val="auto"/>
              </w:rPr>
            </w:pPr>
            <w:r>
              <w:rPr>
                <w:rFonts w:ascii="Arial" w:cs="Arial" w:eastAsia="Arial" w:hAnsi="Arial"/>
                <w:sz w:val="18"/>
                <w:szCs w:val="18"/>
                <w:color w:val="auto"/>
                <w:w w:val="86"/>
              </w:rPr>
              <w:t>237</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50" w:name="page251"/>
    <w:bookmarkEnd w:id="25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308" w:lineRule="auto"/>
        <w:rPr>
          <w:sz w:val="20"/>
          <w:szCs w:val="20"/>
          <w:color w:val="auto"/>
        </w:rPr>
      </w:pPr>
      <w:r>
        <w:rPr>
          <w:rFonts w:ascii="Arial" w:cs="Arial" w:eastAsia="Arial" w:hAnsi="Arial"/>
          <w:sz w:val="17"/>
          <w:szCs w:val="17"/>
          <w:color w:val="auto"/>
        </w:rPr>
        <w:t>The table below shows the aggregate numbers of option awards (exercisable and unexercisable) held as of December 31, 2020 by each non-employee director who was serving as of December 31, 2020.</w:t>
      </w:r>
    </w:p>
    <w:p>
      <w:pPr>
        <w:spacing w:after="0" w:line="12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4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Options</w:t>
            </w:r>
          </w:p>
        </w:tc>
      </w:tr>
      <w:tr>
        <w:trPr>
          <w:trHeight w:val="203"/>
        </w:trPr>
        <w:tc>
          <w:tcPr>
            <w:tcW w:w="24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outstanding</w:t>
            </w:r>
          </w:p>
        </w:tc>
      </w:tr>
      <w:tr>
        <w:trPr>
          <w:trHeight w:val="203"/>
        </w:trPr>
        <w:tc>
          <w:tcPr>
            <w:tcW w:w="24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0"/>
              </w:rPr>
              <w:t>at 2020 fiscal</w:t>
            </w:r>
          </w:p>
        </w:tc>
      </w:tr>
      <w:tr>
        <w:trPr>
          <w:trHeight w:val="210"/>
        </w:trPr>
        <w:tc>
          <w:tcPr>
            <w:tcW w:w="244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year end</w:t>
            </w:r>
          </w:p>
        </w:tc>
      </w:tr>
      <w:tr>
        <w:trPr>
          <w:trHeight w:val="46"/>
        </w:trPr>
        <w:tc>
          <w:tcPr>
            <w:tcW w:w="2440" w:type="dxa"/>
            <w:vAlign w:val="bottom"/>
            <w:tcBorders>
              <w:bottom w:val="single" w:sz="8" w:color="auto"/>
            </w:tcBorders>
          </w:tcPr>
          <w:p>
            <w:pPr>
              <w:spacing w:after="0"/>
              <w:rPr>
                <w:sz w:val="4"/>
                <w:szCs w:val="4"/>
                <w:color w:val="auto"/>
              </w:rPr>
            </w:pPr>
          </w:p>
        </w:tc>
        <w:tc>
          <w:tcPr>
            <w:tcW w:w="4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2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Aaron Davis</w:t>
            </w:r>
          </w:p>
        </w:tc>
        <w:tc>
          <w:tcPr>
            <w:tcW w:w="4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2440" w:type="dxa"/>
            <w:vAlign w:val="bottom"/>
          </w:tcPr>
          <w:p>
            <w:pPr>
              <w:spacing w:after="0"/>
              <w:rPr>
                <w:sz w:val="20"/>
                <w:szCs w:val="20"/>
                <w:color w:val="auto"/>
              </w:rPr>
            </w:pPr>
            <w:r>
              <w:rPr>
                <w:rFonts w:ascii="Arial" w:cs="Arial" w:eastAsia="Arial" w:hAnsi="Arial"/>
                <w:sz w:val="18"/>
                <w:szCs w:val="18"/>
                <w:color w:val="auto"/>
              </w:rPr>
              <w:t>Alexis Borisy</w:t>
            </w:r>
          </w:p>
        </w:tc>
        <w:tc>
          <w:tcPr>
            <w:tcW w:w="5660" w:type="dxa"/>
            <w:vAlign w:val="bottom"/>
            <w:gridSpan w:val="3"/>
          </w:tcPr>
          <w:p>
            <w:pPr>
              <w:jc w:val="right"/>
              <w:spacing w:after="0"/>
              <w:rPr>
                <w:sz w:val="20"/>
                <w:szCs w:val="20"/>
                <w:color w:val="auto"/>
              </w:rPr>
            </w:pPr>
            <w:r>
              <w:rPr>
                <w:rFonts w:ascii="Arial" w:cs="Arial" w:eastAsia="Arial" w:hAnsi="Arial"/>
                <w:sz w:val="18"/>
                <w:szCs w:val="18"/>
                <w:color w:val="auto"/>
              </w:rPr>
              <w:t>387,000</w:t>
            </w:r>
          </w:p>
        </w:tc>
      </w:tr>
      <w:tr>
        <w:trPr>
          <w:trHeight w:val="41"/>
        </w:trPr>
        <w:tc>
          <w:tcPr>
            <w:tcW w:w="244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2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Cary Pfeffer</w:t>
            </w:r>
          </w:p>
        </w:tc>
        <w:tc>
          <w:tcPr>
            <w:tcW w:w="4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2440" w:type="dxa"/>
            <w:vAlign w:val="bottom"/>
          </w:tcPr>
          <w:p>
            <w:pPr>
              <w:spacing w:after="0"/>
              <w:rPr>
                <w:sz w:val="20"/>
                <w:szCs w:val="20"/>
                <w:color w:val="auto"/>
              </w:rPr>
            </w:pPr>
            <w:r>
              <w:rPr>
                <w:rFonts w:ascii="Arial" w:cs="Arial" w:eastAsia="Arial" w:hAnsi="Arial"/>
                <w:sz w:val="18"/>
                <w:szCs w:val="18"/>
                <w:color w:val="auto"/>
              </w:rPr>
              <w:t>Reid Huber</w:t>
            </w:r>
          </w:p>
        </w:tc>
        <w:tc>
          <w:tcPr>
            <w:tcW w:w="4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
        </w:trPr>
        <w:tc>
          <w:tcPr>
            <w:tcW w:w="244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2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Malte Peters</w:t>
            </w:r>
          </w:p>
        </w:tc>
        <w:tc>
          <w:tcPr>
            <w:tcW w:w="5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350,000</w:t>
            </w:r>
          </w:p>
        </w:tc>
      </w:tr>
      <w:tr>
        <w:trPr>
          <w:trHeight w:val="243"/>
        </w:trPr>
        <w:tc>
          <w:tcPr>
            <w:tcW w:w="2440" w:type="dxa"/>
            <w:vAlign w:val="bottom"/>
          </w:tcPr>
          <w:p>
            <w:pPr>
              <w:spacing w:after="0"/>
              <w:rPr>
                <w:sz w:val="20"/>
                <w:szCs w:val="20"/>
                <w:color w:val="auto"/>
              </w:rPr>
            </w:pPr>
            <w:r>
              <w:rPr>
                <w:rFonts w:ascii="Arial" w:cs="Arial" w:eastAsia="Arial" w:hAnsi="Arial"/>
                <w:sz w:val="18"/>
                <w:szCs w:val="18"/>
                <w:color w:val="auto"/>
              </w:rPr>
              <w:t>Mike Pellini</w:t>
            </w:r>
          </w:p>
        </w:tc>
        <w:tc>
          <w:tcPr>
            <w:tcW w:w="5660" w:type="dxa"/>
            <w:vAlign w:val="bottom"/>
            <w:gridSpan w:val="3"/>
          </w:tcPr>
          <w:p>
            <w:pPr>
              <w:jc w:val="right"/>
              <w:spacing w:after="0"/>
              <w:rPr>
                <w:sz w:val="20"/>
                <w:szCs w:val="20"/>
                <w:color w:val="auto"/>
              </w:rPr>
            </w:pPr>
            <w:r>
              <w:rPr>
                <w:rFonts w:ascii="Arial" w:cs="Arial" w:eastAsia="Arial" w:hAnsi="Arial"/>
                <w:sz w:val="18"/>
                <w:szCs w:val="18"/>
                <w:color w:val="auto"/>
              </w:rPr>
              <w:t>215,000</w:t>
            </w:r>
          </w:p>
        </w:tc>
      </w:tr>
      <w:tr>
        <w:trPr>
          <w:trHeight w:val="432"/>
        </w:trPr>
        <w:tc>
          <w:tcPr>
            <w:tcW w:w="24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jc w:val="right"/>
              <w:ind w:right="247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51" w:name="page252"/>
    <w:bookmarkEnd w:id="25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MANAGEMENT OF NEW TANGO AFTER THE BUSINESS COMBINATION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Management and Board of Directors</w:t>
      </w:r>
    </w:p>
    <w:p>
      <w:pPr>
        <w:spacing w:after="0" w:line="148"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The following persons are expected to serve as executive officers and directors of New Tango following the Business Combination.</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2920" w:type="dxa"/>
            <w:vAlign w:val="bottom"/>
            <w:gridSpan w:val="2"/>
          </w:tcPr>
          <w:p>
            <w:pPr>
              <w:spacing w:after="0"/>
              <w:rPr>
                <w:sz w:val="20"/>
                <w:szCs w:val="20"/>
                <w:color w:val="auto"/>
              </w:rPr>
            </w:pPr>
            <w:r>
              <w:rPr>
                <w:rFonts w:ascii="Arial" w:cs="Arial" w:eastAsia="Arial" w:hAnsi="Arial"/>
                <w:sz w:val="16"/>
                <w:szCs w:val="16"/>
                <w:b w:val="1"/>
                <w:bCs w:val="1"/>
                <w:color w:val="auto"/>
              </w:rPr>
              <w:t>Name</w:t>
            </w:r>
            <w:r>
              <w:rPr>
                <w:rFonts w:ascii="Arial" w:cs="Arial" w:eastAsia="Arial" w:hAnsi="Arial"/>
                <w:sz w:val="18"/>
                <w:szCs w:val="18"/>
                <w:b w:val="1"/>
                <w:bCs w:val="1"/>
                <w:color w:val="auto"/>
                <w:vertAlign w:val="superscript"/>
              </w:rPr>
              <w:t>(1)</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2"/>
              </w:rPr>
              <w:t>Age</w:t>
            </w:r>
          </w:p>
        </w:tc>
        <w:tc>
          <w:tcPr>
            <w:tcW w:w="100" w:type="dxa"/>
            <w:vAlign w:val="bottom"/>
          </w:tcPr>
          <w:p>
            <w:pPr>
              <w:spacing w:after="0"/>
              <w:rPr>
                <w:sz w:val="21"/>
                <w:szCs w:val="21"/>
                <w:color w:val="auto"/>
              </w:rPr>
            </w:pPr>
          </w:p>
        </w:tc>
        <w:tc>
          <w:tcPr>
            <w:tcW w:w="4360" w:type="dxa"/>
            <w:vAlign w:val="bottom"/>
          </w:tcPr>
          <w:p>
            <w:pPr>
              <w:ind w:left="1800"/>
              <w:spacing w:after="0"/>
              <w:rPr>
                <w:sz w:val="20"/>
                <w:szCs w:val="20"/>
                <w:color w:val="auto"/>
              </w:rPr>
            </w:pPr>
            <w:r>
              <w:rPr>
                <w:rFonts w:ascii="Arial" w:cs="Arial" w:eastAsia="Arial" w:hAnsi="Arial"/>
                <w:sz w:val="16"/>
                <w:szCs w:val="16"/>
                <w:b w:val="1"/>
                <w:bCs w:val="1"/>
                <w:color w:val="auto"/>
              </w:rPr>
              <w:t>Position(s)</w:t>
            </w:r>
          </w:p>
        </w:tc>
      </w:tr>
      <w:tr>
        <w:trPr>
          <w:trHeight w:val="248"/>
        </w:trPr>
        <w:tc>
          <w:tcPr>
            <w:tcW w:w="28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Barbara Weber, M.D.</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3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43"/>
        </w:trPr>
        <w:tc>
          <w:tcPr>
            <w:tcW w:w="2920" w:type="dxa"/>
            <w:vAlign w:val="bottom"/>
            <w:gridSpan w:val="2"/>
          </w:tcPr>
          <w:p>
            <w:pPr>
              <w:spacing w:after="0"/>
              <w:rPr>
                <w:sz w:val="20"/>
                <w:szCs w:val="20"/>
                <w:color w:val="auto"/>
              </w:rPr>
            </w:pPr>
            <w:r>
              <w:rPr>
                <w:rFonts w:ascii="Arial" w:cs="Arial" w:eastAsia="Arial" w:hAnsi="Arial"/>
                <w:sz w:val="18"/>
                <w:szCs w:val="18"/>
                <w:color w:val="auto"/>
              </w:rPr>
              <w:t>Daniella Beckman</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446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40"/>
        </w:trPr>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60" w:type="dxa"/>
            <w:vAlign w:val="bottom"/>
          </w:tcPr>
          <w:p>
            <w:pPr>
              <w:spacing w:after="0"/>
              <w:rPr>
                <w:sz w:val="3"/>
                <w:szCs w:val="3"/>
                <w:color w:val="auto"/>
              </w:rPr>
            </w:pPr>
          </w:p>
        </w:tc>
      </w:tr>
      <w:tr>
        <w:trPr>
          <w:trHeight w:val="263"/>
        </w:trPr>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Alan Huang, Ph.D.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4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Scientific Officer</w:t>
            </w:r>
          </w:p>
        </w:tc>
      </w:tr>
      <w:tr>
        <w:trPr>
          <w:trHeight w:val="243"/>
        </w:trPr>
        <w:tc>
          <w:tcPr>
            <w:tcW w:w="2920" w:type="dxa"/>
            <w:vAlign w:val="bottom"/>
            <w:gridSpan w:val="2"/>
          </w:tcPr>
          <w:p>
            <w:pPr>
              <w:spacing w:after="0"/>
              <w:rPr>
                <w:sz w:val="20"/>
                <w:szCs w:val="20"/>
                <w:color w:val="auto"/>
              </w:rPr>
            </w:pPr>
            <w:r>
              <w:rPr>
                <w:rFonts w:ascii="Arial" w:cs="Arial" w:eastAsia="Arial" w:hAnsi="Arial"/>
                <w:sz w:val="18"/>
                <w:szCs w:val="18"/>
                <w:color w:val="auto"/>
              </w:rPr>
              <w:t>Alexis Borisy</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44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40"/>
        </w:trPr>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60" w:type="dxa"/>
            <w:vAlign w:val="bottom"/>
          </w:tcPr>
          <w:p>
            <w:pPr>
              <w:spacing w:after="0"/>
              <w:rPr>
                <w:sz w:val="3"/>
                <w:szCs w:val="3"/>
                <w:color w:val="auto"/>
              </w:rPr>
            </w:pPr>
          </w:p>
        </w:tc>
      </w:tr>
      <w:tr>
        <w:trPr>
          <w:trHeight w:val="264"/>
        </w:trPr>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Aaron Davis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4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43"/>
        </w:trPr>
        <w:tc>
          <w:tcPr>
            <w:tcW w:w="2920" w:type="dxa"/>
            <w:vAlign w:val="bottom"/>
            <w:gridSpan w:val="2"/>
          </w:tcPr>
          <w:p>
            <w:pPr>
              <w:spacing w:after="0"/>
              <w:rPr>
                <w:sz w:val="20"/>
                <w:szCs w:val="20"/>
                <w:color w:val="auto"/>
              </w:rPr>
            </w:pPr>
            <w:r>
              <w:rPr>
                <w:rFonts w:ascii="Arial" w:cs="Arial" w:eastAsia="Arial" w:hAnsi="Arial"/>
                <w:sz w:val="18"/>
                <w:szCs w:val="18"/>
                <w:color w:val="auto"/>
              </w:rPr>
              <w:t>Reid Huber, Ph.D.</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44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41"/>
        </w:trPr>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60" w:type="dxa"/>
            <w:vAlign w:val="bottom"/>
          </w:tcPr>
          <w:p>
            <w:pPr>
              <w:spacing w:after="0"/>
              <w:rPr>
                <w:sz w:val="3"/>
                <w:szCs w:val="3"/>
                <w:color w:val="auto"/>
              </w:rPr>
            </w:pPr>
          </w:p>
        </w:tc>
      </w:tr>
      <w:tr>
        <w:trPr>
          <w:trHeight w:val="263"/>
        </w:trPr>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Malte Peters, M.D.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4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43"/>
        </w:trPr>
        <w:tc>
          <w:tcPr>
            <w:tcW w:w="2920" w:type="dxa"/>
            <w:vAlign w:val="bottom"/>
            <w:gridSpan w:val="2"/>
          </w:tcPr>
          <w:p>
            <w:pPr>
              <w:spacing w:after="0"/>
              <w:rPr>
                <w:sz w:val="20"/>
                <w:szCs w:val="20"/>
                <w:color w:val="auto"/>
              </w:rPr>
            </w:pPr>
            <w:r>
              <w:rPr>
                <w:rFonts w:ascii="Arial" w:cs="Arial" w:eastAsia="Arial" w:hAnsi="Arial"/>
                <w:sz w:val="18"/>
                <w:szCs w:val="18"/>
                <w:color w:val="auto"/>
              </w:rPr>
              <w:t>Lesley Calhoun</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44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40"/>
        </w:trPr>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60" w:type="dxa"/>
            <w:vAlign w:val="bottom"/>
          </w:tcPr>
          <w:p>
            <w:pPr>
              <w:spacing w:after="0"/>
              <w:rPr>
                <w:sz w:val="3"/>
                <w:szCs w:val="3"/>
                <w:color w:val="auto"/>
              </w:rPr>
            </w:pPr>
          </w:p>
        </w:tc>
      </w:tr>
      <w:tr>
        <w:trPr>
          <w:trHeight w:val="243"/>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Mace Rothenberg, M.D.</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4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40"/>
        </w:trPr>
        <w:tc>
          <w:tcPr>
            <w:tcW w:w="2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360" w:type="dxa"/>
            <w:vAlign w:val="bottom"/>
            <w:shd w:val="clear" w:color="auto" w:fill="CCEEFF"/>
          </w:tcPr>
          <w:p>
            <w:pPr>
              <w:spacing w:after="0"/>
              <w:rPr>
                <w:sz w:val="3"/>
                <w:szCs w:val="3"/>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Tango Designees</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Officers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 xml:space="preserve">Barbara Weber, M.D. </w:t>
      </w:r>
      <w:r>
        <w:rPr>
          <w:rFonts w:ascii="Arial" w:cs="Arial" w:eastAsia="Arial" w:hAnsi="Arial"/>
          <w:sz w:val="17"/>
          <w:szCs w:val="17"/>
          <w:color w:val="auto"/>
        </w:rPr>
        <w:t>has served as our President and Chief Executive Officer since March 2017.</w:t>
      </w:r>
    </w:p>
    <w:p>
      <w:pPr>
        <w:spacing w:after="0" w:line="39" w:lineRule="exact"/>
        <w:rPr>
          <w:sz w:val="20"/>
          <w:szCs w:val="20"/>
          <w:color w:val="auto"/>
        </w:rPr>
      </w:pPr>
    </w:p>
    <w:p>
      <w:pPr>
        <w:ind w:left="460" w:right="639"/>
        <w:spacing w:after="0" w:line="281" w:lineRule="auto"/>
        <w:rPr>
          <w:sz w:val="20"/>
          <w:szCs w:val="20"/>
          <w:color w:val="auto"/>
        </w:rPr>
      </w:pPr>
      <w:r>
        <w:rPr>
          <w:rFonts w:ascii="Arial" w:cs="Arial" w:eastAsia="Arial" w:hAnsi="Arial"/>
          <w:sz w:val="16"/>
          <w:szCs w:val="16"/>
          <w:color w:val="auto"/>
        </w:rPr>
        <w:t>Dr. Weber has been a Venture Partner at Third Rock Ventures since March 2015. Previously, Dr. Weber served as Senior Vice President, Oncology Translational Medicine, Novartis from 2009 to 2015, Vice President, Oncology, GSK from 2005 to 2009 and Professor, Medicine and Genetics, University of Pennsylvania from 1994 to 2005. Dr. Weber has served on the board of directors of Revolution Medicines, Inc., a biotechnology company, since April 2018 and Fog Pharma, a private biopharmaceutical company, since October 2018.</w:t>
      </w:r>
    </w:p>
    <w:p>
      <w:pPr>
        <w:spacing w:after="0" w:line="3" w:lineRule="exact"/>
        <w:rPr>
          <w:sz w:val="20"/>
          <w:szCs w:val="20"/>
          <w:color w:val="auto"/>
        </w:rPr>
      </w:pPr>
    </w:p>
    <w:p>
      <w:pPr>
        <w:jc w:val="both"/>
        <w:ind w:left="460" w:right="919"/>
        <w:spacing w:after="0" w:line="323" w:lineRule="auto"/>
        <w:rPr>
          <w:sz w:val="20"/>
          <w:szCs w:val="20"/>
          <w:color w:val="auto"/>
        </w:rPr>
      </w:pPr>
      <w:r>
        <w:rPr>
          <w:rFonts w:ascii="Arial" w:cs="Arial" w:eastAsia="Arial" w:hAnsi="Arial"/>
          <w:sz w:val="16"/>
          <w:szCs w:val="16"/>
          <w:color w:val="auto"/>
        </w:rPr>
        <w:t>Dr. Weber received a B.S. in Chemistry and an M.D. from the University of Washington, was a resident in internal medicine at Yale University and fellow in Medical Oncology at the Dana Farber Cancer Institute.</w:t>
      </w:r>
    </w:p>
    <w:p>
      <w:pPr>
        <w:spacing w:after="0" w:line="67"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b w:val="1"/>
          <w:bCs w:val="1"/>
          <w:color w:val="auto"/>
        </w:rPr>
        <w:t xml:space="preserve">Daniella Beckman </w:t>
      </w:r>
      <w:r>
        <w:rPr>
          <w:rFonts w:ascii="Arial" w:cs="Arial" w:eastAsia="Arial" w:hAnsi="Arial"/>
          <w:sz w:val="16"/>
          <w:szCs w:val="16"/>
          <w:color w:val="auto"/>
        </w:rPr>
        <w:t>has served as our Chief Financial Officer since September 2019 and served as our</w:t>
      </w:r>
      <w:r>
        <w:rPr>
          <w:rFonts w:ascii="Arial" w:cs="Arial" w:eastAsia="Arial" w:hAnsi="Arial"/>
          <w:sz w:val="16"/>
          <w:szCs w:val="16"/>
          <w:b w:val="1"/>
          <w:bCs w:val="1"/>
          <w:color w:val="auto"/>
        </w:rPr>
        <w:t xml:space="preserve"> </w:t>
      </w:r>
      <w:r>
        <w:rPr>
          <w:rFonts w:ascii="Arial" w:cs="Arial" w:eastAsia="Arial" w:hAnsi="Arial"/>
          <w:sz w:val="16"/>
          <w:szCs w:val="16"/>
          <w:color w:val="auto"/>
        </w:rPr>
        <w:t>interim Chief Financial Officer from October 2016 to August 2019. Prior to joining the Company, she provided consulting and interim chief financial officer services for early-stage biotechnology companies since November 2015. Previously, Ms. Beckman was the chief financial officer of Idenix Pharmaceuticals, Inc., a biopharmaceutical company, from June 2011 until it was acquired by Merck &amp; Co., Inc., a pharmaceutical company, in August 2014. Ms. Beckman has served on the board of directors of Translate Bio, Inc., a clinical-stage mRNA therapeutics company, since October 2017, on the board of directors of 5:01 Acquisition Corp, a special purpose acquisition company, since October 2020 and on the board of directors of Vor Biopharma Inc., a cell therapies company, since July 2020. Ms. Beckman holds a B.S. in business administration-accounting from Boston University. She is also a certified public accountant in Massachusetts.</w:t>
      </w:r>
    </w:p>
    <w:p>
      <w:pPr>
        <w:spacing w:after="0" w:line="80"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b w:val="1"/>
          <w:bCs w:val="1"/>
          <w:color w:val="auto"/>
        </w:rPr>
        <w:t>Alan Huang, Ph.D.</w:t>
      </w:r>
      <w:r>
        <w:rPr>
          <w:rFonts w:ascii="Arial" w:cs="Arial" w:eastAsia="Arial" w:hAnsi="Arial"/>
          <w:sz w:val="18"/>
          <w:szCs w:val="18"/>
          <w:color w:val="auto"/>
        </w:rPr>
        <w:t>, has served as our Chief Scientific Officer since April 2018. Before being appointed</w:t>
      </w:r>
      <w:r>
        <w:rPr>
          <w:rFonts w:ascii="Arial" w:cs="Arial" w:eastAsia="Arial" w:hAnsi="Arial"/>
          <w:sz w:val="18"/>
          <w:szCs w:val="18"/>
          <w:b w:val="1"/>
          <w:bCs w:val="1"/>
          <w:color w:val="auto"/>
        </w:rPr>
        <w:t xml:space="preserve"> </w:t>
      </w:r>
      <w:r>
        <w:rPr>
          <w:rFonts w:ascii="Arial" w:cs="Arial" w:eastAsia="Arial" w:hAnsi="Arial"/>
          <w:sz w:val="18"/>
          <w:szCs w:val="18"/>
          <w:color w:val="auto"/>
        </w:rPr>
        <w:t>as Chief Scientific officer, Dr. Huang served as Senior Vice President, Head of Biology. From 2016 to 2017, he served as a consultant at Third Rock Ventures. Previously, Dr. Huang was Senior Director and interim Global Head of Oncology Translational Research at Novartis Institute for Biomedical Research. Prior to joining Novartis, Dr. Huang was a senior scientist at Millennium Pharmaceuticals, Inc.. Dr. Huang obtained his B.S. in biochemistry from Fudan University and his doctorate in biochemistry &amp; molecular biology from the University of South Alabama. He completed a postdoctoral fellowship at Schepen’s Eye Research Institute of Harvard Medical School.</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Non-Employee Directors</w:t>
      </w:r>
    </w:p>
    <w:p>
      <w:pPr>
        <w:spacing w:after="0" w:line="158" w:lineRule="exact"/>
        <w:rPr>
          <w:sz w:val="20"/>
          <w:szCs w:val="20"/>
          <w:color w:val="auto"/>
        </w:rPr>
      </w:pPr>
    </w:p>
    <w:p>
      <w:pPr>
        <w:ind w:left="460" w:right="539" w:firstLine="432"/>
        <w:spacing w:after="0" w:line="256" w:lineRule="auto"/>
        <w:rPr>
          <w:sz w:val="20"/>
          <w:szCs w:val="20"/>
          <w:color w:val="auto"/>
        </w:rPr>
      </w:pPr>
      <w:r>
        <w:rPr>
          <w:rFonts w:ascii="Arial" w:cs="Arial" w:eastAsia="Arial" w:hAnsi="Arial"/>
          <w:sz w:val="18"/>
          <w:szCs w:val="18"/>
          <w:b w:val="1"/>
          <w:bCs w:val="1"/>
          <w:color w:val="auto"/>
        </w:rPr>
        <w:t xml:space="preserve">Alexis Borisy </w:t>
      </w:r>
      <w:r>
        <w:rPr>
          <w:rFonts w:ascii="Arial" w:cs="Arial" w:eastAsia="Arial" w:hAnsi="Arial"/>
          <w:sz w:val="18"/>
          <w:szCs w:val="18"/>
          <w:color w:val="auto"/>
        </w:rPr>
        <w:t>has served as a member of our board of directors since our founding in 2017. Since</w:t>
      </w:r>
      <w:r>
        <w:rPr>
          <w:rFonts w:ascii="Arial" w:cs="Arial" w:eastAsia="Arial" w:hAnsi="Arial"/>
          <w:sz w:val="18"/>
          <w:szCs w:val="18"/>
          <w:b w:val="1"/>
          <w:bCs w:val="1"/>
          <w:color w:val="auto"/>
        </w:rPr>
        <w:t xml:space="preserve"> </w:t>
      </w:r>
      <w:r>
        <w:rPr>
          <w:rFonts w:ascii="Arial" w:cs="Arial" w:eastAsia="Arial" w:hAnsi="Arial"/>
          <w:sz w:val="18"/>
          <w:szCs w:val="18"/>
          <w:color w:val="auto"/>
        </w:rPr>
        <w:t>June 2019, Mr. Borisy has served as Chief Executive Officer and chairman of EQRx, Inc., a biotechnology company. From 2010 to June 2019, Mr. Borisy was a partner at Third Rock Ventures, a series of venture capital funds investing in life science companies. Mr. Borisy co-founded Blueprint Medicines Corporation, a biopharmaceutical company, and served as its Interim Chief Executive Officer from 2013 to 2014 and has served as a member of its board of directors</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52" w:name="page253"/>
    <w:bookmarkEnd w:id="25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69" w:lineRule="auto"/>
        <w:rPr>
          <w:sz w:val="20"/>
          <w:szCs w:val="20"/>
          <w:color w:val="auto"/>
        </w:rPr>
      </w:pPr>
      <w:r>
        <w:rPr>
          <w:rFonts w:ascii="Arial" w:cs="Arial" w:eastAsia="Arial" w:hAnsi="Arial"/>
          <w:sz w:val="17"/>
          <w:szCs w:val="17"/>
          <w:color w:val="auto"/>
        </w:rPr>
        <w:t>since 2011. Mr. Borisy co-founded Foundation Medicine, Inc. and served as its Interim Chief Executive Officer from 2009 to 2011 and served as a member of its board of directors from 2009 to July 2018, until its acquisition by Roche. In addition, during the past five years Mr. Borisy has served as a member of the board of directors of various public companies, including Relay Therapeutics, Inc., Revolution Medicines, Inc., Magenta Therapeutics, Inc. and Editas Medicine, Inc. Mr. Borisy received an A.B. in Chemistry from the University of Chicago and an A.M. in Chemistry and Chemical Biology from Harvard University. We believe Mr. Borisy’s extensive experience as an executive of, and working with and serving on the boards of directors of, multiple biopharmaceutical and life sciences companies, his educational background and his experience working in the venture capital industry provide him with the qualifications and skills necessary to serve as a member of our board of directors.</w:t>
      </w:r>
    </w:p>
    <w:p>
      <w:pPr>
        <w:spacing w:after="0" w:line="114" w:lineRule="exact"/>
        <w:rPr>
          <w:sz w:val="20"/>
          <w:szCs w:val="20"/>
          <w:color w:val="auto"/>
        </w:rPr>
      </w:pPr>
    </w:p>
    <w:p>
      <w:pPr>
        <w:ind w:left="460" w:right="619" w:firstLine="432"/>
        <w:spacing w:after="0" w:line="268" w:lineRule="auto"/>
        <w:rPr>
          <w:sz w:val="20"/>
          <w:szCs w:val="20"/>
          <w:color w:val="auto"/>
        </w:rPr>
      </w:pPr>
      <w:r>
        <w:rPr>
          <w:rFonts w:ascii="Arial" w:cs="Arial" w:eastAsia="Arial" w:hAnsi="Arial"/>
          <w:sz w:val="17"/>
          <w:szCs w:val="17"/>
          <w:b w:val="1"/>
          <w:bCs w:val="1"/>
          <w:color w:val="auto"/>
        </w:rPr>
        <w:t xml:space="preserve">Lesley Ann Calhoun </w:t>
      </w:r>
      <w:r>
        <w:rPr>
          <w:rFonts w:ascii="Arial" w:cs="Arial" w:eastAsia="Arial" w:hAnsi="Arial"/>
          <w:sz w:val="17"/>
          <w:szCs w:val="17"/>
          <w:color w:val="auto"/>
        </w:rPr>
        <w:t>has served as a member of our board of directors since March 2021. Since</w:t>
      </w:r>
      <w:r>
        <w:rPr>
          <w:rFonts w:ascii="Arial" w:cs="Arial" w:eastAsia="Arial" w:hAnsi="Arial"/>
          <w:sz w:val="17"/>
          <w:szCs w:val="17"/>
          <w:b w:val="1"/>
          <w:bCs w:val="1"/>
          <w:color w:val="auto"/>
        </w:rPr>
        <w:t xml:space="preserve"> </w:t>
      </w:r>
      <w:r>
        <w:rPr>
          <w:rFonts w:ascii="Arial" w:cs="Arial" w:eastAsia="Arial" w:hAnsi="Arial"/>
          <w:sz w:val="17"/>
          <w:szCs w:val="17"/>
          <w:color w:val="auto"/>
        </w:rPr>
        <w:t>June 2020, Ms. Calhoun has served as executive vice president and chief financial officer at Aligos Therapeutics, Inc., a clinical stage biopharmaceutical company. From August 2016 to June 2020, Ms. Calhoun served as senior vice president of finance &amp; administration and chief accounting officer at Global Blood Therapeutics, Inc. From January 2013 to September 2015, Ms. Calhoun served as vice president of finance at Hyperion Therapeutics, Inc., a commercial pharmaceutical company, which was acquired by Horizon Pharma plc, a biopharmaceutical company, in May 2015. Prior to Horizon Pharma, Ms. Calhoun served as senior director of finance and corporate controller at Theravance, Inc., a biopharmaceutical company, from August 2005 to January 2013. Prior to Theravance, Ms. Calhoun held various senior finance positions of increasing responsibility where she oversaw all aspects of finance and accounting operations for U.S. and multinational, publicly-traded and pre-IPO stage technology companies and in the biopharmaceutical industry. Earlier in her career, Ms. Calhoun was a member of the audit practice of Deloitte &amp; Touche LLP from 1989 to 2001. Ms. Calhoun holds a B.S. in business administration with a concentration in accounting from San Francisco State University and is a Certified Public Accountant (inactive). We believe that Ms. Calhoun’s financial and accounting expertise and her experience in the finance and life sciences industries qualify her to serve as a member of our board of directors.</w:t>
      </w:r>
    </w:p>
    <w:p>
      <w:pPr>
        <w:spacing w:after="0" w:line="112" w:lineRule="exact"/>
        <w:rPr>
          <w:sz w:val="20"/>
          <w:szCs w:val="20"/>
          <w:color w:val="auto"/>
        </w:rPr>
      </w:pPr>
    </w:p>
    <w:p>
      <w:pPr>
        <w:ind w:left="460" w:right="579" w:firstLine="432"/>
        <w:spacing w:after="0" w:line="284" w:lineRule="auto"/>
        <w:rPr>
          <w:sz w:val="20"/>
          <w:szCs w:val="20"/>
          <w:color w:val="auto"/>
        </w:rPr>
      </w:pPr>
      <w:r>
        <w:rPr>
          <w:rFonts w:ascii="Arial" w:cs="Arial" w:eastAsia="Arial" w:hAnsi="Arial"/>
          <w:sz w:val="16"/>
          <w:szCs w:val="16"/>
          <w:b w:val="1"/>
          <w:bCs w:val="1"/>
          <w:color w:val="auto"/>
        </w:rPr>
        <w:t xml:space="preserve">Aaron Davis </w:t>
      </w:r>
      <w:r>
        <w:rPr>
          <w:rFonts w:ascii="Arial" w:cs="Arial" w:eastAsia="Arial" w:hAnsi="Arial"/>
          <w:sz w:val="16"/>
          <w:szCs w:val="16"/>
          <w:color w:val="auto"/>
        </w:rPr>
        <w:t>has served as a member of our board of directors since April 2020. Mr. Davis has been the</w:t>
      </w:r>
      <w:r>
        <w:rPr>
          <w:rFonts w:ascii="Arial" w:cs="Arial" w:eastAsia="Arial" w:hAnsi="Arial"/>
          <w:sz w:val="16"/>
          <w:szCs w:val="16"/>
          <w:b w:val="1"/>
          <w:bCs w:val="1"/>
          <w:color w:val="auto"/>
        </w:rPr>
        <w:t xml:space="preserve"> </w:t>
      </w:r>
      <w:r>
        <w:rPr>
          <w:rFonts w:ascii="Arial" w:cs="Arial" w:eastAsia="Arial" w:hAnsi="Arial"/>
          <w:sz w:val="16"/>
          <w:szCs w:val="16"/>
          <w:color w:val="auto"/>
        </w:rPr>
        <w:t>Chief Executive Officer of Boxer Capital, the healthcare arm of Tavistock Group, since 2012. He co-founded Boxer Capital in 2005 and, prior to being appointed Chief Executive Officer in 2012, served as Portfolio Manager. Mr. Davis is currently the Chairman and Chief Executive Officer of BCTG Acquisition Corp. He has also served as executive chairman of CiVi Biopharma Holdings, Inc. since 2016, a director of Sojournix, Inc. since 2017, a director of Odonate Therapeutics, Inc. since December 2016; a director of Mirati Therapeutics, Inc. since December 2018 and a director of iTeos Therapeutics, Inc. since 2020. From 2000 to 2004, Mr. Davis worked in the Global Healthcare Investment Banking and Private Equity Groups at UBS Warburg, LLC.</w:t>
      </w:r>
    </w:p>
    <w:p>
      <w:pPr>
        <w:spacing w:after="0" w:line="5" w:lineRule="exact"/>
        <w:rPr>
          <w:sz w:val="20"/>
          <w:szCs w:val="20"/>
          <w:color w:val="auto"/>
        </w:rPr>
      </w:pPr>
    </w:p>
    <w:p>
      <w:pPr>
        <w:ind w:left="460" w:right="499"/>
        <w:spacing w:after="0" w:line="253" w:lineRule="auto"/>
        <w:rPr>
          <w:sz w:val="20"/>
          <w:szCs w:val="20"/>
          <w:color w:val="auto"/>
        </w:rPr>
      </w:pPr>
      <w:r>
        <w:rPr>
          <w:rFonts w:ascii="Arial" w:cs="Arial" w:eastAsia="Arial" w:hAnsi="Arial"/>
          <w:sz w:val="18"/>
          <w:szCs w:val="18"/>
          <w:color w:val="auto"/>
        </w:rPr>
        <w:t>Mr. Davis holds an M.A. in biotechnology from Columbia University and a B.B.A. degree in finance from Emory University. We believe that Mr. Davis’s experience serving as a director of multiple biotechnology companies and his knowledge of funds specializing in the area of life sciences makes him qualified to serve as a member of our board of directors</w:t>
      </w:r>
    </w:p>
    <w:p>
      <w:pPr>
        <w:spacing w:after="0" w:line="108" w:lineRule="exact"/>
        <w:rPr>
          <w:sz w:val="20"/>
          <w:szCs w:val="20"/>
          <w:color w:val="auto"/>
        </w:rPr>
      </w:pPr>
    </w:p>
    <w:p>
      <w:pPr>
        <w:ind w:left="460" w:right="599" w:firstLine="432"/>
        <w:spacing w:after="0" w:line="293" w:lineRule="auto"/>
        <w:rPr>
          <w:sz w:val="20"/>
          <w:szCs w:val="20"/>
          <w:color w:val="auto"/>
        </w:rPr>
      </w:pPr>
      <w:r>
        <w:rPr>
          <w:rFonts w:ascii="Arial" w:cs="Arial" w:eastAsia="Arial" w:hAnsi="Arial"/>
          <w:sz w:val="16"/>
          <w:szCs w:val="16"/>
          <w:b w:val="1"/>
          <w:bCs w:val="1"/>
          <w:color w:val="auto"/>
        </w:rPr>
        <w:t xml:space="preserve">Reid M. Huber, Ph.D., </w:t>
      </w:r>
      <w:r>
        <w:rPr>
          <w:rFonts w:ascii="Arial" w:cs="Arial" w:eastAsia="Arial" w:hAnsi="Arial"/>
          <w:sz w:val="16"/>
          <w:szCs w:val="16"/>
          <w:color w:val="auto"/>
        </w:rPr>
        <w:t>has served as a member of our board of directors since July 2019. Dr. Huber has</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a Partner at Third Rock Ventures since December 2018. From April 2014 to December 2018,</w:t>
      </w:r>
    </w:p>
    <w:p>
      <w:pPr>
        <w:spacing w:after="0" w:line="1" w:lineRule="exact"/>
        <w:rPr>
          <w:sz w:val="20"/>
          <w:szCs w:val="20"/>
          <w:color w:val="auto"/>
        </w:rPr>
      </w:pPr>
    </w:p>
    <w:p>
      <w:pPr>
        <w:ind w:left="460" w:right="499"/>
        <w:spacing w:after="0" w:line="268" w:lineRule="auto"/>
        <w:rPr>
          <w:sz w:val="20"/>
          <w:szCs w:val="20"/>
          <w:color w:val="auto"/>
        </w:rPr>
      </w:pPr>
      <w:r>
        <w:rPr>
          <w:rFonts w:ascii="Arial" w:cs="Arial" w:eastAsia="Arial" w:hAnsi="Arial"/>
          <w:sz w:val="17"/>
          <w:szCs w:val="17"/>
          <w:color w:val="auto"/>
        </w:rPr>
        <w:t>Dr. Huber served as Executive Vice President and Chief Scientific Officer at Incyte Corporation, a pharmaceutical company. From 2002 to 2014, Dr. Huber held various roles of increasing responsibility at Incyte. Prior to joining Incyte, Dr. Huber held scientific research positions at DuPont Pharmaceuticals and Bristol-Myers Squibb from 1997 to 2002. Dr. Huber has served on the board of directors of Bellicum Pharmaceuticals, Inc. since October 2014 and also currently serves on the board of MOMA Therapeutics, Asher Bio, Insitro and The American Cancer Society Dr. Huber received his Ph.D. in molecular genetics from the Washington University School of Medicine and held pre- and post-doctoral fellowships at the National Institutes of Health. We believe that Dr. Huber’s extensive background in the pharmaceutical industry and senior management experience qualify him to serve on our board of directors.</w:t>
      </w:r>
    </w:p>
    <w:p>
      <w:pPr>
        <w:spacing w:after="0" w:line="110"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b w:val="1"/>
          <w:bCs w:val="1"/>
          <w:color w:val="auto"/>
        </w:rPr>
        <w:t xml:space="preserve">Malte Peters, M.D., </w:t>
      </w:r>
      <w:r>
        <w:rPr>
          <w:rFonts w:ascii="Arial" w:cs="Arial" w:eastAsia="Arial" w:hAnsi="Arial"/>
          <w:sz w:val="17"/>
          <w:szCs w:val="17"/>
          <w:color w:val="auto"/>
        </w:rPr>
        <w:t>has served on our board of directors since September 2018. Since March 2020,</w:t>
      </w:r>
      <w:r>
        <w:rPr>
          <w:rFonts w:ascii="Arial" w:cs="Arial" w:eastAsia="Arial" w:hAnsi="Arial"/>
          <w:sz w:val="17"/>
          <w:szCs w:val="17"/>
          <w:b w:val="1"/>
          <w:bCs w:val="1"/>
          <w:color w:val="auto"/>
        </w:rPr>
        <w:t xml:space="preserve"> </w:t>
      </w:r>
      <w:r>
        <w:rPr>
          <w:rFonts w:ascii="Arial" w:cs="Arial" w:eastAsia="Arial" w:hAnsi="Arial"/>
          <w:sz w:val="17"/>
          <w:szCs w:val="17"/>
          <w:color w:val="auto"/>
        </w:rPr>
        <w:t>Dr. Peters has served as Chief Research and Development Officer of MorphoSys AG, a biopharmaceutical company, and prior to that served as its Chief Development Officer and member of its management board since March 2017. Prior to his time at MorphoSys, Dr. Peters served as the Global Head of Clinical Development of the Biopharmaceuticals Business Unit at Sandoz International. From 2004 to 2015, he served as Clinical Head and Site Head for Basel and East Hanover in the Department of Oncology Translational Medicine at Novartis. Dr. Peters has also held teaching appointments in Internal Medicine and Biochemistry at the University of Mainz, Germany, served as Research</w:t>
      </w:r>
    </w:p>
    <w:p>
      <w:pPr>
        <w:sectPr>
          <w:pgSz w:w="11900" w:h="16838" w:orient="portrait"/>
          <w:cols w:equalWidth="0" w:num="1">
            <w:col w:w="9019"/>
          </w:cols>
          <w:pgMar w:left="1440" w:top="274"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53" w:name="page254"/>
    <w:bookmarkEnd w:id="25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55" w:lineRule="auto"/>
        <w:rPr>
          <w:sz w:val="20"/>
          <w:szCs w:val="20"/>
          <w:color w:val="auto"/>
        </w:rPr>
      </w:pPr>
      <w:r>
        <w:rPr>
          <w:rFonts w:ascii="Arial" w:cs="Arial" w:eastAsia="Arial" w:hAnsi="Arial"/>
          <w:sz w:val="18"/>
          <w:szCs w:val="18"/>
          <w:color w:val="auto"/>
        </w:rPr>
        <w:t>Scientist at the Amgen Research Institute in Toronto, Canada, as Director of Cancer Research at Merck KGaA and as Medical Director at Micromet AG. Dr. Peters received his Doctor of Medicine from the Freie Universität Berlin, Germany, and was trained at the Universities of Padova, Italy, and Bochum and Berlin, Germany. After scientific work at different universities he habilitated in Internal Medicine at the University of Mainz, Germany. We believe Dr. Peters’ extensive knowledge of the biotechnology industry makes him qualified to serve on our board of directors.</w:t>
      </w:r>
    </w:p>
    <w:p>
      <w:pPr>
        <w:spacing w:after="0" w:line="121"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b w:val="1"/>
          <w:bCs w:val="1"/>
          <w:color w:val="auto"/>
        </w:rPr>
        <w:t>Mace Rothenberg</w:t>
      </w:r>
      <w:r>
        <w:rPr>
          <w:rFonts w:ascii="Arial" w:cs="Arial" w:eastAsia="Arial" w:hAnsi="Arial"/>
          <w:sz w:val="17"/>
          <w:szCs w:val="17"/>
          <w:color w:val="auto"/>
        </w:rPr>
        <w:t>, M.D., has served on our board of directors since March 2021. Dr. Rothenberg was</w:t>
      </w:r>
      <w:r>
        <w:rPr>
          <w:rFonts w:ascii="Arial" w:cs="Arial" w:eastAsia="Arial" w:hAnsi="Arial"/>
          <w:sz w:val="17"/>
          <w:szCs w:val="17"/>
          <w:b w:val="1"/>
          <w:bCs w:val="1"/>
          <w:color w:val="auto"/>
        </w:rPr>
        <w:t xml:space="preserve"> </w:t>
      </w:r>
      <w:r>
        <w:rPr>
          <w:rFonts w:ascii="Arial" w:cs="Arial" w:eastAsia="Arial" w:hAnsi="Arial"/>
          <w:sz w:val="17"/>
          <w:szCs w:val="17"/>
          <w:color w:val="auto"/>
        </w:rPr>
        <w:t>previously at Pfizer, Inc., a pharmaceutical company, where he served as Chief Medical Officer and Head of Worldwide Medical and Safety from 2019-2021, Chief Development Officer for Oncology from 2016-2018, and Senior Vice President for Clinical Development and Medical Affairs for Pfizer Oncology from 2008-2016. Prior to joining Pfizer, Dr. Rothenberg spent 25 years in academia, serving on the faculties of the University of Texas Health Science Center — San Antonio and Vanderbilt University Medical Center. Dr. Rothenberg is a fellow of the American College of Physicians and the American Society of Clinical Oncology and is board-certified in Internal Medicine and Medical Oncology. Dr. Rothenberg received his B.A from the University of Pennsylvania, his M.D. from the New York University School of Medicine, completed his residency in Internal Medicine at Vanderbilt University and his fellowship in Medical Oncology at the National Cancer Institute. We believe Dr. Rothenberg’s industry experience and life science expertise make him qualified to serve on our board of directors.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Family Relationships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There are no family relationships among any of New Tango’s directors or executive officers.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New Tango’s Board Composition</w:t>
      </w:r>
    </w:p>
    <w:p>
      <w:pPr>
        <w:spacing w:after="0" w:line="148"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New Tango’s business and affairs will be organized under the direction of its board of directors. New Tango’s Board will be chaired by [•]. The primary responsibilities of New Tango’s Board will be to provide oversight, strategic guidance, counseling and direction to New Tango’s management. New Tango’s Board will meet on a regular basis and additionally as required.</w:t>
      </w:r>
    </w:p>
    <w:p>
      <w:pPr>
        <w:spacing w:after="0" w:line="119"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color w:val="auto"/>
        </w:rPr>
        <w:t>In accordance with the terms of New Tango’s amended and restated bylaws, which will be effective upon the consummation of the Business Combination, the board of directors may establish the authorized number of directors from time to time by resolution. The board of directors will consist of seven members upon the consummation of the Business Combination. Each member of New Tango’s Board following the Business Combination will serve a one-year term expiring at New Tango’s next annual meeting of stockholders, subject to his or her office being vacated sooner pursuant to New Tango’s amended and restated bylaws to be in effect upon the Closing.</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62"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Prior to the consummation of the Business Combination, the Board will undertake a review of the independence of each director. Based on information provided by each director concerning her or his background, employment and affiliations, it is expected that the Board will determine that none of the directors, other than [•], has any relationships that would interfere with the exercise of independent judgment in carrying out the responsibilities of a director and that each of the directors is “independent” as that term is defined under the Nasdaq listing standards. In making these determinations, the Board will consider the current and prior relationships that each non-employee director has with New Tango and all other facts and circumstances the Board deems relevant in determining their independence, including the beneficial ownership of securities of New Tango by each non- employee director and the transactions described in the section titled “</w:t>
      </w:r>
      <w:r>
        <w:rPr>
          <w:rFonts w:ascii="Arial" w:cs="Arial" w:eastAsia="Arial" w:hAnsi="Arial"/>
          <w:sz w:val="17"/>
          <w:szCs w:val="17"/>
          <w:i w:val="1"/>
          <w:iCs w:val="1"/>
          <w:color w:val="auto"/>
        </w:rPr>
        <w:t>Certain</w:t>
      </w:r>
      <w:r>
        <w:rPr>
          <w:rFonts w:ascii="Arial" w:cs="Arial" w:eastAsia="Arial" w:hAnsi="Arial"/>
          <w:sz w:val="17"/>
          <w:szCs w:val="17"/>
          <w:color w:val="auto"/>
        </w:rPr>
        <w:t xml:space="preserve"> </w:t>
      </w:r>
      <w:r>
        <w:rPr>
          <w:rFonts w:ascii="Arial" w:cs="Arial" w:eastAsia="Arial" w:hAnsi="Arial"/>
          <w:sz w:val="17"/>
          <w:szCs w:val="17"/>
          <w:i w:val="1"/>
          <w:iCs w:val="1"/>
          <w:color w:val="auto"/>
        </w:rPr>
        <w:t>Relationships and Related Person Transactions</w:t>
      </w:r>
      <w:r>
        <w:rPr>
          <w:rFonts w:ascii="Arial" w:cs="Arial" w:eastAsia="Arial" w:hAnsi="Arial"/>
          <w:sz w:val="17"/>
          <w:szCs w:val="17"/>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Role of New Tango’s Board in Risk Oversight/Risk Committee</w:t>
      </w:r>
    </w:p>
    <w:p>
      <w:pPr>
        <w:spacing w:after="0" w:line="148"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Upon the consummation of Business Combination, one of the key functions of New Tango’s Board will be informed oversight of New Tango’s risk management process. New Tango’s Board does not anticipate having a standing risk management committee, but rather anticipates administering this oversight function directly through New Tango’s Board as a whole, as well as through various standing committees of New Tango’s Board that address risks inherent in their respective areas of oversight. In particular, New Tango’s Board will be responsible for monitoring and assessing strategic risk exposure and New Tango’s audit committee will have the responsibility</w:t>
      </w:r>
    </w:p>
    <w:p>
      <w:pPr>
        <w:sectPr>
          <w:pgSz w:w="11900" w:h="16838" w:orient="portrait"/>
          <w:cols w:equalWidth="0" w:num="1">
            <w:col w:w="9019"/>
          </w:cols>
          <w:pgMar w:left="1440" w:top="274" w:right="1440" w:bottom="1440"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54" w:name="page255"/>
    <w:bookmarkEnd w:id="25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spacing w:after="0" w:line="296" w:lineRule="auto"/>
        <w:rPr>
          <w:sz w:val="20"/>
          <w:szCs w:val="20"/>
          <w:color w:val="auto"/>
        </w:rPr>
      </w:pPr>
      <w:r>
        <w:rPr>
          <w:rFonts w:ascii="Arial" w:cs="Arial" w:eastAsia="Arial" w:hAnsi="Arial"/>
          <w:sz w:val="16"/>
          <w:szCs w:val="16"/>
          <w:color w:val="auto"/>
        </w:rPr>
        <w:t>to consider and discuss New Tango’s major financial risk exposures and the steps its management will take to monitor and control such exposures, including guidelines and policies to govern the process by which risk assessment and management is undertaken. The audit committee will also monitor compliance with legal and regulatory requirements. New Tango’s compensation committee will also assess and monitor whether New Tango’s compensation plans, policies and programs comply with applicable legal and regulatory requirements.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Committees of New Tango’s Board</w:t>
      </w:r>
    </w:p>
    <w:p>
      <w:pPr>
        <w:spacing w:after="0" w:line="158"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New Tango’s Board will have the authority to appoint committees to perform certain management and administration functions. BCTG’s current Board has established an audit committee, a compensation committee, and a nominating and corporate governance committee. The composition and responsibilities of each committee are described below. Members will serve on these committees until their resignation or until otherwise determined by New Tango’s Board. Following the Closing, the charters for each of these committees will be available on Tango’s website at Tango.com. Information contained on or accessible through Tango’s website is not a part of this proxy statement/prospectus, and the inclusion of such website address in this proxy statement/prospectus is an inactive textual reference only.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8"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New Tango’s audit committee is expected to consist of [•], [•] and [•]. The Board has determined each proposed member is independent under the listing standards and Rule 10A-3(b)(1) of the Exchange Act. The chairperson of the audit committee is [•]. The Board has determined that [•] is an “audit committee financial expert” within the meaning of SEC regulations. The Board has also determined that each member of the proposed audit committee has the requisite financial expertise required under the applicable requirements of the Nasdaq Capital Market. In arriving at this determination, the Board has examined each audit committee member’s scope of experience and the nature of their employment in the corporate finance sector.</w:t>
      </w:r>
    </w:p>
    <w:p>
      <w:pPr>
        <w:spacing w:after="0" w:line="85"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The primary purpose of the audit committee is to discharge the responsibilities of the board of directors with respect to New Tango’s accounting, financial, and other reporting and internal control practices and to oversee the Combined Entity’s independent registered accounting firm. Specific responsibilities of New Tango’s audit committee include:</w:t>
      </w:r>
    </w:p>
    <w:p>
      <w:pPr>
        <w:spacing w:after="0" w:line="119" w:lineRule="exact"/>
        <w:rPr>
          <w:sz w:val="20"/>
          <w:szCs w:val="20"/>
          <w:color w:val="auto"/>
        </w:rPr>
      </w:pPr>
    </w:p>
    <w:p>
      <w:pPr>
        <w:ind w:left="1300" w:hanging="414"/>
        <w:spacing w:after="0"/>
        <w:tabs>
          <w:tab w:leader="none" w:pos="130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helping the board of directors oversee corporate accounting and financial reporting processes;</w:t>
      </w:r>
    </w:p>
    <w:p>
      <w:pPr>
        <w:spacing w:after="0" w:line="169" w:lineRule="exact"/>
        <w:rPr>
          <w:rFonts w:ascii="Arial" w:cs="Arial" w:eastAsia="Arial" w:hAnsi="Arial"/>
          <w:sz w:val="17"/>
          <w:szCs w:val="17"/>
          <w:color w:val="auto"/>
        </w:rPr>
      </w:pPr>
    </w:p>
    <w:p>
      <w:pPr>
        <w:ind w:left="1320" w:right="1259" w:hanging="434"/>
        <w:spacing w:after="0" w:line="342" w:lineRule="auto"/>
        <w:tabs>
          <w:tab w:leader="none" w:pos="1311" w:val="left"/>
        </w:tabs>
        <w:numPr>
          <w:ilvl w:val="0"/>
          <w:numId w:val="263"/>
        </w:numPr>
        <w:rPr>
          <w:rFonts w:ascii="Arial" w:cs="Arial" w:eastAsia="Arial" w:hAnsi="Arial"/>
          <w:sz w:val="16"/>
          <w:szCs w:val="16"/>
          <w:color w:val="auto"/>
        </w:rPr>
      </w:pPr>
      <w:r>
        <w:rPr>
          <w:rFonts w:ascii="Arial" w:cs="Arial" w:eastAsia="Arial" w:hAnsi="Arial"/>
          <w:sz w:val="16"/>
          <w:szCs w:val="16"/>
          <w:color w:val="auto"/>
        </w:rPr>
        <w:t>managing the selection, engagement and qualifications of a qualified firm to serve as the independent registered public accounting firm to audit New Tango’s financial statements;</w:t>
      </w:r>
    </w:p>
    <w:p>
      <w:pPr>
        <w:spacing w:after="0" w:line="42" w:lineRule="exact"/>
        <w:rPr>
          <w:rFonts w:ascii="Arial" w:cs="Arial" w:eastAsia="Arial" w:hAnsi="Arial"/>
          <w:sz w:val="16"/>
          <w:szCs w:val="16"/>
          <w:color w:val="auto"/>
        </w:rPr>
      </w:pPr>
    </w:p>
    <w:p>
      <w:pPr>
        <w:ind w:left="1320" w:right="1279" w:hanging="434"/>
        <w:spacing w:after="0" w:line="277" w:lineRule="auto"/>
        <w:tabs>
          <w:tab w:leader="none" w:pos="131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02" w:lineRule="exact"/>
        <w:rPr>
          <w:rFonts w:ascii="Arial" w:cs="Arial" w:eastAsia="Arial" w:hAnsi="Arial"/>
          <w:sz w:val="18"/>
          <w:szCs w:val="18"/>
          <w:color w:val="auto"/>
        </w:rPr>
      </w:pPr>
    </w:p>
    <w:p>
      <w:pPr>
        <w:ind w:left="1320" w:right="519" w:hanging="434"/>
        <w:spacing w:after="0" w:line="263" w:lineRule="auto"/>
        <w:tabs>
          <w:tab w:leader="none" w:pos="131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New Tango’s interim and year-end operating results;</w:t>
      </w:r>
    </w:p>
    <w:p>
      <w:pPr>
        <w:spacing w:after="0" w:line="116" w:lineRule="exact"/>
        <w:rPr>
          <w:rFonts w:ascii="Arial" w:cs="Arial" w:eastAsia="Arial" w:hAnsi="Arial"/>
          <w:sz w:val="18"/>
          <w:szCs w:val="18"/>
          <w:color w:val="auto"/>
        </w:rPr>
      </w:pPr>
    </w:p>
    <w:p>
      <w:pPr>
        <w:ind w:left="1320" w:right="1199" w:hanging="434"/>
        <w:spacing w:after="0" w:line="277" w:lineRule="auto"/>
        <w:tabs>
          <w:tab w:leader="none" w:pos="131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reviewing policies on financial risk assessment and financial risk management;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57" w:lineRule="exact"/>
        <w:rPr>
          <w:rFonts w:ascii="Arial" w:cs="Arial" w:eastAsia="Arial" w:hAnsi="Arial"/>
          <w:sz w:val="18"/>
          <w:szCs w:val="18"/>
          <w:color w:val="auto"/>
        </w:rPr>
      </w:pPr>
    </w:p>
    <w:p>
      <w:pPr>
        <w:ind w:left="1320" w:right="559" w:hanging="434"/>
        <w:spacing w:after="0" w:line="311" w:lineRule="auto"/>
        <w:tabs>
          <w:tab w:leader="none" w:pos="1311" w:val="left"/>
        </w:tabs>
        <w:numPr>
          <w:ilvl w:val="0"/>
          <w:numId w:val="263"/>
        </w:numPr>
        <w:rPr>
          <w:rFonts w:ascii="Arial" w:cs="Arial" w:eastAsia="Arial" w:hAnsi="Arial"/>
          <w:sz w:val="16"/>
          <w:szCs w:val="16"/>
          <w:color w:val="auto"/>
        </w:rPr>
      </w:pPr>
      <w:r>
        <w:rPr>
          <w:rFonts w:ascii="Arial" w:cs="Arial" w:eastAsia="Arial" w:hAnsi="Arial"/>
          <w:sz w:val="16"/>
          <w:szCs w:val="16"/>
          <w:color w:val="auto"/>
        </w:rPr>
        <w:t>obtaining and reviewing a report by the independent registered public accounting firm at least annually, that describes New Tango’s internal quality-control procedures, any material issues with such procedures, and any steps taken to deal with such issues when required by applicable law; and</w:t>
      </w:r>
    </w:p>
    <w:p>
      <w:pPr>
        <w:spacing w:after="0" w:line="67" w:lineRule="exact"/>
        <w:rPr>
          <w:rFonts w:ascii="Arial" w:cs="Arial" w:eastAsia="Arial" w:hAnsi="Arial"/>
          <w:sz w:val="16"/>
          <w:szCs w:val="16"/>
          <w:color w:val="auto"/>
        </w:rPr>
      </w:pPr>
    </w:p>
    <w:p>
      <w:pPr>
        <w:ind w:left="1320" w:right="859" w:hanging="434"/>
        <w:spacing w:after="0" w:line="277" w:lineRule="auto"/>
        <w:tabs>
          <w:tab w:leader="none" w:pos="131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 to be performed by the independent registered public accounting firm.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5" w:name="page256"/>
    <w:bookmarkEnd w:id="25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44"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New Tango’s compensation committee is expected to consist of [•], [•] and [•]. The Board has determined each proposed member is a “non-employee director” as defined in Rule 16b-3 promulgated under the Exchange Act and an “outside director” as that term is defined in Section 162(m) of the Internal Revenue Code of 1986, as amended, or the Code. The chairperson of the compensation committee is expected to be [•]. The primary purpose of the compensation committee is to discharge the responsibilities of the board of directors to oversee its compensation policies, plans and programs and to review and determine the compensation to be paid to its executive officers, directors and other senior management, as appropriate.</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Specific responsibilities of New Tango’s compensation committee will include:</w:t>
      </w:r>
    </w:p>
    <w:p>
      <w:pPr>
        <w:spacing w:after="0" w:line="158" w:lineRule="exact"/>
        <w:rPr>
          <w:sz w:val="20"/>
          <w:szCs w:val="20"/>
          <w:color w:val="auto"/>
        </w:rPr>
      </w:pPr>
    </w:p>
    <w:p>
      <w:pPr>
        <w:ind w:left="1320" w:right="579" w:hanging="434"/>
        <w:spacing w:after="0" w:line="277" w:lineRule="auto"/>
        <w:tabs>
          <w:tab w:leader="none" w:pos="131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reviewing and approving, or recommending that New Tango’s Board approve, the compensation of New Tango’s executive officers and senior management;</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reviewing and recommending to New Tango’s Board the compensation of New Tango’s directors;</w:t>
      </w:r>
    </w:p>
    <w:p>
      <w:pPr>
        <w:spacing w:after="0" w:line="180" w:lineRule="exact"/>
        <w:rPr>
          <w:rFonts w:ascii="Arial" w:cs="Arial" w:eastAsia="Arial" w:hAnsi="Arial"/>
          <w:sz w:val="16"/>
          <w:szCs w:val="16"/>
          <w:color w:val="auto"/>
        </w:rPr>
      </w:pPr>
    </w:p>
    <w:p>
      <w:pPr>
        <w:ind w:left="1320" w:right="1179" w:hanging="434"/>
        <w:spacing w:after="0" w:line="277" w:lineRule="auto"/>
        <w:tabs>
          <w:tab w:leader="none" w:pos="131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reviewing and approving, or recommending that New Tango’s Board approve, the terms of compensatory arrangements with New Tango’s executive officers;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administering New Tango’s stock and equity incentive plans;</w:t>
      </w:r>
    </w:p>
    <w:p>
      <w:pPr>
        <w:spacing w:after="0" w:line="144" w:lineRule="exact"/>
        <w:rPr>
          <w:rFonts w:ascii="Arial" w:cs="Arial" w:eastAsia="Arial" w:hAnsi="Arial"/>
          <w:sz w:val="18"/>
          <w:szCs w:val="18"/>
          <w:color w:val="auto"/>
        </w:rPr>
      </w:pPr>
    </w:p>
    <w:p>
      <w:pPr>
        <w:ind w:left="1320" w:right="779" w:hanging="434"/>
        <w:spacing w:after="0" w:line="277" w:lineRule="auto"/>
        <w:tabs>
          <w:tab w:leader="none" w:pos="131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advisors;</w:t>
      </w:r>
    </w:p>
    <w:p>
      <w:pPr>
        <w:spacing w:after="0" w:line="102" w:lineRule="exact"/>
        <w:rPr>
          <w:rFonts w:ascii="Arial" w:cs="Arial" w:eastAsia="Arial" w:hAnsi="Arial"/>
          <w:sz w:val="18"/>
          <w:szCs w:val="18"/>
          <w:color w:val="auto"/>
        </w:rPr>
      </w:pPr>
    </w:p>
    <w:p>
      <w:pPr>
        <w:ind w:left="1320" w:right="619" w:hanging="434"/>
        <w:spacing w:after="0" w:line="279" w:lineRule="auto"/>
        <w:tabs>
          <w:tab w:leader="none" w:pos="1311" w:val="left"/>
        </w:tabs>
        <w:numPr>
          <w:ilvl w:val="0"/>
          <w:numId w:val="264"/>
        </w:numPr>
        <w:rPr>
          <w:rFonts w:ascii="Arial" w:cs="Arial" w:eastAsia="Arial" w:hAnsi="Arial"/>
          <w:sz w:val="17"/>
          <w:szCs w:val="17"/>
          <w:color w:val="auto"/>
        </w:rPr>
      </w:pPr>
      <w:r>
        <w:rPr>
          <w:rFonts w:ascii="Arial" w:cs="Arial" w:eastAsia="Arial" w:hAnsi="Arial"/>
          <w:sz w:val="17"/>
          <w:szCs w:val="17"/>
          <w:color w:val="auto"/>
        </w:rPr>
        <w:t>reviewing, approving, amending and terminating, or recommending that New Tango’s Board approve, amend or terminate, incentive compensation and equity plans, severance agreements, change-of-control protections and any other compensatory arrangements for New Tango executive officers and other senior management, as appropriate;</w:t>
      </w:r>
    </w:p>
    <w:p>
      <w:pPr>
        <w:spacing w:after="0" w:line="103" w:lineRule="exact"/>
        <w:rPr>
          <w:rFonts w:ascii="Arial" w:cs="Arial" w:eastAsia="Arial" w:hAnsi="Arial"/>
          <w:sz w:val="17"/>
          <w:szCs w:val="17"/>
          <w:color w:val="auto"/>
        </w:rPr>
      </w:pPr>
    </w:p>
    <w:p>
      <w:pPr>
        <w:ind w:left="1320" w:right="659" w:hanging="434"/>
        <w:spacing w:after="0" w:line="277" w:lineRule="auto"/>
        <w:tabs>
          <w:tab w:leader="none" w:pos="131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New Tango’s employees;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reviewing New Tango’s overall compensation philosophy.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58"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New Tango’s nominating and corporate governance committee is expected to consist of [•], [•] and [•]. The Board has determined each proposed member is independent under the listing standards. The chairperson of the nominating and corporate governance committee is.</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Specific responsibilities of New Tango’s nominating and corporate governance committee include:</w:t>
      </w:r>
    </w:p>
    <w:p>
      <w:pPr>
        <w:spacing w:after="0" w:line="156" w:lineRule="exact"/>
        <w:rPr>
          <w:sz w:val="20"/>
          <w:szCs w:val="20"/>
          <w:color w:val="auto"/>
        </w:rPr>
      </w:pPr>
    </w:p>
    <w:p>
      <w:pPr>
        <w:ind w:left="1320" w:right="519" w:hanging="434"/>
        <w:spacing w:after="0" w:line="277" w:lineRule="auto"/>
        <w:tabs>
          <w:tab w:leader="none" w:pos="131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identifying, evaluating and selecting, or recommending that New Tango’s Board approve, nominees for election to New Tango’s Board;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evaluating the performance of New Tango’s Board and of individual directors;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evaluating the adequacy of New Tango’s corporate governance practices and reporting;</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reviewing management succession plans; and</w:t>
      </w:r>
    </w:p>
    <w:p>
      <w:pPr>
        <w:spacing w:after="0" w:line="157" w:lineRule="exact"/>
        <w:rPr>
          <w:rFonts w:ascii="Arial" w:cs="Arial" w:eastAsia="Arial" w:hAnsi="Arial"/>
          <w:sz w:val="18"/>
          <w:szCs w:val="18"/>
          <w:color w:val="auto"/>
        </w:rPr>
      </w:pPr>
    </w:p>
    <w:p>
      <w:pPr>
        <w:ind w:left="1320" w:right="699" w:hanging="434"/>
        <w:spacing w:after="0" w:line="277" w:lineRule="auto"/>
        <w:tabs>
          <w:tab w:leader="none" w:pos="131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developing and making recommendations to New Tango’s Board regarding corporate governance guidelines and matters.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144"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New Tango will adopt a Code of Business Conduct and Ethics that applies to all of its employees, officers and directors, including those officers responsible for financial reporting. Following the Closing, the Code of Business Conduct and Ethics will be available on New Tango’s website at Tango.com. Information contained on or accessible through such website is not a part of this proxy statement/ prospectus, and the inclusion of the website address in this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6" w:name="page257"/>
    <w:bookmarkEnd w:id="25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39"/>
        <w:spacing w:after="0" w:line="263" w:lineRule="auto"/>
        <w:rPr>
          <w:sz w:val="20"/>
          <w:szCs w:val="20"/>
          <w:color w:val="auto"/>
        </w:rPr>
      </w:pPr>
      <w:r>
        <w:rPr>
          <w:rFonts w:ascii="Arial" w:cs="Arial" w:eastAsia="Arial" w:hAnsi="Arial"/>
          <w:sz w:val="18"/>
          <w:szCs w:val="18"/>
          <w:color w:val="auto"/>
        </w:rPr>
        <w:t>proxy statement/prospectus is an inactive textual reference only. New Tango intends to disclose any amendments to the Code of Business Conduct and Ethics, or any waivers of its requirements, on its website to the extent required by the applicable rules and exchange requirements.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58"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No member of New Tango’s compensation committee has ever been an officer or employee of either company. None of New Tango’s expected executive officers serve, or have served during the last year, as a member of the board of directors, compensation committee, or other board committee performing equivalent functions of any other entity that has one or more executive officers serving as one of New Tango’s directors or on either company’s compensation committee.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Non-Employee Director Compensation</w:t>
      </w:r>
    </w:p>
    <w:p>
      <w:pPr>
        <w:spacing w:after="0" w:line="162"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New Tango plans to adopt a non-employee director compensation policy that will be effective upon the closing of the Business Combination, which will be designed to align compensation with its business objectives and the creation of stockholder value, while enabling New Tango to attract, retain, incentivize and reward directors who contribute to the long-term success of New Tango.</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48"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The Proposed Charter, which will be effective upon consummation of the Business Combination, will limit a directors’ liability to the fullest extent permitted under the DGCL. The DGCL provides that directors of a corporation will not be personally liable for monetary damages for breach of their fiduciary duties as directors, except for liability:</w:t>
      </w:r>
    </w:p>
    <w:p>
      <w:pPr>
        <w:spacing w:after="0" w:line="119" w:lineRule="exact"/>
        <w:rPr>
          <w:sz w:val="20"/>
          <w:szCs w:val="20"/>
          <w:color w:val="auto"/>
        </w:rPr>
      </w:pPr>
    </w:p>
    <w:p>
      <w:pPr>
        <w:ind w:left="1300" w:hanging="414"/>
        <w:spacing w:after="0"/>
        <w:tabs>
          <w:tab w:leader="none" w:pos="13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57" w:lineRule="exact"/>
        <w:rPr>
          <w:rFonts w:ascii="Arial" w:cs="Arial" w:eastAsia="Arial" w:hAnsi="Arial"/>
          <w:sz w:val="18"/>
          <w:szCs w:val="18"/>
          <w:color w:val="auto"/>
        </w:rPr>
      </w:pPr>
    </w:p>
    <w:p>
      <w:pPr>
        <w:ind w:left="1320" w:right="959" w:hanging="434"/>
        <w:spacing w:after="0" w:line="277" w:lineRule="auto"/>
        <w:tabs>
          <w:tab w:leader="none" w:pos="131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158"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the directors will be eliminated or limited to the fullest extent permitted by the DGCL, as so amended.</w:t>
      </w:r>
    </w:p>
    <w:p>
      <w:pPr>
        <w:spacing w:after="0" w:line="103"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Delaware law and the amended and restated bylaws provide that New Tango will, in certain situations, indemnify its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20"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In addition, New Tango will enter into separate indemnification agreements with its directors and officers. These agreements, among other things, require New Tango to indemnify its directors and officers for certain expenses, including attorneys’ fees, judgments, fines, and settlement amounts incurred by a director or officer in any action or proceeding arising out of their services as one of its directors or officers or any other company or enterprise to which the person provides services at its request.</w:t>
      </w:r>
    </w:p>
    <w:p>
      <w:pPr>
        <w:spacing w:after="0" w:line="109"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New Tango plans to maintain a directors’ and officers’ insurance policy pursuant to which its directors and officers are insured against liability for actions taken in their capacities as directors and officers. We believe these provisions in the Proposed Charter and amended and restated bylaws and these indemnification agreements are necessary to attract and retain qualified persons as directors and officers.</w:t>
      </w:r>
    </w:p>
    <w:p>
      <w:pPr>
        <w:spacing w:after="0" w:line="90" w:lineRule="exact"/>
        <w:rPr>
          <w:sz w:val="20"/>
          <w:szCs w:val="20"/>
          <w:color w:val="auto"/>
        </w:rPr>
      </w:pPr>
    </w:p>
    <w:p>
      <w:pPr>
        <w:ind w:left="460" w:right="759" w:firstLine="432"/>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7" w:name="page258"/>
    <w:bookmarkEnd w:id="25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 OF TANGO</w:t>
      </w:r>
    </w:p>
    <w:p>
      <w:pPr>
        <w:spacing w:after="0" w:line="130"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i w:val="1"/>
          <w:iCs w:val="1"/>
          <w:color w:val="auto"/>
        </w:rPr>
        <w:t>Throughout this section, unless otherwise noted, “we,” “us,” “Tango” and the “Company” refer to Tango Therapeutics, Inc. and its consolidated subsidiaries.</w:t>
      </w:r>
    </w:p>
    <w:p>
      <w:pPr>
        <w:spacing w:after="0" w:line="103"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“Selected Consolidated Financial Data” section of this proxy statement/prospectus and our audited consolidated financial statements and related notes appearing elsewhere in this proxy statement/prospectus. Some of the information contained in this discussion and analysis or set forth elsewhere in this proxy statement/prospectus,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proxy statement/ prospectus, our actual results could differ materially from the results described in or implied by the forward-looking statements contained in the following discussion and analysis.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460" w:right="539" w:firstLine="432"/>
        <w:spacing w:after="0" w:line="285" w:lineRule="auto"/>
        <w:rPr>
          <w:sz w:val="20"/>
          <w:szCs w:val="20"/>
          <w:color w:val="auto"/>
        </w:rPr>
      </w:pPr>
      <w:r>
        <w:rPr>
          <w:rFonts w:ascii="Arial" w:cs="Arial" w:eastAsia="Arial" w:hAnsi="Arial"/>
          <w:sz w:val="16"/>
          <w:szCs w:val="16"/>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establishing a sustainable pipeline optimized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 We plan to file an Investigational New Drug (“</w:t>
      </w:r>
      <w:r>
        <w:rPr>
          <w:rFonts w:ascii="Arial" w:cs="Arial" w:eastAsia="Arial" w:hAnsi="Arial"/>
          <w:sz w:val="16"/>
          <w:szCs w:val="16"/>
          <w:b w:val="1"/>
          <w:bCs w:val="1"/>
          <w:color w:val="auto"/>
        </w:rPr>
        <w:t>IND</w:t>
      </w:r>
      <w:r>
        <w:rPr>
          <w:rFonts w:ascii="Arial" w:cs="Arial" w:eastAsia="Arial" w:hAnsi="Arial"/>
          <w:sz w:val="16"/>
          <w:szCs w:val="16"/>
          <w:color w:val="auto"/>
        </w:rPr>
        <w:t>”) application for TNG908, our lead product candidate in the fourth quarter of 2021 and initiate a Phase 1/2 clinical trial in the first half of 2022. We have additional programs that we plan to file INDs in 2022 and 2023.</w:t>
      </w:r>
    </w:p>
    <w:p>
      <w:pPr>
        <w:spacing w:after="0" w:line="95"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We are seeking to complete a merger with BCTG which would result in BCTG acquiring 100% of our issued and outstanding equity securities. Together with BCTG’s cash resources, additional funding for our operations would be provided through a Private Investment in Public Equity (the “</w:t>
      </w:r>
      <w:r>
        <w:rPr>
          <w:rFonts w:ascii="Arial" w:cs="Arial" w:eastAsia="Arial" w:hAnsi="Arial"/>
          <w:sz w:val="16"/>
          <w:szCs w:val="16"/>
          <w:b w:val="1"/>
          <w:bCs w:val="1"/>
          <w:color w:val="auto"/>
        </w:rPr>
        <w:t>PIPE Financing</w:t>
      </w:r>
      <w:r>
        <w:rPr>
          <w:rFonts w:ascii="Arial" w:cs="Arial" w:eastAsia="Arial" w:hAnsi="Arial"/>
          <w:sz w:val="16"/>
          <w:szCs w:val="16"/>
          <w:color w:val="auto"/>
        </w:rPr>
        <w:t>”) offering to be completed concurrently with the merger. In the event a merger is not consummated, we may be required to obtain additional funding whether through private or public offerings, debt, future collaboration agreements or a combination thereof and such additional funding may not be available on terms acceptable or favorable to us. There is inherent uncertainty associated with these fundraising activities and they are not considered probable.</w:t>
      </w:r>
    </w:p>
    <w:p>
      <w:pPr>
        <w:spacing w:after="0" w:line="99"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Since our inception, we have focused primarily on organizing and staffing our company, business planning, raising capital, discovering product candidates and securing related intellectual property, conducting research and development activities for our programs. Since our inception, we have funded our operations primarily through equity financings and from the proceeds received from our collaboration agreement with Gilead Sciences, Inc. (“</w:t>
      </w:r>
      <w:r>
        <w:rPr>
          <w:rFonts w:ascii="Arial" w:cs="Arial" w:eastAsia="Arial" w:hAnsi="Arial"/>
          <w:sz w:val="18"/>
          <w:szCs w:val="18"/>
          <w:b w:val="1"/>
          <w:bCs w:val="1"/>
          <w:color w:val="auto"/>
        </w:rPr>
        <w:t>Gilead</w:t>
      </w:r>
      <w:r>
        <w:rPr>
          <w:rFonts w:ascii="Arial" w:cs="Arial" w:eastAsia="Arial" w:hAnsi="Arial"/>
          <w:sz w:val="18"/>
          <w:szCs w:val="18"/>
          <w:color w:val="auto"/>
        </w:rPr>
        <w:t>”). To date, we have raised an aggregate of approximately $166.9 million of gross proceeds from the sale of our preferred shares and another $187.1 million through our collaboration with Gilead.</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Since inception, we have incurred significant operating losses. Our net losses were $52.0 million and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$14.1 million for the years ended December 31, 2020 and 2019, respectively. As of December 31, 2020, we had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 accumulated deficit of $103.1 million. We expect to continue to incur significant and increasing expenses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and operating losses for the foreseeable future, as we advance our product candidates through preclinical and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clinical development and seek regulatory approvals, manufacture drug product and drug supply, maintain and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expand our intellectual property portfolio, as well as hire additional personnel, pay for accounting, audit, legal,</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regulatory and consulting services, and pay costs associated with maintaining compliance with Nasdaq listing</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rules and the requirements of the U.S. Securities and Exchange Commission (“</w:t>
      </w:r>
      <w:r>
        <w:rPr>
          <w:rFonts w:ascii="Arial" w:cs="Arial" w:eastAsia="Arial" w:hAnsi="Arial"/>
          <w:sz w:val="17"/>
          <w:szCs w:val="17"/>
          <w:b w:val="1"/>
          <w:bCs w:val="1"/>
          <w:color w:val="auto"/>
        </w:rPr>
        <w:t>SEC</w:t>
      </w:r>
      <w:r>
        <w:rPr>
          <w:rFonts w:ascii="Arial" w:cs="Arial" w:eastAsia="Arial" w:hAnsi="Arial"/>
          <w:sz w:val="17"/>
          <w:szCs w:val="17"/>
          <w:color w:val="auto"/>
        </w:rPr>
        <w:t>”), director and officer</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liability insurance,</w:t>
      </w:r>
    </w:p>
    <w:p>
      <w:pPr>
        <w:sectPr>
          <w:pgSz w:w="11900" w:h="16838" w:orient="portrait"/>
          <w:cols w:equalWidth="0" w:num="1">
            <w:col w:w="9019"/>
          </w:cols>
          <w:pgMar w:left="1440" w:top="274" w:right="1440"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58" w:name="page259"/>
    <w:bookmarkEnd w:id="25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619"/>
        <w:spacing w:after="0" w:line="311" w:lineRule="auto"/>
        <w:rPr>
          <w:sz w:val="20"/>
          <w:szCs w:val="20"/>
          <w:color w:val="auto"/>
        </w:rPr>
      </w:pPr>
      <w:r>
        <w:rPr>
          <w:rFonts w:ascii="Arial" w:cs="Arial" w:eastAsia="Arial" w:hAnsi="Arial"/>
          <w:sz w:val="16"/>
          <w:szCs w:val="16"/>
          <w:color w:val="auto"/>
        </w:rPr>
        <w:t>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81"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Response to COVID-19</w:t>
      </w:r>
    </w:p>
    <w:p>
      <w:pPr>
        <w:spacing w:after="0" w:line="158"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In response to the ongoing global COVID-19 pandemic, we established a cross-functional task force and have implemented business continuity plans designed to address and mitigate the impact of the COVID-19 pandemic on our employees and our business. Our operations are considered an essential business and we have been allowed to continue operating under current governmental restrictions during this period. We have taken measures to secure our research and development activities, while work in laboratories and facilities has been organized to reduce risk of COVID-19 transmission. The extent of the impact of the COVID-19 pandemic on our business, operations and clinical development timelines and plans remains uncertain, and will depend on certain developments, including the duration and spread of the outbreak and its impact on our clinical trial enrollment, trial sites, contract research organizations (“</w:t>
      </w:r>
      <w:r>
        <w:rPr>
          <w:rFonts w:ascii="Arial" w:cs="Arial" w:eastAsia="Arial" w:hAnsi="Arial"/>
          <w:sz w:val="16"/>
          <w:szCs w:val="16"/>
          <w:b w:val="1"/>
          <w:bCs w:val="1"/>
          <w:color w:val="auto"/>
        </w:rPr>
        <w:t>CROs</w:t>
      </w:r>
      <w:r>
        <w:rPr>
          <w:rFonts w:ascii="Arial" w:cs="Arial" w:eastAsia="Arial" w:hAnsi="Arial"/>
          <w:sz w:val="16"/>
          <w:szCs w:val="16"/>
          <w:color w:val="auto"/>
        </w:rPr>
        <w:t>”), contract manufacturing organizations, and other third parties with whom we do business, as well as its impact on regulatory authorities and our key scientific and management personnel. While we are experiencing limited financial and operational impacts at this time, given the global economic slowdown, the overall disruption of global healthcare systems and the other risks and uncertainties associated with the pandemic, our business, financial condition and results of operations ultimately could be materially adversely affected. We continue to closely monitor the COVID-19 pandemic as we evolve our business continuity plans, clinical development plans and response strategy.</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Proposed Business Combination Transaction</w:t>
      </w:r>
    </w:p>
    <w:p>
      <w:pPr>
        <w:spacing w:after="0" w:line="14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On April 13, 2021, we executed a definitive merger agreement with BCTG and BCTG Merger Sub, which will result in BCTG acquiring 100% of our issued and outstanding equity securities. The proposed merger will be accounted for as a “reverse recapitalization” in accordance with U.S. GAAP. Under the reverse recapitalization model, the Business Combination will be treated as Tango issuing equity for the net assets of BCTG, with no goodwill or intangible assets recorded. Under this method of accounting, BCTG will be treated as the “acquired” company for financial reporting purposes. This determination is primarily based on the fact that subsequent to the merger, our stockholders are expected to have a majority of the voting power of the combined company, we will comprise all of the ongoing operations of the combined entity, we will comprise a majority of the governing body of the combined company, and our senior management will comprise all of the senior management of the combined company. As a result of the proposed merger, BCTG will be renamed Tango Therapeutics, Inc. The boards of directors of both BCTG and Tango have approved the proposed merger transaction. Completion of the transaction, which is expected to occur by the third quarter of 2021, is subject to approval of BCTG stockholders and the satisfaction or waiver of certain other customary closing conditions.</w:t>
      </w:r>
    </w:p>
    <w:p>
      <w:pPr>
        <w:spacing w:after="0" w:line="106"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BCTG is expected to receive net proceeds of approximately $156.9 million upon the closing of the proposed merger transaction, assuming no redemptions are affected by stockholders of BCTG, and will operate under the current Tango management team upon the closing of the proposed merger. In connection with the proposed merger, BCTG has entered into agreements with existing and new investors to subscribe for and purchase an aggregate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9" w:name="page260"/>
    <w:bookmarkEnd w:id="25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color w:val="auto"/>
        </w:rPr>
        <w:t>18.6 million shares of its common stock (the “</w:t>
      </w:r>
      <w:r>
        <w:rPr>
          <w:rFonts w:ascii="Arial" w:cs="Arial" w:eastAsia="Arial" w:hAnsi="Arial"/>
          <w:sz w:val="18"/>
          <w:szCs w:val="18"/>
          <w:b w:val="1"/>
          <w:bCs w:val="1"/>
          <w:color w:val="auto"/>
        </w:rPr>
        <w:t>PIPE Financing</w:t>
      </w:r>
      <w:r>
        <w:rPr>
          <w:rFonts w:ascii="Arial" w:cs="Arial" w:eastAsia="Arial" w:hAnsi="Arial"/>
          <w:sz w:val="18"/>
          <w:szCs w:val="18"/>
          <w:color w:val="auto"/>
        </w:rPr>
        <w:t>”) that will result in net proceeds of an additional $179.7 million upon the closing of the PIPE Financing. The closing of the proposed merger is a precondition to the PIPE Financing.</w:t>
      </w:r>
    </w:p>
    <w:p>
      <w:pPr>
        <w:spacing w:after="0" w:line="108"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Subject to the terms of the merger agreement, at the effective time of the merger (the “</w:t>
      </w:r>
      <w:r>
        <w:rPr>
          <w:rFonts w:ascii="Arial" w:cs="Arial" w:eastAsia="Arial" w:hAnsi="Arial"/>
          <w:sz w:val="17"/>
          <w:szCs w:val="17"/>
          <w:b w:val="1"/>
          <w:bCs w:val="1"/>
          <w:color w:val="auto"/>
        </w:rPr>
        <w:t>Effective Time</w:t>
      </w:r>
      <w:r>
        <w:rPr>
          <w:rFonts w:ascii="Arial" w:cs="Arial" w:eastAsia="Arial" w:hAnsi="Arial"/>
          <w:sz w:val="17"/>
          <w:szCs w:val="17"/>
          <w:color w:val="auto"/>
        </w:rPr>
        <w:t>”), each share of our redeemable convertible preferred stock “</w:t>
      </w:r>
      <w:r>
        <w:rPr>
          <w:rFonts w:ascii="Arial" w:cs="Arial" w:eastAsia="Arial" w:hAnsi="Arial"/>
          <w:sz w:val="17"/>
          <w:szCs w:val="17"/>
          <w:b w:val="1"/>
          <w:bCs w:val="1"/>
          <w:color w:val="auto"/>
        </w:rPr>
        <w:t>Preferred Stock</w:t>
      </w:r>
      <w:r>
        <w:rPr>
          <w:rFonts w:ascii="Arial" w:cs="Arial" w:eastAsia="Arial" w:hAnsi="Arial"/>
          <w:sz w:val="17"/>
          <w:szCs w:val="17"/>
          <w:color w:val="auto"/>
        </w:rPr>
        <w:t>” issued and outstanding immediately prior to the Effective Time shall be converted into a share of our common stock. At the Effective Time, each option to purchase our common stock shall become an option, respectively, to purchase shares of common stock of the surviving entity, subject to adjustment in accordance with the exchange ratio. Completion of the PIPE Financing and proposed merger transactions is subject to approval of BCTG stockholders and the satisfaction or waiver of certain other customary closing conditions. The approval from BCTG stockholders is expected in the third quarter of 2021.</w:t>
      </w:r>
    </w:p>
    <w:p>
      <w:pPr>
        <w:spacing w:after="0" w:line="172" w:lineRule="exact"/>
        <w:rPr>
          <w:sz w:val="20"/>
          <w:szCs w:val="20"/>
          <w:color w:val="auto"/>
        </w:rPr>
      </w:pPr>
    </w:p>
    <w:p>
      <w:pPr>
        <w:jc w:val="center"/>
        <w:ind w:right="6599"/>
        <w:spacing w:after="0"/>
        <w:rPr>
          <w:sz w:val="20"/>
          <w:szCs w:val="20"/>
          <w:color w:val="auto"/>
        </w:rPr>
      </w:pPr>
      <w:r>
        <w:rPr>
          <w:rFonts w:ascii="Arial" w:cs="Arial" w:eastAsia="Arial" w:hAnsi="Arial"/>
          <w:sz w:val="16"/>
          <w:szCs w:val="16"/>
          <w:b w:val="1"/>
          <w:bCs w:val="1"/>
          <w:color w:val="auto"/>
        </w:rPr>
        <w:t>Financial Overview</w:t>
      </w:r>
    </w:p>
    <w:p>
      <w:pPr>
        <w:spacing w:after="0" w:line="25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left="460" w:right="739" w:firstLine="432"/>
        <w:spacing w:after="0" w:line="257" w:lineRule="auto"/>
        <w:rPr>
          <w:sz w:val="20"/>
          <w:szCs w:val="20"/>
          <w:color w:val="auto"/>
        </w:rPr>
      </w:pPr>
      <w:r>
        <w:rPr>
          <w:rFonts w:ascii="Arial" w:cs="Arial" w:eastAsia="Arial" w:hAnsi="Arial"/>
          <w:sz w:val="18"/>
          <w:szCs w:val="18"/>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Collaboration Agreements with Gilead Sciences</w:t>
      </w:r>
    </w:p>
    <w:p>
      <w:pPr>
        <w:spacing w:after="0" w:line="140" w:lineRule="exact"/>
        <w:rPr>
          <w:sz w:val="20"/>
          <w:szCs w:val="20"/>
          <w:color w:val="auto"/>
        </w:rPr>
      </w:pPr>
    </w:p>
    <w:p>
      <w:pPr>
        <w:ind w:left="460" w:right="519" w:firstLine="432"/>
        <w:spacing w:after="0" w:line="281" w:lineRule="auto"/>
        <w:rPr>
          <w:sz w:val="20"/>
          <w:szCs w:val="20"/>
          <w:color w:val="auto"/>
        </w:rPr>
      </w:pPr>
      <w:r>
        <w:rPr>
          <w:rFonts w:ascii="Arial" w:cs="Arial" w:eastAsia="Arial" w:hAnsi="Arial"/>
          <w:sz w:val="17"/>
          <w:szCs w:val="17"/>
          <w:color w:val="auto"/>
        </w:rPr>
        <w:t>In October 2018, we entered into a collaboration agreement with Gilead (the “</w:t>
      </w:r>
      <w:r>
        <w:rPr>
          <w:rFonts w:ascii="Arial" w:cs="Arial" w:eastAsia="Arial" w:hAnsi="Arial"/>
          <w:sz w:val="17"/>
          <w:szCs w:val="17"/>
          <w:b w:val="1"/>
          <w:bCs w:val="1"/>
          <w:color w:val="auto"/>
        </w:rPr>
        <w:t>2018 Gilead Agreement</w:t>
      </w:r>
      <w:r>
        <w:rPr>
          <w:rFonts w:ascii="Arial" w:cs="Arial" w:eastAsia="Arial" w:hAnsi="Arial"/>
          <w:sz w:val="17"/>
          <w:szCs w:val="17"/>
          <w:color w:val="auto"/>
        </w:rPr>
        <w:t>”). Pursuant to the terms of the 2018 Gilead Agreement, we received an initial upfront payment of $50.0 million. The upfront payment was initially recorded as deferred revenue on our balance sheet and is recognized as revenue as or when the performance obligation under the contract was satisfied.</w:t>
      </w:r>
    </w:p>
    <w:p>
      <w:pPr>
        <w:spacing w:after="0" w:line="101" w:lineRule="exact"/>
        <w:rPr>
          <w:sz w:val="20"/>
          <w:szCs w:val="20"/>
          <w:color w:val="auto"/>
        </w:rPr>
      </w:pPr>
    </w:p>
    <w:p>
      <w:pPr>
        <w:ind w:left="460" w:right="619" w:firstLine="432"/>
        <w:spacing w:after="0" w:line="296" w:lineRule="auto"/>
        <w:rPr>
          <w:sz w:val="20"/>
          <w:szCs w:val="20"/>
          <w:color w:val="auto"/>
        </w:rPr>
      </w:pPr>
      <w:r>
        <w:rPr>
          <w:rFonts w:ascii="Arial" w:cs="Arial" w:eastAsia="Arial" w:hAnsi="Arial"/>
          <w:sz w:val="16"/>
          <w:szCs w:val="16"/>
          <w:color w:val="auto"/>
        </w:rPr>
        <w:t>In July 2019, Gilead licensed a program from us, and also separately contracted for additional services related to the program through a letter agreement. As of December 31, 2019, we had substantially completed our required obligations under the license and side letter agreement, and as a result, recognized $9.4 million of revenue. As of December 31, 2020, all remaining obligations under the license and side letter agreement were completed, resulting in the recognition of the remaining consideration of $0.7 million of revenue.</w:t>
      </w:r>
    </w:p>
    <w:p>
      <w:pPr>
        <w:spacing w:after="0" w:line="94"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In August 2020, the 2018 Gilead Agreement was expanded into a broader collaboration via an amended and restated research collaboration and license agreement (the “</w:t>
      </w:r>
      <w:r>
        <w:rPr>
          <w:rFonts w:ascii="Arial" w:cs="Arial" w:eastAsia="Arial" w:hAnsi="Arial"/>
          <w:sz w:val="16"/>
          <w:szCs w:val="16"/>
          <w:b w:val="1"/>
          <w:bCs w:val="1"/>
          <w:color w:val="auto"/>
        </w:rPr>
        <w:t>Gilead Agreement</w:t>
      </w:r>
      <w:r>
        <w:rPr>
          <w:rFonts w:ascii="Arial" w:cs="Arial" w:eastAsia="Arial" w:hAnsi="Arial"/>
          <w:sz w:val="16"/>
          <w:szCs w:val="16"/>
          <w:color w:val="auto"/>
        </w:rPr>
        <w:t>”). Pursuant to the terms of the Gilead Agreement, we received an upfront payment of $125.0 million. Consistent with the treatment of the previously received upfront payment, this upfront payment was recorded as deferred revenue on our balance sheet and is recognized as revenue as or when the performance obligation under the contract is satisfied.</w:t>
      </w:r>
    </w:p>
    <w:p>
      <w:pPr>
        <w:spacing w:after="0" w:line="80"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In December 2020, Gilead elected to extend a program for an additional $12.0 million fee which was added to our estimate of the transaction price to total $187.0 million. Payment related to this research extension remained outstanding at December 31, 2020, however, we determined that achievement of the entire research extension fee was probable and that a significant reversal in the amount of cumulative revenue recognized would not occur.</w:t>
      </w:r>
    </w:p>
    <w:p>
      <w:pPr>
        <w:spacing w:after="0" w:line="120" w:lineRule="exact"/>
        <w:rPr>
          <w:sz w:val="20"/>
          <w:szCs w:val="20"/>
          <w:color w:val="auto"/>
        </w:rPr>
      </w:pPr>
    </w:p>
    <w:p>
      <w:pPr>
        <w:ind w:left="460" w:right="979" w:firstLine="432"/>
        <w:spacing w:after="0" w:line="277" w:lineRule="auto"/>
        <w:rPr>
          <w:sz w:val="20"/>
          <w:szCs w:val="20"/>
          <w:color w:val="auto"/>
        </w:rPr>
      </w:pPr>
      <w:r>
        <w:rPr>
          <w:rFonts w:ascii="Arial" w:cs="Arial" w:eastAsia="Arial" w:hAnsi="Arial"/>
          <w:sz w:val="18"/>
          <w:szCs w:val="18"/>
          <w:color w:val="auto"/>
        </w:rPr>
        <w:t>To date, $24.2 million has been recognized as revenue related to the upfront and research extension payments from the agreement with Gilead.</w:t>
      </w:r>
    </w:p>
    <w:p>
      <w:pPr>
        <w:spacing w:after="0" w:line="103" w:lineRule="exact"/>
        <w:rPr>
          <w:sz w:val="20"/>
          <w:szCs w:val="20"/>
          <w:color w:val="auto"/>
        </w:rPr>
      </w:pPr>
    </w:p>
    <w:p>
      <w:pPr>
        <w:jc w:val="both"/>
        <w:ind w:left="460" w:right="699" w:firstLine="432"/>
        <w:spacing w:after="0" w:line="263" w:lineRule="auto"/>
        <w:rPr>
          <w:sz w:val="20"/>
          <w:szCs w:val="20"/>
          <w:color w:val="auto"/>
        </w:rPr>
      </w:pPr>
      <w:r>
        <w:rPr>
          <w:rFonts w:ascii="Arial" w:cs="Arial" w:eastAsia="Arial" w:hAnsi="Arial"/>
          <w:sz w:val="18"/>
          <w:szCs w:val="18"/>
          <w:color w:val="auto"/>
        </w:rPr>
        <w:t>Refer to Notes 2 and 3 to our annual consolidated financial statements included elsewhere in this proxy statement/prospectus for additional information regarding our revenue recognition accounting policy and our collaboration agreement with Gilead.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0" w:name="page261"/>
    <w:bookmarkEnd w:id="26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Research and Development Expenses</w:t>
      </w:r>
    </w:p>
    <w:p>
      <w:pPr>
        <w:spacing w:after="0" w:line="144"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product candidates. We expense research and development costs as incurred, which include:</w:t>
      </w:r>
    </w:p>
    <w:p>
      <w:pPr>
        <w:spacing w:after="0" w:line="116" w:lineRule="exact"/>
        <w:rPr>
          <w:sz w:val="20"/>
          <w:szCs w:val="20"/>
          <w:color w:val="auto"/>
        </w:rPr>
      </w:pPr>
    </w:p>
    <w:p>
      <w:pPr>
        <w:ind w:left="1320" w:right="639" w:hanging="434"/>
        <w:spacing w:after="0" w:line="342" w:lineRule="auto"/>
        <w:tabs>
          <w:tab w:leader="none" w:pos="1311" w:val="left"/>
        </w:tabs>
        <w:numPr>
          <w:ilvl w:val="0"/>
          <w:numId w:val="267"/>
        </w:numPr>
        <w:rPr>
          <w:rFonts w:ascii="Arial" w:cs="Arial" w:eastAsia="Arial" w:hAnsi="Arial"/>
          <w:sz w:val="16"/>
          <w:szCs w:val="16"/>
          <w:color w:val="auto"/>
        </w:rPr>
      </w:pPr>
      <w:r>
        <w:rPr>
          <w:rFonts w:ascii="Arial" w:cs="Arial" w:eastAsia="Arial" w:hAnsi="Arial"/>
          <w:sz w:val="16"/>
          <w:szCs w:val="16"/>
          <w:color w:val="auto"/>
        </w:rPr>
        <w:t>employee-related expenses, including salaries, bonuses, benefits, stock-based compensation, other related costs for those employees involved in research and development efforts;</w:t>
      </w:r>
    </w:p>
    <w:p>
      <w:pPr>
        <w:spacing w:after="0" w:line="56" w:lineRule="exact"/>
        <w:rPr>
          <w:rFonts w:ascii="Arial" w:cs="Arial" w:eastAsia="Arial" w:hAnsi="Arial"/>
          <w:sz w:val="16"/>
          <w:szCs w:val="16"/>
          <w:color w:val="auto"/>
        </w:rPr>
      </w:pPr>
    </w:p>
    <w:p>
      <w:pPr>
        <w:ind w:left="1320" w:right="959" w:hanging="434"/>
        <w:spacing w:after="0" w:line="308" w:lineRule="auto"/>
        <w:tabs>
          <w:tab w:leader="none" w:pos="1311" w:val="left"/>
        </w:tabs>
        <w:numPr>
          <w:ilvl w:val="0"/>
          <w:numId w:val="267"/>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agreements with CROs as well as consultants that conduct our preclinical studies and development services;</w:t>
      </w:r>
    </w:p>
    <w:p>
      <w:pPr>
        <w:spacing w:after="0" w:line="65" w:lineRule="exact"/>
        <w:rPr>
          <w:rFonts w:ascii="Arial" w:cs="Arial" w:eastAsia="Arial" w:hAnsi="Arial"/>
          <w:sz w:val="17"/>
          <w:szCs w:val="17"/>
          <w:color w:val="auto"/>
        </w:rPr>
      </w:pPr>
    </w:p>
    <w:p>
      <w:pPr>
        <w:ind w:left="1300" w:hanging="414"/>
        <w:spacing w:after="0"/>
        <w:tabs>
          <w:tab w:leader="none" w:pos="13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studies;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costs to fulfill our obligations under the collaboration with Gilead;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57"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267"/>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utilities and insurance.</w:t>
      </w:r>
    </w:p>
    <w:p>
      <w:pPr>
        <w:spacing w:after="0" w:line="103"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06"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Our direct external research and development expenses consist primarily of fees paid to CRO’s and outside consultants in connection with our preclinical development and manufacturing activities. Our direct external research and development expenses also include fees incurred under license agreements. We track these external research and development costs on a program-by-program basis once we have identified a product candidate.</w:t>
      </w:r>
    </w:p>
    <w:p>
      <w:pPr>
        <w:spacing w:after="0" w:line="120"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We do not allocate employee costs,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our research and development expenses: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right"/>
              <w:ind w:right="251"/>
              <w:spacing w:after="0"/>
              <w:rPr>
                <w:sz w:val="20"/>
                <w:szCs w:val="20"/>
                <w:color w:val="auto"/>
              </w:rPr>
            </w:pPr>
            <w:r>
              <w:rPr>
                <w:rFonts w:ascii="Arial" w:cs="Arial" w:eastAsia="Arial" w:hAnsi="Arial"/>
                <w:sz w:val="16"/>
                <w:szCs w:val="16"/>
                <w:b w:val="1"/>
                <w:bCs w:val="1"/>
                <w:color w:val="auto"/>
                <w:w w:val="97"/>
              </w:rPr>
              <w:t>Year Ended December 31,</w:t>
            </w: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2019</w:t>
            </w: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gridSpan w:val="5"/>
          </w:tcPr>
          <w:p>
            <w:pPr>
              <w:spacing w:after="0"/>
              <w:rPr>
                <w:sz w:val="4"/>
                <w:szCs w:val="4"/>
                <w:color w:val="auto"/>
              </w:rPr>
            </w:pPr>
          </w:p>
        </w:tc>
      </w:tr>
      <w:tr>
        <w:trPr>
          <w:trHeight w:val="217"/>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right"/>
              <w:ind w:right="671"/>
              <w:spacing w:after="0"/>
              <w:rPr>
                <w:sz w:val="20"/>
                <w:szCs w:val="20"/>
                <w:color w:val="auto"/>
              </w:rPr>
            </w:pPr>
            <w:r>
              <w:rPr>
                <w:rFonts w:ascii="Arial" w:cs="Arial" w:eastAsia="Arial" w:hAnsi="Arial"/>
                <w:sz w:val="16"/>
                <w:szCs w:val="16"/>
                <w:b w:val="1"/>
                <w:bCs w:val="1"/>
                <w:color w:val="auto"/>
              </w:rPr>
              <w:t>(in thousands)</w:t>
            </w:r>
          </w:p>
        </w:tc>
      </w:tr>
      <w:tr>
        <w:trPr>
          <w:trHeight w:val="46"/>
        </w:trPr>
        <w:tc>
          <w:tcPr>
            <w:tcW w:w="5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TNG908 direct program expenses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9,548</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USP1 direct program expenses</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4,594</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Discovery direct program expenses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13,365</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8,987</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Unallocated research and development expenses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Personnel related expenses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12,937</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9,508</w:t>
            </w:r>
          </w:p>
        </w:tc>
      </w:tr>
      <w:tr>
        <w:trPr>
          <w:trHeight w:val="256"/>
        </w:trPr>
        <w:tc>
          <w:tcPr>
            <w:tcW w:w="5600" w:type="dxa"/>
            <w:vAlign w:val="bottom"/>
          </w:tcPr>
          <w:p>
            <w:pPr>
              <w:ind w:left="180"/>
              <w:spacing w:after="0"/>
              <w:rPr>
                <w:sz w:val="20"/>
                <w:szCs w:val="20"/>
                <w:color w:val="auto"/>
              </w:rPr>
            </w:pPr>
            <w:r>
              <w:rPr>
                <w:rFonts w:ascii="Arial" w:cs="Arial" w:eastAsia="Arial" w:hAnsi="Arial"/>
                <w:sz w:val="18"/>
                <w:szCs w:val="18"/>
                <w:color w:val="auto"/>
              </w:rPr>
              <w:t>Facilities and other related expenses</w:t>
            </w:r>
          </w:p>
        </w:tc>
        <w:tc>
          <w:tcPr>
            <w:tcW w:w="22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9,547</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8,674</w:t>
            </w: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49,991</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32,274</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The successful development of our product candidates is highly uncertain. We plan to substantially increase our research and development expenses for the foreseeable future as we continue the development of our product</w:t>
      </w:r>
    </w:p>
    <w:p>
      <w:pPr>
        <w:sectPr>
          <w:pgSz w:w="11900" w:h="16838" w:orient="portrait"/>
          <w:cols w:equalWidth="0" w:num="1">
            <w:col w:w="9019"/>
          </w:cols>
          <w:pgMar w:left="1440" w:top="274" w:right="1440"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61" w:name="page262"/>
    <w:bookmarkEnd w:id="26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87" w:lineRule="auto"/>
        <w:rPr>
          <w:sz w:val="20"/>
          <w:szCs w:val="20"/>
          <w:color w:val="auto"/>
        </w:rPr>
      </w:pPr>
      <w:r>
        <w:rPr>
          <w:rFonts w:ascii="Arial" w:cs="Arial" w:eastAsia="Arial" w:hAnsi="Arial"/>
          <w:sz w:val="16"/>
          <w:szCs w:val="16"/>
          <w:color w:val="auto"/>
        </w:rPr>
        <w:t>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are expected to increase significantly as we commence clinical trials. We anticipate that our expenses will increase substantially, particularly due to the numerous risks and uncertainties associated with developing product candidates, including the uncertainty of:</w:t>
      </w:r>
    </w:p>
    <w:p>
      <w:pPr>
        <w:spacing w:after="0" w:line="104" w:lineRule="exact"/>
        <w:rPr>
          <w:sz w:val="20"/>
          <w:szCs w:val="20"/>
          <w:color w:val="auto"/>
        </w:rPr>
      </w:pPr>
    </w:p>
    <w:p>
      <w:pPr>
        <w:ind w:left="1320" w:right="479" w:hanging="434"/>
        <w:spacing w:after="0" w:line="277" w:lineRule="auto"/>
        <w:tabs>
          <w:tab w:leader="none" w:pos="131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scope, rate of progress, and expenses of our ongoing research activities as well as any preclinical studies, clinical trials and other research and development activities;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 enabling studies;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whether our product candidates show safety and efficacy in our clinical trials;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progress of our collaboration with Gilead;</w:t>
      </w:r>
    </w:p>
    <w:p>
      <w:pPr>
        <w:spacing w:after="0" w:line="157" w:lineRule="exact"/>
        <w:rPr>
          <w:rFonts w:ascii="Arial" w:cs="Arial" w:eastAsia="Arial" w:hAnsi="Arial"/>
          <w:sz w:val="18"/>
          <w:szCs w:val="18"/>
          <w:color w:val="auto"/>
        </w:rPr>
      </w:pPr>
    </w:p>
    <w:p>
      <w:pPr>
        <w:ind w:left="1320" w:right="1019" w:hanging="434"/>
        <w:spacing w:after="0" w:line="277" w:lineRule="auto"/>
        <w:tabs>
          <w:tab w:leader="none" w:pos="131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02" w:lineRule="exact"/>
        <w:rPr>
          <w:rFonts w:ascii="Arial" w:cs="Arial" w:eastAsia="Arial" w:hAnsi="Arial"/>
          <w:sz w:val="18"/>
          <w:szCs w:val="18"/>
          <w:color w:val="auto"/>
        </w:rPr>
      </w:pPr>
    </w:p>
    <w:p>
      <w:pPr>
        <w:ind w:left="1320" w:right="919" w:hanging="434"/>
        <w:spacing w:after="0" w:line="277" w:lineRule="auto"/>
        <w:tabs>
          <w:tab w:leader="none" w:pos="131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89"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continued acceptable safety profile of products following any regulatory approval.</w:t>
      </w:r>
    </w:p>
    <w:p>
      <w:pPr>
        <w:spacing w:after="0" w:line="158" w:lineRule="exact"/>
        <w:rPr>
          <w:sz w:val="20"/>
          <w:szCs w:val="20"/>
          <w:color w:val="auto"/>
        </w:rPr>
      </w:pPr>
    </w:p>
    <w:p>
      <w:pPr>
        <w:ind w:left="460" w:right="599" w:firstLine="432"/>
        <w:spacing w:after="0" w:line="288" w:lineRule="auto"/>
        <w:rPr>
          <w:sz w:val="20"/>
          <w:szCs w:val="20"/>
          <w:color w:val="auto"/>
        </w:rPr>
      </w:pPr>
      <w:r>
        <w:rPr>
          <w:rFonts w:ascii="Arial" w:cs="Arial" w:eastAsia="Arial" w:hAnsi="Arial"/>
          <w:sz w:val="16"/>
          <w:szCs w:val="16"/>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U.S. Food and Drug Administration (“</w:t>
      </w:r>
      <w:r>
        <w:rPr>
          <w:rFonts w:ascii="Arial" w:cs="Arial" w:eastAsia="Arial" w:hAnsi="Arial"/>
          <w:sz w:val="16"/>
          <w:szCs w:val="16"/>
          <w:b w:val="1"/>
          <w:bCs w:val="1"/>
          <w:color w:val="auto"/>
        </w:rPr>
        <w:t>FDA</w:t>
      </w:r>
      <w:r>
        <w:rPr>
          <w:rFonts w:ascii="Arial" w:cs="Arial" w:eastAsia="Arial" w:hAnsi="Arial"/>
          <w:sz w:val="16"/>
          <w:szCs w:val="16"/>
          <w:color w:val="auto"/>
        </w:rPr>
        <w:t>”), European Medicines Agency (“</w:t>
      </w:r>
      <w:r>
        <w:rPr>
          <w:rFonts w:ascii="Arial" w:cs="Arial" w:eastAsia="Arial" w:hAnsi="Arial"/>
          <w:sz w:val="16"/>
          <w:szCs w:val="16"/>
          <w:b w:val="1"/>
          <w:bCs w:val="1"/>
          <w:color w:val="auto"/>
        </w:rPr>
        <w:t>EMA</w:t>
      </w:r>
      <w:r>
        <w:rPr>
          <w:rFonts w:ascii="Arial" w:cs="Arial" w:eastAsia="Arial" w:hAnsi="Arial"/>
          <w:sz w:val="16"/>
          <w:szCs w:val="16"/>
          <w:color w:val="auto"/>
        </w:rPr>
        <w:t>”)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4"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General and administrative expense consists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20"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significantly increased accounting, audit, legal, regulatory, compliance and director and officer insurance costs as well as investor and public relations expenses associated with operating as a public company.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2" w:name="page263"/>
    <w:bookmarkEnd w:id="26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Interest Income</w:t>
      </w:r>
    </w:p>
    <w:p>
      <w:pPr>
        <w:spacing w:after="0" w:line="144"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Interest income consists of income earned in connection with our investments in money market funds, U.S. Treasury bills and U.S. government agency bonds.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Other Income, Net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Other income, net consists of miscellaneous income and expense unrelated to our core operations.</w:t>
      </w:r>
    </w:p>
    <w:p>
      <w:pPr>
        <w:spacing w:after="0" w:line="23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5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Our income tax provision consists of an estimate for U.S. federal and state income taxes based on enacted rates, as adjusted for allowable credits, deductions, uncertain tax positions, changes in deferred tax assets and liabilities and changes in tax law. There is no provision for income taxes for the years ended December 31, 2020 and 2019 because the Company has historically incurred net operating losses and maintains a full valuation allowance against its deferred tax assets.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our results of operations for the years ended December 31, 2020 and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2019:</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480" w:type="dxa"/>
            <w:vAlign w:val="bottom"/>
            <w:gridSpan w:val="8"/>
          </w:tcPr>
          <w:p>
            <w:pPr>
              <w:jc w:val="center"/>
              <w:ind w:right="8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gridSpan w:val="2"/>
          </w:tcPr>
          <w:p>
            <w:pPr>
              <w:spacing w:after="0"/>
              <w:rPr>
                <w:sz w:val="4"/>
                <w:szCs w:val="4"/>
                <w:color w:val="auto"/>
              </w:rPr>
            </w:pPr>
          </w:p>
        </w:tc>
      </w:tr>
      <w:tr>
        <w:trPr>
          <w:trHeight w:val="231"/>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CHANGE</w:t>
            </w:r>
          </w:p>
        </w:tc>
      </w:tr>
      <w:tr>
        <w:trPr>
          <w:trHeight w:val="47"/>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gridSpan w:val="6"/>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7"/>
          </w:tcPr>
          <w:p>
            <w:pPr>
              <w:jc w:val="center"/>
              <w:ind w:right="360"/>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
        </w:trPr>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7,656</w:t>
            </w: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24,649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(16,993)</w:t>
            </w:r>
          </w:p>
        </w:tc>
      </w:tr>
      <w:tr>
        <w:trPr>
          <w:trHeight w:val="277"/>
        </w:trPr>
        <w:tc>
          <w:tcPr>
            <w:tcW w:w="43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49,991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32,274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17,717</w:t>
            </w:r>
          </w:p>
        </w:tc>
        <w:tc>
          <w:tcPr>
            <w:tcW w:w="160" w:type="dxa"/>
            <w:vAlign w:val="bottom"/>
          </w:tcPr>
          <w:p>
            <w:pPr>
              <w:spacing w:after="0"/>
              <w:rPr>
                <w:sz w:val="21"/>
                <w:szCs w:val="2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9,865</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7,537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77"/>
        </w:trPr>
        <w:tc>
          <w:tcPr>
            <w:tcW w:w="43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59,856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20,045</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84"/>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(52,200)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(15,162)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(37,038)</w:t>
            </w: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Other income, net:</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w:t>
            </w:r>
          </w:p>
        </w:tc>
      </w:tr>
      <w:tr>
        <w:trPr>
          <w:trHeight w:val="257"/>
        </w:trPr>
        <w:tc>
          <w:tcPr>
            <w:tcW w:w="436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4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57"/>
        </w:trPr>
        <w:tc>
          <w:tcPr>
            <w:tcW w:w="4360" w:type="dxa"/>
            <w:vAlign w:val="bottom"/>
          </w:tcPr>
          <w:p>
            <w:pPr>
              <w:spacing w:after="0"/>
              <w:rPr>
                <w:sz w:val="20"/>
                <w:szCs w:val="20"/>
                <w:color w:val="auto"/>
              </w:rPr>
            </w:pPr>
            <w:r>
              <w:rPr>
                <w:rFonts w:ascii="Arial" w:cs="Arial" w:eastAsia="Arial" w:hAnsi="Arial"/>
                <w:sz w:val="18"/>
                <w:szCs w:val="18"/>
                <w:color w:val="auto"/>
              </w:rPr>
              <w:t>Total other income, net</w:t>
            </w:r>
          </w:p>
        </w:tc>
        <w:tc>
          <w:tcPr>
            <w:tcW w:w="26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(839)</w:t>
            </w: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4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57"/>
        </w:trPr>
        <w:tc>
          <w:tcPr>
            <w:tcW w:w="436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(51,972)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(14,095)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(37,877)</w:t>
            </w: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4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56"/>
        </w:trPr>
        <w:tc>
          <w:tcPr>
            <w:tcW w:w="436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(51,965)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(14,078)</w:t>
            </w:r>
          </w:p>
        </w:tc>
        <w:tc>
          <w:tcPr>
            <w:tcW w:w="100" w:type="dxa"/>
            <w:vAlign w:val="bottom"/>
          </w:tcPr>
          <w:p>
            <w:pPr>
              <w:spacing w:after="0"/>
              <w:rPr>
                <w:sz w:val="22"/>
                <w:szCs w:val="22"/>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(37,887)</w:t>
            </w:r>
          </w:p>
        </w:tc>
      </w:tr>
      <w:tr>
        <w:trPr>
          <w:trHeight w:val="27"/>
        </w:trPr>
        <w:tc>
          <w:tcPr>
            <w:tcW w:w="4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Collaboration Revenue</w:t>
      </w:r>
    </w:p>
    <w:p>
      <w:pPr>
        <w:spacing w:after="0" w:line="144"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Collaboration revenue was $7.7 million and $24.7 million for the years ended December 31, 2020 and 2019, respectively, which was derived from the Gilead collaboration. The decrease of $17.0 million is due to the majority of the obligations under the license and letter agreement being substantially completed in 2019, which resulted in greater revenue recognized in 2019. Additionally, a cumulative catch-up adjustment was recorded during 2020 due to executing the Gilead Agreement resulting in a reduction of $11.3 million of revenue.</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Research and development expense was $50.0 million for the year ended December 31, 2020 compared to $32.3 million for the year ended December 31, 2019. The increase of $17.7 million was primarily due to a $13.7 million increase in external CRO expenses primarily relating to our lead product candidate, TNG908, and the</w:t>
      </w:r>
    </w:p>
    <w:p>
      <w:pPr>
        <w:sectPr>
          <w:pgSz w:w="11900" w:h="16838" w:orient="portrait"/>
          <w:cols w:equalWidth="0" w:num="1">
            <w:col w:w="9019"/>
          </w:cols>
          <w:pgMar w:left="1440" w:top="274" w:right="1440" w:bottom="966" w:gutter="0" w:footer="0" w:header="0"/>
        </w:sectPr>
      </w:pP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966" w:gutter="0" w:footer="0" w:header="0"/>
          <w:type w:val="continuous"/>
        </w:sectPr>
      </w:pPr>
    </w:p>
    <w:bookmarkStart w:id="263" w:name="page264"/>
    <w:bookmarkEnd w:id="26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63" w:lineRule="auto"/>
        <w:rPr>
          <w:sz w:val="20"/>
          <w:szCs w:val="20"/>
          <w:color w:val="auto"/>
        </w:rPr>
      </w:pPr>
      <w:r>
        <w:rPr>
          <w:rFonts w:ascii="Arial" w:cs="Arial" w:eastAsia="Arial" w:hAnsi="Arial"/>
          <w:sz w:val="18"/>
          <w:szCs w:val="18"/>
          <w:color w:val="auto"/>
        </w:rPr>
        <w:t>advancement of our other drug discovery programs. Additionally, personnel-related costs increased $3.6 million primarily due to additional headcount to support our research and development activities as well as a $0.5 million increase in consulting and professional fees.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58"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General and administrative expense was $9.9 million for the year ended December 31, 2020 compared to $7.5 million for the year ended December 31, 2019. The increase of $2.3 million was primarily due to a $1.0 million increase in personnel-related costs due to additional headcount and $1.2 million increase in consulting and professional service fees.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Interest Income</w:t>
      </w:r>
    </w:p>
    <w:p>
      <w:pPr>
        <w:spacing w:after="0" w:line="158" w:lineRule="exact"/>
        <w:rPr>
          <w:sz w:val="20"/>
          <w:szCs w:val="20"/>
          <w:color w:val="auto"/>
        </w:rPr>
      </w:pPr>
    </w:p>
    <w:p>
      <w:pPr>
        <w:jc w:val="both"/>
        <w:ind w:left="460" w:right="579" w:firstLine="432"/>
        <w:spacing w:after="0" w:line="263" w:lineRule="auto"/>
        <w:rPr>
          <w:sz w:val="20"/>
          <w:szCs w:val="20"/>
          <w:color w:val="auto"/>
        </w:rPr>
      </w:pPr>
      <w:r>
        <w:rPr>
          <w:rFonts w:ascii="Arial" w:cs="Arial" w:eastAsia="Arial" w:hAnsi="Arial"/>
          <w:sz w:val="18"/>
          <w:szCs w:val="18"/>
          <w:color w:val="auto"/>
        </w:rPr>
        <w:t>Interest income was $0.1 million for the year ended December 31, 2020 compared to $0.7 million for the year ended December 31, 2019. The decrease of $0.6 million was primarily due to a decline in interest rates in 2020 as compared to 2019.</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Other Income, Net</w:t>
      </w:r>
    </w:p>
    <w:p>
      <w:pPr>
        <w:spacing w:after="0" w:line="144"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Other income, net was $0.1 million for the year ended December 31, 2020 compared to $0.4 million for the year ended December 31, 2019. Other income was not significant for both the years ended December 31, 2020 and 2019.</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58"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Since our inception, we have generated recurring net losses. We have not yet commercialized any product and we do not expect to generate revenue from sales of any products for several years, if at all. Since our inception, we have funded our operations primarily through proceeds from the issuance of preferred stock and from the proceeds received from our collaboration with Gilead. To date, we have raised an aggregate of approximately $166.9 million of gross proceeds from the sale of our preferred stock and another $187.1 million through our collaboration. As of December 31, 2020, we had cash and cash equivalents and marketable securities of $190.3 million.</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44"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We believe that the net proceeds from the Business Combination and the PIPE Financing, together with our existing cash, cash equivalents and marketable securities on hand as of December 31, 2020 of $190.3 million and additional proceeds from the closing of the second tranche of the Series B stock purchase agreement of $30.0 million in March 2021 will enable us to fund our operating expenses and capital expenditure requirements at least into the second half of 2024. We have based this estimate on assumptions that may prove to be wrong, and we could expend our capital resources sooner than we expect.</w:t>
      </w:r>
    </w:p>
    <w:p>
      <w:pPr>
        <w:spacing w:after="0" w:line="97" w:lineRule="exact"/>
        <w:rPr>
          <w:sz w:val="20"/>
          <w:szCs w:val="20"/>
          <w:color w:val="auto"/>
        </w:rPr>
      </w:pPr>
    </w:p>
    <w:p>
      <w:pPr>
        <w:ind w:left="460" w:right="519" w:firstLine="432"/>
        <w:spacing w:after="0" w:line="253"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our product candidates through preclinical and clinical development, seek regulatory approval and pursue commercialization of any approved product candidates. We expect that our research and development and general and administrative costs will increase in connection with our planned research and development activities. In addition, upon the completion of the Business Combination, we expect to incur additional costs associated with operating as a public company. Because of the numerous risks and uncertainties associated with research, development and commercialization of our product candidates, we are unable to estimate the exact amount of our working capital requirements. Our future capital requirements will depend on many factors, including:</w:t>
      </w:r>
    </w:p>
    <w:p>
      <w:pPr>
        <w:spacing w:after="0" w:line="129" w:lineRule="exact"/>
        <w:rPr>
          <w:sz w:val="20"/>
          <w:szCs w:val="20"/>
          <w:color w:val="auto"/>
        </w:rPr>
      </w:pPr>
    </w:p>
    <w:p>
      <w:pPr>
        <w:ind w:left="1300" w:hanging="414"/>
        <w:spacing w:after="0"/>
        <w:tabs>
          <w:tab w:leader="none" w:pos="13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initiation, timing, costs, progress and results of our planned clinical trials of TNG908;</w:t>
      </w:r>
    </w:p>
    <w:p>
      <w:pPr>
        <w:spacing w:after="0" w:line="144" w:lineRule="exact"/>
        <w:rPr>
          <w:rFonts w:ascii="Arial" w:cs="Arial" w:eastAsia="Arial" w:hAnsi="Arial"/>
          <w:sz w:val="18"/>
          <w:szCs w:val="18"/>
          <w:color w:val="auto"/>
        </w:rPr>
      </w:pPr>
    </w:p>
    <w:p>
      <w:pPr>
        <w:ind w:left="1320" w:right="559" w:hanging="434"/>
        <w:spacing w:after="0" w:line="277" w:lineRule="auto"/>
        <w:tabs>
          <w:tab w:leader="none" w:pos="131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progress of preclinical development and possible clinical trials of our current and future earlier-stage programs;</w:t>
      </w:r>
    </w:p>
    <w:p>
      <w:pPr>
        <w:spacing w:after="0" w:line="102"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scope, progress, results and costs of our research programs and preclinical development of any additional product candidates that we may pursue;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4" w:name="page265"/>
    <w:bookmarkEnd w:id="26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1300" w:hanging="414"/>
        <w:spacing w:after="0"/>
        <w:tabs>
          <w:tab w:leader="none" w:pos="13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30" w:lineRule="exact"/>
        <w:rPr>
          <w:rFonts w:ascii="Arial" w:cs="Arial" w:eastAsia="Arial" w:hAnsi="Arial"/>
          <w:sz w:val="18"/>
          <w:szCs w:val="18"/>
          <w:color w:val="auto"/>
        </w:rPr>
      </w:pPr>
    </w:p>
    <w:p>
      <w:pPr>
        <w:ind w:left="1320" w:right="1119" w:hanging="434"/>
        <w:spacing w:after="0" w:line="277" w:lineRule="auto"/>
        <w:tabs>
          <w:tab w:leader="none" w:pos="131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and establish a commercial infrastructure;</w:t>
      </w:r>
    </w:p>
    <w:p>
      <w:pPr>
        <w:spacing w:after="0" w:line="89"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timing and amount of milestone and royalty payments that we are required to make or eligible to receive under our current or future collaboration and license agreements;</w:t>
      </w:r>
    </w:p>
    <w:p>
      <w:pPr>
        <w:spacing w:after="0" w:line="75"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regulatory authorities;</w:t>
      </w:r>
    </w:p>
    <w:p>
      <w:pPr>
        <w:spacing w:after="0" w:line="75" w:lineRule="exact"/>
        <w:rPr>
          <w:rFonts w:ascii="Arial" w:cs="Arial" w:eastAsia="Arial" w:hAnsi="Arial"/>
          <w:sz w:val="18"/>
          <w:szCs w:val="18"/>
          <w:color w:val="auto"/>
        </w:rPr>
      </w:pPr>
    </w:p>
    <w:p>
      <w:pPr>
        <w:ind w:left="1320" w:right="539" w:hanging="434"/>
        <w:spacing w:after="0" w:line="263" w:lineRule="auto"/>
        <w:tabs>
          <w:tab w:leader="none" w:pos="131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102" w:lineRule="exact"/>
        <w:rPr>
          <w:rFonts w:ascii="Arial" w:cs="Arial" w:eastAsia="Arial" w:hAnsi="Arial"/>
          <w:sz w:val="18"/>
          <w:szCs w:val="18"/>
          <w:color w:val="auto"/>
        </w:rPr>
      </w:pPr>
    </w:p>
    <w:p>
      <w:pPr>
        <w:ind w:left="1320" w:right="479" w:hanging="434"/>
        <w:spacing w:after="0" w:line="342" w:lineRule="auto"/>
        <w:tabs>
          <w:tab w:leader="none" w:pos="1311"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cost of expanding, maintaining and enforcing our intellectual property portfolio, including filing, prosecuting, defending and enforcing our patent claims and other intellectual property rights;</w:t>
      </w:r>
    </w:p>
    <w:p>
      <w:pPr>
        <w:spacing w:after="0" w:line="29" w:lineRule="exact"/>
        <w:rPr>
          <w:rFonts w:ascii="Arial" w:cs="Arial" w:eastAsia="Arial" w:hAnsi="Arial"/>
          <w:sz w:val="16"/>
          <w:szCs w:val="16"/>
          <w:color w:val="auto"/>
        </w:rPr>
      </w:pPr>
    </w:p>
    <w:p>
      <w:pPr>
        <w:ind w:left="1320" w:right="599" w:hanging="434"/>
        <w:spacing w:after="0" w:line="277" w:lineRule="auto"/>
        <w:tabs>
          <w:tab w:leader="none" w:pos="131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or any of our product candidates;</w:t>
      </w:r>
    </w:p>
    <w:p>
      <w:pPr>
        <w:spacing w:after="0" w:line="75" w:lineRule="exact"/>
        <w:rPr>
          <w:rFonts w:ascii="Arial" w:cs="Arial" w:eastAsia="Arial" w:hAnsi="Arial"/>
          <w:sz w:val="18"/>
          <w:szCs w:val="18"/>
          <w:color w:val="auto"/>
        </w:rPr>
      </w:pPr>
    </w:p>
    <w:p>
      <w:pPr>
        <w:ind w:left="1300" w:hanging="414"/>
        <w:spacing w:after="0"/>
        <w:tabs>
          <w:tab w:leader="none" w:pos="13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130" w:lineRule="exact"/>
        <w:rPr>
          <w:rFonts w:ascii="Arial" w:cs="Arial" w:eastAsia="Arial" w:hAnsi="Arial"/>
          <w:sz w:val="18"/>
          <w:szCs w:val="18"/>
          <w:color w:val="auto"/>
        </w:rPr>
      </w:pPr>
    </w:p>
    <w:p>
      <w:pPr>
        <w:ind w:left="1320" w:right="839" w:hanging="434"/>
        <w:spacing w:after="0" w:line="277" w:lineRule="auto"/>
        <w:tabs>
          <w:tab w:leader="none" w:pos="131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extent to which we partner our programs, acquire or in-license other product candidates and technologies or enter into additional collaborations;</w:t>
      </w:r>
    </w:p>
    <w:p>
      <w:pPr>
        <w:spacing w:after="0" w:line="75"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TNG908 and any future product candidates for which we receive marketing approval;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44"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Until such time, if ever, as we can generate substantial product revenues to support our cost structure, we expect to finance our cash needs through a combination of equity offerings, debt financings, collaborations and other similar arrangements. To the extent that we raise additional capital through the sale of equity or convertible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shares.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our cash flows for each of the years presented:</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480" w:type="dxa"/>
            <w:vAlign w:val="bottom"/>
            <w:gridSpan w:val="8"/>
          </w:tcPr>
          <w:p>
            <w:pPr>
              <w:ind w:left="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7"/>
        </w:trPr>
        <w:tc>
          <w:tcPr>
            <w:tcW w:w="43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r>
      <w:tr>
        <w:trPr>
          <w:trHeight w:val="230"/>
        </w:trPr>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73"/>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Change</w:t>
            </w:r>
          </w:p>
        </w:tc>
      </w:tr>
      <w:tr>
        <w:trPr>
          <w:trHeight w:val="47"/>
        </w:trPr>
        <w:tc>
          <w:tcPr>
            <w:tcW w:w="43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17"/>
        </w:trPr>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(in thousands)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4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70,074</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94,877</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4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(145,466)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(146,314)</w:t>
            </w:r>
          </w:p>
        </w:tc>
      </w:tr>
      <w:tr>
        <w:trPr>
          <w:trHeight w:val="41"/>
        </w:trPr>
        <w:tc>
          <w:tcPr>
            <w:tcW w:w="4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80,884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11,000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69,884</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182"/>
        </w:trPr>
        <w:tc>
          <w:tcPr>
            <w:tcW w:w="4360" w:type="dxa"/>
            <w:vAlign w:val="bottom"/>
          </w:tcPr>
          <w:p>
            <w:pPr>
              <w:spacing w:after="0" w:line="182" w:lineRule="exact"/>
              <w:rPr>
                <w:sz w:val="20"/>
                <w:szCs w:val="20"/>
                <w:color w:val="auto"/>
              </w:rPr>
            </w:pPr>
            <w:r>
              <w:rPr>
                <w:rFonts w:ascii="Arial" w:cs="Arial" w:eastAsia="Arial" w:hAnsi="Arial"/>
                <w:sz w:val="18"/>
                <w:szCs w:val="18"/>
                <w:color w:val="auto"/>
              </w:rPr>
              <w:t>Net increase (decrease) in cash, cash equivalents and</w:t>
            </w: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51"/>
        </w:trPr>
        <w:tc>
          <w:tcPr>
            <w:tcW w:w="436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5,492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(12,955)</w:t>
            </w:r>
          </w:p>
        </w:tc>
        <w:tc>
          <w:tcPr>
            <w:tcW w:w="100" w:type="dxa"/>
            <w:vAlign w:val="bottom"/>
          </w:tcPr>
          <w:p>
            <w:pPr>
              <w:spacing w:after="0"/>
              <w:rPr>
                <w:sz w:val="21"/>
                <w:szCs w:val="21"/>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18,447</w:t>
            </w:r>
          </w:p>
        </w:tc>
        <w:tc>
          <w:tcPr>
            <w:tcW w:w="160" w:type="dxa"/>
            <w:vAlign w:val="bottom"/>
          </w:tcPr>
          <w:p>
            <w:pPr>
              <w:spacing w:after="0"/>
              <w:rPr>
                <w:sz w:val="21"/>
                <w:szCs w:val="21"/>
                <w:color w:val="auto"/>
              </w:rPr>
            </w:pPr>
          </w:p>
        </w:tc>
      </w:tr>
      <w:tr>
        <w:trPr>
          <w:trHeight w:val="20"/>
        </w:trPr>
        <w:tc>
          <w:tcPr>
            <w:tcW w:w="4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9019"/>
          </w:cols>
          <w:pgMar w:left="1440" w:top="274" w:right="1440" w:bottom="1440" w:gutter="0" w:footer="0" w:header="0"/>
        </w:sectPr>
      </w:pPr>
    </w:p>
    <w:p>
      <w:pPr>
        <w:jc w:val="center"/>
        <w:ind w:right="19"/>
        <w:spacing w:after="0"/>
        <w:rPr>
          <w:sz w:val="20"/>
          <w:szCs w:val="20"/>
          <w:color w:val="auto"/>
        </w:rPr>
      </w:pPr>
      <w:r>
        <w:rPr>
          <w:rFonts w:ascii="Arial" w:cs="Arial" w:eastAsia="Arial" w:hAnsi="Arial"/>
          <w:sz w:val="16"/>
          <w:szCs w:val="16"/>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65" w:name="page266"/>
    <w:bookmarkEnd w:id="26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Operating Activities</w:t>
      </w:r>
    </w:p>
    <w:p>
      <w:pPr>
        <w:spacing w:after="0" w:line="144"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color w:val="auto"/>
        </w:rPr>
        <w:t>Cash flows from operating activities represent the cash receipts and disbursements related to all of our activities other than investing and financing activities. Operating cash flow is derived by adjusting our net loss for non-cash operating items such as depreciation, and stock-based compensation as well as changes in operating assets and liabilities, which reflect timing differences between the receipt and payment of cash associated with transactions and when they are recognized in our results of operations.</w:t>
      </w:r>
    </w:p>
    <w:p>
      <w:pPr>
        <w:spacing w:after="0" w:line="109"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Net cash provided by operating activities was $70.1 million for the year ended December 31, 2020 compared to net cash used in operating activities of $24.8 million for the year ended December 31, 2019. The increase in net cash provided by operations was primarily due to a net increase in operating liabilities driven by a $125.0 million non-refundable upfront payment received from Gilead that was recorded as deferred revenue in 2020. It was also due to higher non-cash expenses, including stock-based compensation and depreciation, partially offset by our net loss as a result of higher operating expenses, primarily related to TNG908 and our other discovery programs.</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Investing Activities</w:t>
      </w:r>
    </w:p>
    <w:p>
      <w:pPr>
        <w:spacing w:after="0" w:line="158"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Net cash used in investing activities was $145.5 million for the year ended December 31, 2020 compared to net cash provided by investing activities of $0.8 million for the year ended December 31, 2019. The increase in cash used in investing activities was primarily due to increased purchases of marketable securities and was partially offset by an increase in sales and maturities of marketable securities, as well as a reduction in purchases of property and equipment.</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Financing Activities</w:t>
      </w:r>
    </w:p>
    <w:p>
      <w:pPr>
        <w:spacing w:after="0" w:line="144"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Net cash provided by financing activities was $80.9 million for the year ended December 31, 2020, consisting of net proceeds from the issuance of shares of redeemable convertible Series B preferred stock in April 2020 and net proceeds from the issuance of shares of redeemable convertible Series B-1 preferred stock in August 2020. Net cash provided by financing activities was $11.0 million for the year ended December 31, 2019, consisting of net proceeds from the issuance of shares of redeemable convertible Series A preferred stock in January 2019 upon the achievement of specified development milestones in connection with the third tranche of the Series A stock purchase agreement.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62" w:lineRule="exact"/>
        <w:rPr>
          <w:sz w:val="20"/>
          <w:szCs w:val="20"/>
          <w:color w:val="auto"/>
        </w:rPr>
      </w:pPr>
    </w:p>
    <w:p>
      <w:pPr>
        <w:ind w:left="460" w:right="799" w:firstLine="432"/>
        <w:spacing w:after="0" w:line="308" w:lineRule="auto"/>
        <w:rPr>
          <w:sz w:val="20"/>
          <w:szCs w:val="20"/>
          <w:color w:val="auto"/>
        </w:rPr>
      </w:pPr>
      <w:r>
        <w:rPr>
          <w:rFonts w:ascii="Arial" w:cs="Arial" w:eastAsia="Arial" w:hAnsi="Arial"/>
          <w:sz w:val="17"/>
          <w:szCs w:val="17"/>
          <w:color w:val="auto"/>
        </w:rPr>
        <w:t>The following table summarizes our contractual obligations at December 31, 2020 and the effects that such obligations are expected to have on our liquidity and cash flows in future periods: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9"/>
          </w:tcPr>
          <w:p>
            <w:pPr>
              <w:jc w:val="center"/>
              <w:ind w:right="120"/>
              <w:spacing w:after="0"/>
              <w:rPr>
                <w:sz w:val="20"/>
                <w:szCs w:val="20"/>
                <w:color w:val="auto"/>
              </w:rPr>
            </w:pPr>
            <w:r>
              <w:rPr>
                <w:rFonts w:ascii="Arial" w:cs="Arial" w:eastAsia="Arial" w:hAnsi="Arial"/>
                <w:sz w:val="16"/>
                <w:szCs w:val="16"/>
                <w:b w:val="1"/>
                <w:bCs w:val="1"/>
                <w:color w:val="auto"/>
                <w:w w:val="91"/>
              </w:rPr>
              <w:t>Payments Due by Period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160"/>
              <w:spacing w:after="0" w:line="182" w:lineRule="exact"/>
              <w:rPr>
                <w:sz w:val="20"/>
                <w:szCs w:val="20"/>
                <w:color w:val="auto"/>
              </w:rPr>
            </w:pPr>
            <w:r>
              <w:rPr>
                <w:rFonts w:ascii="Arial" w:cs="Arial" w:eastAsia="Arial" w:hAnsi="Arial"/>
                <w:sz w:val="16"/>
                <w:szCs w:val="16"/>
                <w:b w:val="1"/>
                <w:bCs w:val="1"/>
                <w:color w:val="auto"/>
                <w:w w:val="88"/>
              </w:rPr>
              <w:t>Less than</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95"/>
              <w:spacing w:after="0" w:line="182" w:lineRule="exact"/>
              <w:rPr>
                <w:sz w:val="20"/>
                <w:szCs w:val="20"/>
                <w:color w:val="auto"/>
              </w:rPr>
            </w:pPr>
            <w:r>
              <w:rPr>
                <w:rFonts w:ascii="Arial" w:cs="Arial" w:eastAsia="Arial" w:hAnsi="Arial"/>
                <w:sz w:val="16"/>
                <w:szCs w:val="16"/>
                <w:b w:val="1"/>
                <w:bCs w:val="1"/>
                <w:color w:val="auto"/>
                <w:w w:val="96"/>
              </w:rPr>
              <w:t>More than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1 Year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1 – 3 Years</w:t>
            </w:r>
          </w:p>
        </w:tc>
        <w:tc>
          <w:tcPr>
            <w:tcW w:w="10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3 – 5 Years</w:t>
            </w:r>
          </w:p>
        </w:tc>
        <w:tc>
          <w:tcPr>
            <w:tcW w:w="12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5 Years</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0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10,795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1,836</w:t>
            </w:r>
          </w:p>
        </w:tc>
        <w:tc>
          <w:tcPr>
            <w:tcW w:w="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4,074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The commitment amounts in the table above reflect the minimum payments due under our operating lease for office and laboratory space at our 100 Binney Street, Cambridge, Massachusetts location, which expires June 2026. These commitments are also recognized as operating lease liabilities in our balance sheet at December 31, 2020. The table does not include the minimum payments due under our new operating lease for office and laboratory space at the 201 Brookline Avenue, Cambridge, Massachusetts location, as this lease is yet to commence as of December 31, 2020. Commitments pertaining to the 201 Brookline Avenue lease will be added to the table above, and also recognized as operating lease liabilities on our balance sheet once the new lease commences. We will also be required to pay the remaining security deposit balance of $1.7 million for the 201 Brookline Avenue lease on the delivery date notice, which is expected to occur in the second half of 2021.</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6" w:name="page267"/>
    <w:bookmarkEnd w:id="26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Purchase Obligations</w:t>
      </w:r>
    </w:p>
    <w:p>
      <w:pPr>
        <w:spacing w:after="0" w:line="144" w:lineRule="exact"/>
        <w:rPr>
          <w:sz w:val="20"/>
          <w:szCs w:val="20"/>
          <w:color w:val="auto"/>
        </w:rPr>
      </w:pPr>
    </w:p>
    <w:p>
      <w:pPr>
        <w:ind w:left="460" w:right="559" w:firstLine="432"/>
        <w:spacing w:after="0" w:line="301" w:lineRule="auto"/>
        <w:rPr>
          <w:sz w:val="20"/>
          <w:szCs w:val="20"/>
          <w:color w:val="auto"/>
        </w:rPr>
      </w:pPr>
      <w:r>
        <w:rPr>
          <w:rFonts w:ascii="Arial" w:cs="Arial" w:eastAsia="Arial" w:hAnsi="Arial"/>
          <w:sz w:val="16"/>
          <w:szCs w:val="16"/>
          <w:color w:val="auto"/>
        </w:rPr>
        <w:t>In the normal course of business, we enter into contracts with third parties for preclinical studies and research and development supplies. These contracts generally do not contain minimum purchase commitments and provide for termination on notice, and therefore are cancellable contracts. These payments are not included in the table above as the amount and timing of such payments are not known as of December 31, 2020.</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License Agreement Obligations</w:t>
      </w:r>
    </w:p>
    <w:p>
      <w:pPr>
        <w:spacing w:after="0" w:line="158"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We have also entered into license agreements under which we may be obligated to make milestone and royalty payments. We have not included future milestone or royalty payments under these agreements in the table above since the payment obligations are contingent upon future events, such as achieving certain development, regulatory, and commercial milestones or generating product sales. As of December 31, 2020, we were unable to estimate the timing or likelihood of achieving these milestones or generating future product sales. See Note 8 to our annual consolidated financial statements appearing elsewhere in this document for a description of our license agreements.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62" w:lineRule="exact"/>
        <w:rPr>
          <w:sz w:val="20"/>
          <w:szCs w:val="20"/>
          <w:color w:val="auto"/>
        </w:rPr>
      </w:pPr>
    </w:p>
    <w:p>
      <w:pPr>
        <w:ind w:left="460" w:right="659" w:firstLine="432"/>
        <w:spacing w:after="0" w:line="287" w:lineRule="auto"/>
        <w:rPr>
          <w:sz w:val="20"/>
          <w:szCs w:val="20"/>
          <w:color w:val="auto"/>
        </w:rPr>
      </w:pPr>
      <w:r>
        <w:rPr>
          <w:rFonts w:ascii="Arial" w:cs="Arial" w:eastAsia="Arial" w:hAnsi="Arial"/>
          <w:sz w:val="16"/>
          <w:szCs w:val="16"/>
          <w:color w:val="auto"/>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91" w:lineRule="exact"/>
        <w:rPr>
          <w:sz w:val="20"/>
          <w:szCs w:val="20"/>
          <w:color w:val="auto"/>
        </w:rPr>
      </w:pPr>
    </w:p>
    <w:p>
      <w:pPr>
        <w:ind w:left="460" w:right="919" w:firstLine="432"/>
        <w:spacing w:after="0" w:line="259" w:lineRule="auto"/>
        <w:rPr>
          <w:sz w:val="20"/>
          <w:szCs w:val="20"/>
          <w:color w:val="auto"/>
        </w:rPr>
      </w:pPr>
      <w:r>
        <w:rPr>
          <w:rFonts w:ascii="Arial" w:cs="Arial" w:eastAsia="Arial" w:hAnsi="Arial"/>
          <w:sz w:val="18"/>
          <w:szCs w:val="18"/>
          <w:color w:val="auto"/>
        </w:rPr>
        <w:t>While our significant accounting policies are described in more detail in Note 2 to our consolidated financial statements appearing at the end of this proxy statement/prospectus, we believe that the following accounting policies are those most critical to the judgments and estimates used in the preparation of our financial statements.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16" w:lineRule="exact"/>
        <w:rPr>
          <w:sz w:val="20"/>
          <w:szCs w:val="20"/>
          <w:color w:val="auto"/>
        </w:rPr>
      </w:pPr>
    </w:p>
    <w:p>
      <w:pPr>
        <w:ind w:left="460" w:right="639" w:firstLine="432"/>
        <w:spacing w:after="0" w:line="283" w:lineRule="auto"/>
        <w:rPr>
          <w:sz w:val="20"/>
          <w:szCs w:val="20"/>
          <w:color w:val="auto"/>
        </w:rPr>
      </w:pPr>
      <w:r>
        <w:rPr>
          <w:rFonts w:ascii="Arial" w:cs="Arial" w:eastAsia="Arial" w:hAnsi="Arial"/>
          <w:sz w:val="16"/>
          <w:szCs w:val="16"/>
          <w:color w:val="auto"/>
        </w:rPr>
        <w:t xml:space="preserve">We recognize revenue under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new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w:t>
      </w:r>
    </w:p>
    <w:p>
      <w:pPr>
        <w:spacing w:after="0" w:line="5" w:lineRule="exact"/>
        <w:rPr>
          <w:sz w:val="20"/>
          <w:szCs w:val="20"/>
          <w:color w:val="auto"/>
        </w:rPr>
      </w:pPr>
    </w:p>
    <w:p>
      <w:pPr>
        <w:ind w:left="460" w:right="519" w:hanging="6"/>
        <w:spacing w:after="0" w:line="287" w:lineRule="auto"/>
        <w:tabs>
          <w:tab w:leader="none" w:pos="715" w:val="left"/>
        </w:tabs>
        <w:numPr>
          <w:ilvl w:val="0"/>
          <w:numId w:val="271"/>
        </w:numPr>
        <w:rPr>
          <w:rFonts w:ascii="Arial" w:cs="Arial" w:eastAsia="Arial" w:hAnsi="Arial"/>
          <w:sz w:val="16"/>
          <w:szCs w:val="16"/>
          <w:color w:val="auto"/>
        </w:rPr>
      </w:pPr>
      <w:r>
        <w:rPr>
          <w:rFonts w:ascii="Arial" w:cs="Arial" w:eastAsia="Arial" w:hAnsi="Arial"/>
          <w:sz w:val="16"/>
          <w:szCs w:val="16"/>
          <w:color w:val="auto"/>
        </w:rPr>
        <w:t>recognize revenue when (or as) we satisfy each performance obligation. We only apply the five-step model to contracts when collectability of the consideration to which we are entitled in exchange for the goods or services we transfer to the customer is determined to be probable.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w:t>
      </w:r>
    </w:p>
    <w:p>
      <w:pPr>
        <w:sectPr>
          <w:pgSz w:w="11900" w:h="16838" w:orient="portrait"/>
          <w:cols w:equalWidth="0" w:num="1">
            <w:col w:w="9019"/>
          </w:cols>
          <w:pgMar w:left="1440" w:top="274" w:right="1440"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67" w:name="page268"/>
    <w:bookmarkEnd w:id="26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spacing w:after="0" w:line="263" w:lineRule="auto"/>
        <w:rPr>
          <w:sz w:val="20"/>
          <w:szCs w:val="20"/>
          <w:color w:val="auto"/>
        </w:rPr>
      </w:pPr>
      <w:r>
        <w:rPr>
          <w:rFonts w:ascii="Arial" w:cs="Arial" w:eastAsia="Arial" w:hAnsi="Arial"/>
          <w:sz w:val="18"/>
          <w:szCs w:val="18"/>
          <w:color w:val="auto"/>
        </w:rPr>
        <w:t>performance obligation and recognize the associated revenue when (or as) each performance obligation is satisfied. Our estimate of the transaction price for each contract includes all variable consideration to which we expect to be entitled.</w:t>
      </w:r>
    </w:p>
    <w:p>
      <w:pPr>
        <w:spacing w:after="0" w:line="116"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99"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90"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98"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09"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97"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In certain instances, the timing of and total costs of satisfying these obligations under our collaboration agreement can be difficult to estimate. Accordingly, our estimates may change in the future. Such changes to estimates would result in a change in revenue recognition amounts. If these estimates and judgments change over the course of these agreements, it may affect the timing and amount of revenue that we will recognize and record in future periods.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8" w:name="page269"/>
    <w:bookmarkEnd w:id="26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Under ASC 606, we will recognize revenue when we fulfill our performance obligations under the agreement with Gilead. As the required performance obligation is satisfied, we will recognize revenue for the portion satisfied and record a receivable for any optional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58"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118"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We record the expense and accrual related to research and development activities performed by our vendor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44"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We measure stock-based awards granted to employees, non-employees and directors based on their fair value on the date of the grant using the Black-Scholes option-pricing model for options or the difference between the purchase price per share of the award, if any, and the fair value of our common stock for restricted common stock awards. Compensation expense for those awards is recognized over the requisite service period, which is generally the vesting period of the respective award for employees and directors and the period during which services are performed for non-employees. We use the straight-line method to record the expense of awards with service-based vesting conditions.</w:t>
      </w:r>
    </w:p>
    <w:p>
      <w:pPr>
        <w:spacing w:after="0" w:line="110"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The Black-Scholes option-pricing model uses as inputs the fair value of our common stock and assumptions we make for the volatility of our common stock, the expected term of our common stock options, the risk-free interest rate for a period that approximates the expected term of our common stock options, and our expected dividend yield.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9" w:name="page270"/>
    <w:bookmarkEnd w:id="26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As there is not a public market for our common stock prior to becoming publicly traded, the estimated fair</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value of our common stock was determined by our board of directors as of the date of grant of each option 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restricted stock award, considering our most recently available third-party valuations of common stock and our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board of directors’ assessment of additional objective and subjective factors that it believed were relevant and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which may have changed from the date of the most recent valuation through the date of the grant. These third-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party valuations were performed in accordance with the guidance outlined in the American Institute of Certified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Public Accountants’ Accounting and Valuation Guide, </w:t>
      </w:r>
      <w:r>
        <w:rPr>
          <w:rFonts w:ascii="Arial" w:cs="Arial" w:eastAsia="Arial" w:hAnsi="Arial"/>
          <w:sz w:val="16"/>
          <w:szCs w:val="16"/>
          <w:i w:val="1"/>
          <w:iCs w:val="1"/>
          <w:color w:val="auto"/>
        </w:rPr>
        <w:t>Valuation of Privately-Held-Company Equity Securities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Issued as Compensation</w:t>
      </w:r>
      <w:r>
        <w:rPr>
          <w:rFonts w:ascii="Arial" w:cs="Arial" w:eastAsia="Arial" w:hAnsi="Arial"/>
          <w:sz w:val="16"/>
          <w:szCs w:val="16"/>
          <w:color w:val="auto"/>
        </w:rPr>
        <w:t>. Our common stock valuations were prepared using either an option pricing method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OPM</w:t>
      </w:r>
      <w:r>
        <w:rPr>
          <w:rFonts w:ascii="Arial" w:cs="Arial" w:eastAsia="Arial" w:hAnsi="Arial"/>
          <w:sz w:val="16"/>
          <w:szCs w:val="16"/>
          <w:color w:val="auto"/>
        </w:rPr>
        <w:t>”) or a hybrid method, both of which used market approaches to estimate our enterprise value. The OPM</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treats common stock and preferred stock as call options on the total equity value of a company, with exercise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prices based on the value thresholds at which the allocation among the various holders of a company’s securities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Under this method, the common stock has value only if the funds available for distribution to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stockholders exceed the value of the preferred stock liquidation preferences at the time of the liquidity event,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such as a strategic sale or a merger. The hybrid method is a probability-weighted expected return method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PWERM</w:t>
      </w:r>
      <w:r>
        <w:rPr>
          <w:rFonts w:ascii="Arial" w:cs="Arial" w:eastAsia="Arial" w:hAnsi="Arial"/>
          <w:sz w:val="17"/>
          <w:szCs w:val="17"/>
          <w:color w:val="auto"/>
        </w:rPr>
        <w:t>”) where the equity value in one or more scenarios is calculated using an OPM. The PWERM is a</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scenario-based methodology that estimates the fair value of common stock based upon an analysis of future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values for the company, assuming various outcomes. The common stock value is based on the probability-</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weighted present value of expected future investment returns considering each of the possible outcomes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available as well as the rights of each class of stock. The future value of the common stock under each outcome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is discounted back to the valuation date at an appropriate risk-adjusted discount rate and probability weighted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arrive at an indication of value for the common stock. A discount for lack of marketability of the common stock</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 then applied to arrive at an indication of value for the common stock.</w:t>
      </w:r>
    </w:p>
    <w:p>
      <w:pPr>
        <w:spacing w:after="0" w:line="143"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The following table sets forth, by grant date, the number of shares subject to options granted from October 18, 2019 through March 31, 2021, the exercise price per share of the options, the fair value per share on each grant date and the estimated per share fair value of the options: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Exercise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53"/>
              <w:spacing w:after="0"/>
              <w:rPr>
                <w:sz w:val="20"/>
                <w:szCs w:val="20"/>
                <w:color w:val="auto"/>
              </w:rPr>
            </w:pPr>
            <w:r>
              <w:rPr>
                <w:rFonts w:ascii="Arial" w:cs="Arial" w:eastAsia="Arial" w:hAnsi="Arial"/>
                <w:sz w:val="16"/>
                <w:szCs w:val="16"/>
                <w:b w:val="1"/>
                <w:bCs w:val="1"/>
                <w:color w:val="auto"/>
                <w:w w:val="94"/>
              </w:rPr>
              <w:t>Fair Value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93"/>
              <w:spacing w:after="0"/>
              <w:rPr>
                <w:sz w:val="20"/>
                <w:szCs w:val="20"/>
                <w:color w:val="auto"/>
              </w:rPr>
            </w:pPr>
            <w:r>
              <w:rPr>
                <w:rFonts w:ascii="Arial" w:cs="Arial" w:eastAsia="Arial" w:hAnsi="Arial"/>
                <w:sz w:val="16"/>
                <w:szCs w:val="16"/>
                <w:b w:val="1"/>
                <w:bCs w:val="1"/>
                <w:color w:val="auto"/>
                <w:w w:val="94"/>
              </w:rPr>
              <w:t>Estimated</w:t>
            </w:r>
          </w:p>
        </w:tc>
      </w:tr>
      <w:tr>
        <w:trPr>
          <w:trHeight w:val="203"/>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Common Shares</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Price per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53"/>
              <w:spacing w:after="0"/>
              <w:rPr>
                <w:sz w:val="20"/>
                <w:szCs w:val="20"/>
                <w:color w:val="auto"/>
              </w:rPr>
            </w:pPr>
            <w:r>
              <w:rPr>
                <w:rFonts w:ascii="Arial" w:cs="Arial" w:eastAsia="Arial" w:hAnsi="Arial"/>
                <w:sz w:val="16"/>
                <w:szCs w:val="16"/>
                <w:b w:val="1"/>
                <w:bCs w:val="1"/>
                <w:color w:val="auto"/>
                <w:w w:val="92"/>
              </w:rPr>
              <w:t>Per Common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Per-Share</w:t>
            </w:r>
          </w:p>
        </w:tc>
      </w:tr>
      <w:tr>
        <w:trPr>
          <w:trHeight w:val="202"/>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Subject to</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Common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Share at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93"/>
              <w:spacing w:after="0"/>
              <w:rPr>
                <w:sz w:val="20"/>
                <w:szCs w:val="20"/>
                <w:color w:val="auto"/>
              </w:rPr>
            </w:pPr>
            <w:r>
              <w:rPr>
                <w:rFonts w:ascii="Arial" w:cs="Arial" w:eastAsia="Arial" w:hAnsi="Arial"/>
                <w:sz w:val="16"/>
                <w:szCs w:val="16"/>
                <w:b w:val="1"/>
                <w:bCs w:val="1"/>
                <w:color w:val="auto"/>
                <w:w w:val="94"/>
              </w:rPr>
              <w:t>Fair Value</w:t>
            </w:r>
          </w:p>
        </w:tc>
      </w:tr>
      <w:tr>
        <w:trPr>
          <w:trHeight w:val="253"/>
        </w:trPr>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Grant Date</w:t>
            </w:r>
          </w:p>
        </w:tc>
        <w:tc>
          <w:tcPr>
            <w:tcW w:w="13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Options Granted</w:t>
            </w:r>
          </w:p>
        </w:tc>
        <w:tc>
          <w:tcPr>
            <w:tcW w:w="140" w:type="dxa"/>
            <w:vAlign w:val="bottom"/>
          </w:tcPr>
          <w:p>
            <w:pPr>
              <w:spacing w:after="0"/>
              <w:rPr>
                <w:sz w:val="21"/>
                <w:szCs w:val="21"/>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Share</w:t>
            </w:r>
            <w:r>
              <w:rPr>
                <w:rFonts w:ascii="Arial" w:cs="Arial" w:eastAsia="Arial" w:hAnsi="Arial"/>
                <w:sz w:val="18"/>
                <w:szCs w:val="18"/>
                <w:b w:val="1"/>
                <w:bCs w:val="1"/>
                <w:color w:val="auto"/>
                <w:w w:val="87"/>
                <w:vertAlign w:val="superscript"/>
              </w:rPr>
              <w:t>(1)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center"/>
              <w:ind w:right="33"/>
              <w:spacing w:after="0"/>
              <w:rPr>
                <w:sz w:val="20"/>
                <w:szCs w:val="20"/>
                <w:color w:val="auto"/>
              </w:rPr>
            </w:pPr>
            <w:r>
              <w:rPr>
                <w:rFonts w:ascii="Arial" w:cs="Arial" w:eastAsia="Arial" w:hAnsi="Arial"/>
                <w:sz w:val="16"/>
                <w:szCs w:val="16"/>
                <w:b w:val="1"/>
                <w:bCs w:val="1"/>
                <w:color w:val="auto"/>
                <w:w w:val="93"/>
              </w:rPr>
              <w:t>Grant Date</w:t>
            </w:r>
            <w:r>
              <w:rPr>
                <w:rFonts w:ascii="Arial" w:cs="Arial" w:eastAsia="Arial" w:hAnsi="Arial"/>
                <w:sz w:val="18"/>
                <w:szCs w:val="18"/>
                <w:b w:val="1"/>
                <w:bCs w:val="1"/>
                <w:color w:val="auto"/>
                <w:w w:val="93"/>
                <w:vertAlign w:val="superscript"/>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center"/>
              <w:ind w:right="53"/>
              <w:spacing w:after="0"/>
              <w:rPr>
                <w:sz w:val="20"/>
                <w:szCs w:val="20"/>
                <w:color w:val="auto"/>
              </w:rPr>
            </w:pPr>
            <w:r>
              <w:rPr>
                <w:rFonts w:ascii="Arial" w:cs="Arial" w:eastAsia="Arial" w:hAnsi="Arial"/>
                <w:sz w:val="16"/>
                <w:szCs w:val="16"/>
                <w:b w:val="1"/>
                <w:bCs w:val="1"/>
                <w:color w:val="auto"/>
                <w:w w:val="88"/>
              </w:rPr>
              <w:t>of Options</w:t>
            </w:r>
            <w:r>
              <w:rPr>
                <w:rFonts w:ascii="Arial" w:cs="Arial" w:eastAsia="Arial" w:hAnsi="Arial"/>
                <w:sz w:val="18"/>
                <w:szCs w:val="18"/>
                <w:b w:val="1"/>
                <w:bCs w:val="1"/>
                <w:color w:val="auto"/>
                <w:w w:val="88"/>
                <w:vertAlign w:val="superscript"/>
              </w:rPr>
              <w:t>(2)</w:t>
            </w:r>
          </w:p>
        </w:tc>
      </w:tr>
      <w:tr>
        <w:trPr>
          <w:trHeight w:val="248"/>
        </w:trPr>
        <w:tc>
          <w:tcPr>
            <w:tcW w:w="30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October 18, 2019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79"/>
              </w:rPr>
              <w:t>0.52</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0.52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October 22, 2019</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w w:val="96"/>
              </w:rPr>
              <w:t>0.52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600"/>
              <w:spacing w:after="0"/>
              <w:rPr>
                <w:sz w:val="20"/>
                <w:szCs w:val="20"/>
                <w:color w:val="auto"/>
              </w:rPr>
            </w:pPr>
            <w:r>
              <w:rPr>
                <w:rFonts w:ascii="Arial" w:cs="Arial" w:eastAsia="Arial" w:hAnsi="Arial"/>
                <w:sz w:val="18"/>
                <w:szCs w:val="18"/>
                <w:color w:val="auto"/>
              </w:rPr>
              <w:t>0.52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0.30</w:t>
            </w:r>
          </w:p>
        </w:tc>
      </w:tr>
      <w:tr>
        <w:trPr>
          <w:trHeight w:val="40"/>
        </w:trPr>
        <w:tc>
          <w:tcPr>
            <w:tcW w:w="3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January 30, 2020</w:t>
            </w: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2,171,868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w w:val="96"/>
              </w:rPr>
              <w:t>0.56</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0.56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June 2, 2020</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1,251,000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w w:val="96"/>
              </w:rPr>
              <w:t>0.62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600"/>
              <w:spacing w:after="0"/>
              <w:rPr>
                <w:sz w:val="20"/>
                <w:szCs w:val="20"/>
                <w:color w:val="auto"/>
              </w:rPr>
            </w:pPr>
            <w:r>
              <w:rPr>
                <w:rFonts w:ascii="Arial" w:cs="Arial" w:eastAsia="Arial" w:hAnsi="Arial"/>
                <w:sz w:val="18"/>
                <w:szCs w:val="18"/>
                <w:color w:val="auto"/>
              </w:rPr>
              <w:t>0.62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40"/>
        </w:trPr>
        <w:tc>
          <w:tcPr>
            <w:tcW w:w="3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October 1, 2020</w:t>
            </w: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1,697,500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w w:val="96"/>
              </w:rPr>
              <w:t>1.09</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1.09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December 9, 2020</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596,000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w w:val="96"/>
              </w:rPr>
              <w:t>1.09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600"/>
              <w:spacing w:after="0"/>
              <w:rPr>
                <w:sz w:val="20"/>
                <w:szCs w:val="20"/>
                <w:color w:val="auto"/>
              </w:rPr>
            </w:pPr>
            <w:r>
              <w:rPr>
                <w:rFonts w:ascii="Arial" w:cs="Arial" w:eastAsia="Arial" w:hAnsi="Arial"/>
                <w:sz w:val="18"/>
                <w:szCs w:val="18"/>
                <w:color w:val="auto"/>
              </w:rPr>
              <w:t>1.09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0.67</w:t>
            </w:r>
          </w:p>
        </w:tc>
      </w:tr>
      <w:tr>
        <w:trPr>
          <w:trHeight w:val="40"/>
        </w:trPr>
        <w:tc>
          <w:tcPr>
            <w:tcW w:w="3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84"/>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28, 2021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6,805,312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6"/>
              </w:rPr>
              <w:t>1.19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5"/>
              </w:rPr>
              <w:t>1.81</w:t>
            </w:r>
            <w:r>
              <w:rPr>
                <w:rFonts w:ascii="Arial" w:cs="Arial" w:eastAsia="Arial" w:hAnsi="Arial"/>
                <w:sz w:val="20"/>
                <w:szCs w:val="20"/>
                <w:color w:val="auto"/>
                <w:w w:val="85"/>
                <w:vertAlign w:val="superscript"/>
              </w:rPr>
              <w:t>(3)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March 18, 2021</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1,010,000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w w:val="96"/>
              </w:rPr>
              <w:t>2.57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600"/>
              <w:spacing w:after="0"/>
              <w:rPr>
                <w:sz w:val="20"/>
                <w:szCs w:val="20"/>
                <w:color w:val="auto"/>
              </w:rPr>
            </w:pPr>
            <w:r>
              <w:rPr>
                <w:rFonts w:ascii="Arial" w:cs="Arial" w:eastAsia="Arial" w:hAnsi="Arial"/>
                <w:sz w:val="18"/>
                <w:szCs w:val="18"/>
                <w:color w:val="auto"/>
              </w:rPr>
              <w:t>2.57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1.68</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779" w:hanging="426"/>
        <w:spacing w:after="0" w:line="283" w:lineRule="auto"/>
        <w:tabs>
          <w:tab w:leader="none" w:pos="877" w:val="left"/>
        </w:tabs>
        <w:numPr>
          <w:ilvl w:val="0"/>
          <w:numId w:val="272"/>
        </w:numPr>
        <w:rPr>
          <w:rFonts w:ascii="Arial" w:cs="Arial" w:eastAsia="Arial" w:hAnsi="Arial"/>
          <w:sz w:val="15"/>
          <w:szCs w:val="15"/>
          <w:color w:val="auto"/>
        </w:rPr>
      </w:pPr>
      <w:r>
        <w:rPr>
          <w:rFonts w:ascii="Arial" w:cs="Arial" w:eastAsia="Arial" w:hAnsi="Arial"/>
          <w:sz w:val="15"/>
          <w:szCs w:val="15"/>
          <w:color w:val="auto"/>
        </w:rPr>
        <w:t>The exercise price per share of common stock and fair value of our common stock represents the fair value of our common stock on the date of grant, as determined by our board of directors, after taking into account our most recently available contemporaneous valuation of our common stock as well as additional factors that may have changed since the date of such contemporaneous valuation through the date of grant.</w:t>
      </w:r>
    </w:p>
    <w:p>
      <w:pPr>
        <w:ind w:left="880" w:right="519" w:hanging="426"/>
        <w:spacing w:after="0" w:line="264" w:lineRule="auto"/>
        <w:tabs>
          <w:tab w:leader="none" w:pos="877"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estimated per share fair value of options reflects the weighted average fair value of options granted on each grant date, determined using the Black-Scholes option-pricing model.</w:t>
      </w:r>
    </w:p>
    <w:p>
      <w:pPr>
        <w:ind w:left="880" w:right="599" w:hanging="426"/>
        <w:spacing w:after="0" w:line="292" w:lineRule="auto"/>
        <w:tabs>
          <w:tab w:leader="none" w:pos="871" w:val="left"/>
        </w:tabs>
        <w:numPr>
          <w:ilvl w:val="0"/>
          <w:numId w:val="272"/>
        </w:numPr>
        <w:rPr>
          <w:rFonts w:ascii="Arial" w:cs="Arial" w:eastAsia="Arial" w:hAnsi="Arial"/>
          <w:sz w:val="15"/>
          <w:szCs w:val="15"/>
          <w:color w:val="auto"/>
        </w:rPr>
      </w:pPr>
      <w:r>
        <w:rPr>
          <w:rFonts w:ascii="Arial" w:cs="Arial" w:eastAsia="Arial" w:hAnsi="Arial"/>
          <w:sz w:val="15"/>
          <w:szCs w:val="15"/>
          <w:color w:val="auto"/>
        </w:rPr>
        <w:t>At the time of the option grants on January 28, 2020, our board of directors determined that the fair value of our common shares of $1.19 per share calculated in the third-party valuation as of December 14, 2020 described above reasonably reflected the per share fair value of our common shares as of the respective grant dates in that period. However, as described below, the fair value of common shares at the date of these grants was adjusted in connection with retrospective fair value assessments for accounting purposes.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0" w:name="page271"/>
    <w:bookmarkEnd w:id="27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79" w:firstLine="432"/>
        <w:spacing w:after="0" w:line="270" w:lineRule="auto"/>
        <w:rPr>
          <w:sz w:val="20"/>
          <w:szCs w:val="20"/>
          <w:color w:val="auto"/>
        </w:rPr>
      </w:pPr>
      <w:r>
        <w:rPr>
          <w:rFonts w:ascii="Arial" w:cs="Arial" w:eastAsia="Arial" w:hAnsi="Arial"/>
          <w:sz w:val="17"/>
          <w:szCs w:val="17"/>
          <w:color w:val="auto"/>
        </w:rPr>
        <w:t>In preparing for the issuance of our financial statements for the year ended December 31, 2020, in March 2021, we performed a retrospective fair value assessment and concluded that the fair value of our common shares underlying stock options that we granted on January 28, 2021 was $1.81 per share for accounting purposes. We applied the fair value of our common shares from our retrospective fair value assessment to determine the fair value of these awards and calculate stock-based compensation expense for accounting purposes. This reassessed value was based, in part, upon a third-party valuation of our common shares prepared as of December 14, 2020, inclusive of a retrospective valuation prepared as of January 2021 reflecting the initial BCTG merger offer. The third-party valuation was prepared using an OPM, which used a market approach to determine our enterprise value.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460" w:right="1119" w:firstLine="432"/>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62" w:lineRule="exact"/>
        <w:rPr>
          <w:sz w:val="20"/>
          <w:szCs w:val="20"/>
          <w:color w:val="auto"/>
        </w:rPr>
      </w:pPr>
    </w:p>
    <w:p>
      <w:pPr>
        <w:ind w:left="460" w:right="799" w:firstLine="432"/>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or cash flows is disclosed in Note 2 to our annual consolidated financial statements appearing at the end of this proxy statement/prospectus.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48" w:lineRule="exact"/>
        <w:rPr>
          <w:sz w:val="20"/>
          <w:szCs w:val="20"/>
          <w:color w:val="auto"/>
        </w:rPr>
      </w:pPr>
    </w:p>
    <w:p>
      <w:pPr>
        <w:jc w:val="both"/>
        <w:ind w:left="460" w:right="639" w:firstLine="432"/>
        <w:spacing w:after="0" w:line="342" w:lineRule="auto"/>
        <w:rPr>
          <w:sz w:val="20"/>
          <w:szCs w:val="20"/>
          <w:color w:val="auto"/>
        </w:rPr>
      </w:pPr>
      <w:r>
        <w:rPr>
          <w:rFonts w:ascii="Arial" w:cs="Arial" w:eastAsia="Arial" w:hAnsi="Arial"/>
          <w:sz w:val="16"/>
          <w:szCs w:val="16"/>
          <w:color w:val="auto"/>
        </w:rPr>
        <w:t>We are exposed to certain market risks in the ordinary course of our business. Market risk represents the risk of loss that may impact our financial position due to adverse changes in financial market prices and rates.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Interest Rate Risk</w:t>
      </w:r>
    </w:p>
    <w:p>
      <w:pPr>
        <w:spacing w:after="0" w:line="158"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As of December 31, 2020, we had cash, cash equivalents and marketable securities of $190.2 million, which consisted of cash, money market funds, U.S. Treasury bills and U.S. government agency bonds. Interest income is sensitive to changes in the general level of interest rates; however, due to the nature of these investments, an immediate 1% change in interest rates would not have a material effect on the fair market value of our investment portfolio.</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Foreign Currency Exchange Risk</w:t>
      </w:r>
    </w:p>
    <w:p>
      <w:pPr>
        <w:spacing w:after="0" w:line="158" w:lineRule="exact"/>
        <w:rPr>
          <w:sz w:val="20"/>
          <w:szCs w:val="20"/>
          <w:color w:val="auto"/>
        </w:rPr>
      </w:pPr>
    </w:p>
    <w:p>
      <w:pPr>
        <w:ind w:left="460" w:right="559" w:firstLine="432"/>
        <w:spacing w:after="0" w:line="311" w:lineRule="auto"/>
        <w:rPr>
          <w:sz w:val="20"/>
          <w:szCs w:val="20"/>
          <w:color w:val="auto"/>
        </w:rPr>
      </w:pPr>
      <w:r>
        <w:rPr>
          <w:rFonts w:ascii="Arial" w:cs="Arial" w:eastAsia="Arial" w:hAnsi="Arial"/>
          <w:sz w:val="16"/>
          <w:szCs w:val="16"/>
          <w:color w:val="auto"/>
        </w:rPr>
        <w:t>Our reporting and functional currency is the U.S. dollar. We currently do not have significant exposure to foreign currencies as we hold no foreign exchange contracts, option contracts, or other foreign hedging arrangements. Our operations may be subject to fluctuations in foreign currency exchange rates in the future.</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Effects of Inflation</w:t>
      </w:r>
    </w:p>
    <w:p>
      <w:pPr>
        <w:spacing w:after="0" w:line="144"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Our operations may be subject to inflation in the future.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Emerging Growth Company Status</w:t>
      </w:r>
    </w:p>
    <w:p>
      <w:pPr>
        <w:spacing w:after="0" w:line="162"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We are an “emerging growth company,” or EGC, under the Jumpstart Our Business Startups Act of 2012, or the JOBS Act. Section 107 of the JOBS Act provides that an EGC can take advantage of the extended transition period provided in Section 7(a)(2)(B) of the Securities Act of 1933, as amended, for complying with new or revised accounting standards. Thus, an EGC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 entities. As an EGC, we may take advantage of certain exemptions and reduced reporting requirements under the JOBS Act. Subject to certain conditions, as an EGC:</w:t>
      </w:r>
    </w:p>
    <w:p>
      <w:pPr>
        <w:spacing w:after="0" w:line="71" w:lineRule="exact"/>
        <w:rPr>
          <w:sz w:val="20"/>
          <w:szCs w:val="20"/>
          <w:color w:val="auto"/>
        </w:rPr>
      </w:pPr>
    </w:p>
    <w:p>
      <w:pPr>
        <w:ind w:left="1320" w:right="1099" w:hanging="434"/>
        <w:spacing w:after="0" w:line="342" w:lineRule="auto"/>
        <w:tabs>
          <w:tab w:leader="none" w:pos="1311" w:val="left"/>
        </w:tabs>
        <w:numPr>
          <w:ilvl w:val="0"/>
          <w:numId w:val="273"/>
        </w:numPr>
        <w:rPr>
          <w:rFonts w:ascii="Arial" w:cs="Arial" w:eastAsia="Arial" w:hAnsi="Arial"/>
          <w:sz w:val="16"/>
          <w:szCs w:val="16"/>
          <w:color w:val="auto"/>
        </w:rPr>
      </w:pPr>
      <w:r>
        <w:rPr>
          <w:rFonts w:ascii="Arial" w:cs="Arial" w:eastAsia="Arial" w:hAnsi="Arial"/>
          <w:sz w:val="16"/>
          <w:szCs w:val="16"/>
          <w:color w:val="auto"/>
        </w:rPr>
        <w:t>we may present only two years of audited financial statements and only two years of related Management’s Discussion and Analysis of Financial Condition and Results of Operations;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1" w:name="page272"/>
    <w:bookmarkEnd w:id="27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1320" w:right="879" w:hanging="434"/>
        <w:spacing w:after="0" w:line="263" w:lineRule="auto"/>
        <w:tabs>
          <w:tab w:leader="none" w:pos="1311"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we may avail ourselves of the exemption from providing an auditor’s attestation report on our system of internal controls over financial reporting pursuant to Section 404(b) of the Sarbanes-Oxley Act;</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we may provide reduced disclosure about our executive compensation arrangements; and</w:t>
      </w:r>
    </w:p>
    <w:p>
      <w:pPr>
        <w:spacing w:after="0" w:line="144"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we may not require nonbinding advisory votes on executive compensation or stockholder approval of any golden parachute payments.</w:t>
      </w:r>
    </w:p>
    <w:p>
      <w:pPr>
        <w:spacing w:after="0" w:line="89"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We will remain an EGC until the earliest of (i) the last day of the fiscal year following the fifth anniversary of the completion of the BCTG IPO, (ii) the last day of the fiscal year in which we have total annual gross revenues of $1.07 billion or more, (iii) the date on which we have issued more than $1.0 billion in non-convertible debt during the previous rolling three-year period, or (iv) the date on which we are deemed to be a large accelerated filer under the Securities Exchange Act of 1934, as amended, or the Exchange Act.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2" w:name="page273"/>
    <w:bookmarkEnd w:id="27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 OF BCTG</w:t>
      </w:r>
    </w:p>
    <w:p>
      <w:pPr>
        <w:spacing w:after="0" w:line="148"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section to “we,” “our,” “us” and other similar terms refer to BCTG before the Business Combination.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460" w:right="619" w:firstLine="432"/>
        <w:spacing w:after="0" w:line="301" w:lineRule="auto"/>
        <w:rPr>
          <w:sz w:val="20"/>
          <w:szCs w:val="20"/>
          <w:color w:val="auto"/>
        </w:rPr>
      </w:pPr>
      <w:r>
        <w:rPr>
          <w:rFonts w:ascii="Arial" w:cs="Arial" w:eastAsia="Arial" w:hAnsi="Arial"/>
          <w:sz w:val="16"/>
          <w:szCs w:val="16"/>
          <w:color w:val="auto"/>
        </w:rPr>
        <w:t>Pursuant to our amended certificate of incorporation, our authorized capital stock consists of 30,000,000 shares of common stock, par value $0.0001, and 1,000,000 shares of preferred stock, par value $0.0001. As of the date of this proxy statement/prospectus, 21,377,250 shares of common stock are issued and outstanding, 4,610,250 of which are held by the Sponsor and our directors. No preferred shares are issued or outstanding.</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Our holders of record of our common stock are entitled to one vote for each share held on all matters to be voted on by stockholders. In connection with any vote held to approve our initial business combination, our insiders, officers and directors, have agreed to vote their respective shares of common stock owned by them, including both the insider shares and any shares acquired in the IPO or in the open market, in favor of the proposed business combination.</w:t>
      </w:r>
    </w:p>
    <w:p>
      <w:pPr>
        <w:spacing w:after="0" w:line="107" w:lineRule="exact"/>
        <w:rPr>
          <w:sz w:val="20"/>
          <w:szCs w:val="20"/>
          <w:color w:val="auto"/>
        </w:rPr>
      </w:pPr>
    </w:p>
    <w:p>
      <w:pPr>
        <w:ind w:left="460" w:right="959" w:firstLine="432"/>
        <w:spacing w:after="0" w:line="311" w:lineRule="auto"/>
        <w:rPr>
          <w:sz w:val="20"/>
          <w:szCs w:val="20"/>
          <w:color w:val="auto"/>
        </w:rPr>
      </w:pPr>
      <w:r>
        <w:rPr>
          <w:rFonts w:ascii="Arial" w:cs="Arial" w:eastAsia="Arial" w:hAnsi="Arial"/>
          <w:sz w:val="16"/>
          <w:szCs w:val="16"/>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81"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Pursuant to our certificate of incorporation, if we do not consummate our initial business combination within 24 months from the closing of the IPO,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Our insiders have agreed to waive their rights to share in any distribution with respect to their insider shares.</w:t>
      </w:r>
    </w:p>
    <w:p>
      <w:pPr>
        <w:spacing w:after="0" w:line="99" w:lineRule="exact"/>
        <w:rPr>
          <w:sz w:val="20"/>
          <w:szCs w:val="20"/>
          <w:color w:val="auto"/>
        </w:rPr>
      </w:pPr>
    </w:p>
    <w:p>
      <w:pPr>
        <w:ind w:left="460" w:right="659" w:firstLine="432"/>
        <w:spacing w:after="0" w:line="257" w:lineRule="auto"/>
        <w:rPr>
          <w:sz w:val="20"/>
          <w:szCs w:val="20"/>
          <w:color w:val="auto"/>
        </w:rPr>
      </w:pPr>
      <w:r>
        <w:rPr>
          <w:rFonts w:ascii="Arial" w:cs="Arial" w:eastAsia="Arial" w:hAnsi="Arial"/>
          <w:sz w:val="18"/>
          <w:szCs w:val="18"/>
          <w:color w:val="auto"/>
        </w:rPr>
        <w:t>Our stockholders have no conversion, preemptive or other subscription rights and there are no sinking fund or redemption provisions applicable to the shares of common stock, except that public stockholders have the right to sell their shares to us in any tender offer or have their shares of common stock converted to cash equal to their pro rata share of the trust account if they vote on the proposed business combination and the business combination is completed.</w:t>
      </w:r>
    </w:p>
    <w:p>
      <w:pPr>
        <w:spacing w:after="0" w:line="107"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In either of such events, converting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There are no shares of preferred stock outstanding.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3" w:name="page274"/>
    <w:bookmarkEnd w:id="27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57" w:lineRule="auto"/>
        <w:rPr>
          <w:sz w:val="20"/>
          <w:szCs w:val="20"/>
          <w:color w:val="auto"/>
        </w:rPr>
      </w:pPr>
      <w:r>
        <w:rPr>
          <w:rFonts w:ascii="Arial" w:cs="Arial" w:eastAsia="Arial" w:hAnsi="Arial"/>
          <w:sz w:val="18"/>
          <w:szCs w:val="18"/>
          <w:color w:val="auto"/>
        </w:rPr>
        <w:t>manner in the proceeds of the trust account, or which votes as a class with the common stock on our initial business combination. We may issue some or all of the preferred stock to effect our initial business combination. In addition, the preferred stock could be utilized as a method of discouraging, delaying or preventing a change in control of us. Although we do not currently intend to issue any shares of preferred stock, we reserve the right to do so in the future.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w:t>
      </w:r>
    </w:p>
    <w:p>
      <w:pPr>
        <w:spacing w:after="0" w:line="162" w:lineRule="exact"/>
        <w:rPr>
          <w:sz w:val="20"/>
          <w:szCs w:val="20"/>
          <w:color w:val="auto"/>
        </w:rPr>
      </w:pPr>
    </w:p>
    <w:p>
      <w:pPr>
        <w:ind w:left="460" w:right="819" w:firstLine="432"/>
        <w:spacing w:after="0" w:line="299" w:lineRule="auto"/>
        <w:rPr>
          <w:sz w:val="20"/>
          <w:szCs w:val="20"/>
          <w:color w:val="auto"/>
        </w:rPr>
      </w:pPr>
      <w:r>
        <w:rPr>
          <w:rFonts w:ascii="Arial" w:cs="Arial" w:eastAsia="Arial" w:hAnsi="Arial"/>
          <w:sz w:val="18"/>
          <w:szCs w:val="18"/>
          <w:color w:val="auto"/>
        </w:rPr>
        <w:t>The transfer agent for our shares of common stock is Continental Stock Transfer &amp; Trust Company, 1 State Street, 30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Floor, New York, New York 10004.</w:t>
      </w:r>
    </w:p>
    <w:p>
      <w:pPr>
        <w:spacing w:after="0" w:line="100"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Certain Anti-Takeover Provisions of Delaware Law and our Certificate of Incorporation and By-Laws</w:t>
      </w:r>
    </w:p>
    <w:p>
      <w:pPr>
        <w:spacing w:after="0" w:line="171"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We have opted out of Section 203 of the DGCL. However, the Proposed Charter contains similar provisions providing that we may not engage in certain “business combinations” with any “interested stockholder” for a three-year period following the time that the stockholder became an interested stockholder, unless:</w:t>
      </w:r>
    </w:p>
    <w:p>
      <w:pPr>
        <w:spacing w:after="0" w:line="119" w:lineRule="exact"/>
        <w:rPr>
          <w:sz w:val="20"/>
          <w:szCs w:val="20"/>
          <w:color w:val="auto"/>
        </w:rPr>
      </w:pPr>
    </w:p>
    <w:p>
      <w:pPr>
        <w:ind w:left="1320" w:right="1299" w:hanging="434"/>
        <w:spacing w:after="0" w:line="342" w:lineRule="auto"/>
        <w:tabs>
          <w:tab w:leader="none" w:pos="1311" w:val="left"/>
        </w:tabs>
        <w:numPr>
          <w:ilvl w:val="0"/>
          <w:numId w:val="275"/>
        </w:numPr>
        <w:rPr>
          <w:rFonts w:ascii="Arial" w:cs="Arial" w:eastAsia="Arial" w:hAnsi="Arial"/>
          <w:sz w:val="16"/>
          <w:szCs w:val="16"/>
          <w:color w:val="auto"/>
        </w:rPr>
      </w:pPr>
      <w:r>
        <w:rPr>
          <w:rFonts w:ascii="Arial" w:cs="Arial" w:eastAsia="Arial" w:hAnsi="Arial"/>
          <w:sz w:val="16"/>
          <w:szCs w:val="16"/>
          <w:color w:val="auto"/>
        </w:rPr>
        <w:t>prior to such time, our board of directors approved either the business combination or the transaction which resulted in the stockholder becoming an interested stockholder;</w:t>
      </w:r>
    </w:p>
    <w:p>
      <w:pPr>
        <w:spacing w:after="0" w:line="56" w:lineRule="exact"/>
        <w:rPr>
          <w:rFonts w:ascii="Arial" w:cs="Arial" w:eastAsia="Arial" w:hAnsi="Arial"/>
          <w:sz w:val="16"/>
          <w:szCs w:val="16"/>
          <w:color w:val="auto"/>
        </w:rPr>
      </w:pPr>
    </w:p>
    <w:p>
      <w:pPr>
        <w:ind w:left="1320" w:right="739" w:hanging="434"/>
        <w:spacing w:after="0" w:line="263" w:lineRule="auto"/>
        <w:tabs>
          <w:tab w:leader="none" w:pos="131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02" w:lineRule="exact"/>
        <w:rPr>
          <w:rFonts w:ascii="Arial" w:cs="Arial" w:eastAsia="Arial" w:hAnsi="Arial"/>
          <w:sz w:val="18"/>
          <w:szCs w:val="18"/>
          <w:color w:val="auto"/>
        </w:rPr>
      </w:pPr>
    </w:p>
    <w:p>
      <w:pPr>
        <w:ind w:left="1320" w:right="519" w:hanging="434"/>
        <w:spacing w:after="0" w:line="263" w:lineRule="auto"/>
        <w:tabs>
          <w:tab w:leader="none" w:pos="131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66⅔% of the outstanding voting stock that is not owned by the interested stockholder.</w:t>
      </w:r>
    </w:p>
    <w:p>
      <w:pPr>
        <w:spacing w:after="0" w:line="116"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20% or more of our voting stock.</w:t>
      </w:r>
    </w:p>
    <w:p>
      <w:pPr>
        <w:spacing w:after="0" w:line="119"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11" w:lineRule="exact"/>
        <w:rPr>
          <w:sz w:val="20"/>
          <w:szCs w:val="20"/>
          <w:color w:val="auto"/>
        </w:rPr>
      </w:pPr>
    </w:p>
    <w:p>
      <w:pPr>
        <w:jc w:val="both"/>
        <w:ind w:left="460" w:right="499" w:firstLine="432"/>
        <w:spacing w:after="0" w:line="286" w:lineRule="auto"/>
        <w:rPr>
          <w:sz w:val="20"/>
          <w:szCs w:val="20"/>
          <w:color w:val="auto"/>
        </w:rPr>
      </w:pPr>
      <w:r>
        <w:rPr>
          <w:rFonts w:ascii="Arial" w:cs="Arial" w:eastAsia="Arial" w:hAnsi="Arial"/>
          <w:sz w:val="17"/>
          <w:szCs w:val="17"/>
          <w:color w:val="auto"/>
        </w:rPr>
        <w:t>The Proposed Charter provides that the Sponsor and its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Special meeting of stockholders</w:t>
      </w:r>
    </w:p>
    <w:p>
      <w:pPr>
        <w:spacing w:after="0" w:line="162"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4" w:name="page275"/>
    <w:bookmarkEnd w:id="27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148" w:lineRule="exact"/>
        <w:rPr>
          <w:sz w:val="20"/>
          <w:szCs w:val="20"/>
          <w:color w:val="auto"/>
        </w:rPr>
      </w:pPr>
    </w:p>
    <w:p>
      <w:pPr>
        <w:ind w:left="460" w:right="519" w:firstLine="432"/>
        <w:spacing w:after="0" w:line="262" w:lineRule="auto"/>
        <w:rPr>
          <w:sz w:val="20"/>
          <w:szCs w:val="20"/>
          <w:color w:val="auto"/>
        </w:rPr>
      </w:pPr>
      <w:r>
        <w:rPr>
          <w:rFonts w:ascii="Arial" w:cs="Arial" w:eastAsia="Arial" w:hAnsi="Arial"/>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90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nor earlier than the opening of business on the 120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Authorized but unissued shares</w:t>
      </w:r>
    </w:p>
    <w:p>
      <w:pPr>
        <w:spacing w:after="0" w:line="162" w:lineRule="exact"/>
        <w:rPr>
          <w:sz w:val="20"/>
          <w:szCs w:val="20"/>
          <w:color w:val="auto"/>
        </w:rPr>
      </w:pPr>
    </w:p>
    <w:p>
      <w:pPr>
        <w:ind w:left="460" w:right="459" w:firstLine="432"/>
        <w:spacing w:after="0" w:line="275"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158" w:lineRule="exact"/>
        <w:rPr>
          <w:sz w:val="20"/>
          <w:szCs w:val="20"/>
          <w:color w:val="auto"/>
        </w:rPr>
      </w:pPr>
    </w:p>
    <w:p>
      <w:pPr>
        <w:ind w:left="460" w:right="459" w:firstLine="432"/>
        <w:spacing w:after="0" w:line="267" w:lineRule="auto"/>
        <w:rPr>
          <w:sz w:val="20"/>
          <w:szCs w:val="20"/>
          <w:color w:val="auto"/>
        </w:rPr>
      </w:pPr>
      <w:r>
        <w:rPr>
          <w:rFonts w:ascii="Arial" w:cs="Arial" w:eastAsia="Arial" w:hAnsi="Arial"/>
          <w:sz w:val="17"/>
          <w:szCs w:val="17"/>
          <w:color w:val="auto"/>
        </w:rPr>
        <w:t>The Proposed Charter will provide that, unless we consent in writing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director, officer, employee or agent of our company to our company or our stockholders, or any claim for aiding and abetting any such alleged breach, (3) action asserting a claim against our company or any director or officer of our company arising pursuant to any provision of the DGCL or our amended and restated certificate of incorporation or our bylaws, or (4) action asserting a claim against us or any director or officer of our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as to which the Court of Chancery and the federal district court for the District of Delaware shall concurrently be the sole and exclusive forums. Notwithstanding the foregoing, the inclusion of such provision in our amended and restated certificate of incorporation will not be deemed to be a waiver by our stockholders of our obligation to comply with federal securities laws, rules and regulations, and the provisions of this paragraph will not apply to suits brought to enforce any liability or duty created by the Exchange Act or any other claim for which the federal district courts of the United States of America shall be the sole and exclusive forum. Although we believe this provision benefits us by providing increased consistency in the application of Delaware law in the types of lawsuits to which it applies, the provision may have the effect of discouraging lawsuits against our directors and officers. Furthermore, the enforceability of choice of forum provisions in other companies’ certificates of incorporation has been challenged in legal proceedings, and it is possible that a court could find these types of provisions to be inapplicable or unenforceable.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5" w:name="page276"/>
    <w:bookmarkEnd w:id="27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COMPARISON OF CORPORATE GOVERNANCE AND STOCKHOLDER RIGHTS</w:t>
      </w:r>
    </w:p>
    <w:p>
      <w:pPr>
        <w:spacing w:after="0" w:line="14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Set forth below is a summary comparison of material differences between the rights of BCTG stockholders under the Current Charter and Current Bylaws (left column) and under the Proposed Charter and the proposed amended and restated bylaws of New Tango, (the “</w:t>
      </w:r>
      <w:r>
        <w:rPr>
          <w:rFonts w:ascii="Arial" w:cs="Arial" w:eastAsia="Arial" w:hAnsi="Arial"/>
          <w:sz w:val="17"/>
          <w:szCs w:val="17"/>
          <w:b w:val="1"/>
          <w:bCs w:val="1"/>
          <w:color w:val="auto"/>
        </w:rPr>
        <w:t>Proposed Bylaws</w:t>
      </w:r>
      <w:r>
        <w:rPr>
          <w:rFonts w:ascii="Arial" w:cs="Arial" w:eastAsia="Arial" w:hAnsi="Arial"/>
          <w:sz w:val="17"/>
          <w:szCs w:val="17"/>
          <w:color w:val="auto"/>
        </w:rPr>
        <w:t>”) (right column). The summary set forth below is not intended to be complete or to provide a comprehensive discussion of the governing documents described herein. The summary below is subject to, and qualified in its entirety by reference to, the full text of Current Charter and Current Bylaws as well as the Proposed Charter a copy of which is attached as Annex BC to this proxy statement/prospectus, and the Proposed Bylaws, a copy of which is filed as Exhibit 3.4, to the Registration Statement of which this proxy statement/prospectus forms a part, as well as the relevant provisions of the DGCL. You should carefully read this entire document and the other referenced documents, including the governing corporate instruments, for a more complete understanding of the differences between being an BCTG stockholder before the Business Combination and being a New Tango stockholder following the completion of the Business Combination.</w:t>
      </w:r>
    </w:p>
    <w:p>
      <w:pPr>
        <w:spacing w:after="0" w:line="111" w:lineRule="exact"/>
        <w:rPr>
          <w:sz w:val="20"/>
          <w:szCs w:val="20"/>
          <w:color w:val="auto"/>
        </w:rPr>
      </w:pPr>
    </w:p>
    <w:p>
      <w:pPr>
        <w:ind w:left="460" w:right="1319" w:firstLine="432"/>
        <w:spacing w:after="0" w:line="277" w:lineRule="auto"/>
        <w:rPr>
          <w:sz w:val="20"/>
          <w:szCs w:val="20"/>
          <w:color w:val="auto"/>
        </w:rPr>
      </w:pPr>
      <w:r>
        <w:rPr>
          <w:rFonts w:ascii="Arial" w:cs="Arial" w:eastAsia="Arial" w:hAnsi="Arial"/>
          <w:sz w:val="18"/>
          <w:szCs w:val="18"/>
          <w:color w:val="auto"/>
        </w:rPr>
        <w:t>For more information on the Charter Amendment Proposal, see the section titled “</w:t>
      </w:r>
      <w:r>
        <w:rPr>
          <w:rFonts w:ascii="Arial" w:cs="Arial" w:eastAsia="Arial" w:hAnsi="Arial"/>
          <w:sz w:val="18"/>
          <w:szCs w:val="18"/>
          <w:i w:val="1"/>
          <w:iCs w:val="1"/>
          <w:color w:val="auto"/>
        </w:rPr>
        <w:t>The Charter</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 Proposal.</w:t>
      </w:r>
      <w:r>
        <w:rPr>
          <w:rFonts w:ascii="Arial" w:cs="Arial" w:eastAsia="Arial" w:hAnsi="Arial"/>
          <w:sz w:val="18"/>
          <w:szCs w:val="18"/>
          <w:color w:val="auto"/>
        </w:rPr>
        <w:t>”</w:t>
      </w:r>
    </w:p>
    <w:p>
      <w:pPr>
        <w:spacing w:after="0" w:line="279" w:lineRule="exact"/>
        <w:rPr>
          <w:sz w:val="20"/>
          <w:szCs w:val="20"/>
          <w:color w:val="auto"/>
        </w:rPr>
      </w:pPr>
    </w:p>
    <w:p>
      <w:pPr>
        <w:ind w:left="2180"/>
        <w:spacing w:after="0"/>
        <w:tabs>
          <w:tab w:leader="none" w:pos="6120" w:val="left"/>
        </w:tabs>
        <w:rPr>
          <w:sz w:val="20"/>
          <w:szCs w:val="20"/>
          <w:color w:val="auto"/>
        </w:rPr>
      </w:pPr>
      <w:r>
        <w:rPr>
          <w:rFonts w:ascii="Arial" w:cs="Arial" w:eastAsia="Arial" w:hAnsi="Arial"/>
          <w:sz w:val="16"/>
          <w:szCs w:val="16"/>
          <w:b w:val="1"/>
          <w:bCs w:val="1"/>
          <w:color w:val="auto"/>
        </w:rPr>
        <w:t>BCTG</w:t>
      </w:r>
      <w:r>
        <w:rPr>
          <w:sz w:val="20"/>
          <w:szCs w:val="20"/>
          <w:color w:val="auto"/>
        </w:rPr>
        <w:tab/>
      </w:r>
      <w:r>
        <w:rPr>
          <w:rFonts w:ascii="Arial" w:cs="Arial" w:eastAsia="Arial" w:hAnsi="Arial"/>
          <w:sz w:val="16"/>
          <w:szCs w:val="16"/>
          <w:b w:val="1"/>
          <w:bCs w:val="1"/>
          <w:color w:val="auto"/>
        </w:rPr>
        <w:t>New Tango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Name Change</w:t>
      </w:r>
    </w:p>
    <w:p>
      <w:pPr>
        <w:sectPr>
          <w:pgSz w:w="11900" w:h="16838" w:orient="portrait"/>
          <w:cols w:equalWidth="0" w:num="1">
            <w:col w:w="9019"/>
          </w:cols>
          <w:pgMar w:left="1440" w:top="274" w:right="1440" w:bottom="1440" w:gutter="0" w:footer="0" w:header="0"/>
        </w:sectPr>
      </w:pPr>
    </w:p>
    <w:p>
      <w:pPr>
        <w:spacing w:after="0" w:line="50"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BCTG’s current name is BCTG Acquisition Corp.</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1099"/>
        <w:spacing w:after="0" w:line="277" w:lineRule="auto"/>
        <w:rPr>
          <w:sz w:val="20"/>
          <w:szCs w:val="20"/>
          <w:color w:val="auto"/>
        </w:rPr>
      </w:pPr>
      <w:r>
        <w:rPr>
          <w:rFonts w:ascii="Arial" w:cs="Arial" w:eastAsia="Arial" w:hAnsi="Arial"/>
          <w:sz w:val="18"/>
          <w:szCs w:val="18"/>
          <w:color w:val="auto"/>
        </w:rPr>
        <w:t>BCTG will change its corporate name to Tango Therapeutics, Inc.</w:t>
      </w:r>
    </w:p>
    <w:p>
      <w:pPr>
        <w:spacing w:after="0" w:line="143" w:lineRule="exact"/>
        <w:rPr>
          <w:sz w:val="20"/>
          <w:szCs w:val="20"/>
          <w:color w:val="auto"/>
        </w:rPr>
      </w:pPr>
    </w:p>
    <w:p>
      <w:pPr>
        <w:sectPr>
          <w:pgSz w:w="11900" w:h="16838" w:orient="portrait"/>
          <w:cols w:equalWidth="0" w:num="2">
            <w:col w:w="4060" w:space="440"/>
            <w:col w:w="4519"/>
          </w:cols>
          <w:pgMar w:left="1440" w:top="274" w:right="1440" w:bottom="1440" w:gutter="0" w:footer="0" w:header="0"/>
          <w:type w:val="continuous"/>
        </w:sectPr>
      </w:pPr>
    </w:p>
    <w:p>
      <w:pPr>
        <w:jc w:val="center"/>
        <w:ind w:right="19"/>
        <w:spacing w:after="0"/>
        <w:rPr>
          <w:sz w:val="20"/>
          <w:szCs w:val="20"/>
          <w:color w:val="auto"/>
        </w:rPr>
      </w:pPr>
      <w:r>
        <w:rPr>
          <w:rFonts w:ascii="Arial" w:cs="Arial" w:eastAsia="Arial" w:hAnsi="Arial"/>
          <w:sz w:val="13"/>
          <w:szCs w:val="13"/>
          <w:b w:val="1"/>
          <w:bCs w:val="1"/>
          <w:i w:val="1"/>
          <w:iCs w:val="1"/>
          <w:color w:val="auto"/>
        </w:rPr>
        <w:t>Purpose</w:t>
      </w:r>
    </w:p>
    <w:p>
      <w:pPr>
        <w:sectPr>
          <w:pgSz w:w="11900" w:h="16838" w:orient="portrait"/>
          <w:cols w:equalWidth="0" w:num="1">
            <w:col w:w="9019"/>
          </w:cols>
          <w:pgMar w:left="1440" w:top="274" w:right="1440" w:bottom="1440" w:gutter="0" w:footer="0" w:header="0"/>
          <w:type w:val="continuous"/>
        </w:sectPr>
      </w:pPr>
    </w:p>
    <w:p>
      <w:pPr>
        <w:spacing w:after="0" w:line="107" w:lineRule="exact"/>
        <w:rPr>
          <w:sz w:val="20"/>
          <w:szCs w:val="20"/>
          <w:color w:val="auto"/>
        </w:rPr>
      </w:pPr>
    </w:p>
    <w:p>
      <w:pPr>
        <w:ind w:left="460"/>
        <w:spacing w:after="0" w:line="263"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in Delaware.</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right="519"/>
        <w:spacing w:after="0" w:line="263" w:lineRule="auto"/>
        <w:rPr>
          <w:sz w:val="20"/>
          <w:szCs w:val="20"/>
          <w:color w:val="auto"/>
        </w:rPr>
      </w:pPr>
      <w:r>
        <w:rPr>
          <w:rFonts w:ascii="Arial" w:cs="Arial" w:eastAsia="Arial" w:hAnsi="Arial"/>
          <w:sz w:val="18"/>
          <w:szCs w:val="18"/>
          <w:color w:val="auto"/>
        </w:rPr>
        <w:t>The purpose of the corporation will be to engage in any lawful act or activity for which corporations may be organized in Delaware.</w:t>
      </w:r>
    </w:p>
    <w:p>
      <w:pPr>
        <w:spacing w:after="0" w:line="157" w:lineRule="exact"/>
        <w:rPr>
          <w:sz w:val="20"/>
          <w:szCs w:val="20"/>
          <w:color w:val="auto"/>
        </w:rPr>
      </w:pPr>
    </w:p>
    <w:p>
      <w:pPr>
        <w:sectPr>
          <w:pgSz w:w="11900" w:h="16838" w:orient="portrait"/>
          <w:cols w:equalWidth="0" w:num="2">
            <w:col w:w="4200" w:space="300"/>
            <w:col w:w="4519"/>
          </w:cols>
          <w:pgMar w:left="1440" w:top="274" w:right="1440"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i w:val="1"/>
          <w:iCs w:val="1"/>
          <w:color w:val="auto"/>
        </w:rPr>
        <w:t>Authorized Capital Stock</w:t>
      </w:r>
    </w:p>
    <w:p>
      <w:pPr>
        <w:sectPr>
          <w:pgSz w:w="11900" w:h="16838" w:orient="portrait"/>
          <w:cols w:equalWidth="0" w:num="1">
            <w:col w:w="9019"/>
          </w:cols>
          <w:pgMar w:left="1440" w:top="274" w:right="1440" w:bottom="1440" w:gutter="0" w:footer="0" w:header="0"/>
          <w:type w:val="continuous"/>
        </w:sectPr>
      </w:pPr>
    </w:p>
    <w:p>
      <w:pPr>
        <w:spacing w:after="0" w:line="84"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The total number of shares of all classes of capital stock which BCTG is authorized to issue is 31,000,000 shares, each with a par value of $0.0001 per share, consisting of:</w:t>
      </w:r>
    </w:p>
    <w:p>
      <w:pPr>
        <w:spacing w:after="0" w:line="160"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color w:val="auto"/>
        </w:rPr>
        <w:t xml:space="preserve">BCTG </w:t>
      </w:r>
      <w:r>
        <w:rPr>
          <w:rFonts w:ascii="Arial" w:cs="Arial" w:eastAsia="Arial" w:hAnsi="Arial"/>
          <w:sz w:val="17"/>
          <w:szCs w:val="17"/>
          <w:i w:val="1"/>
          <w:iCs w:val="1"/>
          <w:color w:val="auto"/>
        </w:rPr>
        <w:t>Common Stock</w:t>
      </w:r>
      <w:r>
        <w:rPr>
          <w:rFonts w:ascii="Arial" w:cs="Arial" w:eastAsia="Arial" w:hAnsi="Arial"/>
          <w:sz w:val="17"/>
          <w:szCs w:val="17"/>
          <w:color w:val="auto"/>
        </w:rPr>
        <w:t>. The authorized common stock of BCTG consists of 30,000,000 shares of common stock, of which 21,377,250 were issued and outstanding as of April [•], 2021.</w:t>
      </w:r>
    </w:p>
    <w:p>
      <w:pPr>
        <w:spacing w:after="0" w:line="144" w:lineRule="exact"/>
        <w:rPr>
          <w:sz w:val="20"/>
          <w:szCs w:val="20"/>
          <w:color w:val="auto"/>
        </w:rPr>
      </w:pPr>
    </w:p>
    <w:p>
      <w:pPr>
        <w:ind w:left="460" w:right="100"/>
        <w:spacing w:after="0" w:line="279" w:lineRule="auto"/>
        <w:rPr>
          <w:sz w:val="20"/>
          <w:szCs w:val="20"/>
          <w:color w:val="auto"/>
        </w:rPr>
      </w:pPr>
      <w:r>
        <w:rPr>
          <w:rFonts w:ascii="Arial" w:cs="Arial" w:eastAsia="Arial" w:hAnsi="Arial"/>
          <w:sz w:val="17"/>
          <w:szCs w:val="17"/>
          <w:color w:val="auto"/>
        </w:rPr>
        <w:t xml:space="preserve">BCTG </w:t>
      </w:r>
      <w:r>
        <w:rPr>
          <w:rFonts w:ascii="Arial" w:cs="Arial" w:eastAsia="Arial" w:hAnsi="Arial"/>
          <w:sz w:val="17"/>
          <w:szCs w:val="17"/>
          <w:i w:val="1"/>
          <w:iCs w:val="1"/>
          <w:color w:val="auto"/>
        </w:rPr>
        <w:t>preferred stock</w:t>
      </w:r>
      <w:r>
        <w:rPr>
          <w:rFonts w:ascii="Arial" w:cs="Arial" w:eastAsia="Arial" w:hAnsi="Arial"/>
          <w:sz w:val="17"/>
          <w:szCs w:val="17"/>
          <w:color w:val="auto"/>
        </w:rPr>
        <w:t>. The authorized preferred stock of BCTG consists of 1,000,000 shares of preferred stock, of which no shares were issued and outstanding as of April [•], 2021.</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479"/>
        <w:spacing w:after="0" w:line="259" w:lineRule="auto"/>
        <w:rPr>
          <w:sz w:val="20"/>
          <w:szCs w:val="20"/>
          <w:color w:val="auto"/>
        </w:rPr>
      </w:pPr>
      <w:r>
        <w:rPr>
          <w:rFonts w:ascii="Arial" w:cs="Arial" w:eastAsia="Arial" w:hAnsi="Arial"/>
          <w:sz w:val="18"/>
          <w:szCs w:val="18"/>
          <w:color w:val="auto"/>
        </w:rPr>
        <w:t>The total number of shares of all classes of capital stock which New Tango is authorized to issue will be [•] shares each with a par value of $0.001 per share, consisting of:</w:t>
      </w:r>
    </w:p>
    <w:p>
      <w:pPr>
        <w:spacing w:after="0" w:line="160" w:lineRule="exact"/>
        <w:rPr>
          <w:sz w:val="20"/>
          <w:szCs w:val="20"/>
          <w:color w:val="auto"/>
        </w:rPr>
      </w:pPr>
    </w:p>
    <w:p>
      <w:pPr>
        <w:ind w:right="579"/>
        <w:spacing w:after="0" w:line="263" w:lineRule="auto"/>
        <w:rPr>
          <w:sz w:val="20"/>
          <w:szCs w:val="20"/>
          <w:color w:val="auto"/>
        </w:rPr>
      </w:pPr>
      <w:r>
        <w:rPr>
          <w:rFonts w:ascii="Arial" w:cs="Arial" w:eastAsia="Arial" w:hAnsi="Arial"/>
          <w:sz w:val="18"/>
          <w:szCs w:val="18"/>
          <w:color w:val="auto"/>
        </w:rPr>
        <w:t xml:space="preserve">New Tango </w:t>
      </w:r>
      <w:r>
        <w:rPr>
          <w:rFonts w:ascii="Arial" w:cs="Arial" w:eastAsia="Arial" w:hAnsi="Arial"/>
          <w:sz w:val="18"/>
          <w:szCs w:val="18"/>
          <w:i w:val="1"/>
          <w:iCs w:val="1"/>
          <w:color w:val="auto"/>
        </w:rPr>
        <w:t>Common Stock</w:t>
      </w:r>
      <w:r>
        <w:rPr>
          <w:rFonts w:ascii="Arial" w:cs="Arial" w:eastAsia="Arial" w:hAnsi="Arial"/>
          <w:sz w:val="18"/>
          <w:szCs w:val="18"/>
          <w:color w:val="auto"/>
        </w:rPr>
        <w:t>. The authorized common stock of New Tango will consist of [•] shares of common stock.</w:t>
      </w:r>
    </w:p>
    <w:p>
      <w:pPr>
        <w:spacing w:after="0" w:line="373" w:lineRule="exact"/>
        <w:rPr>
          <w:sz w:val="20"/>
          <w:szCs w:val="20"/>
          <w:color w:val="auto"/>
        </w:rPr>
      </w:pPr>
    </w:p>
    <w:p>
      <w:pPr>
        <w:ind w:right="539"/>
        <w:spacing w:after="0" w:line="263" w:lineRule="auto"/>
        <w:rPr>
          <w:sz w:val="20"/>
          <w:szCs w:val="20"/>
          <w:color w:val="auto"/>
        </w:rPr>
      </w:pPr>
      <w:r>
        <w:rPr>
          <w:rFonts w:ascii="Arial" w:cs="Arial" w:eastAsia="Arial" w:hAnsi="Arial"/>
          <w:sz w:val="18"/>
          <w:szCs w:val="18"/>
          <w:color w:val="auto"/>
        </w:rPr>
        <w:t xml:space="preserve">New Tango </w:t>
      </w:r>
      <w:r>
        <w:rPr>
          <w:rFonts w:ascii="Arial" w:cs="Arial" w:eastAsia="Arial" w:hAnsi="Arial"/>
          <w:sz w:val="18"/>
          <w:szCs w:val="18"/>
          <w:i w:val="1"/>
          <w:iCs w:val="1"/>
          <w:color w:val="auto"/>
        </w:rPr>
        <w:t>preferred stock</w:t>
      </w:r>
      <w:r>
        <w:rPr>
          <w:rFonts w:ascii="Arial" w:cs="Arial" w:eastAsia="Arial" w:hAnsi="Arial"/>
          <w:sz w:val="18"/>
          <w:szCs w:val="18"/>
          <w:color w:val="auto"/>
        </w:rPr>
        <w:t>. The authorized preferred stock of New Tango will consist of [•] shares of preferred stock.</w:t>
      </w:r>
    </w:p>
    <w:p>
      <w:pPr>
        <w:spacing w:after="0" w:line="372" w:lineRule="exact"/>
        <w:rPr>
          <w:sz w:val="20"/>
          <w:szCs w:val="20"/>
          <w:color w:val="auto"/>
        </w:rPr>
      </w:pPr>
    </w:p>
    <w:p>
      <w:pPr>
        <w:sectPr>
          <w:pgSz w:w="11900" w:h="16838" w:orient="portrait"/>
          <w:cols w:equalWidth="0" w:num="2">
            <w:col w:w="4280" w:space="220"/>
            <w:col w:w="4519"/>
          </w:cols>
          <w:pgMar w:left="1440" w:top="274" w:right="1440"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i w:val="1"/>
          <w:iCs w:val="1"/>
          <w:color w:val="auto"/>
        </w:rPr>
        <w:t>Rights of Preferred Stock</w:t>
      </w:r>
    </w:p>
    <w:p>
      <w:pPr>
        <w:sectPr>
          <w:pgSz w:w="11900" w:h="16838" w:orient="portrait"/>
          <w:cols w:equalWidth="0" w:num="1">
            <w:col w:w="9019"/>
          </w:cols>
          <w:pgMar w:left="1440" w:top="274" w:right="1440" w:bottom="1440" w:gutter="0" w:footer="0" w:header="0"/>
          <w:type w:val="continuous"/>
        </w:sectPr>
      </w:pPr>
    </w:p>
    <w:p>
      <w:pPr>
        <w:spacing w:after="0" w:line="84" w:lineRule="exact"/>
        <w:rPr>
          <w:sz w:val="20"/>
          <w:szCs w:val="20"/>
          <w:color w:val="auto"/>
        </w:rPr>
      </w:pPr>
    </w:p>
    <w:p>
      <w:pPr>
        <w:ind w:left="460"/>
        <w:spacing w:after="0" w:line="268" w:lineRule="auto"/>
        <w:rPr>
          <w:sz w:val="20"/>
          <w:szCs w:val="20"/>
          <w:color w:val="auto"/>
        </w:rPr>
      </w:pPr>
      <w:r>
        <w:rPr>
          <w:rFonts w:ascii="Arial" w:cs="Arial" w:eastAsia="Arial" w:hAnsi="Arial"/>
          <w:sz w:val="17"/>
          <w:szCs w:val="17"/>
          <w:color w:val="auto"/>
        </w:rPr>
        <w:t>The Charter permits the Board to provide out of the unissued shares of preferred stock for one or more series of preferred stock and to establish from time to time the number of shares to be included in each such series, to fix the voting rights, if any, powers, designations, preference and relative, participating, optional, special, and other rights, if any, of each such series and any qualifications, limitations and restrictions thereof. The rights of each series of preferred stock shall be stated in the resolution or resolutions adopted by the Board providing for the issuance of such series of preferred stock and included in a certificate of designation (a “</w:t>
      </w:r>
      <w:r>
        <w:rPr>
          <w:rFonts w:ascii="Arial" w:cs="Arial" w:eastAsia="Arial" w:hAnsi="Arial"/>
          <w:sz w:val="17"/>
          <w:szCs w:val="17"/>
          <w:b w:val="1"/>
          <w:bCs w:val="1"/>
          <w:color w:val="auto"/>
        </w:rPr>
        <w:t>Preferred Stock</w:t>
      </w:r>
      <w:r>
        <w:rPr>
          <w:rFonts w:ascii="Arial" w:cs="Arial" w:eastAsia="Arial" w:hAnsi="Arial"/>
          <w:sz w:val="17"/>
          <w:szCs w:val="17"/>
          <w:color w:val="auto"/>
        </w:rPr>
        <w:t xml:space="preserve"> </w:t>
      </w:r>
      <w:r>
        <w:rPr>
          <w:rFonts w:ascii="Arial" w:cs="Arial" w:eastAsia="Arial" w:hAnsi="Arial"/>
          <w:sz w:val="17"/>
          <w:szCs w:val="17"/>
          <w:b w:val="1"/>
          <w:bCs w:val="1"/>
          <w:color w:val="auto"/>
        </w:rPr>
        <w:t>Designation</w:t>
      </w:r>
      <w:r>
        <w:rPr>
          <w:rFonts w:ascii="Arial" w:cs="Arial" w:eastAsia="Arial" w:hAnsi="Arial"/>
          <w:sz w:val="17"/>
          <w:szCs w:val="17"/>
          <w:color w:val="auto"/>
        </w:rPr>
        <w:t>”) filed pursuant to the DGCL.</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499"/>
        <w:spacing w:after="0" w:line="286" w:lineRule="auto"/>
        <w:rPr>
          <w:sz w:val="20"/>
          <w:szCs w:val="20"/>
          <w:color w:val="auto"/>
        </w:rPr>
      </w:pPr>
      <w:r>
        <w:rPr>
          <w:rFonts w:ascii="Arial" w:cs="Arial" w:eastAsia="Arial" w:hAnsi="Arial"/>
          <w:sz w:val="16"/>
          <w:szCs w:val="16"/>
          <w:color w:val="auto"/>
        </w:rPr>
        <w:t>The Proposed Charter would permit New Tango’s Board to provide out of the unissued shares of preferred stock for one or more series of preferred stock and to establish from time to time the number of shares to be included in each such series, to fix the voting rights, if any, powers, designations, preference and relative, participating, optional, special, and other rights, if any, of each such series and any qualifications, limitations and restrictions thereof. The rights of each series of preferred stock shall be stated in the resolution or resolutions adopted by the Board providing for the issuance of such series of preferred stock and included in a Preferred Stock Designation filed pursuant to the DGCL.</w:t>
      </w:r>
    </w:p>
    <w:p>
      <w:pPr>
        <w:spacing w:after="0" w:line="184" w:lineRule="exact"/>
        <w:rPr>
          <w:sz w:val="20"/>
          <w:szCs w:val="20"/>
          <w:color w:val="auto"/>
        </w:rPr>
      </w:pPr>
    </w:p>
    <w:p>
      <w:pPr>
        <w:sectPr>
          <w:pgSz w:w="11900" w:h="16838" w:orient="portrait"/>
          <w:cols w:equalWidth="0" w:num="2">
            <w:col w:w="4380" w:space="120"/>
            <w:col w:w="4519"/>
          </w:cols>
          <w:pgMar w:left="1440" w:top="274"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76" w:name="page277"/>
    <w:bookmarkEnd w:id="27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334" w:lineRule="exact"/>
        <w:rPr>
          <w:sz w:val="20"/>
          <w:szCs w:val="20"/>
          <w:color w:val="auto"/>
        </w:rPr>
      </w:pPr>
    </w:p>
    <w:p>
      <w:pPr>
        <w:jc w:val="both"/>
        <w:ind w:left="2180"/>
        <w:spacing w:after="0"/>
        <w:tabs>
          <w:tab w:leader="none" w:pos="6120" w:val="left"/>
        </w:tabs>
        <w:rPr>
          <w:sz w:val="20"/>
          <w:szCs w:val="20"/>
          <w:color w:val="auto"/>
        </w:rPr>
      </w:pPr>
      <w:r>
        <w:rPr>
          <w:rFonts w:ascii="Arial" w:cs="Arial" w:eastAsia="Arial" w:hAnsi="Arial"/>
          <w:sz w:val="16"/>
          <w:szCs w:val="16"/>
          <w:b w:val="1"/>
          <w:bCs w:val="1"/>
          <w:color w:val="auto"/>
        </w:rPr>
        <w:t>BCTG</w:t>
      </w:r>
      <w:r>
        <w:rPr>
          <w:sz w:val="20"/>
          <w:szCs w:val="20"/>
          <w:color w:val="auto"/>
        </w:rPr>
        <w:tab/>
      </w:r>
      <w:r>
        <w:rPr>
          <w:rFonts w:ascii="Arial" w:cs="Arial" w:eastAsia="Arial" w:hAnsi="Arial"/>
          <w:sz w:val="16"/>
          <w:szCs w:val="16"/>
          <w:b w:val="1"/>
          <w:bCs w:val="1"/>
          <w:color w:val="auto"/>
        </w:rPr>
        <w:t>New Tango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Conversion</w:t>
      </w:r>
    </w:p>
    <w:p>
      <w:pPr>
        <w:sectPr>
          <w:pgSz w:w="11900" w:h="16838" w:orient="portrait"/>
          <w:cols w:equalWidth="0" w:num="1">
            <w:col w:w="9019"/>
          </w:cols>
          <w:pgMar w:left="1440" w:top="274" w:right="1440" w:bottom="1440" w:gutter="0" w:footer="0" w:header="0"/>
        </w:sectPr>
      </w:pPr>
    </w:p>
    <w:p>
      <w:pPr>
        <w:spacing w:after="0" w:line="50"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Any right of conversion of BCTG preferred stock, as it may be issued from time to time, into any other series of preferred stock or common stock in BCTG, shall be fixed by the Board as part of the preferred stock’s terms.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539"/>
        <w:spacing w:after="0" w:line="257" w:lineRule="auto"/>
        <w:rPr>
          <w:sz w:val="20"/>
          <w:szCs w:val="20"/>
          <w:color w:val="auto"/>
        </w:rPr>
      </w:pPr>
      <w:r>
        <w:rPr>
          <w:rFonts w:ascii="Arial" w:cs="Arial" w:eastAsia="Arial" w:hAnsi="Arial"/>
          <w:sz w:val="18"/>
          <w:szCs w:val="18"/>
          <w:color w:val="auto"/>
        </w:rPr>
        <w:t>Any right of conversion of New Tango preferred stock, as it may be issued from time to time, into any other series of preferred stock or common stock in New Tango, shall be fixed by the Board as part of the preferred stock’s terms.</w:t>
      </w:r>
    </w:p>
    <w:p>
      <w:pPr>
        <w:spacing w:after="0" w:line="161" w:lineRule="exact"/>
        <w:rPr>
          <w:sz w:val="20"/>
          <w:szCs w:val="20"/>
          <w:color w:val="auto"/>
        </w:rPr>
      </w:pPr>
    </w:p>
    <w:p>
      <w:pPr>
        <w:sectPr>
          <w:pgSz w:w="11900" w:h="16838" w:orient="portrait"/>
          <w:cols w:equalWidth="0" w:num="2">
            <w:col w:w="4260" w:space="240"/>
            <w:col w:w="4519"/>
          </w:cols>
          <w:pgMar w:left="1440" w:top="274" w:right="1440"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i w:val="1"/>
          <w:iCs w:val="1"/>
          <w:color w:val="auto"/>
        </w:rPr>
        <w:t>Number and Qualification of Directors</w:t>
      </w:r>
    </w:p>
    <w:p>
      <w:pPr>
        <w:sectPr>
          <w:pgSz w:w="11900" w:h="16838" w:orient="portrait"/>
          <w:cols w:equalWidth="0" w:num="1">
            <w:col w:w="9019"/>
          </w:cols>
          <w:pgMar w:left="1440" w:top="274" w:right="1440" w:bottom="1440" w:gutter="0" w:footer="0" w:header="0"/>
          <w:type w:val="continuous"/>
        </w:sectPr>
      </w:pPr>
    </w:p>
    <w:p>
      <w:pPr>
        <w:spacing w:after="0" w:line="73" w:lineRule="exact"/>
        <w:rPr>
          <w:sz w:val="20"/>
          <w:szCs w:val="20"/>
          <w:color w:val="auto"/>
        </w:rPr>
      </w:pPr>
    </w:p>
    <w:p>
      <w:pPr>
        <w:ind w:left="460"/>
        <w:spacing w:after="0" w:line="296" w:lineRule="auto"/>
        <w:rPr>
          <w:sz w:val="20"/>
          <w:szCs w:val="20"/>
          <w:color w:val="auto"/>
        </w:rPr>
      </w:pPr>
      <w:r>
        <w:rPr>
          <w:rFonts w:ascii="Arial" w:cs="Arial" w:eastAsia="Arial" w:hAnsi="Arial"/>
          <w:sz w:val="16"/>
          <w:szCs w:val="16"/>
          <w:color w:val="auto"/>
        </w:rPr>
        <w:t>Subject to the rights of holders of any series of preferred stock to elect directors, the number of directors that constitute the Board shall be determined from time to time by resolution of the majority of the Board. Directors need not be stockholders of BCTG.</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859"/>
        <w:spacing w:after="0" w:line="273" w:lineRule="auto"/>
        <w:rPr>
          <w:sz w:val="20"/>
          <w:szCs w:val="20"/>
          <w:color w:val="auto"/>
        </w:rPr>
      </w:pPr>
      <w:r>
        <w:rPr>
          <w:rFonts w:ascii="Arial" w:cs="Arial" w:eastAsia="Arial" w:hAnsi="Arial"/>
          <w:sz w:val="17"/>
          <w:szCs w:val="17"/>
          <w:color w:val="auto"/>
        </w:rPr>
        <w:t>Subject to the rights of holders of any series of preferred stock to elect directors, the number of directors that constitute New Tango Board shall be determined from time to time by resolution of the majority of the Board. Directors need not be stockholders of New Tango.</w:t>
      </w:r>
    </w:p>
    <w:p>
      <w:pPr>
        <w:spacing w:after="0" w:line="151" w:lineRule="exact"/>
        <w:rPr>
          <w:sz w:val="20"/>
          <w:szCs w:val="20"/>
          <w:color w:val="auto"/>
        </w:rPr>
      </w:pPr>
    </w:p>
    <w:p>
      <w:pPr>
        <w:sectPr>
          <w:pgSz w:w="11900" w:h="16838" w:orient="portrait"/>
          <w:cols w:equalWidth="0" w:num="2">
            <w:col w:w="4340" w:space="160"/>
            <w:col w:w="4519"/>
          </w:cols>
          <w:pgMar w:left="1440" w:top="274" w:right="1440"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i w:val="1"/>
          <w:iCs w:val="1"/>
          <w:color w:val="auto"/>
        </w:rPr>
        <w:t>Structure of Board; Election of Directors</w:t>
      </w:r>
    </w:p>
    <w:p>
      <w:pPr>
        <w:sectPr>
          <w:pgSz w:w="11900" w:h="16838" w:orient="portrait"/>
          <w:cols w:equalWidth="0" w:num="1">
            <w:col w:w="9019"/>
          </w:cols>
          <w:pgMar w:left="1440" w:top="274" w:right="1440" w:bottom="1440" w:gutter="0" w:footer="0" w:header="0"/>
          <w:type w:val="continuous"/>
        </w:sectPr>
      </w:pPr>
    </w:p>
    <w:p>
      <w:pPr>
        <w:spacing w:after="0" w:line="84" w:lineRule="exact"/>
        <w:rPr>
          <w:sz w:val="20"/>
          <w:szCs w:val="20"/>
          <w:color w:val="auto"/>
        </w:rPr>
      </w:pPr>
    </w:p>
    <w:p>
      <w:pPr>
        <w:ind w:left="460" w:right="80"/>
        <w:spacing w:after="0" w:line="275" w:lineRule="auto"/>
        <w:rPr>
          <w:sz w:val="20"/>
          <w:szCs w:val="20"/>
          <w:color w:val="auto"/>
        </w:rPr>
      </w:pPr>
      <w:r>
        <w:rPr>
          <w:rFonts w:ascii="Arial" w:cs="Arial" w:eastAsia="Arial" w:hAnsi="Arial"/>
          <w:sz w:val="17"/>
          <w:szCs w:val="17"/>
          <w:color w:val="auto"/>
        </w:rPr>
        <w:t>Delaware law permits a corporation to classify its board of directors into as many as three classes with staggered terms of office. Under the Charter, the Board is classified into three classes of directors with staggered terms of office.</w:t>
      </w:r>
    </w:p>
    <w:p>
      <w:pPr>
        <w:spacing w:after="0" w:line="109"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If one or more series of preferred stock are granted the right to elect one or more directors, those directors shall be excluded from the allocation of directors into three classes unless otherwise expressly provided in the applicable Preferred Stock Designation. Subject to the rights of the holders of one or more series of preferred stock to elect directors, the election of directors shall be determined by a majority of the votes cast.</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479"/>
        <w:spacing w:after="0" w:line="296" w:lineRule="auto"/>
        <w:rPr>
          <w:sz w:val="20"/>
          <w:szCs w:val="20"/>
          <w:color w:val="auto"/>
        </w:rPr>
      </w:pPr>
      <w:r>
        <w:rPr>
          <w:rFonts w:ascii="Arial" w:cs="Arial" w:eastAsia="Arial" w:hAnsi="Arial"/>
          <w:sz w:val="16"/>
          <w:szCs w:val="16"/>
          <w:color w:val="auto"/>
        </w:rPr>
        <w:t>Delaware law permits a corporation to classify its board of directors into as many as three classes with staggered terms of office. Under the Proposed Charter, New Tango’s Board will be classified into three classes of directors with staggered terms of office.</w:t>
      </w:r>
    </w:p>
    <w:p>
      <w:pPr>
        <w:spacing w:after="0" w:line="94" w:lineRule="exact"/>
        <w:rPr>
          <w:sz w:val="20"/>
          <w:szCs w:val="20"/>
          <w:color w:val="auto"/>
        </w:rPr>
      </w:pPr>
    </w:p>
    <w:p>
      <w:pPr>
        <w:ind w:right="479"/>
        <w:spacing w:after="0" w:line="290" w:lineRule="auto"/>
        <w:rPr>
          <w:sz w:val="20"/>
          <w:szCs w:val="20"/>
          <w:color w:val="auto"/>
        </w:rPr>
      </w:pPr>
      <w:r>
        <w:rPr>
          <w:rFonts w:ascii="Arial" w:cs="Arial" w:eastAsia="Arial" w:hAnsi="Arial"/>
          <w:sz w:val="16"/>
          <w:szCs w:val="16"/>
          <w:color w:val="auto"/>
        </w:rPr>
        <w:t>If the number of directors changes, the change will be distributed in the discretion of the Board, but a decrease in the number of directors will not shorten the term of any incumbent. If one or more series of preferred stock are granted the right to elect one or more directors, those directors shall be excluded from the allocation of directors into three classes unless otherwise expressly provided in the applicable Preferred Stock Designation.</w:t>
      </w:r>
    </w:p>
    <w:p>
      <w:pPr>
        <w:spacing w:after="0" w:line="84" w:lineRule="exact"/>
        <w:rPr>
          <w:sz w:val="20"/>
          <w:szCs w:val="20"/>
          <w:color w:val="auto"/>
        </w:rPr>
      </w:pPr>
    </w:p>
    <w:p>
      <w:pPr>
        <w:ind w:right="479"/>
        <w:spacing w:after="0" w:line="259" w:lineRule="auto"/>
        <w:rPr>
          <w:sz w:val="20"/>
          <w:szCs w:val="20"/>
          <w:color w:val="auto"/>
        </w:rPr>
      </w:pPr>
      <w:r>
        <w:rPr>
          <w:rFonts w:ascii="Arial" w:cs="Arial" w:eastAsia="Arial" w:hAnsi="Arial"/>
          <w:sz w:val="18"/>
          <w:szCs w:val="18"/>
          <w:color w:val="auto"/>
        </w:rPr>
        <w:t>Subject to the rights of the holders of one or more series of preferred stock to elect directors, the election of directors shall be determined by a plurality of the votes cast.</w:t>
      </w:r>
    </w:p>
    <w:p>
      <w:pPr>
        <w:spacing w:after="0" w:line="160" w:lineRule="exact"/>
        <w:rPr>
          <w:sz w:val="20"/>
          <w:szCs w:val="20"/>
          <w:color w:val="auto"/>
        </w:rPr>
      </w:pPr>
    </w:p>
    <w:p>
      <w:pPr>
        <w:sectPr>
          <w:pgSz w:w="11900" w:h="16838" w:orient="portrait"/>
          <w:cols w:equalWidth="0" w:num="2">
            <w:col w:w="4380" w:space="120"/>
            <w:col w:w="4519"/>
          </w:cols>
          <w:pgMar w:left="1440" w:top="274" w:right="1440"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i w:val="1"/>
          <w:iCs w:val="1"/>
          <w:color w:val="auto"/>
        </w:rPr>
        <w:t>Removal of Directors</w:t>
      </w:r>
    </w:p>
    <w:p>
      <w:pPr>
        <w:sectPr>
          <w:pgSz w:w="11900" w:h="16838" w:orient="portrait"/>
          <w:cols w:equalWidth="0" w:num="1">
            <w:col w:w="9019"/>
          </w:cols>
          <w:pgMar w:left="1440" w:top="274" w:right="1440" w:bottom="1440" w:gutter="0" w:footer="0" w:header="0"/>
          <w:type w:val="continuous"/>
        </w:sectPr>
      </w:pPr>
    </w:p>
    <w:p>
      <w:pPr>
        <w:spacing w:after="0" w:line="84"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Directors may be removed at any time by the affirmative vote of the majority of the voting power of all then outstanding capital shares of BCTG entitled to vote in the election of directors, voting together as a single class.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479"/>
        <w:spacing w:after="0" w:line="254" w:lineRule="auto"/>
        <w:rPr>
          <w:sz w:val="20"/>
          <w:szCs w:val="20"/>
          <w:color w:val="auto"/>
        </w:rPr>
      </w:pPr>
      <w:r>
        <w:rPr>
          <w:rFonts w:ascii="Arial" w:cs="Arial" w:eastAsia="Arial" w:hAnsi="Arial"/>
          <w:sz w:val="18"/>
          <w:szCs w:val="18"/>
          <w:color w:val="auto"/>
        </w:rPr>
        <w:t>Subject to the rights of the holders of one or more series of preferred stock, directors may be removed at any time, but only for cause and only by the affirmative vote of at least 66⅔% of the voting power of all then outstanding capital shares of New Tango entitled to vote in the election of directors, voting together as a single class.</w:t>
      </w:r>
    </w:p>
    <w:p>
      <w:pPr>
        <w:spacing w:after="0" w:line="168" w:lineRule="exact"/>
        <w:rPr>
          <w:sz w:val="20"/>
          <w:szCs w:val="20"/>
          <w:color w:val="auto"/>
        </w:rPr>
      </w:pPr>
    </w:p>
    <w:p>
      <w:pPr>
        <w:sectPr>
          <w:pgSz w:w="11900" w:h="16838" w:orient="portrait"/>
          <w:cols w:equalWidth="0" w:num="2">
            <w:col w:w="4380" w:space="120"/>
            <w:col w:w="4519"/>
          </w:cols>
          <w:pgMar w:left="1440" w:top="274" w:right="1440"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i w:val="1"/>
          <w:iCs w:val="1"/>
          <w:color w:val="auto"/>
        </w:rPr>
        <w:t>Voting</w:t>
      </w:r>
    </w:p>
    <w:p>
      <w:pPr>
        <w:sectPr>
          <w:pgSz w:w="11900" w:h="16838" w:orient="portrait"/>
          <w:cols w:equalWidth="0" w:num="1">
            <w:col w:w="9019"/>
          </w:cols>
          <w:pgMar w:left="1440" w:top="274" w:right="1440" w:bottom="1440" w:gutter="0" w:footer="0" w:header="0"/>
          <w:type w:val="continuous"/>
        </w:sectPr>
      </w:pPr>
    </w:p>
    <w:p>
      <w:pPr>
        <w:spacing w:after="0" w:line="84" w:lineRule="exact"/>
        <w:rPr>
          <w:sz w:val="20"/>
          <w:szCs w:val="20"/>
          <w:color w:val="auto"/>
        </w:rPr>
      </w:pPr>
    </w:p>
    <w:p>
      <w:pPr>
        <w:ind w:left="460"/>
        <w:spacing w:after="0" w:line="293" w:lineRule="auto"/>
        <w:rPr>
          <w:sz w:val="20"/>
          <w:szCs w:val="20"/>
          <w:color w:val="auto"/>
        </w:rPr>
      </w:pPr>
      <w:r>
        <w:rPr>
          <w:rFonts w:ascii="Arial" w:cs="Arial" w:eastAsia="Arial" w:hAnsi="Arial"/>
          <w:sz w:val="16"/>
          <w:szCs w:val="16"/>
          <w:color w:val="auto"/>
        </w:rPr>
        <w:t>Except as otherwise required by statute, the Charter or any Preferred Stock Designation, the BCTG Common Stock possesses all power of voting, and each share of BCTG Common Stock shall entitle the holder to one vote. The BCTG Common Stock shall generally vote as a single class.</w:t>
      </w:r>
    </w:p>
    <w:p>
      <w:pPr>
        <w:spacing w:after="0" w:line="97" w:lineRule="exact"/>
        <w:rPr>
          <w:sz w:val="20"/>
          <w:szCs w:val="20"/>
          <w:color w:val="auto"/>
        </w:rPr>
      </w:pPr>
    </w:p>
    <w:p>
      <w:pPr>
        <w:ind w:left="460" w:right="20"/>
        <w:spacing w:after="0" w:line="269" w:lineRule="auto"/>
        <w:rPr>
          <w:sz w:val="20"/>
          <w:szCs w:val="20"/>
          <w:color w:val="auto"/>
        </w:rPr>
      </w:pPr>
      <w:r>
        <w:rPr>
          <w:rFonts w:ascii="Arial" w:cs="Arial" w:eastAsia="Arial" w:hAnsi="Arial"/>
          <w:sz w:val="17"/>
          <w:szCs w:val="17"/>
          <w:color w:val="auto"/>
        </w:rPr>
        <w:t>Subject to the rights of the holders of preferred stock to elect directors pursuant to the terms of one or more series of preferred stock, at all meetings at which a quorum is present, all matters presented to the stockholders at a meeting shall be determined by a majority of the votes cast. unless the matter is one upon which, by applicable law, the Charter, the Bylaws or applicable stock exchange rules, a different vote is required, in which case such provision shall govern and control.</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499"/>
        <w:spacing w:after="0" w:line="296" w:lineRule="auto"/>
        <w:rPr>
          <w:sz w:val="20"/>
          <w:szCs w:val="20"/>
          <w:color w:val="auto"/>
        </w:rPr>
      </w:pPr>
      <w:r>
        <w:rPr>
          <w:rFonts w:ascii="Arial" w:cs="Arial" w:eastAsia="Arial" w:hAnsi="Arial"/>
          <w:sz w:val="16"/>
          <w:szCs w:val="16"/>
          <w:color w:val="auto"/>
        </w:rPr>
        <w:t>Except as otherwise required by statute, the Proposed Charter or any Preferred Stock Designation that may be adopted, New Tango Common Stock will possess all power of voting, and each share of New Tango Common Stock shall entitle the holder to one vote.</w:t>
      </w:r>
    </w:p>
    <w:p>
      <w:pPr>
        <w:spacing w:after="0" w:line="94" w:lineRule="exact"/>
        <w:rPr>
          <w:sz w:val="20"/>
          <w:szCs w:val="20"/>
          <w:color w:val="auto"/>
        </w:rPr>
      </w:pPr>
    </w:p>
    <w:p>
      <w:pPr>
        <w:ind w:right="459"/>
        <w:spacing w:after="0" w:line="253" w:lineRule="auto"/>
        <w:rPr>
          <w:sz w:val="20"/>
          <w:szCs w:val="20"/>
          <w:color w:val="auto"/>
        </w:rPr>
      </w:pPr>
      <w:r>
        <w:rPr>
          <w:rFonts w:ascii="Arial" w:cs="Arial" w:eastAsia="Arial" w:hAnsi="Arial"/>
          <w:sz w:val="18"/>
          <w:szCs w:val="18"/>
          <w:color w:val="auto"/>
        </w:rPr>
        <w:t>Subject to the rights of the holders of preferred stock to elect directors pursuant to the terms of one or more series of preferred stock, as it may be issued from time to time, at all meetings at which a quorum is present, the election of directors shall be determined by a plurality of the votes cast. All other matters presented to the stockholders at a meeting at which a quorum is present shall be determined by the vote of a majority of the votes, unless the matter is one upon which, by applicable law, the Proposed Charter, New Tango Bylaws or</w:t>
      </w:r>
    </w:p>
    <w:p>
      <w:pPr>
        <w:spacing w:after="0" w:line="191" w:lineRule="exact"/>
        <w:rPr>
          <w:sz w:val="20"/>
          <w:szCs w:val="20"/>
          <w:color w:val="auto"/>
        </w:rPr>
      </w:pPr>
    </w:p>
    <w:p>
      <w:pPr>
        <w:sectPr>
          <w:pgSz w:w="11900" w:h="16838" w:orient="portrait"/>
          <w:cols w:equalWidth="0" w:num="2">
            <w:col w:w="4360" w:space="140"/>
            <w:col w:w="4519"/>
          </w:cols>
          <w:pgMar w:left="1440" w:top="274"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77" w:name="page278"/>
    <w:bookmarkEnd w:id="27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334" w:lineRule="exact"/>
        <w:rPr>
          <w:sz w:val="20"/>
          <w:szCs w:val="20"/>
          <w:color w:val="auto"/>
        </w:rPr>
      </w:pPr>
    </w:p>
    <w:p>
      <w:pPr>
        <w:ind w:left="2180"/>
        <w:spacing w:after="0"/>
        <w:tabs>
          <w:tab w:leader="none" w:pos="6120" w:val="left"/>
        </w:tabs>
        <w:rPr>
          <w:sz w:val="20"/>
          <w:szCs w:val="20"/>
          <w:color w:val="auto"/>
        </w:rPr>
      </w:pPr>
      <w:r>
        <w:rPr>
          <w:rFonts w:ascii="Arial" w:cs="Arial" w:eastAsia="Arial" w:hAnsi="Arial"/>
          <w:sz w:val="16"/>
          <w:szCs w:val="16"/>
          <w:b w:val="1"/>
          <w:bCs w:val="1"/>
          <w:color w:val="auto"/>
        </w:rPr>
        <w:t>BCTG</w:t>
      </w:r>
      <w:r>
        <w:rPr>
          <w:sz w:val="20"/>
          <w:szCs w:val="20"/>
          <w:color w:val="auto"/>
        </w:rPr>
        <w:tab/>
      </w:r>
      <w:r>
        <w:rPr>
          <w:rFonts w:ascii="Arial" w:cs="Arial" w:eastAsia="Arial" w:hAnsi="Arial"/>
          <w:sz w:val="16"/>
          <w:szCs w:val="16"/>
          <w:b w:val="1"/>
          <w:bCs w:val="1"/>
          <w:color w:val="auto"/>
        </w:rPr>
        <w:t>New Tango</w:t>
      </w:r>
    </w:p>
    <w:p>
      <w:pPr>
        <w:spacing w:after="0" w:line="7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applicable stock exchange rules, a different vote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required, in which case such provision shall govern and</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control.</w:t>
      </w:r>
    </w:p>
    <w:p>
      <w:pPr>
        <w:spacing w:after="0" w:line="143"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New Tango Common Stock shall not have the right to</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vote on any amendment to the Proposed Charter</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affecting the rights of any class of preferred stock that</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may be issued if the Proposed Charter, including any</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Preferred Stock Designation which may be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subsequently adopted, grants exclusive rights to vote on</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 amendment to one or more specified series of</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preferred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Supermajority Voting Provisions</w:t>
      </w:r>
    </w:p>
    <w:p>
      <w:pPr>
        <w:sectPr>
          <w:pgSz w:w="11900" w:h="16838" w:orient="portrait"/>
          <w:cols w:equalWidth="0" w:num="1">
            <w:col w:w="9019"/>
          </w:cols>
          <w:pgMar w:left="1440" w:top="274" w:right="1440" w:bottom="1440" w:gutter="0" w:footer="0" w:header="0"/>
        </w:sectPr>
      </w:pPr>
    </w:p>
    <w:p>
      <w:pPr>
        <w:spacing w:after="0" w:line="50"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Charter and Bylaws do not contain any supermajority voting provisions.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680" w:right="479"/>
        <w:spacing w:after="0" w:line="275" w:lineRule="auto"/>
        <w:rPr>
          <w:sz w:val="20"/>
          <w:szCs w:val="20"/>
          <w:color w:val="auto"/>
        </w:rPr>
      </w:pPr>
      <w:r>
        <w:rPr>
          <w:rFonts w:ascii="Arial" w:cs="Arial" w:eastAsia="Arial" w:hAnsi="Arial"/>
          <w:sz w:val="17"/>
          <w:szCs w:val="17"/>
          <w:color w:val="auto"/>
        </w:rPr>
        <w:t>Removal of any Director during their term may only be for cause and must be pursuant to the affirmative vote of at least two-third (2/3) of the voting power of all then outstanding capital shares of New Tango entitled to vote in the election of directors.</w:t>
      </w:r>
    </w:p>
    <w:p>
      <w:pPr>
        <w:spacing w:after="0" w:line="76" w:lineRule="exact"/>
        <w:rPr>
          <w:sz w:val="20"/>
          <w:szCs w:val="20"/>
          <w:color w:val="auto"/>
        </w:rPr>
      </w:pPr>
    </w:p>
    <w:p>
      <w:pPr>
        <w:ind w:left="680" w:right="599"/>
        <w:spacing w:after="0" w:line="309" w:lineRule="auto"/>
        <w:rPr>
          <w:sz w:val="20"/>
          <w:szCs w:val="20"/>
          <w:color w:val="auto"/>
        </w:rPr>
      </w:pPr>
      <w:r>
        <w:rPr>
          <w:rFonts w:ascii="Arial" w:cs="Arial" w:eastAsia="Arial" w:hAnsi="Arial"/>
          <w:sz w:val="16"/>
          <w:szCs w:val="16"/>
          <w:color w:val="auto"/>
        </w:rPr>
        <w:t>The affirmative vote of (i) at least 66⅔% of the outstanding shares of capital stock entitled to vote and</w:t>
      </w:r>
    </w:p>
    <w:p>
      <w:pPr>
        <w:ind w:left="680" w:right="539" w:firstLine="4"/>
        <w:spacing w:after="0" w:line="253" w:lineRule="auto"/>
        <w:tabs>
          <w:tab w:leader="none" w:pos="94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holders of at least 66⅔% of the then outstanding shares of capital stock then entitled to vote generally in the election of directors, voting together as a single class, will be required to amend, alter, change or repeal the provisions of the Proposed Charter governing the election and functions of the Board of Directors.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50" w:lineRule="exact"/>
        <w:rPr>
          <w:sz w:val="20"/>
          <w:szCs w:val="20"/>
          <w:color w:val="auto"/>
        </w:rPr>
      </w:pPr>
    </w:p>
    <w:p>
      <w:pPr>
        <w:sectPr>
          <w:pgSz w:w="11900" w:h="16838" w:orient="portrait"/>
          <w:cols w:equalWidth="0" w:num="2">
            <w:col w:w="3580" w:space="240"/>
            <w:col w:w="5199"/>
          </w:cols>
          <w:pgMar w:left="1440" w:top="274" w:right="1440" w:bottom="1440" w:gutter="0" w:footer="0" w:header="0"/>
          <w:type w:val="continuous"/>
        </w:sectPr>
      </w:pPr>
    </w:p>
    <w:p>
      <w:pPr>
        <w:ind w:left="460"/>
        <w:spacing w:after="0" w:line="257" w:lineRule="auto"/>
        <w:rPr>
          <w:sz w:val="20"/>
          <w:szCs w:val="20"/>
          <w:color w:val="auto"/>
        </w:rPr>
      </w:pPr>
      <w:r>
        <w:rPr>
          <w:rFonts w:ascii="Arial" w:cs="Arial" w:eastAsia="Arial" w:hAnsi="Arial"/>
          <w:sz w:val="18"/>
          <w:szCs w:val="18"/>
          <w:color w:val="auto"/>
        </w:rPr>
        <w:t>Delaware law provides that a corporation may grant stockholders cumulative voting rights for the election of directors in its certificate of incorporation; however, however, the Charter does not grant any such cumulative voting rights.</w:t>
      </w:r>
    </w:p>
    <w:p>
      <w:pPr>
        <w:spacing w:after="0" w:line="20" w:lineRule="exact"/>
        <w:rPr>
          <w:sz w:val="20"/>
          <w:szCs w:val="20"/>
          <w:color w:val="auto"/>
        </w:rPr>
      </w:pPr>
      <w:r>
        <w:rPr>
          <w:sz w:val="20"/>
          <w:szCs w:val="20"/>
          <w:color w:val="auto"/>
        </w:rPr>
        <w:br w:type="column"/>
      </w:r>
    </w:p>
    <w:p>
      <w:pPr>
        <w:ind w:right="479"/>
        <w:spacing w:after="0" w:line="257" w:lineRule="auto"/>
        <w:rPr>
          <w:sz w:val="20"/>
          <w:szCs w:val="20"/>
          <w:color w:val="auto"/>
        </w:rPr>
      </w:pPr>
      <w:r>
        <w:rPr>
          <w:rFonts w:ascii="Arial" w:cs="Arial" w:eastAsia="Arial" w:hAnsi="Arial"/>
          <w:sz w:val="18"/>
          <w:szCs w:val="18"/>
          <w:color w:val="auto"/>
        </w:rPr>
        <w:t>Delaware law provides that a corporation may grant stockholders cumulative voting rights for the election of directors in its certificate of incorporation; however, the Proposed Charter does not grant any such cumulative voting rights.</w:t>
      </w:r>
    </w:p>
    <w:p>
      <w:pPr>
        <w:spacing w:after="0" w:line="161" w:lineRule="exact"/>
        <w:rPr>
          <w:sz w:val="20"/>
          <w:szCs w:val="20"/>
          <w:color w:val="auto"/>
        </w:rPr>
      </w:pPr>
    </w:p>
    <w:p>
      <w:pPr>
        <w:sectPr>
          <w:pgSz w:w="11900" w:h="16838" w:orient="portrait"/>
          <w:cols w:equalWidth="0" w:num="2">
            <w:col w:w="4400" w:space="100"/>
            <w:col w:w="4519"/>
          </w:cols>
          <w:pgMar w:left="1440" w:top="274" w:right="1440"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i w:val="1"/>
          <w:iCs w:val="1"/>
          <w:color w:val="auto"/>
        </w:rPr>
        <w:t>Vacancies on the Board of Directors</w:t>
      </w:r>
    </w:p>
    <w:p>
      <w:pPr>
        <w:sectPr>
          <w:pgSz w:w="11900" w:h="16838" w:orient="portrait"/>
          <w:cols w:equalWidth="0" w:num="1">
            <w:col w:w="9019"/>
          </w:cols>
          <w:pgMar w:left="1440" w:top="274" w:right="1440" w:bottom="1440" w:gutter="0" w:footer="0" w:header="0"/>
          <w:type w:val="continuous"/>
        </w:sectPr>
      </w:pPr>
    </w:p>
    <w:p>
      <w:pPr>
        <w:spacing w:after="0" w:line="84"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Vacancies may be filled exclusively by a majority of the directors then in office, though less than a quorum. Any director so chosen shall hold office for the remainder of the full term of the class of directors in which the vacancy occurred and until his or her successor has been elected and qualified, subject, however, to such director’s earlier death, resignation, retirement, disqualification or removal. A vacancy created by the removal of a director by the BCTG stockholders may be filled by the BCTG stockholders.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479"/>
        <w:spacing w:after="0" w:line="270" w:lineRule="auto"/>
        <w:rPr>
          <w:sz w:val="20"/>
          <w:szCs w:val="20"/>
          <w:color w:val="auto"/>
        </w:rPr>
      </w:pPr>
      <w:r>
        <w:rPr>
          <w:rFonts w:ascii="Arial" w:cs="Arial" w:eastAsia="Arial" w:hAnsi="Arial"/>
          <w:sz w:val="17"/>
          <w:szCs w:val="17"/>
          <w:color w:val="auto"/>
        </w:rPr>
        <w:t>Vacancies may be filled exclusively by a majority of the directors then in office, though less than a quorum, or by a sole remaining director (and not by stockholders). Any director so chosen shall hold office for the remainder of the full term of the class of directors in which the vacancy occurred and until his or her successor has been elected and qualified, subject, however, to such director’s earlier death, resignation, retirement, disqualification or removal.</w:t>
      </w:r>
    </w:p>
    <w:p>
      <w:pPr>
        <w:spacing w:after="0" w:line="369" w:lineRule="exact"/>
        <w:rPr>
          <w:sz w:val="20"/>
          <w:szCs w:val="20"/>
          <w:color w:val="auto"/>
        </w:rPr>
      </w:pPr>
    </w:p>
    <w:p>
      <w:pPr>
        <w:sectPr>
          <w:pgSz w:w="11900" w:h="16838" w:orient="portrait"/>
          <w:cols w:equalWidth="0" w:num="2">
            <w:col w:w="4380" w:space="120"/>
            <w:col w:w="4519"/>
          </w:cols>
          <w:pgMar w:left="1440" w:top="274" w:right="1440"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i w:val="1"/>
          <w:iCs w:val="1"/>
          <w:color w:val="auto"/>
        </w:rPr>
        <w:t>Special Meeting of the Board of Directors</w:t>
      </w:r>
    </w:p>
    <w:p>
      <w:pPr>
        <w:sectPr>
          <w:pgSz w:w="11900" w:h="16838" w:orient="portrait"/>
          <w:cols w:equalWidth="0" w:num="1">
            <w:col w:w="9019"/>
          </w:cols>
          <w:pgMar w:left="1440" w:top="274" w:right="1440" w:bottom="1440" w:gutter="0" w:footer="0" w:header="0"/>
          <w:type w:val="continuous"/>
        </w:sectPr>
      </w:pPr>
    </w:p>
    <w:p>
      <w:pPr>
        <w:spacing w:after="0" w:line="84"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BCTG’s Bylaws provide that Special Meetings of the Board may be called by the Chairman of the Board, the President, or by the number of directors who then legally constitute a quorum. Notice of the Special Meeting must be provided to directors 24 hours in advance unless waived. Unless otherwise specified in the Charter or Bylaws or by statute, the Board may undertake any business permitted at a regular meeting at a Special Meeting and the meeting notice need not disclose the purpose of the meeting.</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459"/>
        <w:spacing w:after="0" w:line="269" w:lineRule="auto"/>
        <w:rPr>
          <w:sz w:val="20"/>
          <w:szCs w:val="20"/>
          <w:color w:val="auto"/>
        </w:rPr>
      </w:pPr>
      <w:r>
        <w:rPr>
          <w:rFonts w:ascii="Arial" w:cs="Arial" w:eastAsia="Arial" w:hAnsi="Arial"/>
          <w:sz w:val="17"/>
          <w:szCs w:val="17"/>
          <w:color w:val="auto"/>
        </w:rPr>
        <w:t>New Tango’s Bylaws will provide that Special Meetings of New Tango’s Board may be called orally or in writing by the Chairman of the Board, the President, or by at least a majority of directors then in office. Notice of the Special Meeting must be provided to directors in advance unless waived. Unless otherwise specified in the Proposed Charter or Bylaws or by statute, the Board may undertake any business permitted at a regular meeting at a Special Meeting and the meeting notice need not disclose the purpose of the meeting.</w:t>
      </w:r>
    </w:p>
    <w:p>
      <w:pPr>
        <w:spacing w:after="0" w:line="182" w:lineRule="exact"/>
        <w:rPr>
          <w:sz w:val="20"/>
          <w:szCs w:val="20"/>
          <w:color w:val="auto"/>
        </w:rPr>
      </w:pPr>
    </w:p>
    <w:p>
      <w:pPr>
        <w:sectPr>
          <w:pgSz w:w="11900" w:h="16838" w:orient="portrait"/>
          <w:cols w:equalWidth="0" w:num="2">
            <w:col w:w="4340" w:space="160"/>
            <w:col w:w="4519"/>
          </w:cols>
          <w:pgMar w:left="1440" w:top="274"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78" w:name="page279"/>
    <w:bookmarkEnd w:id="27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334" w:lineRule="exact"/>
        <w:rPr>
          <w:sz w:val="20"/>
          <w:szCs w:val="20"/>
          <w:color w:val="auto"/>
        </w:rPr>
      </w:pPr>
    </w:p>
    <w:p>
      <w:pPr>
        <w:jc w:val="both"/>
        <w:ind w:left="2180"/>
        <w:spacing w:after="0"/>
        <w:tabs>
          <w:tab w:leader="none" w:pos="6120" w:val="left"/>
        </w:tabs>
        <w:rPr>
          <w:sz w:val="20"/>
          <w:szCs w:val="20"/>
          <w:color w:val="auto"/>
        </w:rPr>
      </w:pPr>
      <w:r>
        <w:rPr>
          <w:rFonts w:ascii="Arial" w:cs="Arial" w:eastAsia="Arial" w:hAnsi="Arial"/>
          <w:sz w:val="16"/>
          <w:szCs w:val="16"/>
          <w:b w:val="1"/>
          <w:bCs w:val="1"/>
          <w:color w:val="auto"/>
        </w:rPr>
        <w:t>BCTG</w:t>
      </w:r>
      <w:r>
        <w:rPr>
          <w:sz w:val="20"/>
          <w:szCs w:val="20"/>
          <w:color w:val="auto"/>
        </w:rPr>
        <w:tab/>
      </w:r>
      <w:r>
        <w:rPr>
          <w:rFonts w:ascii="Arial" w:cs="Arial" w:eastAsia="Arial" w:hAnsi="Arial"/>
          <w:sz w:val="16"/>
          <w:szCs w:val="16"/>
          <w:b w:val="1"/>
          <w:bCs w:val="1"/>
          <w:color w:val="auto"/>
        </w:rPr>
        <w:t>New Tango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Amendment to Certificate of Incorporation</w:t>
      </w:r>
    </w:p>
    <w:p>
      <w:pPr>
        <w:sectPr>
          <w:pgSz w:w="11900" w:h="16838" w:orient="portrait"/>
          <w:cols w:equalWidth="0" w:num="1">
            <w:col w:w="9019"/>
          </w:cols>
          <w:pgMar w:left="1440" w:top="274" w:right="1440" w:bottom="1440" w:gutter="0" w:footer="0" w:header="0"/>
        </w:sectPr>
      </w:pPr>
    </w:p>
    <w:p>
      <w:pPr>
        <w:spacing w:after="0" w:line="50"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Charter may be amended as permitted under Delaware law.</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739"/>
        <w:spacing w:after="0" w:line="277" w:lineRule="auto"/>
        <w:rPr>
          <w:sz w:val="20"/>
          <w:szCs w:val="20"/>
          <w:color w:val="auto"/>
        </w:rPr>
      </w:pPr>
      <w:r>
        <w:rPr>
          <w:rFonts w:ascii="Arial" w:cs="Arial" w:eastAsia="Arial" w:hAnsi="Arial"/>
          <w:sz w:val="18"/>
          <w:szCs w:val="18"/>
          <w:color w:val="auto"/>
        </w:rPr>
        <w:t>The Proposed Charter may be amended as permitted under Delaware law.</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Proposed Charter will require the affirmative vote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 the majority of the outstanding shares of capital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stock entitled to vote on such amendment, provided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provisions in the Proposed Charter in Article V</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(covering stockholder actions), Article VI, Section 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(covering classified board of directors), Article VI,</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Section 5 (removal of directors), Article VII, Section 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(limitation on director liability) and Article IX,</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2 (amendment of by-laws) will require approval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holders of at least 66⅔% of New Tango’s then-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outstanding shares of capital stock entitled to vote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generally at an election of directors.</w:t>
      </w:r>
    </w:p>
    <w:p>
      <w:pPr>
        <w:spacing w:after="0" w:line="184" w:lineRule="exact"/>
        <w:rPr>
          <w:sz w:val="20"/>
          <w:szCs w:val="20"/>
          <w:color w:val="auto"/>
        </w:rPr>
      </w:pPr>
    </w:p>
    <w:p>
      <w:pPr>
        <w:sectPr>
          <w:pgSz w:w="11900" w:h="16838" w:orient="portrait"/>
          <w:cols w:equalWidth="0" w:num="2">
            <w:col w:w="3960" w:space="540"/>
            <w:col w:w="4519"/>
          </w:cols>
          <w:pgMar w:left="1440" w:top="274" w:right="1440" w:bottom="1440" w:gutter="0" w:footer="0" w:header="0"/>
          <w:type w:val="continuous"/>
        </w:sectPr>
      </w:pPr>
    </w:p>
    <w:p>
      <w:pPr>
        <w:ind w:left="460" w:right="2759" w:firstLine="2301"/>
        <w:spacing w:after="0" w:line="244" w:lineRule="auto"/>
        <w:rPr>
          <w:sz w:val="20"/>
          <w:szCs w:val="20"/>
          <w:color w:val="auto"/>
        </w:rPr>
      </w:pPr>
      <w:r>
        <w:rPr>
          <w:rFonts w:ascii="Arial" w:cs="Arial" w:eastAsia="Arial" w:hAnsi="Arial"/>
          <w:sz w:val="18"/>
          <w:szCs w:val="18"/>
          <w:b w:val="1"/>
          <w:bCs w:val="1"/>
          <w:i w:val="1"/>
          <w:iCs w:val="1"/>
          <w:color w:val="auto"/>
        </w:rPr>
        <w:t xml:space="preserve">Provisions Specific to a Blank Check Company </w:t>
      </w:r>
      <w:r>
        <w:rPr>
          <w:rFonts w:ascii="Arial" w:cs="Arial" w:eastAsia="Arial" w:hAnsi="Arial"/>
          <w:sz w:val="18"/>
          <w:szCs w:val="18"/>
          <w:color w:val="auto"/>
        </w:rPr>
        <w:t>Under the Current Charter, Article SIXTH sets forth</w:t>
      </w:r>
    </w:p>
    <w:p>
      <w:pPr>
        <w:ind w:left="460"/>
        <w:spacing w:after="0"/>
        <w:tabs>
          <w:tab w:leader="none" w:pos="4480" w:val="left"/>
        </w:tabs>
        <w:rPr>
          <w:sz w:val="20"/>
          <w:szCs w:val="20"/>
          <w:color w:val="auto"/>
        </w:rPr>
      </w:pPr>
      <w:r>
        <w:rPr>
          <w:rFonts w:ascii="Arial" w:cs="Arial" w:eastAsia="Arial" w:hAnsi="Arial"/>
          <w:sz w:val="18"/>
          <w:szCs w:val="18"/>
          <w:color w:val="auto"/>
        </w:rPr>
        <w:t>various provisions related to its operations as a blank</w:t>
      </w:r>
      <w:r>
        <w:rPr>
          <w:sz w:val="20"/>
          <w:szCs w:val="20"/>
          <w:color w:val="auto"/>
        </w:rPr>
        <w:tab/>
      </w:r>
      <w:r>
        <w:rPr>
          <w:rFonts w:ascii="Arial" w:cs="Arial" w:eastAsia="Arial" w:hAnsi="Arial"/>
          <w:sz w:val="24"/>
          <w:szCs w:val="24"/>
          <w:color w:val="auto"/>
          <w:vertAlign w:val="superscript"/>
        </w:rPr>
        <w:t>Not applicable.</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check company prior to the consummation of an initial</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business combination. Furthermore, BCTG is required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be dissolved and liquidated 24 months following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closing of its initial public offering.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Amendment of Bylaws</w:t>
      </w:r>
    </w:p>
    <w:p>
      <w:pPr>
        <w:sectPr>
          <w:pgSz w:w="11900" w:h="16838" w:orient="portrait"/>
          <w:cols w:equalWidth="0" w:num="1">
            <w:col w:w="9019"/>
          </w:cols>
          <w:pgMar w:left="1440" w:top="274" w:right="1440" w:bottom="1440" w:gutter="0" w:footer="0" w:header="0"/>
          <w:type w:val="continuous"/>
        </w:sectPr>
      </w:pPr>
    </w:p>
    <w:p>
      <w:pPr>
        <w:spacing w:after="0" w:line="50"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The Board is expressly authorized to adopt, amend, alter or repeal the Bylaws on affirmative vote of the majority of directors at an regular or special meeting. In addition, the Bylaws may be adopted, amended, altered or repealed at any regular or special meeting of BCTG stockholders at which a quorum is present or represented, by the affirmative vote of the holders of a majority of the shares entitled to vote, provided notice of the proposed alteration, amendment or repeal be contained in the notice of such meeting.</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479"/>
        <w:spacing w:after="0" w:line="269" w:lineRule="auto"/>
        <w:rPr>
          <w:sz w:val="20"/>
          <w:szCs w:val="20"/>
          <w:color w:val="auto"/>
        </w:rPr>
      </w:pPr>
      <w:r>
        <w:rPr>
          <w:rFonts w:ascii="Arial" w:cs="Arial" w:eastAsia="Arial" w:hAnsi="Arial"/>
          <w:sz w:val="17"/>
          <w:szCs w:val="17"/>
          <w:color w:val="auto"/>
        </w:rPr>
        <w:t>The Board would be expressly authorized to adopt, amend, alter or repeal the Bylaws on affirmative vote of the majority of directors. In addition, the Bylaws could be adopted, amended, altered or repealed by New Tango stockholders by the affirmative vote of not less than 66⅔% of the outstanding shares of capital stock entitled to vote on such amendment or repeal, voting together as a class. Adoption and amendment of the Bylaws by stockholders would not invalidate any prior act of the Board that would have been valid absent the adoption of the new Bylaws.</w:t>
      </w:r>
    </w:p>
    <w:p>
      <w:pPr>
        <w:spacing w:after="0" w:line="155" w:lineRule="exact"/>
        <w:rPr>
          <w:sz w:val="20"/>
          <w:szCs w:val="20"/>
          <w:color w:val="auto"/>
        </w:rPr>
      </w:pPr>
    </w:p>
    <w:p>
      <w:pPr>
        <w:sectPr>
          <w:pgSz w:w="11900" w:h="16838" w:orient="portrait"/>
          <w:cols w:equalWidth="0" w:num="2">
            <w:col w:w="4380" w:space="120"/>
            <w:col w:w="4519"/>
          </w:cols>
          <w:pgMar w:left="1440" w:top="274"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i w:val="1"/>
          <w:iCs w:val="1"/>
          <w:color w:val="auto"/>
        </w:rPr>
        <w:t>Quorum</w:t>
      </w:r>
    </w:p>
    <w:p>
      <w:pPr>
        <w:sectPr>
          <w:pgSz w:w="11900" w:h="16838" w:orient="portrait"/>
          <w:cols w:equalWidth="0" w:num="1">
            <w:col w:w="9019"/>
          </w:cols>
          <w:pgMar w:left="1440" w:top="274" w:right="1440" w:bottom="1440" w:gutter="0" w:footer="0" w:header="0"/>
          <w:type w:val="continuous"/>
        </w:sectPr>
      </w:pPr>
    </w:p>
    <w:p>
      <w:pPr>
        <w:spacing w:after="0" w:line="73" w:lineRule="exact"/>
        <w:rPr>
          <w:sz w:val="20"/>
          <w:szCs w:val="20"/>
          <w:color w:val="auto"/>
        </w:rPr>
      </w:pPr>
    </w:p>
    <w:p>
      <w:pPr>
        <w:ind w:left="460" w:right="60"/>
        <w:spacing w:after="0" w:line="301" w:lineRule="auto"/>
        <w:rPr>
          <w:sz w:val="20"/>
          <w:szCs w:val="20"/>
          <w:color w:val="auto"/>
        </w:rPr>
      </w:pPr>
      <w:r>
        <w:rPr>
          <w:rFonts w:ascii="Arial" w:cs="Arial" w:eastAsia="Arial" w:hAnsi="Arial"/>
          <w:sz w:val="16"/>
          <w:szCs w:val="16"/>
          <w:i w:val="1"/>
          <w:iCs w:val="1"/>
          <w:color w:val="auto"/>
        </w:rPr>
        <w:t>Board of Directors</w:t>
      </w:r>
      <w:r>
        <w:rPr>
          <w:rFonts w:ascii="Arial" w:cs="Arial" w:eastAsia="Arial" w:hAnsi="Arial"/>
          <w:sz w:val="16"/>
          <w:szCs w:val="16"/>
          <w:color w:val="auto"/>
        </w:rPr>
        <w:t>. A majority of the total number</w:t>
      </w:r>
      <w:r>
        <w:rPr>
          <w:rFonts w:ascii="Arial" w:cs="Arial" w:eastAsia="Arial" w:hAnsi="Arial"/>
          <w:sz w:val="16"/>
          <w:szCs w:val="16"/>
          <w:i w:val="1"/>
          <w:iCs w:val="1"/>
          <w:color w:val="auto"/>
        </w:rPr>
        <w:t xml:space="preserve"> </w:t>
      </w:r>
      <w:r>
        <w:rPr>
          <w:rFonts w:ascii="Arial" w:cs="Arial" w:eastAsia="Arial" w:hAnsi="Arial"/>
          <w:sz w:val="16"/>
          <w:szCs w:val="16"/>
          <w:color w:val="auto"/>
        </w:rPr>
        <w:t>of duly elected directors then in office shall constitute a quorum, except as may be otherwise specifically provided by statute, the Bylaws or the Charter.</w:t>
      </w:r>
    </w:p>
    <w:p>
      <w:pPr>
        <w:spacing w:after="0" w:line="198"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i w:val="1"/>
          <w:iCs w:val="1"/>
          <w:color w:val="auto"/>
        </w:rPr>
        <w:t xml:space="preserve">Stockholders. </w:t>
      </w:r>
      <w:r>
        <w:rPr>
          <w:rFonts w:ascii="Arial" w:cs="Arial" w:eastAsia="Arial" w:hAnsi="Arial"/>
          <w:sz w:val="18"/>
          <w:szCs w:val="18"/>
          <w:color w:val="auto"/>
        </w:rPr>
        <w:t>The holders of a majority of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capital stock of BCTG issued and outstanding and entitled to vote shall constitute a quorum at all meetings of the stockholders for the transaction of business except as otherwise provided by statute or by the Charter.</w:t>
      </w:r>
    </w:p>
    <w:p>
      <w:pPr>
        <w:spacing w:after="0" w:line="1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If a quorum is not present, then the stockholders present in person or represented by proxy shall have power to adjourn the meeting from time to time until a quorum attends.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539"/>
        <w:spacing w:after="0" w:line="257" w:lineRule="auto"/>
        <w:rPr>
          <w:sz w:val="20"/>
          <w:szCs w:val="20"/>
          <w:color w:val="auto"/>
        </w:rPr>
      </w:pPr>
      <w:r>
        <w:rPr>
          <w:rFonts w:ascii="Arial" w:cs="Arial" w:eastAsia="Arial" w:hAnsi="Arial"/>
          <w:sz w:val="18"/>
          <w:szCs w:val="18"/>
          <w:i w:val="1"/>
          <w:iCs w:val="1"/>
          <w:color w:val="auto"/>
        </w:rPr>
        <w:t>Board of Directors</w:t>
      </w:r>
      <w:r>
        <w:rPr>
          <w:rFonts w:ascii="Arial" w:cs="Arial" w:eastAsia="Arial" w:hAnsi="Arial"/>
          <w:sz w:val="18"/>
          <w:szCs w:val="18"/>
          <w:color w:val="auto"/>
        </w:rPr>
        <w:t>. A majority of the total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duly elected directors then in office shall constitute a quorum, except as may be otherwise specifically provided by statute, the Bylaws or the Proposed Charter.</w:t>
      </w:r>
    </w:p>
    <w:p>
      <w:pPr>
        <w:spacing w:after="0" w:line="12" w:lineRule="exact"/>
        <w:rPr>
          <w:sz w:val="20"/>
          <w:szCs w:val="20"/>
          <w:color w:val="auto"/>
        </w:rPr>
      </w:pPr>
    </w:p>
    <w:p>
      <w:pPr>
        <w:ind w:right="579"/>
        <w:spacing w:after="0" w:line="255" w:lineRule="auto"/>
        <w:rPr>
          <w:sz w:val="20"/>
          <w:szCs w:val="20"/>
          <w:color w:val="auto"/>
        </w:rPr>
      </w:pPr>
      <w:r>
        <w:rPr>
          <w:rFonts w:ascii="Arial" w:cs="Arial" w:eastAsia="Arial" w:hAnsi="Arial"/>
          <w:sz w:val="18"/>
          <w:szCs w:val="18"/>
          <w:i w:val="1"/>
          <w:iCs w:val="1"/>
          <w:color w:val="auto"/>
        </w:rPr>
        <w:t xml:space="preserve">Stockholders. </w:t>
      </w:r>
      <w:r>
        <w:rPr>
          <w:rFonts w:ascii="Arial" w:cs="Arial" w:eastAsia="Arial" w:hAnsi="Arial"/>
          <w:sz w:val="18"/>
          <w:szCs w:val="18"/>
          <w:color w:val="auto"/>
        </w:rPr>
        <w:t>The holders of a majority of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capital stock of New Tango issued and outstanding and entitled to vote shall constitute a quorum at all meetings of the stockholders for the transaction of business except as otherwise provided by statute or by the Proposed Charter.</w:t>
      </w:r>
    </w:p>
    <w:p>
      <w:pPr>
        <w:spacing w:after="0" w:line="17" w:lineRule="exact"/>
        <w:rPr>
          <w:sz w:val="20"/>
          <w:szCs w:val="20"/>
          <w:color w:val="auto"/>
        </w:rPr>
      </w:pPr>
    </w:p>
    <w:p>
      <w:pPr>
        <w:ind w:right="499"/>
        <w:spacing w:after="0" w:line="273" w:lineRule="auto"/>
        <w:rPr>
          <w:sz w:val="20"/>
          <w:szCs w:val="20"/>
          <w:color w:val="auto"/>
        </w:rPr>
      </w:pPr>
      <w:r>
        <w:rPr>
          <w:rFonts w:ascii="Arial" w:cs="Arial" w:eastAsia="Arial" w:hAnsi="Arial"/>
          <w:sz w:val="17"/>
          <w:szCs w:val="17"/>
          <w:color w:val="auto"/>
        </w:rPr>
        <w:t>If a quorum is not present, then the chairman of the meeting shall have power to adjourn the meeting until a quorum shall attend. The stockholders present at a duly convened meeting may continue to transact business notwithstanding the withdrawal of enough stockholders to leave less than a quorum.</w:t>
      </w:r>
    </w:p>
    <w:p>
      <w:pPr>
        <w:spacing w:after="0" w:line="178" w:lineRule="exact"/>
        <w:rPr>
          <w:sz w:val="20"/>
          <w:szCs w:val="20"/>
          <w:color w:val="auto"/>
        </w:rPr>
      </w:pPr>
    </w:p>
    <w:p>
      <w:pPr>
        <w:sectPr>
          <w:pgSz w:w="11900" w:h="16838" w:orient="portrait"/>
          <w:cols w:equalWidth="0" w:num="2">
            <w:col w:w="4380" w:space="120"/>
            <w:col w:w="4519"/>
          </w:cols>
          <w:pgMar w:left="1440" w:top="274"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79" w:name="page280"/>
    <w:bookmarkEnd w:id="27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334" w:lineRule="exact"/>
        <w:rPr>
          <w:sz w:val="20"/>
          <w:szCs w:val="20"/>
          <w:color w:val="auto"/>
        </w:rPr>
      </w:pPr>
    </w:p>
    <w:p>
      <w:pPr>
        <w:jc w:val="both"/>
        <w:ind w:left="2180"/>
        <w:spacing w:after="0"/>
        <w:tabs>
          <w:tab w:leader="none" w:pos="6120" w:val="left"/>
        </w:tabs>
        <w:rPr>
          <w:sz w:val="20"/>
          <w:szCs w:val="20"/>
          <w:color w:val="auto"/>
        </w:rPr>
      </w:pPr>
      <w:r>
        <w:rPr>
          <w:rFonts w:ascii="Arial" w:cs="Arial" w:eastAsia="Arial" w:hAnsi="Arial"/>
          <w:sz w:val="16"/>
          <w:szCs w:val="16"/>
          <w:b w:val="1"/>
          <w:bCs w:val="1"/>
          <w:color w:val="auto"/>
        </w:rPr>
        <w:t>BCTG</w:t>
      </w:r>
      <w:r>
        <w:rPr>
          <w:sz w:val="20"/>
          <w:szCs w:val="20"/>
          <w:color w:val="auto"/>
        </w:rPr>
        <w:tab/>
      </w:r>
      <w:r>
        <w:rPr>
          <w:rFonts w:ascii="Arial" w:cs="Arial" w:eastAsia="Arial" w:hAnsi="Arial"/>
          <w:sz w:val="16"/>
          <w:szCs w:val="16"/>
          <w:b w:val="1"/>
          <w:bCs w:val="1"/>
          <w:color w:val="auto"/>
        </w:rPr>
        <w:t>New Tango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ectPr>
          <w:pgSz w:w="11900" w:h="16838" w:orient="portrait"/>
          <w:cols w:equalWidth="0" w:num="1">
            <w:col w:w="9019"/>
          </w:cols>
          <w:pgMar w:left="1440" w:top="274" w:right="1440" w:bottom="1440" w:gutter="0" w:footer="0" w:header="0"/>
        </w:sectPr>
      </w:pPr>
    </w:p>
    <w:p>
      <w:pPr>
        <w:spacing w:after="0" w:line="50"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Under the Bylaws, any action required or permitted to be taken by the stockholders of BCTG may be taken without a meeting, without prior notice and without a vote, if a written consent or electronic transmission, setting forth the action so taken, shall be signed or e-mailed by the holders of outstanding stock having not less than the minimum number of votes that would be necessary to authorize or take such action at a meeting called for such purpose.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479"/>
        <w:spacing w:after="0" w:line="275" w:lineRule="auto"/>
        <w:rPr>
          <w:sz w:val="20"/>
          <w:szCs w:val="20"/>
          <w:color w:val="auto"/>
        </w:rPr>
      </w:pPr>
      <w:r>
        <w:rPr>
          <w:rFonts w:ascii="Arial" w:cs="Arial" w:eastAsia="Arial" w:hAnsi="Arial"/>
          <w:sz w:val="17"/>
          <w:szCs w:val="17"/>
          <w:color w:val="auto"/>
        </w:rPr>
        <w:t>Under the Proposed Charter, any action required or permitted to be taken by the stockholders of New Tango must be effected by a duly called annual or Special Meeting of such stockholders and may not be effected by written consent of the stockholders.</w:t>
      </w:r>
    </w:p>
    <w:p>
      <w:pPr>
        <w:spacing w:after="0" w:line="1013" w:lineRule="exact"/>
        <w:rPr>
          <w:sz w:val="20"/>
          <w:szCs w:val="20"/>
          <w:color w:val="auto"/>
        </w:rPr>
      </w:pPr>
    </w:p>
    <w:p>
      <w:pPr>
        <w:sectPr>
          <w:pgSz w:w="11900" w:h="16838" w:orient="portrait"/>
          <w:cols w:equalWidth="0" w:num="2">
            <w:col w:w="4380" w:space="120"/>
            <w:col w:w="4519"/>
          </w:cols>
          <w:pgMar w:left="1440" w:top="274" w:right="1440"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i w:val="1"/>
          <w:iCs w:val="1"/>
          <w:color w:val="auto"/>
        </w:rPr>
        <w:t>Special Stockholder Meetings</w:t>
      </w:r>
    </w:p>
    <w:p>
      <w:pPr>
        <w:sectPr>
          <w:pgSz w:w="11900" w:h="16838" w:orient="portrait"/>
          <w:cols w:equalWidth="0" w:num="1">
            <w:col w:w="9019"/>
          </w:cols>
          <w:pgMar w:left="1440" w:top="274" w:right="1440" w:bottom="1440" w:gutter="0" w:footer="0" w:header="0"/>
          <w:type w:val="continuous"/>
        </w:sectPr>
      </w:pPr>
    </w:p>
    <w:p>
      <w:pPr>
        <w:spacing w:after="0" w:line="84"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Special Meetings of stockholders may be called only by the Chairman of the Board, the Chief Executive Officer of BCTG, or by a resolution passed by the majority of the Board. Special Meetings may not be called by stockholders or any other person except as specified above.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559"/>
        <w:spacing w:after="0" w:line="269" w:lineRule="auto"/>
        <w:rPr>
          <w:sz w:val="20"/>
          <w:szCs w:val="20"/>
          <w:color w:val="auto"/>
        </w:rPr>
      </w:pPr>
      <w:r>
        <w:rPr>
          <w:rFonts w:ascii="Arial" w:cs="Arial" w:eastAsia="Arial" w:hAnsi="Arial"/>
          <w:sz w:val="17"/>
          <w:szCs w:val="17"/>
          <w:color w:val="auto"/>
        </w:rPr>
        <w:t>Subject to the rights of any outstanding series of preferred stock and the requirements of law, Special Meetings of stockholders may be called only by a resolution passed by the majority of the Board. Special Meetings may not be called by stockholders or any other person except as specified above. The business transacted at special stockholder meetings shall be limited to the purpose(s) for which the meeting was called, as indicated in the written notice of Special Meeting sent to stockholders.</w:t>
      </w:r>
    </w:p>
    <w:p>
      <w:pPr>
        <w:spacing w:after="0" w:line="158" w:lineRule="exact"/>
        <w:rPr>
          <w:sz w:val="20"/>
          <w:szCs w:val="20"/>
          <w:color w:val="auto"/>
        </w:rPr>
      </w:pPr>
    </w:p>
    <w:p>
      <w:pPr>
        <w:sectPr>
          <w:pgSz w:w="11900" w:h="16838" w:orient="portrait"/>
          <w:cols w:equalWidth="0" w:num="2">
            <w:col w:w="4260" w:space="240"/>
            <w:col w:w="4519"/>
          </w:cols>
          <w:pgMar w:left="1440" w:top="274" w:right="1440"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i w:val="1"/>
          <w:iCs w:val="1"/>
          <w:color w:val="auto"/>
        </w:rPr>
        <w:t>Notice of Stockholder Meetings</w:t>
      </w:r>
    </w:p>
    <w:p>
      <w:pPr>
        <w:sectPr>
          <w:pgSz w:w="11900" w:h="16838" w:orient="portrait"/>
          <w:cols w:equalWidth="0" w:num="1">
            <w:col w:w="9019"/>
          </w:cols>
          <w:pgMar w:left="1440" w:top="274" w:right="1440" w:bottom="1440" w:gutter="0" w:footer="0" w:header="0"/>
          <w:type w:val="continuous"/>
        </w:sectPr>
      </w:pPr>
    </w:p>
    <w:p>
      <w:pPr>
        <w:spacing w:after="0" w:line="84" w:lineRule="exact"/>
        <w:rPr>
          <w:sz w:val="20"/>
          <w:szCs w:val="20"/>
          <w:color w:val="auto"/>
        </w:rPr>
      </w:pPr>
    </w:p>
    <w:p>
      <w:pPr>
        <w:ind w:left="460"/>
        <w:spacing w:after="0" w:line="268" w:lineRule="auto"/>
        <w:rPr>
          <w:sz w:val="20"/>
          <w:szCs w:val="20"/>
          <w:color w:val="auto"/>
        </w:rPr>
      </w:pPr>
      <w:r>
        <w:rPr>
          <w:rFonts w:ascii="Arial" w:cs="Arial" w:eastAsia="Arial" w:hAnsi="Arial"/>
          <w:sz w:val="17"/>
          <w:szCs w:val="17"/>
          <w:color w:val="auto"/>
        </w:rPr>
        <w:t>Except as otherwise provided in the Bylaws or permitted by statute, all notices of meetings with BCTG stockholders shall be by written or printed notice and shall be sent or otherwise given in accordance with BCTG’s Bylaws not less than 10 nor more than 60 days before the date of the meeting to each stockholder entitled to vote at such meeting. The notice shall specify the place (if any), date and hour of the meeting, and in the case of a Special Meeting, the purpose or purposes for which the meeting is called. Notice of meetings also may be given to stockholders by means of electronic transmission in accordance with statute.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479"/>
        <w:spacing w:after="0" w:line="287" w:lineRule="auto"/>
        <w:rPr>
          <w:sz w:val="20"/>
          <w:szCs w:val="20"/>
          <w:color w:val="auto"/>
        </w:rPr>
      </w:pPr>
      <w:r>
        <w:rPr>
          <w:rFonts w:ascii="Arial" w:cs="Arial" w:eastAsia="Arial" w:hAnsi="Arial"/>
          <w:sz w:val="16"/>
          <w:szCs w:val="16"/>
          <w:color w:val="auto"/>
        </w:rPr>
        <w:t>Except as may otherwise be provided in the Bylaws or permitted by statute, all notices of meetings with New Tango stockholders shall be in writing and shall be sent or otherwise given in accordance with New Tango’s Bylaws not less than 10 nor more than 60 days before the date of the meeting to each stockholder entitled to vote at such meeting. The notice shall specify the place (if any), date and hour of the meeting, and in the case of a Special Meeting, the purpose or purposes for which the meeting is called. Notice of meetings also may be given to stockholders by means of electronic transmission in accordance with statute.</w:t>
      </w:r>
    </w:p>
    <w:p>
      <w:pPr>
        <w:spacing w:after="0" w:line="356" w:lineRule="exact"/>
        <w:rPr>
          <w:sz w:val="20"/>
          <w:szCs w:val="20"/>
          <w:color w:val="auto"/>
        </w:rPr>
      </w:pPr>
    </w:p>
    <w:p>
      <w:pPr>
        <w:sectPr>
          <w:pgSz w:w="11900" w:h="16838" w:orient="portrait"/>
          <w:cols w:equalWidth="0" w:num="2">
            <w:col w:w="4380" w:space="120"/>
            <w:col w:w="4519"/>
          </w:cols>
          <w:pgMar w:left="1440" w:top="274" w:right="1440"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i w:val="1"/>
          <w:iCs w:val="1"/>
          <w:color w:val="auto"/>
        </w:rPr>
        <w:t>Stockholder Nominations of Persons for Election as Directors</w:t>
      </w:r>
    </w:p>
    <w:p>
      <w:pPr>
        <w:sectPr>
          <w:pgSz w:w="11900" w:h="16838" w:orient="portrait"/>
          <w:cols w:equalWidth="0" w:num="1">
            <w:col w:w="9019"/>
          </w:cols>
          <w:pgMar w:left="1440" w:top="274" w:right="1440" w:bottom="1440" w:gutter="0" w:footer="0" w:header="0"/>
          <w:type w:val="continuous"/>
        </w:sectPr>
      </w:pPr>
    </w:p>
    <w:p>
      <w:pPr>
        <w:spacing w:after="0" w:line="84" w:lineRule="exact"/>
        <w:rPr>
          <w:sz w:val="20"/>
          <w:szCs w:val="20"/>
          <w:color w:val="auto"/>
        </w:rPr>
      </w:pPr>
    </w:p>
    <w:p>
      <w:pPr>
        <w:ind w:left="460"/>
        <w:spacing w:after="0" w:line="263" w:lineRule="auto"/>
        <w:rPr>
          <w:sz w:val="20"/>
          <w:szCs w:val="20"/>
          <w:color w:val="auto"/>
        </w:rPr>
      </w:pPr>
      <w:r>
        <w:rPr>
          <w:rFonts w:ascii="Arial" w:cs="Arial" w:eastAsia="Arial" w:hAnsi="Arial"/>
          <w:sz w:val="18"/>
          <w:szCs w:val="18"/>
          <w:color w:val="auto"/>
        </w:rPr>
        <w:t>The Current Charter does not contain a provision by which stockholders may nominate persons for election to BCTG’s Board.</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459"/>
        <w:spacing w:after="0" w:line="278" w:lineRule="auto"/>
        <w:rPr>
          <w:sz w:val="20"/>
          <w:szCs w:val="20"/>
          <w:color w:val="auto"/>
        </w:rPr>
      </w:pPr>
      <w:r>
        <w:rPr>
          <w:rFonts w:ascii="Arial" w:cs="Arial" w:eastAsia="Arial" w:hAnsi="Arial"/>
          <w:sz w:val="16"/>
          <w:szCs w:val="16"/>
          <w:color w:val="auto"/>
        </w:rPr>
        <w:t>Nominations of persons for election to New Tango’s Board may be made at an annual meeting (“</w:t>
      </w:r>
      <w:r>
        <w:rPr>
          <w:rFonts w:ascii="Arial" w:cs="Arial" w:eastAsia="Arial" w:hAnsi="Arial"/>
          <w:sz w:val="16"/>
          <w:szCs w:val="16"/>
          <w:b w:val="1"/>
          <w:bCs w:val="1"/>
          <w:color w:val="auto"/>
        </w:rPr>
        <w:t>Annual</w:t>
      </w:r>
      <w:r>
        <w:rPr>
          <w:rFonts w:ascii="Arial" w:cs="Arial" w:eastAsia="Arial" w:hAnsi="Arial"/>
          <w:sz w:val="16"/>
          <w:szCs w:val="16"/>
          <w:color w:val="auto"/>
        </w:rPr>
        <w:t xml:space="preserve"> </w:t>
      </w:r>
      <w:r>
        <w:rPr>
          <w:rFonts w:ascii="Arial" w:cs="Arial" w:eastAsia="Arial" w:hAnsi="Arial"/>
          <w:sz w:val="16"/>
          <w:szCs w:val="16"/>
          <w:b w:val="1"/>
          <w:bCs w:val="1"/>
          <w:color w:val="auto"/>
        </w:rPr>
        <w:t>Meeting</w:t>
      </w:r>
      <w:r>
        <w:rPr>
          <w:rFonts w:ascii="Arial" w:cs="Arial" w:eastAsia="Arial" w:hAnsi="Arial"/>
          <w:sz w:val="16"/>
          <w:szCs w:val="16"/>
          <w:color w:val="auto"/>
        </w:rPr>
        <w:t>”) or at a Special Meeting of stockholders at</w:t>
      </w:r>
      <w:r>
        <w:rPr>
          <w:rFonts w:ascii="Arial" w:cs="Arial" w:eastAsia="Arial" w:hAnsi="Arial"/>
          <w:sz w:val="16"/>
          <w:szCs w:val="16"/>
          <w:b w:val="1"/>
          <w:bCs w:val="1"/>
          <w:color w:val="auto"/>
        </w:rPr>
        <w:t xml:space="preserve"> </w:t>
      </w:r>
      <w:r>
        <w:rPr>
          <w:rFonts w:ascii="Arial" w:cs="Arial" w:eastAsia="Arial" w:hAnsi="Arial"/>
          <w:sz w:val="16"/>
          <w:szCs w:val="16"/>
          <w:color w:val="auto"/>
        </w:rPr>
        <w:t>which directors are to be elected pursuant to New Tango’s notice of meeting only by giving notice to the Secretary. Notice will be required to be received by the Secretary at the principal executive offices of New Tango (i) in the case of an annual meeting, not later than the close of business on the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nor earlier than the close of business on the 120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before the anniversary date of the immediately preceding annual meeting of stockholders; provided, however, that in the event that the annual meeting is more than 30 days before or more than 60 days after such anniversary date, notice by the stockholder to be timely must be so received not later than the close of business on the later of the ninetieth (90</w:t>
      </w:r>
      <w:r>
        <w:rPr>
          <w:rFonts w:ascii="Arial" w:cs="Arial" w:eastAsia="Arial" w:hAnsi="Arial"/>
          <w:sz w:val="18"/>
          <w:szCs w:val="18"/>
          <w:color w:val="auto"/>
          <w:vertAlign w:val="superscript"/>
        </w:rPr>
        <w:t>th</w:t>
      </w:r>
      <w:r>
        <w:rPr>
          <w:rFonts w:ascii="Arial" w:cs="Arial" w:eastAsia="Arial" w:hAnsi="Arial"/>
          <w:sz w:val="16"/>
          <w:szCs w:val="16"/>
          <w:color w:val="auto"/>
        </w:rPr>
        <w:t>) day prior to the scheduled date of such Annual Meeting or the tenth (10</w:t>
      </w:r>
      <w:r>
        <w:rPr>
          <w:rFonts w:ascii="Arial" w:cs="Arial" w:eastAsia="Arial" w:hAnsi="Arial"/>
          <w:sz w:val="18"/>
          <w:szCs w:val="18"/>
          <w:color w:val="auto"/>
          <w:vertAlign w:val="superscript"/>
        </w:rPr>
        <w:t>th</w:t>
      </w:r>
      <w:r>
        <w:rPr>
          <w:rFonts w:ascii="Arial" w:cs="Arial" w:eastAsia="Arial" w:hAnsi="Arial"/>
          <w:sz w:val="16"/>
          <w:szCs w:val="16"/>
          <w:color w:val="auto"/>
        </w:rPr>
        <w:t>) day following the day on which public announcement of the date of such meeting is first made. The stockholder’s notice to the Secretary must be in proper form, including all information to be required by the Bylaws and comply with all applicable requirements of the Exchange Act.</w:t>
      </w:r>
    </w:p>
    <w:p>
      <w:pPr>
        <w:spacing w:after="0" w:line="176" w:lineRule="exact"/>
        <w:rPr>
          <w:sz w:val="20"/>
          <w:szCs w:val="20"/>
          <w:color w:val="auto"/>
        </w:rPr>
      </w:pPr>
    </w:p>
    <w:p>
      <w:pPr>
        <w:sectPr>
          <w:pgSz w:w="11900" w:h="16838" w:orient="portrait"/>
          <w:cols w:equalWidth="0" w:num="2">
            <w:col w:w="4380" w:space="120"/>
            <w:col w:w="4519"/>
          </w:cols>
          <w:pgMar w:left="1440" w:top="274"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80" w:name="page281"/>
    <w:bookmarkEnd w:id="28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334" w:lineRule="exact"/>
        <w:rPr>
          <w:sz w:val="20"/>
          <w:szCs w:val="20"/>
          <w:color w:val="auto"/>
        </w:rPr>
      </w:pPr>
    </w:p>
    <w:p>
      <w:pPr>
        <w:ind w:left="2180"/>
        <w:spacing w:after="0"/>
        <w:tabs>
          <w:tab w:leader="none" w:pos="6120" w:val="left"/>
        </w:tabs>
        <w:rPr>
          <w:sz w:val="20"/>
          <w:szCs w:val="20"/>
          <w:color w:val="auto"/>
        </w:rPr>
      </w:pPr>
      <w:r>
        <w:rPr>
          <w:rFonts w:ascii="Arial" w:cs="Arial" w:eastAsia="Arial" w:hAnsi="Arial"/>
          <w:sz w:val="16"/>
          <w:szCs w:val="16"/>
          <w:b w:val="1"/>
          <w:bCs w:val="1"/>
          <w:color w:val="auto"/>
        </w:rPr>
        <w:t>BCTG</w:t>
      </w:r>
      <w:r>
        <w:rPr>
          <w:sz w:val="20"/>
          <w:szCs w:val="20"/>
          <w:color w:val="auto"/>
        </w:rPr>
        <w:tab/>
      </w:r>
      <w:r>
        <w:rPr>
          <w:rFonts w:ascii="Arial" w:cs="Arial" w:eastAsia="Arial" w:hAnsi="Arial"/>
          <w:sz w:val="16"/>
          <w:szCs w:val="16"/>
          <w:b w:val="1"/>
          <w:bCs w:val="1"/>
          <w:color w:val="auto"/>
        </w:rPr>
        <w:t>New Tango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Stockholder Proposals (Other than Nomination of Persons for Election as Directors)</w:t>
      </w:r>
    </w:p>
    <w:p>
      <w:pPr>
        <w:sectPr>
          <w:pgSz w:w="11900" w:h="16838" w:orient="portrait"/>
          <w:cols w:equalWidth="0" w:num="1">
            <w:col w:w="9019"/>
          </w:cols>
          <w:pgMar w:left="1440" w:top="274" w:right="1440" w:bottom="1440" w:gutter="0" w:footer="0" w:header="0"/>
        </w:sectPr>
      </w:pPr>
    </w:p>
    <w:p>
      <w:pPr>
        <w:spacing w:after="0" w:line="84" w:lineRule="exact"/>
        <w:rPr>
          <w:sz w:val="20"/>
          <w:szCs w:val="20"/>
          <w:color w:val="auto"/>
        </w:rPr>
      </w:pPr>
    </w:p>
    <w:p>
      <w:pPr>
        <w:ind w:left="460"/>
        <w:spacing w:after="0" w:line="263" w:lineRule="auto"/>
        <w:rPr>
          <w:sz w:val="20"/>
          <w:szCs w:val="20"/>
          <w:color w:val="auto"/>
        </w:rPr>
      </w:pPr>
      <w:r>
        <w:rPr>
          <w:rFonts w:ascii="Arial" w:cs="Arial" w:eastAsia="Arial" w:hAnsi="Arial"/>
          <w:sz w:val="18"/>
          <w:szCs w:val="18"/>
          <w:color w:val="auto"/>
        </w:rPr>
        <w:t>The Current Charter does not contain a provision by which stockholders may bring matters before the annual meeting.</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499"/>
        <w:spacing w:after="0" w:line="268" w:lineRule="auto"/>
        <w:rPr>
          <w:sz w:val="20"/>
          <w:szCs w:val="20"/>
          <w:color w:val="auto"/>
        </w:rPr>
      </w:pPr>
      <w:r>
        <w:rPr>
          <w:rFonts w:ascii="Arial" w:cs="Arial" w:eastAsia="Arial" w:hAnsi="Arial"/>
          <w:sz w:val="17"/>
          <w:szCs w:val="17"/>
          <w:color w:val="auto"/>
        </w:rPr>
        <w:t>In order for a stockholder to bring a matter before the annual meeting, the stockholder will be required to give timely notice to the Secretary of New Tango, as described in New Tango’s Bylaws. The notice requirements will also be deemed satisfied if the stockholder complies with the requirements of</w:t>
      </w:r>
    </w:p>
    <w:p>
      <w:pPr>
        <w:spacing w:after="0" w:line="1" w:lineRule="exact"/>
        <w:rPr>
          <w:sz w:val="20"/>
          <w:szCs w:val="20"/>
          <w:color w:val="auto"/>
        </w:rPr>
      </w:pPr>
    </w:p>
    <w:p>
      <w:pPr>
        <w:ind w:right="599"/>
        <w:spacing w:after="0" w:line="260" w:lineRule="auto"/>
        <w:rPr>
          <w:sz w:val="20"/>
          <w:szCs w:val="20"/>
          <w:color w:val="auto"/>
        </w:rPr>
      </w:pPr>
      <w:r>
        <w:rPr>
          <w:rFonts w:ascii="Arial" w:cs="Arial" w:eastAsia="Arial" w:hAnsi="Arial"/>
          <w:sz w:val="18"/>
          <w:szCs w:val="18"/>
          <w:color w:val="auto"/>
        </w:rPr>
        <w:t>Rule 14a-8 (or any successor thereof) of the Exchange Act.</w:t>
      </w:r>
    </w:p>
    <w:p>
      <w:pPr>
        <w:spacing w:after="0" w:line="158" w:lineRule="exact"/>
        <w:rPr>
          <w:sz w:val="20"/>
          <w:szCs w:val="20"/>
          <w:color w:val="auto"/>
        </w:rPr>
      </w:pPr>
    </w:p>
    <w:p>
      <w:pPr>
        <w:sectPr>
          <w:pgSz w:w="11900" w:h="16838" w:orient="portrait"/>
          <w:cols w:equalWidth="0" w:num="2">
            <w:col w:w="4220" w:space="280"/>
            <w:col w:w="4519"/>
          </w:cols>
          <w:pgMar w:left="1440" w:top="274" w:right="1440"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i w:val="1"/>
          <w:iCs w:val="1"/>
          <w:color w:val="auto"/>
        </w:rPr>
        <w:t>Limitation of Liability of Directors and Officers</w:t>
      </w:r>
    </w:p>
    <w:p>
      <w:pPr>
        <w:sectPr>
          <w:pgSz w:w="11900" w:h="16838" w:orient="portrait"/>
          <w:cols w:equalWidth="0" w:num="1">
            <w:col w:w="9019"/>
          </w:cols>
          <w:pgMar w:left="1440" w:top="274" w:right="1440" w:bottom="1440" w:gutter="0" w:footer="0" w:header="0"/>
          <w:type w:val="continuous"/>
        </w:sectPr>
      </w:pPr>
    </w:p>
    <w:p>
      <w:pPr>
        <w:spacing w:after="0" w:line="73"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To the fullest extent permitted by the DGCL, a director of BCTG shall not be personally liable to BCTG or its stockholders for any breach of the director’s duty of loyalty to the BCTG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499"/>
        <w:spacing w:after="0" w:line="270" w:lineRule="auto"/>
        <w:rPr>
          <w:sz w:val="20"/>
          <w:szCs w:val="20"/>
          <w:color w:val="auto"/>
        </w:rPr>
      </w:pPr>
      <w:r>
        <w:rPr>
          <w:rFonts w:ascii="Arial" w:cs="Arial" w:eastAsia="Arial" w:hAnsi="Arial"/>
          <w:sz w:val="17"/>
          <w:szCs w:val="17"/>
          <w:color w:val="auto"/>
        </w:rPr>
        <w:t>To the fullest extent permitted by the DGCL, a director of New Tango shall not be personally liable to New Tango or its stockholders for monetary damages for breach of fiduciary duty as a director, unless they violated their duty of loyalty, acted in bad faith, knowingly or intentionally violated the law, authorized unlawful payments of dividends, unlawful stock purchases or redemptions, or derived improper personal benefit from their actions as a director.</w:t>
      </w:r>
    </w:p>
    <w:p>
      <w:pPr>
        <w:spacing w:after="0" w:line="154" w:lineRule="exact"/>
        <w:rPr>
          <w:sz w:val="20"/>
          <w:szCs w:val="20"/>
          <w:color w:val="auto"/>
        </w:rPr>
      </w:pPr>
    </w:p>
    <w:p>
      <w:pPr>
        <w:sectPr>
          <w:pgSz w:w="11900" w:h="16838" w:orient="portrait"/>
          <w:cols w:equalWidth="0" w:num="2">
            <w:col w:w="4300" w:space="200"/>
            <w:col w:w="4519"/>
          </w:cols>
          <w:pgMar w:left="1440" w:top="274" w:right="1440"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i w:val="1"/>
          <w:iCs w:val="1"/>
          <w:color w:val="auto"/>
        </w:rPr>
        <w:t>Indemnification of Directors, Officers, Employees and Agents</w:t>
      </w:r>
    </w:p>
    <w:p>
      <w:pPr>
        <w:sectPr>
          <w:pgSz w:w="11900" w:h="16838" w:orient="portrait"/>
          <w:cols w:equalWidth="0" w:num="1">
            <w:col w:w="9019"/>
          </w:cols>
          <w:pgMar w:left="1440" w:top="274" w:right="1440" w:bottom="1440" w:gutter="0" w:footer="0" w:header="0"/>
          <w:type w:val="continuous"/>
        </w:sectPr>
      </w:pPr>
    </w:p>
    <w:p>
      <w:pPr>
        <w:spacing w:after="0" w:line="84"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BCTG is required to indemnify against all expenses to the fullest extent permitted by law any person made or threatened to be made a party to an action, suit or proceeding, whether criminal, civil, administrative or investigative, by reason of the fact that he or she, his or her testator or intestate is, was, or agreed to become a director or officer of BCTG or any predecessor of BCTG, or serves or served at any other enterprise as a director or officer at the request of BCTG or any predecessor to BCTG.</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539"/>
        <w:spacing w:after="0" w:line="269" w:lineRule="auto"/>
        <w:rPr>
          <w:sz w:val="20"/>
          <w:szCs w:val="20"/>
          <w:color w:val="auto"/>
        </w:rPr>
      </w:pPr>
      <w:r>
        <w:rPr>
          <w:rFonts w:ascii="Arial" w:cs="Arial" w:eastAsia="Arial" w:hAnsi="Arial"/>
          <w:sz w:val="17"/>
          <w:szCs w:val="17"/>
          <w:color w:val="auto"/>
        </w:rPr>
        <w:t>New Tango will be required to indemnify against all expenses to the fullest extent permitted by law any person made or threatened to be made a party to an action, suit or proceeding, whether criminal, civil, administrative or investigative, by reason of the fact that he or she is, was, or agreed to become a director or officer of New Tango or any predecessor of New Tango, or serves or served at any other enterprise as a director or officer at the request of New Tango or any predecessor to New Tango.</w:t>
      </w:r>
    </w:p>
    <w:p>
      <w:pPr>
        <w:spacing w:after="0" w:line="157" w:lineRule="exact"/>
        <w:rPr>
          <w:sz w:val="20"/>
          <w:szCs w:val="20"/>
          <w:color w:val="auto"/>
        </w:rPr>
      </w:pPr>
    </w:p>
    <w:p>
      <w:pPr>
        <w:sectPr>
          <w:pgSz w:w="11900" w:h="16838" w:orient="portrait"/>
          <w:cols w:equalWidth="0" w:num="2">
            <w:col w:w="4380" w:space="120"/>
            <w:col w:w="4519"/>
          </w:cols>
          <w:pgMar w:left="1440" w:top="274" w:right="1440"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i w:val="1"/>
          <w:iCs w:val="1"/>
          <w:color w:val="auto"/>
        </w:rPr>
        <w:t>Corporate Opportunity Provision</w:t>
      </w:r>
    </w:p>
    <w:p>
      <w:pPr>
        <w:sectPr>
          <w:pgSz w:w="11900" w:h="16838" w:orient="portrait"/>
          <w:cols w:equalWidth="0" w:num="1">
            <w:col w:w="9019"/>
          </w:cols>
          <w:pgMar w:left="1440" w:top="274" w:right="1440" w:bottom="1440" w:gutter="0" w:footer="0" w:header="0"/>
          <w:type w:val="continuous"/>
        </w:sectPr>
      </w:pPr>
    </w:p>
    <w:p>
      <w:pPr>
        <w:spacing w:after="0" w:line="84" w:lineRule="exact"/>
        <w:rPr>
          <w:sz w:val="20"/>
          <w:szCs w:val="20"/>
          <w:color w:val="auto"/>
        </w:rPr>
      </w:pPr>
    </w:p>
    <w:p>
      <w:pPr>
        <w:ind w:left="460"/>
        <w:spacing w:after="0" w:line="263" w:lineRule="auto"/>
        <w:rPr>
          <w:sz w:val="20"/>
          <w:szCs w:val="20"/>
          <w:color w:val="auto"/>
        </w:rPr>
      </w:pPr>
      <w:r>
        <w:rPr>
          <w:rFonts w:ascii="Arial" w:cs="Arial" w:eastAsia="Arial" w:hAnsi="Arial"/>
          <w:sz w:val="18"/>
          <w:szCs w:val="18"/>
          <w:color w:val="auto"/>
        </w:rPr>
        <w:t>The Current Charter limits the application of the doctrine of corporate opportunity under certain circumstances.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479"/>
        <w:spacing w:after="0" w:line="259" w:lineRule="auto"/>
        <w:rPr>
          <w:sz w:val="20"/>
          <w:szCs w:val="20"/>
          <w:color w:val="auto"/>
        </w:rPr>
      </w:pPr>
      <w:r>
        <w:rPr>
          <w:rFonts w:ascii="Arial" w:cs="Arial" w:eastAsia="Arial" w:hAnsi="Arial"/>
          <w:sz w:val="18"/>
          <w:szCs w:val="18"/>
          <w:color w:val="auto"/>
        </w:rPr>
        <w:t>The doctrine of corporate opportunity, as applied under Delaware law, would apply without modification to directors and officers of New Tango under the Proposed Charter.</w:t>
      </w:r>
    </w:p>
    <w:p>
      <w:pPr>
        <w:spacing w:after="0" w:line="160" w:lineRule="exact"/>
        <w:rPr>
          <w:sz w:val="20"/>
          <w:szCs w:val="20"/>
          <w:color w:val="auto"/>
        </w:rPr>
      </w:pPr>
    </w:p>
    <w:p>
      <w:pPr>
        <w:sectPr>
          <w:pgSz w:w="11900" w:h="16838" w:orient="portrait"/>
          <w:cols w:equalWidth="0" w:num="2">
            <w:col w:w="3940" w:space="560"/>
            <w:col w:w="4519"/>
          </w:cols>
          <w:pgMar w:left="1440" w:top="274" w:right="1440"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i w:val="1"/>
          <w:iCs w:val="1"/>
          <w:color w:val="auto"/>
        </w:rPr>
        <w:t>Dividends, Distributions and Stock Repurchases</w:t>
      </w:r>
    </w:p>
    <w:p>
      <w:pPr>
        <w:sectPr>
          <w:pgSz w:w="11900" w:h="16838" w:orient="portrait"/>
          <w:cols w:equalWidth="0" w:num="1">
            <w:col w:w="9019"/>
          </w:cols>
          <w:pgMar w:left="1440" w:top="274" w:right="1440" w:bottom="1440" w:gutter="0" w:footer="0" w:header="0"/>
          <w:type w:val="continuous"/>
        </w:sectPr>
      </w:pPr>
    </w:p>
    <w:p>
      <w:pPr>
        <w:spacing w:after="0" w:line="84" w:lineRule="exact"/>
        <w:rPr>
          <w:sz w:val="20"/>
          <w:szCs w:val="20"/>
          <w:color w:val="auto"/>
        </w:rPr>
      </w:pPr>
    </w:p>
    <w:p>
      <w:pPr>
        <w:ind w:left="460"/>
        <w:spacing w:after="0" w:line="342" w:lineRule="auto"/>
        <w:rPr>
          <w:sz w:val="20"/>
          <w:szCs w:val="20"/>
          <w:color w:val="auto"/>
        </w:rPr>
      </w:pPr>
      <w:r>
        <w:rPr>
          <w:rFonts w:ascii="Arial" w:cs="Arial" w:eastAsia="Arial" w:hAnsi="Arial"/>
          <w:sz w:val="16"/>
          <w:szCs w:val="16"/>
          <w:color w:val="auto"/>
        </w:rPr>
        <w:t>The Current Charter does not contain a provision for the issuance of dividends and other distributions.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519"/>
        <w:spacing w:after="0" w:line="290" w:lineRule="auto"/>
        <w:rPr>
          <w:sz w:val="20"/>
          <w:szCs w:val="20"/>
          <w:color w:val="auto"/>
        </w:rPr>
      </w:pPr>
      <w:r>
        <w:rPr>
          <w:rFonts w:ascii="Arial" w:cs="Arial" w:eastAsia="Arial" w:hAnsi="Arial"/>
          <w:sz w:val="16"/>
          <w:szCs w:val="16"/>
          <w:color w:val="auto"/>
        </w:rPr>
        <w:t>The Proposed Charter provides that, subject to applicable law, the rights, if any, of the holders of any outstanding series of New Tango preferred stock that may be issued, holders of shares of New Tango Common Stock are entitled to receive such dividends and other distributions when, as and if declared thereon by New Tango’s Board from time to time out of any assets or funds legally available therefor.</w:t>
      </w:r>
    </w:p>
    <w:p>
      <w:pPr>
        <w:spacing w:after="0" w:line="138" w:lineRule="exact"/>
        <w:rPr>
          <w:sz w:val="20"/>
          <w:szCs w:val="20"/>
          <w:color w:val="auto"/>
        </w:rPr>
      </w:pPr>
    </w:p>
    <w:p>
      <w:pPr>
        <w:sectPr>
          <w:pgSz w:w="11900" w:h="16838" w:orient="portrait"/>
          <w:cols w:equalWidth="0" w:num="2">
            <w:col w:w="4240" w:space="260"/>
            <w:col w:w="4519"/>
          </w:cols>
          <w:pgMar w:left="1440" w:top="274"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i w:val="1"/>
          <w:iCs w:val="1"/>
          <w:color w:val="auto"/>
        </w:rPr>
        <w:t>Liquidation</w:t>
      </w:r>
    </w:p>
    <w:p>
      <w:pPr>
        <w:sectPr>
          <w:pgSz w:w="11900" w:h="16838" w:orient="portrait"/>
          <w:cols w:equalWidth="0" w:num="1">
            <w:col w:w="9019"/>
          </w:cols>
          <w:pgMar w:left="1440" w:top="274" w:right="1440" w:bottom="1440" w:gutter="0" w:footer="0" w:header="0"/>
          <w:type w:val="continuous"/>
        </w:sectPr>
      </w:pPr>
    </w:p>
    <w:p>
      <w:pPr>
        <w:spacing w:after="0" w:line="73"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color w:val="auto"/>
        </w:rPr>
        <w:t>In the event of a voluntary or involuntary liquidation, dissolution or winding-up of BCTG, dissolve and liquidate the balance of BCTG’s net assets to its remaining stockholders, as part of the BCTG’s plan of dissolution and liquidation, subject to BCTG’s obligations to provide for claims of creditors and other requirements of applicable law.</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499"/>
        <w:spacing w:after="0" w:line="275" w:lineRule="auto"/>
        <w:rPr>
          <w:sz w:val="20"/>
          <w:szCs w:val="20"/>
          <w:color w:val="auto"/>
        </w:rPr>
      </w:pPr>
      <w:r>
        <w:rPr>
          <w:rFonts w:ascii="Arial" w:cs="Arial" w:eastAsia="Arial" w:hAnsi="Arial"/>
          <w:sz w:val="17"/>
          <w:szCs w:val="17"/>
          <w:color w:val="auto"/>
        </w:rPr>
        <w:t>In the event of a voluntary or involuntary liquidation, dissolution or winding-up of New Tango, the holders of shares of New Tango Common Stock would be entitled to the net assets of New Tango ratably on the basis of the Common Stock they hold.</w:t>
      </w:r>
    </w:p>
    <w:p>
      <w:pPr>
        <w:spacing w:after="0" w:line="607" w:lineRule="exact"/>
        <w:rPr>
          <w:sz w:val="20"/>
          <w:szCs w:val="20"/>
          <w:color w:val="auto"/>
        </w:rPr>
      </w:pPr>
    </w:p>
    <w:p>
      <w:pPr>
        <w:sectPr>
          <w:pgSz w:w="11900" w:h="16838" w:orient="portrait"/>
          <w:cols w:equalWidth="0" w:num="2">
            <w:col w:w="4400" w:space="100"/>
            <w:col w:w="4519"/>
          </w:cols>
          <w:pgMar w:left="1440" w:top="274"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81" w:name="page282"/>
    <w:bookmarkEnd w:id="28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334" w:lineRule="exact"/>
        <w:rPr>
          <w:sz w:val="20"/>
          <w:szCs w:val="20"/>
          <w:color w:val="auto"/>
        </w:rPr>
      </w:pPr>
    </w:p>
    <w:p>
      <w:pPr>
        <w:jc w:val="both"/>
        <w:ind w:left="2180"/>
        <w:spacing w:after="0"/>
        <w:tabs>
          <w:tab w:leader="none" w:pos="6120" w:val="left"/>
        </w:tabs>
        <w:rPr>
          <w:sz w:val="20"/>
          <w:szCs w:val="20"/>
          <w:color w:val="auto"/>
        </w:rPr>
      </w:pPr>
      <w:r>
        <w:rPr>
          <w:rFonts w:ascii="Arial" w:cs="Arial" w:eastAsia="Arial" w:hAnsi="Arial"/>
          <w:sz w:val="16"/>
          <w:szCs w:val="16"/>
          <w:b w:val="1"/>
          <w:bCs w:val="1"/>
          <w:color w:val="auto"/>
        </w:rPr>
        <w:t>BCTG</w:t>
      </w:r>
      <w:r>
        <w:rPr>
          <w:sz w:val="20"/>
          <w:szCs w:val="20"/>
          <w:color w:val="auto"/>
        </w:rPr>
        <w:tab/>
      </w:r>
      <w:r>
        <w:rPr>
          <w:rFonts w:ascii="Arial" w:cs="Arial" w:eastAsia="Arial" w:hAnsi="Arial"/>
          <w:sz w:val="16"/>
          <w:szCs w:val="16"/>
          <w:b w:val="1"/>
          <w:bCs w:val="1"/>
          <w:color w:val="auto"/>
        </w:rPr>
        <w:t>New Tango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Inspection of Books and Records; Stockholder Lists</w:t>
      </w:r>
    </w:p>
    <w:p>
      <w:pPr>
        <w:sectPr>
          <w:pgSz w:w="11900" w:h="16838" w:orient="portrait"/>
          <w:cols w:equalWidth="0" w:num="1">
            <w:col w:w="9019"/>
          </w:cols>
          <w:pgMar w:left="1440" w:top="274" w:right="1440" w:bottom="1440" w:gutter="0" w:footer="0" w:header="0"/>
        </w:sectPr>
      </w:pPr>
    </w:p>
    <w:p>
      <w:pPr>
        <w:spacing w:after="0" w:line="50"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i w:val="1"/>
          <w:iCs w:val="1"/>
          <w:color w:val="auto"/>
        </w:rPr>
        <w:t>Inspection</w:t>
      </w:r>
      <w:r>
        <w:rPr>
          <w:rFonts w:ascii="Arial" w:cs="Arial" w:eastAsia="Arial" w:hAnsi="Arial"/>
          <w:sz w:val="16"/>
          <w:szCs w:val="16"/>
          <w:color w:val="auto"/>
        </w:rPr>
        <w:t>. Under Section 220 of the DGCL, any</w:t>
      </w:r>
      <w:r>
        <w:rPr>
          <w:rFonts w:ascii="Arial" w:cs="Arial" w:eastAsia="Arial" w:hAnsi="Arial"/>
          <w:sz w:val="16"/>
          <w:szCs w:val="16"/>
          <w:i w:val="1"/>
          <w:iCs w:val="1"/>
          <w:color w:val="auto"/>
        </w:rPr>
        <w:t xml:space="preserve"> </w:t>
      </w:r>
      <w:r>
        <w:rPr>
          <w:rFonts w:ascii="Arial" w:cs="Arial" w:eastAsia="Arial" w:hAnsi="Arial"/>
          <w:sz w:val="16"/>
          <w:szCs w:val="16"/>
          <w:color w:val="auto"/>
        </w:rPr>
        <w:t>BCTG stockholder, in person or by attorney or other agent, has, upon written demand under oath stating the purpose thereof, the right during the usual hours for business to inspect for any proper purpose and to make copies and extracts from BCTG’s stock ledger, a list of its stockholders and its other books and records.</w:t>
      </w:r>
    </w:p>
    <w:p>
      <w:pPr>
        <w:spacing w:after="0" w:line="99" w:lineRule="exact"/>
        <w:rPr>
          <w:sz w:val="20"/>
          <w:szCs w:val="20"/>
          <w:color w:val="auto"/>
        </w:rPr>
      </w:pPr>
    </w:p>
    <w:p>
      <w:pPr>
        <w:ind w:left="460" w:right="20"/>
        <w:spacing w:after="0" w:line="293" w:lineRule="auto"/>
        <w:rPr>
          <w:sz w:val="20"/>
          <w:szCs w:val="20"/>
          <w:color w:val="auto"/>
        </w:rPr>
      </w:pPr>
      <w:r>
        <w:rPr>
          <w:rFonts w:ascii="Arial" w:cs="Arial" w:eastAsia="Arial" w:hAnsi="Arial"/>
          <w:sz w:val="16"/>
          <w:szCs w:val="16"/>
          <w:i w:val="1"/>
          <w:iCs w:val="1"/>
          <w:color w:val="auto"/>
        </w:rPr>
        <w:t>Voting List</w:t>
      </w:r>
      <w:r>
        <w:rPr>
          <w:rFonts w:ascii="Arial" w:cs="Arial" w:eastAsia="Arial" w:hAnsi="Arial"/>
          <w:sz w:val="16"/>
          <w:szCs w:val="16"/>
          <w:color w:val="auto"/>
        </w:rPr>
        <w:t>. BCTG will prepare and make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at least 10 days before every meeting of the stockholders, a complete list of the stockholders entitled to vote at such meeting. The list will be open to the examination of any stockholder, for any purpose germane to the meeting, as required by applicable law.</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479"/>
        <w:spacing w:after="0" w:line="254" w:lineRule="auto"/>
        <w:rPr>
          <w:sz w:val="20"/>
          <w:szCs w:val="20"/>
          <w:color w:val="auto"/>
        </w:rPr>
      </w:pPr>
      <w:r>
        <w:rPr>
          <w:rFonts w:ascii="Arial" w:cs="Arial" w:eastAsia="Arial" w:hAnsi="Arial"/>
          <w:sz w:val="18"/>
          <w:szCs w:val="18"/>
          <w:i w:val="1"/>
          <w:iCs w:val="1"/>
          <w:color w:val="auto"/>
        </w:rPr>
        <w:t>Inspection</w:t>
      </w:r>
      <w:r>
        <w:rPr>
          <w:rFonts w:ascii="Arial" w:cs="Arial" w:eastAsia="Arial" w:hAnsi="Arial"/>
          <w:sz w:val="18"/>
          <w:szCs w:val="18"/>
          <w:color w:val="auto"/>
        </w:rPr>
        <w:t>. Under Section 220 of the DGCL, any</w:t>
      </w:r>
      <w:r>
        <w:rPr>
          <w:rFonts w:ascii="Arial" w:cs="Arial" w:eastAsia="Arial" w:hAnsi="Arial"/>
          <w:sz w:val="18"/>
          <w:szCs w:val="18"/>
          <w:i w:val="1"/>
          <w:iCs w:val="1"/>
          <w:color w:val="auto"/>
        </w:rPr>
        <w:t xml:space="preserve"> </w:t>
      </w:r>
      <w:r>
        <w:rPr>
          <w:rFonts w:ascii="Arial" w:cs="Arial" w:eastAsia="Arial" w:hAnsi="Arial"/>
          <w:sz w:val="18"/>
          <w:szCs w:val="18"/>
          <w:color w:val="auto"/>
        </w:rPr>
        <w:t>New Tango stockholder, in person or by attorney or other agent, will have, upon written demand under oath stating the purpose thereof, the right during the usual hours for business to inspect for any proper purpose and to make copies and extracts from New Tango’s stock ledger, a list of its stockholders and its other books and records.</w:t>
      </w:r>
    </w:p>
    <w:p>
      <w:pPr>
        <w:spacing w:after="0" w:line="124" w:lineRule="exact"/>
        <w:rPr>
          <w:sz w:val="20"/>
          <w:szCs w:val="20"/>
          <w:color w:val="auto"/>
        </w:rPr>
      </w:pPr>
    </w:p>
    <w:p>
      <w:pPr>
        <w:ind w:right="459"/>
        <w:spacing w:after="0" w:line="293" w:lineRule="auto"/>
        <w:rPr>
          <w:sz w:val="20"/>
          <w:szCs w:val="20"/>
          <w:color w:val="auto"/>
        </w:rPr>
      </w:pPr>
      <w:r>
        <w:rPr>
          <w:rFonts w:ascii="Arial" w:cs="Arial" w:eastAsia="Arial" w:hAnsi="Arial"/>
          <w:sz w:val="16"/>
          <w:szCs w:val="16"/>
          <w:i w:val="1"/>
          <w:iCs w:val="1"/>
          <w:color w:val="auto"/>
        </w:rPr>
        <w:t>Voting List</w:t>
      </w:r>
      <w:r>
        <w:rPr>
          <w:rFonts w:ascii="Arial" w:cs="Arial" w:eastAsia="Arial" w:hAnsi="Arial"/>
          <w:sz w:val="16"/>
          <w:szCs w:val="16"/>
          <w:color w:val="auto"/>
        </w:rPr>
        <w:t>. New Tango will prepare and make</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at least 10 days before every meeting of the stockholders, a complete list of the stockholders entitled to vote at such meeting. The list will be open to the examination of any stockholder, for any purpose germane to the meeting, as required by applicable law.</w:t>
      </w:r>
    </w:p>
    <w:p>
      <w:pPr>
        <w:spacing w:after="0" w:line="137" w:lineRule="exact"/>
        <w:rPr>
          <w:sz w:val="20"/>
          <w:szCs w:val="20"/>
          <w:color w:val="auto"/>
        </w:rPr>
      </w:pPr>
    </w:p>
    <w:p>
      <w:pPr>
        <w:sectPr>
          <w:pgSz w:w="11900" w:h="16838" w:orient="portrait"/>
          <w:cols w:equalWidth="0" w:num="2">
            <w:col w:w="4400" w:space="100"/>
            <w:col w:w="4519"/>
          </w:cols>
          <w:pgMar w:left="1440" w:top="274"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i w:val="1"/>
          <w:iCs w:val="1"/>
          <w:color w:val="auto"/>
        </w:rPr>
        <w:t>Choice of Forum</w:t>
      </w:r>
    </w:p>
    <w:p>
      <w:pPr>
        <w:sectPr>
          <w:pgSz w:w="11900" w:h="16838" w:orient="portrait"/>
          <w:cols w:equalWidth="0" w:num="1">
            <w:col w:w="9019"/>
          </w:cols>
          <w:pgMar w:left="1440" w:top="274" w:right="1440" w:bottom="1440" w:gutter="0" w:footer="0" w:header="0"/>
          <w:type w:val="continuous"/>
        </w:sectPr>
      </w:pPr>
    </w:p>
    <w:p>
      <w:pPr>
        <w:spacing w:after="0" w:line="73" w:lineRule="exact"/>
        <w:rPr>
          <w:sz w:val="20"/>
          <w:szCs w:val="20"/>
          <w:color w:val="auto"/>
        </w:rPr>
      </w:pPr>
    </w:p>
    <w:p>
      <w:pPr>
        <w:ind w:left="460" w:right="40"/>
        <w:spacing w:after="0" w:line="283" w:lineRule="auto"/>
        <w:rPr>
          <w:sz w:val="20"/>
          <w:szCs w:val="20"/>
          <w:color w:val="auto"/>
        </w:rPr>
      </w:pPr>
      <w:r>
        <w:rPr>
          <w:rFonts w:ascii="Arial" w:cs="Arial" w:eastAsia="Arial" w:hAnsi="Arial"/>
          <w:sz w:val="16"/>
          <w:szCs w:val="16"/>
          <w:color w:val="auto"/>
        </w:rPr>
        <w:t>Unless BCTG consents in writing to the selection of an alternative forum, the Court of Chancery of the State of Delaware is designated in BCTG’s Charter as the sole and exclusive forum for (i) derivative action or proceeding brought on behalf of BCTG, (ii) action asserting a claim of breach of a fiduciary duty owed by any director, officer, employee or agent of BCTG to BCTG or BCTG’s stockholders, or any claim for aiding and abetting any such alleged breach,</w:t>
      </w:r>
    </w:p>
    <w:p>
      <w:pPr>
        <w:spacing w:after="0" w:line="6" w:lineRule="exact"/>
        <w:rPr>
          <w:sz w:val="20"/>
          <w:szCs w:val="20"/>
          <w:color w:val="auto"/>
        </w:rPr>
      </w:pPr>
    </w:p>
    <w:p>
      <w:pPr>
        <w:ind w:left="460" w:right="60" w:hanging="6"/>
        <w:spacing w:after="0" w:line="281" w:lineRule="auto"/>
        <w:tabs>
          <w:tab w:leader="none" w:pos="775" w:val="left"/>
        </w:tabs>
        <w:numPr>
          <w:ilvl w:val="0"/>
          <w:numId w:val="277"/>
        </w:numPr>
        <w:rPr>
          <w:rFonts w:ascii="Arial" w:cs="Arial" w:eastAsia="Arial" w:hAnsi="Arial"/>
          <w:sz w:val="16"/>
          <w:szCs w:val="16"/>
          <w:color w:val="auto"/>
        </w:rPr>
      </w:pPr>
      <w:r>
        <w:rPr>
          <w:rFonts w:ascii="Arial" w:cs="Arial" w:eastAsia="Arial" w:hAnsi="Arial"/>
          <w:sz w:val="16"/>
          <w:szCs w:val="16"/>
          <w:color w:val="auto"/>
        </w:rPr>
        <w:t>action asserting a claim against BCTG or any director or officer of BCTG arising pursuant to any provision of the DGCL or the Current Charter or Bylaws or (iv) action asserting a claim against BCTG or any director or officer of BCTG governed by the internal affairs doctrine except for, as to each of</w:t>
      </w:r>
    </w:p>
    <w:p>
      <w:pPr>
        <w:spacing w:after="0" w:line="3" w:lineRule="exact"/>
        <w:rPr>
          <w:rFonts w:ascii="Arial" w:cs="Arial" w:eastAsia="Arial" w:hAnsi="Arial"/>
          <w:sz w:val="16"/>
          <w:szCs w:val="16"/>
          <w:color w:val="auto"/>
        </w:rPr>
      </w:pPr>
    </w:p>
    <w:p>
      <w:pPr>
        <w:ind w:left="460" w:hanging="6"/>
        <w:spacing w:after="0" w:line="266" w:lineRule="auto"/>
        <w:tabs>
          <w:tab w:leader="none" w:pos="675"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through (iv)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of 1933, as amended, as to which the Court of Chancery and the federal district court for the District of Delaware shall concurrently be the sole and exclusive forums. This provision does not apply to suits brought to enforce any liability or duty created by the Exchange Act or any other claim for which the federal district courts of the United States of America shall be the sole and exclusive forum.</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479"/>
        <w:spacing w:after="0" w:line="285" w:lineRule="auto"/>
        <w:rPr>
          <w:sz w:val="20"/>
          <w:szCs w:val="20"/>
          <w:color w:val="auto"/>
        </w:rPr>
      </w:pPr>
      <w:r>
        <w:rPr>
          <w:rFonts w:ascii="Arial" w:cs="Arial" w:eastAsia="Arial" w:hAnsi="Arial"/>
          <w:sz w:val="16"/>
          <w:szCs w:val="16"/>
          <w:color w:val="auto"/>
        </w:rPr>
        <w:t>Unless the New Tango consents in writing to the selection of an alternative forum, the Court of Chancery of the State of Delaware shall be the sole and exclusive forum for any state law claims for (i) any derivative action or proceeding brought on behalf of New Tango,</w:t>
      </w:r>
    </w:p>
    <w:p>
      <w:pPr>
        <w:spacing w:after="0" w:line="2" w:lineRule="exact"/>
        <w:rPr>
          <w:sz w:val="20"/>
          <w:szCs w:val="20"/>
          <w:color w:val="auto"/>
        </w:rPr>
      </w:pPr>
    </w:p>
    <w:p>
      <w:pPr>
        <w:ind w:right="519" w:firstLine="4"/>
        <w:spacing w:after="0" w:line="265" w:lineRule="auto"/>
        <w:tabs>
          <w:tab w:leader="none" w:pos="265"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any action asserting a claim of, or a claim based on, a breach of a fiduciary duty owed by any current or former director, officer or other employee of New Tango to New Tango or New Tango’s stockholders,</w:t>
      </w:r>
    </w:p>
    <w:p>
      <w:pPr>
        <w:ind w:right="479" w:firstLine="4"/>
        <w:spacing w:after="0" w:line="267" w:lineRule="auto"/>
        <w:tabs>
          <w:tab w:leader="none" w:pos="315"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any action asserting a claim arising pursuant to any provision of the DGCL or the Proposed Charter or Proposed Bylaws (including the interpretation, validity or enforceability thereof), or (iv) any action asserting a claim governed by the internal affairs doctrine. Unless New Tango consents in writing to the selection of an alternative forum, the federal district courts of the United States of America shall be the sole and exclusive forum for resolving any complaint asserting a cause of action arising under the Securities Act of 1933, as amended.</w:t>
      </w:r>
    </w:p>
    <w:p>
      <w:pPr>
        <w:spacing w:after="0" w:line="2993" w:lineRule="exact"/>
        <w:rPr>
          <w:sz w:val="20"/>
          <w:szCs w:val="20"/>
          <w:color w:val="auto"/>
        </w:rPr>
      </w:pPr>
    </w:p>
    <w:p>
      <w:pPr>
        <w:sectPr>
          <w:pgSz w:w="11900" w:h="16838" w:orient="portrait"/>
          <w:cols w:equalWidth="0" w:num="2">
            <w:col w:w="4380" w:space="120"/>
            <w:col w:w="4519"/>
          </w:cols>
          <w:pgMar w:left="1440" w:top="274"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82" w:name="page283"/>
    <w:bookmarkEnd w:id="28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 AFTER THE BUSINESS COMBINATION</w:t>
      </w:r>
    </w:p>
    <w:p>
      <w:pPr>
        <w:spacing w:after="0" w:line="148"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The following summary of certain provisions of New Tango’s securities does not purport to be complete and is subject to the Proposed Charter, the Proposed Bylaws and the provisions of applicable law. A copy of the Proposed Charter is attached to this proxy statement/prospectus as Annex B and a copy of the Proposed Bylaws is attached as Exhibit 3.4, to the Registration Statement of which this proxy statement/prospectus forms a part.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Authorized and Outstanding Stock</w:t>
      </w:r>
    </w:p>
    <w:p>
      <w:pPr>
        <w:spacing w:after="0" w:line="158" w:lineRule="exact"/>
        <w:rPr>
          <w:sz w:val="20"/>
          <w:szCs w:val="20"/>
          <w:color w:val="auto"/>
        </w:rPr>
      </w:pPr>
    </w:p>
    <w:p>
      <w:pPr>
        <w:ind w:left="460" w:right="659" w:firstLine="432"/>
        <w:spacing w:after="0" w:line="301" w:lineRule="auto"/>
        <w:rPr>
          <w:sz w:val="20"/>
          <w:szCs w:val="20"/>
          <w:color w:val="auto"/>
        </w:rPr>
      </w:pPr>
      <w:r>
        <w:rPr>
          <w:rFonts w:ascii="Arial" w:cs="Arial" w:eastAsia="Arial" w:hAnsi="Arial"/>
          <w:sz w:val="16"/>
          <w:szCs w:val="16"/>
          <w:color w:val="auto"/>
        </w:rPr>
        <w:t>The Proposed Charter authorizes the issuance of 55,000,000 shares, consisting of [•] shares of Common Stock, $0.001 par value per share, and [•] shares of preferred stock, $0.001 par value, all of which shares of preferred stock will be undesignated. As of the Record Date, there were [21,377,250] shares of BCTG Acquisition Corp. Common Stock outstanding. No shares of preferred stock are currently outstanding.</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w:t>
      </w:r>
    </w:p>
    <w:p>
      <w:pPr>
        <w:spacing w:after="0" w:line="158" w:lineRule="exact"/>
        <w:rPr>
          <w:sz w:val="20"/>
          <w:szCs w:val="20"/>
          <w:color w:val="auto"/>
        </w:rPr>
      </w:pPr>
    </w:p>
    <w:p>
      <w:pPr>
        <w:ind w:left="460" w:right="539" w:firstLine="432"/>
        <w:spacing w:after="0" w:line="308" w:lineRule="auto"/>
        <w:rPr>
          <w:sz w:val="20"/>
          <w:szCs w:val="20"/>
          <w:color w:val="auto"/>
        </w:rPr>
      </w:pPr>
      <w:r>
        <w:rPr>
          <w:rFonts w:ascii="Arial" w:cs="Arial" w:eastAsia="Arial" w:hAnsi="Arial"/>
          <w:sz w:val="17"/>
          <w:szCs w:val="17"/>
          <w:color w:val="auto"/>
        </w:rPr>
        <w:t>The Proposed Charter, which BCTG will adopt if the Charter Amendment Proposal is approved, provides the following with respect to the rights, powers, preferences and privileges of the Common Stock.</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Power</w:t>
      </w:r>
    </w:p>
    <w:p>
      <w:pPr>
        <w:spacing w:after="0" w:line="144"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Except as otherwise required by law or as otherwise provided in any certificate of designation for any series of preferred stock, the holders of Common Stock possess all voting power for the election of New Tango’s directors and all other matters requiring stockholder action. Holders of Common Stock are entitled to one vote per share on matters to be voted on by stockholders.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58"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Holders of Common Stock will be entitled to receive such dividends, if any, as may be declared from time to time by New Tango’s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58"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In the event of New Tango’s voluntary or involuntary liquidation, dissolution, distribution of assets or winding-up, the holders of the Common Stock will be entitled to receive an equal amount per share of all of New Tango’s assets of whatever kind available for distribution to stockholders, after the rights of the holders of the preferred stock have been satisfied.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There are no sinking fund provisions applicable to the Common Stock.</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The holders of the Founders Shares issued and outstanding on the date of this proxy statement/prospectus are entitled to registration rights pursuant to an agreement signed in connection with the BCTG IPO. The holders of a majority of these securities are entitled to make demands that we register such securities. The holders of the majority of the Founders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Closing. The Combined Entity will bear the expenses incurred in connection with the filing of any such registration statements.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3" w:name="page284"/>
    <w:bookmarkEnd w:id="28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79" w:firstLine="432"/>
        <w:spacing w:after="0" w:line="254" w:lineRule="auto"/>
        <w:rPr>
          <w:sz w:val="20"/>
          <w:szCs w:val="20"/>
          <w:color w:val="auto"/>
        </w:rPr>
      </w:pPr>
      <w:r>
        <w:rPr>
          <w:rFonts w:ascii="Arial" w:cs="Arial" w:eastAsia="Arial" w:hAnsi="Arial"/>
          <w:sz w:val="18"/>
          <w:szCs w:val="18"/>
          <w:color w:val="auto"/>
        </w:rPr>
        <w:t>Following the Business Combination, certain Tango Equityholders will hold registration rights with respect to the Merger Consideration. Stockholders holding a majority-in-interest of such registrable securities will be entitled to make a written demand for registration under the Securities Act of all or part of their registrable securities. Subject to certain exceptions, such stockholders will also have certain “piggy-back” registration rights with respect to registration statements filed by the Combined Entity, as well as additional rights to provide for registration of registrable securities on Form S-3 and any similar short-form registration statement that may be available at such time. See the section titled “</w:t>
      </w:r>
      <w:r>
        <w:rPr>
          <w:rFonts w:ascii="Arial" w:cs="Arial" w:eastAsia="Arial" w:hAnsi="Arial"/>
          <w:sz w:val="18"/>
          <w:szCs w:val="18"/>
          <w:i w:val="1"/>
          <w:iCs w:val="1"/>
          <w:color w:val="auto"/>
        </w:rPr>
        <w:t>The Business Combination Proposal —</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Agreements.”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Proposed Charter and Amended By-laws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Among other things, the Proposed Charter and Amended By-laws will:</w:t>
      </w:r>
    </w:p>
    <w:p>
      <w:pPr>
        <w:spacing w:after="0" w:line="158" w:lineRule="exact"/>
        <w:rPr>
          <w:sz w:val="20"/>
          <w:szCs w:val="20"/>
          <w:color w:val="auto"/>
        </w:rPr>
      </w:pPr>
    </w:p>
    <w:p>
      <w:pPr>
        <w:ind w:left="1300" w:right="839" w:hanging="431"/>
        <w:spacing w:after="0" w:line="263" w:lineRule="auto"/>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permit New Tango’s board of directors to issue up to shares of preferred stock, with any rights, preferences and privileges as they may designate, including the right to approve an acquisition or other change of control;</w:t>
      </w:r>
    </w:p>
    <w:p>
      <w:pPr>
        <w:spacing w:after="0" w:line="103" w:lineRule="exact"/>
        <w:rPr>
          <w:sz w:val="20"/>
          <w:szCs w:val="20"/>
          <w:color w:val="auto"/>
        </w:rPr>
      </w:pPr>
    </w:p>
    <w:p>
      <w:pPr>
        <w:ind w:left="1320" w:right="559" w:hanging="434"/>
        <w:spacing w:after="0" w:line="277" w:lineRule="auto"/>
        <w:tabs>
          <w:tab w:leader="none" w:pos="131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New Tango’s board of directors;</w:t>
      </w:r>
    </w:p>
    <w:p>
      <w:pPr>
        <w:spacing w:after="0" w:line="103" w:lineRule="exact"/>
        <w:rPr>
          <w:sz w:val="20"/>
          <w:szCs w:val="20"/>
          <w:color w:val="auto"/>
        </w:rPr>
      </w:pPr>
    </w:p>
    <w:p>
      <w:pPr>
        <w:jc w:val="both"/>
        <w:ind w:left="1300" w:right="479" w:hanging="431"/>
        <w:spacing w:after="0" w:line="263" w:lineRule="auto"/>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provide that, subject to the rights of any series of preferred stock to elect directors, directors may be removed only with cause by the holders of at least % of all of our then-outstanding shares of the capital stock entitled to vote generally at an election of directors;</w:t>
      </w:r>
    </w:p>
    <w:p>
      <w:pPr>
        <w:spacing w:after="0" w:line="116" w:lineRule="exact"/>
        <w:rPr>
          <w:sz w:val="20"/>
          <w:szCs w:val="20"/>
          <w:color w:val="auto"/>
        </w:rPr>
      </w:pPr>
    </w:p>
    <w:p>
      <w:pPr>
        <w:ind w:left="1320" w:right="519" w:hanging="434"/>
        <w:spacing w:after="0" w:line="311" w:lineRule="auto"/>
        <w:tabs>
          <w:tab w:leader="none" w:pos="1311" w:val="left"/>
        </w:tabs>
        <w:numPr>
          <w:ilvl w:val="0"/>
          <w:numId w:val="281"/>
        </w:numPr>
        <w:rPr>
          <w:rFonts w:ascii="Arial" w:cs="Arial" w:eastAsia="Arial" w:hAnsi="Arial"/>
          <w:sz w:val="16"/>
          <w:szCs w:val="16"/>
          <w:color w:val="auto"/>
        </w:rPr>
      </w:pPr>
      <w:r>
        <w:rPr>
          <w:rFonts w:ascii="Arial" w:cs="Arial" w:eastAsia="Arial" w:hAnsi="Arial"/>
          <w:sz w:val="16"/>
          <w:szCs w:val="16"/>
          <w:color w:val="auto"/>
        </w:rPr>
        <w:t>provide that, subject to the rights of any series of preferred stock to fill director vacancies, all director vacancies, including newly created directorships, may, except as otherwise required by law, be filled by the affirmative vote of a majority of directors then in office, even if less than a quorum;</w:t>
      </w:r>
    </w:p>
    <w:p>
      <w:pPr>
        <w:spacing w:after="0" w:line="67" w:lineRule="exact"/>
        <w:rPr>
          <w:rFonts w:ascii="Arial" w:cs="Arial" w:eastAsia="Arial" w:hAnsi="Arial"/>
          <w:sz w:val="16"/>
          <w:szCs w:val="16"/>
          <w:color w:val="auto"/>
        </w:rPr>
      </w:pPr>
    </w:p>
    <w:p>
      <w:pPr>
        <w:ind w:left="1320" w:right="499" w:hanging="434"/>
        <w:spacing w:after="0" w:line="311" w:lineRule="auto"/>
        <w:tabs>
          <w:tab w:leader="none" w:pos="1311" w:val="left"/>
        </w:tabs>
        <w:numPr>
          <w:ilvl w:val="0"/>
          <w:numId w:val="281"/>
        </w:numPr>
        <w:rPr>
          <w:rFonts w:ascii="Arial" w:cs="Arial" w:eastAsia="Arial" w:hAnsi="Arial"/>
          <w:sz w:val="16"/>
          <w:szCs w:val="16"/>
          <w:color w:val="auto"/>
        </w:rPr>
      </w:pPr>
      <w:r>
        <w:rPr>
          <w:rFonts w:ascii="Arial" w:cs="Arial" w:eastAsia="Arial" w:hAnsi="Arial"/>
          <w:sz w:val="16"/>
          <w:szCs w:val="16"/>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1" w:lineRule="exact"/>
        <w:rPr>
          <w:rFonts w:ascii="Arial" w:cs="Arial" w:eastAsia="Arial" w:hAnsi="Arial"/>
          <w:sz w:val="16"/>
          <w:szCs w:val="16"/>
          <w:color w:val="auto"/>
        </w:rPr>
      </w:pPr>
    </w:p>
    <w:p>
      <w:pPr>
        <w:ind w:left="1320" w:right="579" w:hanging="434"/>
        <w:spacing w:after="0" w:line="342" w:lineRule="auto"/>
        <w:tabs>
          <w:tab w:leader="none" w:pos="1311" w:val="left"/>
        </w:tabs>
        <w:numPr>
          <w:ilvl w:val="0"/>
          <w:numId w:val="281"/>
        </w:numPr>
        <w:rPr>
          <w:rFonts w:ascii="Arial" w:cs="Arial" w:eastAsia="Arial" w:hAnsi="Arial"/>
          <w:sz w:val="16"/>
          <w:szCs w:val="16"/>
          <w:color w:val="auto"/>
        </w:rPr>
      </w:pPr>
      <w:r>
        <w:rPr>
          <w:rFonts w:ascii="Arial" w:cs="Arial" w:eastAsia="Arial" w:hAnsi="Arial"/>
          <w:sz w:val="16"/>
          <w:szCs w:val="16"/>
          <w:color w:val="auto"/>
        </w:rPr>
        <w:t>provide that Special Meetings of New Tango’s stockholders may be called New Tango’s board of directors pursuant to a resolution adopted by a majority of the total number of authorized directors;</w:t>
      </w:r>
    </w:p>
    <w:p>
      <w:pPr>
        <w:spacing w:after="0" w:line="56" w:lineRule="exact"/>
        <w:rPr>
          <w:rFonts w:ascii="Arial" w:cs="Arial" w:eastAsia="Arial" w:hAnsi="Arial"/>
          <w:sz w:val="16"/>
          <w:szCs w:val="16"/>
          <w:color w:val="auto"/>
        </w:rPr>
      </w:pPr>
    </w:p>
    <w:p>
      <w:pPr>
        <w:ind w:left="1320" w:right="479" w:hanging="434"/>
        <w:spacing w:after="0" w:line="279" w:lineRule="auto"/>
        <w:tabs>
          <w:tab w:leader="none" w:pos="1311" w:val="left"/>
        </w:tabs>
        <w:numPr>
          <w:ilvl w:val="0"/>
          <w:numId w:val="281"/>
        </w:numPr>
        <w:rPr>
          <w:rFonts w:ascii="Arial" w:cs="Arial" w:eastAsia="Arial" w:hAnsi="Arial"/>
          <w:sz w:val="17"/>
          <w:szCs w:val="17"/>
          <w:color w:val="auto"/>
        </w:rPr>
      </w:pPr>
      <w:r>
        <w:rPr>
          <w:rFonts w:ascii="Arial" w:cs="Arial" w:eastAsia="Arial" w:hAnsi="Arial"/>
          <w:sz w:val="17"/>
          <w:szCs w:val="17"/>
          <w:color w:val="auto"/>
        </w:rPr>
        <w:t>provide that New Tango’s board of directors will be divided into three classes of directors, with the classes to be as nearly equal as possible, and with the directors serving three-year terms (see the section titled “</w:t>
      </w:r>
      <w:r>
        <w:rPr>
          <w:rFonts w:ascii="Arial" w:cs="Arial" w:eastAsia="Arial" w:hAnsi="Arial"/>
          <w:sz w:val="17"/>
          <w:szCs w:val="17"/>
          <w:i w:val="1"/>
          <w:iCs w:val="1"/>
          <w:color w:val="auto"/>
        </w:rPr>
        <w:t>Management After the Business Combination</w:t>
      </w:r>
      <w:r>
        <w:rPr>
          <w:rFonts w:ascii="Arial" w:cs="Arial" w:eastAsia="Arial" w:hAnsi="Arial"/>
          <w:sz w:val="17"/>
          <w:szCs w:val="17"/>
          <w:color w:val="auto"/>
        </w:rPr>
        <w:t>”), therefore making it more difficult for stockholders to change the composition of our board of directors; and</w:t>
      </w:r>
    </w:p>
    <w:p>
      <w:pPr>
        <w:spacing w:after="0" w:line="90" w:lineRule="exact"/>
        <w:rPr>
          <w:rFonts w:ascii="Arial" w:cs="Arial" w:eastAsia="Arial" w:hAnsi="Arial"/>
          <w:sz w:val="17"/>
          <w:szCs w:val="17"/>
          <w:color w:val="auto"/>
        </w:rPr>
      </w:pPr>
    </w:p>
    <w:p>
      <w:pPr>
        <w:ind w:left="1320" w:right="519" w:hanging="434"/>
        <w:spacing w:after="0" w:line="263" w:lineRule="auto"/>
        <w:tabs>
          <w:tab w:leader="none" w:pos="131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16"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combination of these provisions will make it more difficult for the existing stockholders to replace New Tango’s board of directors as well as for another party to obtain control of New Tango’s by replacing New Tango’s board of directors. Because New Tango’s board of directors has the power to retain and discharge its officers, these provisions could also make it more difficult for existing stockholders or another party to effect a change in management. In addition, the authorization of undesignated preferred stock makes it possible for New Tango’s board of directors to issue preferred stock with voting or other rights or preferences that could impede the success of any attempt to change our control.</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4" w:name="page285"/>
    <w:bookmarkEnd w:id="28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New Tango’s board of directors and its policies and to discourage coercive takeover practices and inadequate takeover bids. These provisions are also designed to reduce New Tango’s vulnerability to hostile takeovers and to discourage certain tactics that may be used in proxy fights. However, such provisions could have the effect of discouraging others from making tender offers for New Tango’s shares and may have the effect of delaying changes in our control or management. As a consequence, these provisions may also inhibit fluctuations in the market price of our stock.</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58" w:lineRule="exact"/>
        <w:rPr>
          <w:sz w:val="20"/>
          <w:szCs w:val="20"/>
          <w:color w:val="auto"/>
        </w:rPr>
      </w:pPr>
    </w:p>
    <w:p>
      <w:pPr>
        <w:ind w:left="460" w:right="859" w:firstLine="432"/>
        <w:spacing w:after="0" w:line="259" w:lineRule="auto"/>
        <w:rPr>
          <w:sz w:val="20"/>
          <w:szCs w:val="20"/>
          <w:color w:val="auto"/>
        </w:rPr>
      </w:pPr>
      <w:r>
        <w:rPr>
          <w:rFonts w:ascii="Arial" w:cs="Arial" w:eastAsia="Arial" w:hAnsi="Arial"/>
          <w:sz w:val="18"/>
          <w:szCs w:val="18"/>
          <w:color w:val="auto"/>
        </w:rPr>
        <w:t>The Combined Entity will opt out of Section 203 of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5" w:name="page286"/>
    <w:bookmarkEnd w:id="28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Combination Shares</w:t>
      </w:r>
    </w:p>
    <w:p>
      <w:pPr>
        <w:spacing w:after="0" w:line="148"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BCTG will issue up to 55,000,000 shares of Common Stock to Tango Equityholders in connection with the Business Combination. All of the shares of Common Stock issued in connection with the Business Combination will be freely transferable by persons other than by BCTG’s “affiliates” without restriction or further registration under the Securities Act, subject to any lock-up restrictions. Sales of substantial amounts of the Common Stock in the public market could adversely affect prevailing market prices of the Common Stock.</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Provisions</w:t>
      </w:r>
    </w:p>
    <w:p>
      <w:pPr>
        <w:spacing w:after="0" w:line="162"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7"/>
          <w:szCs w:val="17"/>
          <w:color w:val="auto"/>
        </w:rPr>
        <w:t>The Sponsor will be broadly prohibited from selling, pledging, transferring or otherwise disposing of its ownership interest in the Combined Entity’s common stock for a period of 365 days after the Closing, subject to certain customary exceptions and early release upon the occurrence of certain events.</w:t>
      </w:r>
    </w:p>
    <w:p>
      <w:pPr>
        <w:spacing w:after="0" w:line="98" w:lineRule="exact"/>
        <w:rPr>
          <w:sz w:val="20"/>
          <w:szCs w:val="20"/>
          <w:color w:val="auto"/>
        </w:rPr>
      </w:pPr>
    </w:p>
    <w:p>
      <w:pPr>
        <w:ind w:left="460" w:right="939" w:firstLine="432"/>
        <w:spacing w:after="0" w:line="259" w:lineRule="auto"/>
        <w:rPr>
          <w:sz w:val="20"/>
          <w:szCs w:val="20"/>
          <w:color w:val="auto"/>
        </w:rPr>
      </w:pPr>
      <w:r>
        <w:rPr>
          <w:rFonts w:ascii="Arial" w:cs="Arial" w:eastAsia="Arial" w:hAnsi="Arial"/>
          <w:sz w:val="18"/>
          <w:szCs w:val="18"/>
          <w:color w:val="auto"/>
        </w:rPr>
        <w:t>Tango’s officers and certain employees of Tango will be broadly prohibited from selling, pledging, transferring or otherwise disposing of its ownership interest in the Combined Entity’s common stock for a period of 180 days after the Closing, subject to certain customary exceptions and early release upon the occurrence of certain events.</w:t>
      </w:r>
    </w:p>
    <w:p>
      <w:pPr>
        <w:spacing w:after="0" w:line="106" w:lineRule="exact"/>
        <w:rPr>
          <w:sz w:val="20"/>
          <w:szCs w:val="20"/>
          <w:color w:val="auto"/>
        </w:rPr>
      </w:pPr>
    </w:p>
    <w:p>
      <w:pPr>
        <w:ind w:left="460" w:right="799" w:firstLine="432"/>
        <w:spacing w:after="0" w:line="296" w:lineRule="auto"/>
        <w:rPr>
          <w:sz w:val="20"/>
          <w:szCs w:val="20"/>
          <w:color w:val="auto"/>
        </w:rPr>
      </w:pPr>
      <w:r>
        <w:rPr>
          <w:rFonts w:ascii="Arial" w:cs="Arial" w:eastAsia="Arial" w:hAnsi="Arial"/>
          <w:sz w:val="16"/>
          <w:szCs w:val="16"/>
          <w:color w:val="auto"/>
        </w:rPr>
        <w:t>Tango’s directors and certain stockholders of Tango will be broadly prohibited from selling, pledging, transferring or otherwise disposing of its ownership interest in the Combined Entity’s common stock for a period of 12 months after the Closing, subject to certain customary exceptions and early release upon the occurrence of certain events. Additional details of these transfer restrictions can be found under the section titled “</w:t>
      </w:r>
      <w:r>
        <w:rPr>
          <w:rFonts w:ascii="Arial" w:cs="Arial" w:eastAsia="Arial" w:hAnsi="Arial"/>
          <w:sz w:val="16"/>
          <w:szCs w:val="16"/>
          <w:i w:val="1"/>
          <w:iCs w:val="1"/>
          <w:color w:val="auto"/>
        </w:rPr>
        <w:t>Proposal 1 — The Business Combination Proposal — Related Agreements — Lock-up Agreements</w:t>
      </w:r>
      <w:r>
        <w:rPr>
          <w:rFonts w:ascii="Arial" w:cs="Arial" w:eastAsia="Arial" w:hAnsi="Arial"/>
          <w:sz w:val="16"/>
          <w:szCs w:val="16"/>
          <w:color w:val="auto"/>
        </w:rPr>
        <w: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BCTG has agreed to give holders of certain restricted securities, including shares of Common Stock, the Private Shares, and the shares purchased in the PIPE Financing, registration rights to facilitate the resale of such restricted securities. Additional details of these rights can be found under the section titled “</w:t>
      </w:r>
      <w:r>
        <w:rPr>
          <w:rFonts w:ascii="Arial" w:cs="Arial" w:eastAsia="Arial" w:hAnsi="Arial"/>
          <w:sz w:val="18"/>
          <w:szCs w:val="18"/>
          <w:i w:val="1"/>
          <w:iCs w:val="1"/>
          <w:color w:val="auto"/>
        </w:rPr>
        <w:t>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After the Business Combination — Registration Rights</w:t>
      </w:r>
      <w:r>
        <w:rPr>
          <w:rFonts w:ascii="Arial" w:cs="Arial" w:eastAsia="Arial" w:hAnsi="Arial"/>
          <w:sz w:val="18"/>
          <w:szCs w:val="18"/>
          <w:color w:val="auto"/>
        </w:rPr>
        <w: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16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Pursuant to Rule 144, a person who has beneficially owned restricted shares of Common Stock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97"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only a number of securities that does not exceed the greater of either of the following:</w:t>
      </w:r>
    </w:p>
    <w:p>
      <w:pPr>
        <w:spacing w:after="0" w:line="104" w:lineRule="exact"/>
        <w:rPr>
          <w:sz w:val="20"/>
          <w:szCs w:val="20"/>
          <w:color w:val="auto"/>
        </w:rPr>
      </w:pPr>
    </w:p>
    <w:p>
      <w:pPr>
        <w:ind w:left="1300" w:hanging="414"/>
        <w:spacing w:after="0"/>
        <w:tabs>
          <w:tab w:leader="none" w:pos="13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1% of the total shares of the Combined Entity’s common stock then outstanding; or</w:t>
      </w:r>
    </w:p>
    <w:p>
      <w:pPr>
        <w:spacing w:after="0" w:line="157" w:lineRule="exact"/>
        <w:rPr>
          <w:rFonts w:ascii="Arial" w:cs="Arial" w:eastAsia="Arial" w:hAnsi="Arial"/>
          <w:sz w:val="18"/>
          <w:szCs w:val="18"/>
          <w:color w:val="auto"/>
        </w:rPr>
      </w:pPr>
    </w:p>
    <w:p>
      <w:pPr>
        <w:ind w:left="1320" w:right="739" w:hanging="434"/>
        <w:spacing w:after="0" w:line="308" w:lineRule="auto"/>
        <w:tabs>
          <w:tab w:leader="none" w:pos="1311" w:val="left"/>
        </w:tabs>
        <w:numPr>
          <w:ilvl w:val="0"/>
          <w:numId w:val="282"/>
        </w:numPr>
        <w:rPr>
          <w:rFonts w:ascii="Arial" w:cs="Arial" w:eastAsia="Arial" w:hAnsi="Arial"/>
          <w:sz w:val="17"/>
          <w:szCs w:val="17"/>
          <w:color w:val="auto"/>
        </w:rPr>
      </w:pPr>
      <w:r>
        <w:rPr>
          <w:rFonts w:ascii="Arial" w:cs="Arial" w:eastAsia="Arial" w:hAnsi="Arial"/>
          <w:sz w:val="17"/>
          <w:szCs w:val="17"/>
          <w:color w:val="auto"/>
        </w:rPr>
        <w:t>the average weekly reported trading volume of the Combined Entity’s Common Stock during the four calendar weeks preceding the filing of a notice on Form 144 with respect to the sale.</w:t>
      </w:r>
    </w:p>
    <w:p>
      <w:pPr>
        <w:spacing w:after="0" w:line="65" w:lineRule="exact"/>
        <w:rPr>
          <w:rFonts w:ascii="Arial" w:cs="Arial" w:eastAsia="Arial" w:hAnsi="Arial"/>
          <w:sz w:val="17"/>
          <w:szCs w:val="17"/>
          <w:color w:val="auto"/>
        </w:rPr>
      </w:pPr>
    </w:p>
    <w:p>
      <w:pPr>
        <w:ind w:left="1320" w:right="919" w:hanging="434"/>
        <w:spacing w:after="0" w:line="342" w:lineRule="auto"/>
        <w:tabs>
          <w:tab w:leader="none" w:pos="1311" w:val="left"/>
        </w:tabs>
        <w:numPr>
          <w:ilvl w:val="0"/>
          <w:numId w:val="282"/>
        </w:numPr>
        <w:rPr>
          <w:rFonts w:ascii="Arial" w:cs="Arial" w:eastAsia="Arial" w:hAnsi="Arial"/>
          <w:sz w:val="16"/>
          <w:szCs w:val="16"/>
          <w:color w:val="auto"/>
        </w:rPr>
      </w:pPr>
      <w:r>
        <w:rPr>
          <w:rFonts w:ascii="Arial" w:cs="Arial" w:eastAsia="Arial" w:hAnsi="Arial"/>
          <w:sz w:val="16"/>
          <w:szCs w:val="16"/>
          <w:color w:val="auto"/>
        </w:rPr>
        <w:t>Sales by affiliates of BCTG under Rule 144 are also subject to certain requirements relating to manner of sale, notice and the availability of current public information about BCTG.</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6" w:name="page287"/>
    <w:bookmarkEnd w:id="28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48"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1" w:lineRule="exact"/>
        <w:rPr>
          <w:sz w:val="20"/>
          <w:szCs w:val="20"/>
          <w:color w:val="auto"/>
        </w:rPr>
      </w:pPr>
    </w:p>
    <w:p>
      <w:pPr>
        <w:ind w:left="1300" w:hanging="414"/>
        <w:spacing w:after="0"/>
        <w:tabs>
          <w:tab w:leader="none" w:pos="130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issuer of the securities that was formerly a shell company has ceased to be a shell company;</w:t>
      </w:r>
    </w:p>
    <w:p>
      <w:pPr>
        <w:spacing w:after="0" w:line="180" w:lineRule="exact"/>
        <w:rPr>
          <w:rFonts w:ascii="Arial" w:cs="Arial" w:eastAsia="Arial" w:hAnsi="Arial"/>
          <w:sz w:val="16"/>
          <w:szCs w:val="16"/>
          <w:color w:val="auto"/>
        </w:rPr>
      </w:pPr>
    </w:p>
    <w:p>
      <w:pPr>
        <w:ind w:left="1320" w:right="899" w:hanging="434"/>
        <w:spacing w:after="0" w:line="277" w:lineRule="auto"/>
        <w:tabs>
          <w:tab w:leader="none" w:pos="1311"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89" w:lineRule="exact"/>
        <w:rPr>
          <w:rFonts w:ascii="Arial" w:cs="Arial" w:eastAsia="Arial" w:hAnsi="Arial"/>
          <w:sz w:val="18"/>
          <w:szCs w:val="18"/>
          <w:color w:val="auto"/>
        </w:rPr>
      </w:pPr>
    </w:p>
    <w:p>
      <w:pPr>
        <w:jc w:val="both"/>
        <w:ind w:left="1320" w:right="699" w:hanging="434"/>
        <w:spacing w:after="0" w:line="263" w:lineRule="auto"/>
        <w:tabs>
          <w:tab w:leader="none" w:pos="1311"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16" w:lineRule="exact"/>
        <w:rPr>
          <w:rFonts w:ascii="Arial" w:cs="Arial" w:eastAsia="Arial" w:hAnsi="Arial"/>
          <w:sz w:val="18"/>
          <w:szCs w:val="18"/>
          <w:color w:val="auto"/>
        </w:rPr>
      </w:pPr>
    </w:p>
    <w:p>
      <w:pPr>
        <w:ind w:left="1320" w:right="479" w:hanging="434"/>
        <w:spacing w:after="0" w:line="263" w:lineRule="auto"/>
        <w:tabs>
          <w:tab w:leader="none" w:pos="1311"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which is expected to be filed promptly after completion of the Business Combination, reflecting its status as an entity that is not a shell company.</w:t>
      </w:r>
    </w:p>
    <w:p>
      <w:pPr>
        <w:spacing w:after="0" w:line="116"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As of the date of this proxy statement/prospectus, there are 21,377,250 shares of Common Stock outstanding. Of these shares, the 16,675,000 shares sold in the BCTG IPO are freely tradable without restriction or further registration under the Securities Act, except for any shares purchased by one of our affiliates within the meaning of Rule 144 under the Securities Act. Of the remaining amount, 4,610,250 shares are owned collectively by the Sponsor, officers, and directors are restricted securities under Rule 144, in that they were issued in private transactions not involving a public offering.</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7" w:name="page288"/>
    <w:bookmarkEnd w:id="28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TICKER SYMBOL, MARKET PRICE AND DIVIDEND POLICY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Ticker Symbol and Market Price</w:t>
      </w:r>
    </w:p>
    <w:p>
      <w:pPr>
        <w:spacing w:after="0" w:line="148"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BCTG Common Stock is currently listed on Nasdaq under the symbol “BCTG”. The closing price of the BCTG Common Stock on April 13, 2021, the last trading day before announcement of the execution of the Merger Agreement, was $11.21. As of [•], 2021, the record date for the Special Meeting, the closing price for the BCTG Common Stock was $[•].</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We have not paid any cash dividends on our shares of common stock to date and do not intend to pay cash dividends prior to the completion of the Business Combination. The payment of cash dividends in the future will be dependent upon our revenues and earnings, if any, capital requirements and general financial condition subsequent to the completion of the Business Combination. The payment of any dividends subsequent to Business Combination will be within the discretion of our then Board. It is the present intention of our Board to retain all earnings, if any, for use in our business operations and, accordingly, our Board does not anticipate declaring any dividends in the foreseeable future. Further, if we incur any indebtedness, our ability to declare dividends may be limited by restrictive covenants we may agree to in connection therewith.</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8" w:name="page289"/>
    <w:bookmarkEnd w:id="28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48" w:lineRule="exact"/>
        <w:rPr>
          <w:sz w:val="20"/>
          <w:szCs w:val="20"/>
          <w:color w:val="auto"/>
        </w:rPr>
      </w:pPr>
    </w:p>
    <w:p>
      <w:pPr>
        <w:ind w:left="460" w:right="879" w:firstLine="432"/>
        <w:spacing w:after="0" w:line="296" w:lineRule="auto"/>
        <w:rPr>
          <w:sz w:val="20"/>
          <w:szCs w:val="20"/>
          <w:color w:val="auto"/>
        </w:rPr>
      </w:pPr>
      <w:r>
        <w:rPr>
          <w:rFonts w:ascii="Arial" w:cs="Arial" w:eastAsia="Arial" w:hAnsi="Arial"/>
          <w:sz w:val="16"/>
          <w:szCs w:val="16"/>
          <w:color w:val="auto"/>
        </w:rPr>
        <w:t>The following table sets forth information regarding (i) the actual beneficial ownership of BCTG Common Stock as of [•] (the “</w:t>
      </w:r>
      <w:r>
        <w:rPr>
          <w:rFonts w:ascii="Arial" w:cs="Arial" w:eastAsia="Arial" w:hAnsi="Arial"/>
          <w:sz w:val="16"/>
          <w:szCs w:val="16"/>
          <w:b w:val="1"/>
          <w:bCs w:val="1"/>
          <w:color w:val="auto"/>
        </w:rPr>
        <w:t>Ownership Date</w:t>
      </w:r>
      <w:r>
        <w:rPr>
          <w:rFonts w:ascii="Arial" w:cs="Arial" w:eastAsia="Arial" w:hAnsi="Arial"/>
          <w:sz w:val="16"/>
          <w:szCs w:val="16"/>
          <w:color w:val="auto"/>
        </w:rPr>
        <w:t>”), which is prior to the consummation of the Business Combination (pre-Business Combination) and (ii) expected beneficial ownership of the Combined Entity’s common stock immediately following the Closing (post-Business Combination), assuming that no Public Shares are redeemed, and alternatively that the maximum number of Public Shares are redeemed, by:</w:t>
      </w:r>
    </w:p>
    <w:p>
      <w:pPr>
        <w:spacing w:after="0" w:line="94" w:lineRule="exact"/>
        <w:rPr>
          <w:sz w:val="20"/>
          <w:szCs w:val="20"/>
          <w:color w:val="auto"/>
        </w:rPr>
      </w:pPr>
    </w:p>
    <w:p>
      <w:pPr>
        <w:ind w:left="1320" w:right="1039" w:hanging="434"/>
        <w:spacing w:after="0" w:line="342" w:lineRule="auto"/>
        <w:tabs>
          <w:tab w:leader="none" w:pos="1311" w:val="left"/>
        </w:tabs>
        <w:numPr>
          <w:ilvl w:val="0"/>
          <w:numId w:val="284"/>
        </w:numPr>
        <w:rPr>
          <w:rFonts w:ascii="Arial" w:cs="Arial" w:eastAsia="Arial" w:hAnsi="Arial"/>
          <w:sz w:val="16"/>
          <w:szCs w:val="16"/>
          <w:color w:val="auto"/>
        </w:rPr>
      </w:pPr>
      <w:r>
        <w:rPr>
          <w:rFonts w:ascii="Arial" w:cs="Arial" w:eastAsia="Arial" w:hAnsi="Arial"/>
          <w:sz w:val="16"/>
          <w:szCs w:val="16"/>
          <w:color w:val="auto"/>
        </w:rPr>
        <w:t>each person who is, or is expected to be, the beneficial owner of more than 5% of issued and outstanding shares of BCTG Common Stock or of the Combined Entity’s common stock;</w:t>
      </w:r>
    </w:p>
    <w:p>
      <w:pPr>
        <w:spacing w:after="0" w:line="56" w:lineRule="exact"/>
        <w:rPr>
          <w:rFonts w:ascii="Arial" w:cs="Arial" w:eastAsia="Arial" w:hAnsi="Arial"/>
          <w:sz w:val="16"/>
          <w:szCs w:val="16"/>
          <w:color w:val="auto"/>
        </w:rPr>
      </w:pPr>
    </w:p>
    <w:p>
      <w:pPr>
        <w:ind w:left="1300" w:hanging="414"/>
        <w:spacing w:after="0"/>
        <w:tabs>
          <w:tab w:leader="none" w:pos="13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each of our current executive officers and directors;</w:t>
      </w:r>
    </w:p>
    <w:p>
      <w:pPr>
        <w:spacing w:after="0" w:line="144" w:lineRule="exact"/>
        <w:rPr>
          <w:rFonts w:ascii="Arial" w:cs="Arial" w:eastAsia="Arial" w:hAnsi="Arial"/>
          <w:sz w:val="18"/>
          <w:szCs w:val="18"/>
          <w:color w:val="auto"/>
        </w:rPr>
      </w:pPr>
    </w:p>
    <w:p>
      <w:pPr>
        <w:ind w:left="1320" w:right="699" w:hanging="434"/>
        <w:spacing w:after="0" w:line="277" w:lineRule="auto"/>
        <w:tabs>
          <w:tab w:leader="none" w:pos="131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each person who will (or is expected to) become an executive officer or director of the Combined Entity following the Closing; and</w:t>
      </w:r>
    </w:p>
    <w:p>
      <w:pPr>
        <w:spacing w:after="0" w:line="102"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all executive officers and directors of BCTG as a group pre-Business Combination and all executive officers and directors of the Combined Entity post-Business Combination.</w:t>
      </w:r>
    </w:p>
    <w:p>
      <w:pPr>
        <w:spacing w:after="0" w:line="103"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68" w:lineRule="exact"/>
        <w:rPr>
          <w:sz w:val="20"/>
          <w:szCs w:val="20"/>
          <w:color w:val="auto"/>
        </w:rPr>
      </w:pPr>
    </w:p>
    <w:p>
      <w:pPr>
        <w:ind w:left="460" w:right="519" w:firstLine="432"/>
        <w:spacing w:after="0" w:line="253" w:lineRule="auto"/>
        <w:rPr>
          <w:sz w:val="20"/>
          <w:szCs w:val="20"/>
          <w:color w:val="auto"/>
        </w:rPr>
      </w:pPr>
      <w:r>
        <w:rPr>
          <w:rFonts w:ascii="Arial" w:cs="Arial" w:eastAsia="Arial" w:hAnsi="Arial"/>
          <w:sz w:val="18"/>
          <w:szCs w:val="18"/>
          <w:color w:val="auto"/>
        </w:rPr>
        <w:t>The beneficial ownership of shares of BCTG Common Stock pre-Business Combination is based on 21,377,250 issued and outstanding shares of BCTG Common Stock as of the date hereof. The beneficial ownership of shares of BCTG Common Stock immediately following consummation of the Business Combination is based on 94,987,250 shares to be outstanding and assumes (i) the issuance of the Merger Consideration Shares and (ii) the issuance of 18,610,000 shares in the PIPE Financing, any options and other convertible securities issued and outstanding as of the date hereof or to be issued in connection with the Business Combination (see the section titled “</w:t>
      </w:r>
      <w:r>
        <w:rPr>
          <w:rFonts w:ascii="Arial" w:cs="Arial" w:eastAsia="Arial" w:hAnsi="Arial"/>
          <w:sz w:val="18"/>
          <w:szCs w:val="18"/>
          <w:i w:val="1"/>
          <w:iCs w:val="1"/>
          <w:color w:val="auto"/>
        </w:rPr>
        <w:t>Description of Securities of BCTG</w:t>
      </w:r>
      <w:r>
        <w:rPr>
          <w:rFonts w:ascii="Arial" w:cs="Arial" w:eastAsia="Arial" w:hAnsi="Arial"/>
          <w:sz w:val="18"/>
          <w:szCs w:val="18"/>
          <w:color w:val="auto"/>
        </w:rPr>
        <w:t>” for a discussion of all BCTG’s securities that are currently outstanding). If the actual facts are different than these assumptions (which they are likely to be), the percentage ownership retained by BCTG’s existing stockholders in BCTG will be different.</w:t>
      </w:r>
    </w:p>
    <w:p>
      <w:pPr>
        <w:spacing w:after="0" w:line="127" w:lineRule="exact"/>
        <w:rPr>
          <w:sz w:val="20"/>
          <w:szCs w:val="20"/>
          <w:color w:val="auto"/>
        </w:rPr>
      </w:pPr>
    </w:p>
    <w:p>
      <w:pPr>
        <w:ind w:left="460" w:right="1019" w:firstLine="432"/>
        <w:spacing w:after="0" w:line="277" w:lineRule="auto"/>
        <w:rPr>
          <w:sz w:val="20"/>
          <w:szCs w:val="20"/>
          <w:color w:val="auto"/>
        </w:rPr>
      </w:pPr>
      <w:r>
        <w:rPr>
          <w:rFonts w:ascii="Arial" w:cs="Arial" w:eastAsia="Arial" w:hAnsi="Arial"/>
          <w:sz w:val="18"/>
          <w:szCs w:val="18"/>
          <w:color w:val="auto"/>
        </w:rPr>
        <w:t>The expected beneficial ownership with respect to the Tango Equityholders following the Business Combination presented below assume:</w:t>
      </w:r>
    </w:p>
    <w:p>
      <w:pPr>
        <w:spacing w:after="0" w:line="103"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18,610,000 shares of Common Stock that are issued in connection with the PIPE Financing immediately prior to the Closing.</w:t>
      </w:r>
    </w:p>
    <w:p>
      <w:pPr>
        <w:spacing w:after="0" w:line="89" w:lineRule="exact"/>
        <w:rPr>
          <w:sz w:val="20"/>
          <w:szCs w:val="20"/>
          <w:color w:val="auto"/>
        </w:rPr>
      </w:pPr>
    </w:p>
    <w:p>
      <w:pPr>
        <w:ind w:left="460" w:right="659" w:firstLine="432"/>
        <w:spacing w:after="0" w:line="291" w:lineRule="auto"/>
        <w:rPr>
          <w:sz w:val="20"/>
          <w:szCs w:val="20"/>
          <w:color w:val="auto"/>
        </w:rPr>
      </w:pPr>
      <w:r>
        <w:rPr>
          <w:rFonts w:ascii="Arial" w:cs="Arial" w:eastAsia="Arial" w:hAnsi="Arial"/>
          <w:sz w:val="16"/>
          <w:szCs w:val="16"/>
          <w:color w:val="auto"/>
        </w:rPr>
        <w:t>The expected beneficial ownership of common stock post-Business Combination assuming none of our Public Shares are redeemed has been determined based upon the following: (i) no BCTG stockholder has exercised its redemption rights to receive cash from the Trust Account in exchange for its BCTG Common Stock and we have not issued any additional Common Stock and (ii) there will be an aggregate of 94,987,250 shares of Common Stock issued and outstanding at the Closing (after accounting for certain de minimis rounding adjustments that may occur in the allotment of Merger Consideration Shares to the individual Tango Equityholders pursuant to the terms of the Merger Agreement).</w:t>
      </w:r>
    </w:p>
    <w:p>
      <w:pPr>
        <w:spacing w:after="0" w:line="99"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The expected beneficial ownership of common stock post-Business Combination assuming 3,068,449 Public Shares have been redeemed has been determined based on the following: (i) BCTG stockholders (other than the stockholders listed in the table below) have exercised their redemption rights with respect 3,068,449 Public Shares, and (ii) there will be an aggregate of 91,918,801 shares of Common Stock issued and outstanding at the Closing (after accounting for certain de minimis rounding adjustments that may occur in the allotment of Merger Consideration Shares to the individual Tango Equityholders pursuant to the terms of the Merger Agreement).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9" w:name="page290"/>
    <w:bookmarkEnd w:id="28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959" w:firstLine="432"/>
        <w:spacing w:after="0" w:line="308" w:lineRule="auto"/>
        <w:rPr>
          <w:sz w:val="20"/>
          <w:szCs w:val="20"/>
          <w:color w:val="auto"/>
        </w:rPr>
      </w:pPr>
      <w:r>
        <w:rPr>
          <w:rFonts w:ascii="Arial" w:cs="Arial" w:eastAsia="Arial" w:hAnsi="Arial"/>
          <w:sz w:val="17"/>
          <w:szCs w:val="17"/>
          <w:color w:val="auto"/>
        </w:rPr>
        <w:t>Unless otherwise indicated, BCTG believes that all persons named in the table have sole voting and investment power with respect to all BCTG Common Stock beneficially owned by them.</w:t>
      </w:r>
    </w:p>
    <w:p>
      <w:pPr>
        <w:spacing w:after="0" w:line="12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7"/>
          </w:tcPr>
          <w:p>
            <w:pPr>
              <w:jc w:val="center"/>
              <w:ind w:left="153"/>
              <w:spacing w:after="0"/>
              <w:rPr>
                <w:sz w:val="20"/>
                <w:szCs w:val="20"/>
                <w:color w:val="auto"/>
              </w:rPr>
            </w:pPr>
            <w:r>
              <w:rPr>
                <w:rFonts w:ascii="Arial" w:cs="Arial" w:eastAsia="Arial" w:hAnsi="Arial"/>
                <w:sz w:val="16"/>
                <w:szCs w:val="16"/>
                <w:b w:val="1"/>
                <w:bCs w:val="1"/>
                <w:color w:val="auto"/>
                <w:w w:val="84"/>
              </w:rPr>
              <w:t>Successor Post-Business</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88"/>
              </w:rPr>
              <w:t>Pre-Business Combination</w:t>
            </w:r>
          </w:p>
        </w:tc>
        <w:tc>
          <w:tcPr>
            <w:tcW w:w="2140" w:type="dxa"/>
            <w:vAlign w:val="bottom"/>
            <w:gridSpan w:val="7"/>
          </w:tcPr>
          <w:p>
            <w:pPr>
              <w:jc w:val="center"/>
              <w:ind w:left="193"/>
              <w:spacing w:after="0"/>
              <w:rPr>
                <w:sz w:val="20"/>
                <w:szCs w:val="20"/>
                <w:color w:val="auto"/>
              </w:rPr>
            </w:pPr>
            <w:r>
              <w:rPr>
                <w:rFonts w:ascii="Arial" w:cs="Arial" w:eastAsia="Arial" w:hAnsi="Arial"/>
                <w:sz w:val="16"/>
                <w:szCs w:val="16"/>
                <w:b w:val="1"/>
                <w:bCs w:val="1"/>
                <w:color w:val="auto"/>
                <w:w w:val="91"/>
              </w:rPr>
              <w:t>Combination</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3"/>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center"/>
              <w:ind w:left="133"/>
              <w:spacing w:after="0" w:line="182" w:lineRule="exact"/>
              <w:rPr>
                <w:sz w:val="20"/>
                <w:szCs w:val="20"/>
                <w:color w:val="auto"/>
              </w:rPr>
            </w:pPr>
            <w:r>
              <w:rPr>
                <w:rFonts w:ascii="Arial" w:cs="Arial" w:eastAsia="Arial" w:hAnsi="Arial"/>
                <w:sz w:val="16"/>
                <w:szCs w:val="16"/>
                <w:b w:val="1"/>
                <w:bCs w:val="1"/>
                <w:color w:val="auto"/>
                <w:w w:val="87"/>
              </w:rPr>
              <w:t>Assuming</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1"/>
              </w:rPr>
              <w:t>Assuming No</w:t>
            </w:r>
          </w:p>
        </w:tc>
        <w:tc>
          <w:tcPr>
            <w:tcW w:w="860" w:type="dxa"/>
            <w:vAlign w:val="bottom"/>
            <w:gridSpan w:val="2"/>
          </w:tcPr>
          <w:p>
            <w:pPr>
              <w:jc w:val="center"/>
              <w:ind w:left="213"/>
              <w:spacing w:after="0"/>
              <w:rPr>
                <w:sz w:val="20"/>
                <w:szCs w:val="20"/>
                <w:color w:val="auto"/>
              </w:rPr>
            </w:pPr>
            <w:r>
              <w:rPr>
                <w:rFonts w:ascii="Arial" w:cs="Arial" w:eastAsia="Arial" w:hAnsi="Arial"/>
                <w:sz w:val="16"/>
                <w:szCs w:val="16"/>
                <w:b w:val="1"/>
                <w:bCs w:val="1"/>
                <w:color w:val="auto"/>
                <w:w w:val="97"/>
              </w:rPr>
              <w:t>100%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Common Stock</w:t>
            </w:r>
          </w:p>
        </w:tc>
        <w:tc>
          <w:tcPr>
            <w:tcW w:w="12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2"/>
              </w:rPr>
              <w:t>Redemption</w:t>
            </w:r>
          </w:p>
        </w:tc>
        <w:tc>
          <w:tcPr>
            <w:tcW w:w="12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Redemption</w:t>
            </w:r>
          </w:p>
        </w:tc>
        <w:tc>
          <w:tcPr>
            <w:tcW w:w="0" w:type="dxa"/>
            <w:vAlign w:val="bottom"/>
          </w:tcPr>
          <w:p>
            <w:pPr>
              <w:spacing w:after="0"/>
              <w:rPr>
                <w:sz w:val="1"/>
                <w:szCs w:val="1"/>
                <w:color w:val="auto"/>
              </w:rPr>
            </w:pPr>
          </w:p>
        </w:tc>
      </w:tr>
      <w:tr>
        <w:trPr>
          <w:trHeight w:val="46"/>
        </w:trPr>
        <w:tc>
          <w:tcPr>
            <w:tcW w:w="3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 of</w:t>
            </w:r>
          </w:p>
        </w:tc>
        <w:tc>
          <w:tcPr>
            <w:tcW w:w="1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w:t>
            </w: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Outstanding</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Beneficially</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Shares of</w:t>
            </w:r>
          </w:p>
        </w:tc>
        <w:tc>
          <w:tcPr>
            <w:tcW w:w="1200" w:type="dxa"/>
            <w:vAlign w:val="bottom"/>
            <w:gridSpan w:val="4"/>
          </w:tcPr>
          <w:p>
            <w:pPr>
              <w:ind w:left="20"/>
              <w:spacing w:after="0"/>
              <w:rPr>
                <w:sz w:val="20"/>
                <w:szCs w:val="20"/>
                <w:color w:val="auto"/>
              </w:rPr>
            </w:pPr>
            <w:r>
              <w:rPr>
                <w:rFonts w:ascii="Arial" w:cs="Arial" w:eastAsia="Arial" w:hAnsi="Arial"/>
                <w:sz w:val="16"/>
                <w:szCs w:val="16"/>
                <w:b w:val="1"/>
                <w:bCs w:val="1"/>
                <w:color w:val="auto"/>
              </w:rPr>
              <w:t>Number of</w:t>
            </w:r>
          </w:p>
        </w:tc>
        <w:tc>
          <w:tcPr>
            <w:tcW w:w="9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4"/>
              </w:rPr>
              <w:t>Number of</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380" w:type="dxa"/>
            <w:vAlign w:val="bottom"/>
          </w:tcPr>
          <w:p>
            <w:pPr>
              <w:spacing w:after="0"/>
              <w:rPr>
                <w:sz w:val="20"/>
                <w:szCs w:val="20"/>
                <w:color w:val="auto"/>
              </w:rPr>
            </w:pPr>
            <w:r>
              <w:rPr>
                <w:rFonts w:ascii="Arial" w:cs="Arial" w:eastAsia="Arial" w:hAnsi="Arial"/>
                <w:sz w:val="16"/>
                <w:szCs w:val="16"/>
                <w:b w:val="1"/>
                <w:bCs w:val="1"/>
                <w:color w:val="auto"/>
              </w:rPr>
              <w:t>Name and Address of Beneficial Owner</w:t>
            </w:r>
            <w:r>
              <w:rPr>
                <w:rFonts w:ascii="Arial" w:cs="Arial" w:eastAsia="Arial" w:hAnsi="Arial"/>
                <w:sz w:val="18"/>
                <w:szCs w:val="18"/>
                <w:b w:val="1"/>
                <w:bCs w:val="1"/>
                <w:color w:val="auto"/>
                <w:vertAlign w:val="superscript"/>
              </w:rPr>
              <w:t>(1)</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3"/>
              </w:rPr>
              <w:t>Owned</w:t>
            </w:r>
          </w:p>
        </w:tc>
        <w:tc>
          <w:tcPr>
            <w:tcW w:w="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Common Stock</w:t>
            </w:r>
          </w:p>
        </w:tc>
        <w:tc>
          <w:tcPr>
            <w:tcW w:w="100" w:type="dxa"/>
            <w:vAlign w:val="bottom"/>
          </w:tcPr>
          <w:p>
            <w:pPr>
              <w:spacing w:after="0"/>
              <w:rPr>
                <w:sz w:val="21"/>
                <w:szCs w:val="21"/>
                <w:color w:val="auto"/>
              </w:rPr>
            </w:pPr>
          </w:p>
        </w:tc>
        <w:tc>
          <w:tcPr>
            <w:tcW w:w="1200" w:type="dxa"/>
            <w:vAlign w:val="bottom"/>
            <w:gridSpan w:val="4"/>
          </w:tcPr>
          <w:p>
            <w:pPr>
              <w:ind w:left="160"/>
              <w:spacing w:after="0"/>
              <w:rPr>
                <w:sz w:val="20"/>
                <w:szCs w:val="20"/>
                <w:color w:val="auto"/>
              </w:rPr>
            </w:pPr>
            <w:r>
              <w:rPr>
                <w:rFonts w:ascii="Arial" w:cs="Arial" w:eastAsia="Arial" w:hAnsi="Arial"/>
                <w:sz w:val="16"/>
                <w:szCs w:val="16"/>
                <w:b w:val="1"/>
                <w:bCs w:val="1"/>
                <w:color w:val="auto"/>
              </w:rPr>
              <w:t>Shares    %</w:t>
            </w:r>
          </w:p>
        </w:tc>
        <w:tc>
          <w:tcPr>
            <w:tcW w:w="9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6"/>
              </w:rPr>
              <w:t>Shares</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61"/>
        </w:trPr>
        <w:tc>
          <w:tcPr>
            <w:tcW w:w="33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w w:val="92"/>
              </w:rPr>
              <w:t>Directors and Executive Officers of BCTG:</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2"/>
          </w:tcPr>
          <w:p>
            <w:pPr>
              <w:ind w:left="180"/>
              <w:spacing w:after="0"/>
              <w:rPr>
                <w:sz w:val="20"/>
                <w:szCs w:val="20"/>
                <w:color w:val="auto"/>
              </w:rPr>
            </w:pPr>
            <w:r>
              <w:rPr>
                <w:rFonts w:ascii="Arial" w:cs="Arial" w:eastAsia="Arial" w:hAnsi="Arial"/>
                <w:sz w:val="18"/>
                <w:szCs w:val="18"/>
                <w:color w:val="auto"/>
              </w:rPr>
              <w:t>Aaron I. Davis</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0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Christopher Fuglesang, Ph. D., J.D.</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2"/>
          </w:tcPr>
          <w:p>
            <w:pPr>
              <w:ind w:left="180"/>
              <w:spacing w:after="0"/>
              <w:rPr>
                <w:sz w:val="20"/>
                <w:szCs w:val="20"/>
                <w:color w:val="auto"/>
              </w:rPr>
            </w:pPr>
            <w:r>
              <w:rPr>
                <w:rFonts w:ascii="Arial" w:cs="Arial" w:eastAsia="Arial" w:hAnsi="Arial"/>
                <w:sz w:val="18"/>
                <w:szCs w:val="18"/>
                <w:color w:val="auto"/>
              </w:rPr>
              <w:t>Michael Beauchamp</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Andrew Ellis, M.D., J.D.</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2"/>
          </w:tcPr>
          <w:p>
            <w:pPr>
              <w:ind w:left="180"/>
              <w:spacing w:after="0"/>
              <w:rPr>
                <w:sz w:val="20"/>
                <w:szCs w:val="20"/>
                <w:color w:val="auto"/>
              </w:rPr>
            </w:pPr>
            <w:r>
              <w:rPr>
                <w:rFonts w:ascii="Arial" w:cs="Arial" w:eastAsia="Arial" w:hAnsi="Arial"/>
                <w:sz w:val="18"/>
                <w:szCs w:val="18"/>
                <w:color w:val="auto"/>
              </w:rPr>
              <w:t>Carole L. Nuechterlein, J.D.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Richard Heyman, Ph.D.</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40,600</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40,600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40,600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2"/>
          </w:tcPr>
          <w:p>
            <w:pPr>
              <w:ind w:left="180"/>
              <w:spacing w:after="0"/>
              <w:rPr>
                <w:sz w:val="20"/>
                <w:szCs w:val="20"/>
                <w:color w:val="auto"/>
              </w:rPr>
            </w:pPr>
            <w:r>
              <w:rPr>
                <w:rFonts w:ascii="Arial" w:cs="Arial" w:eastAsia="Arial" w:hAnsi="Arial"/>
                <w:sz w:val="18"/>
                <w:szCs w:val="18"/>
                <w:color w:val="auto"/>
              </w:rPr>
              <w:t>Charles M. Baum, M.D., Ph. 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40,600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40,600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40,600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Jamie G. Christensen, Ph. D.</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40,600</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40,600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40,600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2"/>
          </w:tcPr>
          <w:p>
            <w:pPr>
              <w:ind w:left="180"/>
              <w:spacing w:after="0"/>
              <w:rPr>
                <w:sz w:val="20"/>
                <w:szCs w:val="20"/>
                <w:color w:val="auto"/>
              </w:rPr>
            </w:pPr>
            <w:r>
              <w:rPr>
                <w:rFonts w:ascii="Arial" w:cs="Arial" w:eastAsia="Arial" w:hAnsi="Arial"/>
                <w:sz w:val="18"/>
                <w:szCs w:val="18"/>
                <w:color w:val="auto"/>
              </w:rPr>
              <w:t>James B. Avery</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4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All Directors and Executive Officers of</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BCTG as a Group (9 Individuals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(including BCTG Holdings, LLC)</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4,488,450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4,488,450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4,488,450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Five Percent Holders BCTG:</w:t>
            </w: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480" w:type="dxa"/>
            <w:vAlign w:val="bottom"/>
            <w:gridSpan w:val="2"/>
          </w:tcPr>
          <w:p>
            <w:pPr>
              <w:ind w:left="180"/>
              <w:spacing w:after="0"/>
              <w:rPr>
                <w:sz w:val="20"/>
                <w:szCs w:val="20"/>
                <w:color w:val="auto"/>
              </w:rPr>
            </w:pPr>
            <w:r>
              <w:rPr>
                <w:rFonts w:ascii="Arial" w:cs="Arial" w:eastAsia="Arial" w:hAnsi="Arial"/>
                <w:sz w:val="18"/>
                <w:szCs w:val="18"/>
                <w:b w:val="1"/>
                <w:bCs w:val="1"/>
                <w:color w:val="auto"/>
              </w:rPr>
              <w:t>BCTG Holdings, LLC</w:t>
            </w:r>
            <w:r>
              <w:rPr>
                <w:rFonts w:ascii="Arial" w:cs="Arial" w:eastAsia="Arial" w:hAnsi="Arial"/>
                <w:sz w:val="20"/>
                <w:szCs w:val="20"/>
                <w:b w:val="1"/>
                <w:bCs w:val="1"/>
                <w:color w:val="auto"/>
                <w:vertAlign w:val="superscript"/>
              </w:rPr>
              <w:t>(2)</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4,488,450</w:t>
            </w:r>
          </w:p>
        </w:tc>
        <w:tc>
          <w:tcPr>
            <w:tcW w:w="110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4,488,450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4,488,450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ind w:left="640"/>
        <w:spacing w:after="0"/>
        <w:rPr>
          <w:sz w:val="20"/>
          <w:szCs w:val="20"/>
          <w:color w:val="auto"/>
        </w:rPr>
      </w:pPr>
      <w:r>
        <w:rPr>
          <w:rFonts w:ascii="Arial" w:cs="Arial" w:eastAsia="Arial" w:hAnsi="Arial"/>
          <w:sz w:val="18"/>
          <w:szCs w:val="18"/>
          <w:b w:val="1"/>
          <w:bCs w:val="1"/>
          <w:color w:val="auto"/>
        </w:rPr>
        <w:t>Directors and Executive Officers of</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Combined Entity</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After Consummation of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3003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Combination</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Barbara Weber,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Daniella Beckman</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Alexis Borisy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Lesley Calhoun</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Aaron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Alan Huang, Ph.D.</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Reid Huber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Malte Peters, M.D.</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Mace Rothenberg, M.D.</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Directors and Executive Officers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4368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00" cy="436880"/>
                    </a:xfrm>
                    <a:prstGeom prst="rect">
                      <a:avLst/>
                    </a:prstGeom>
                    <a:noFill/>
                  </pic:spPr>
                </pic:pic>
              </a:graphicData>
            </a:graphic>
          </wp:anchor>
        </w:drawing>
      </w:r>
    </w:p>
    <w:p>
      <w:pPr>
        <w:spacing w:after="0" w:line="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Combined Entity as a group (nine</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individuals)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Five Percent Holders of Combined Entity</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After Consummation of the Business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1797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BCTG Holdings, LLC</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Funds affiliated with Boxer Capital, LLC</w:t>
      </w:r>
      <w:r>
        <w:rPr>
          <w:rFonts w:ascii="Arial" w:cs="Arial" w:eastAsia="Arial" w:hAnsi="Arial"/>
          <w:sz w:val="20"/>
          <w:szCs w:val="2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26035</wp:posOffset>
            </wp:positionV>
            <wp:extent cx="5143500" cy="1803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Casdin Partners Master Fund, L.P.</w:t>
      </w:r>
      <w:r>
        <w:rPr>
          <w:rFonts w:ascii="Arial" w:cs="Arial" w:eastAsia="Arial" w:hAnsi="Arial"/>
          <w:sz w:val="20"/>
          <w:szCs w:val="20"/>
          <w:color w:val="auto"/>
          <w:vertAlign w:val="superscript"/>
        </w:rPr>
        <w:t>(3)</w:t>
      </w:r>
    </w:p>
    <w:p>
      <w:pPr>
        <w:spacing w:after="0" w:line="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Gilead Sciences, Inc</w:t>
      </w:r>
      <w:r>
        <w:rPr>
          <w:rFonts w:ascii="Arial" w:cs="Arial" w:eastAsia="Arial" w:hAnsi="Arial"/>
          <w:sz w:val="20"/>
          <w:szCs w:val="20"/>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26035</wp:posOffset>
            </wp:positionV>
            <wp:extent cx="5143500" cy="1803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HH AUT-IV Holdings Limited</w:t>
      </w:r>
      <w:r>
        <w:rPr>
          <w:rFonts w:ascii="Arial" w:cs="Arial" w:eastAsia="Arial" w:hAnsi="Arial"/>
          <w:sz w:val="20"/>
          <w:szCs w:val="20"/>
          <w:color w:val="auto"/>
          <w:vertAlign w:val="superscript"/>
        </w:rPr>
        <w:t>(5)</w:t>
      </w:r>
    </w:p>
    <w:p>
      <w:pPr>
        <w:spacing w:after="0" w:line="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Third Rock Ventures IV, L.P</w:t>
      </w:r>
      <w:r>
        <w:rPr>
          <w:rFonts w:ascii="Arial" w:cs="Arial" w:eastAsia="Arial" w:hAnsi="Arial"/>
          <w:sz w:val="20"/>
          <w:szCs w:val="20"/>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26035</wp:posOffset>
            </wp:positionV>
            <wp:extent cx="5143500" cy="2997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00" cy="299720"/>
                    </a:xfrm>
                    <a:prstGeom prst="rect">
                      <a:avLst/>
                    </a:prstGeom>
                    <a:noFill/>
                  </pic:spPr>
                </pic:pic>
              </a:graphicData>
            </a:graphic>
          </wp:anchor>
        </w:drawing>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Funds affiliated with Cormorant Private</w:t>
      </w:r>
    </w:p>
    <w:p>
      <w:pPr>
        <w:spacing w:after="0" w:line="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Healthcare Fund I, LP</w:t>
      </w:r>
      <w:r>
        <w:rPr>
          <w:rFonts w:ascii="Arial" w:cs="Arial" w:eastAsia="Arial" w:hAnsi="Arial"/>
          <w:sz w:val="20"/>
          <w:szCs w:val="20"/>
          <w:color w:val="auto"/>
          <w:vertAlign w:val="superscript"/>
        </w:rPr>
        <w:t>(7)</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Less than one percent.</w:t>
      </w:r>
    </w:p>
    <w:p>
      <w:pPr>
        <w:sectPr>
          <w:pgSz w:w="11900" w:h="16838" w:orient="portrait"/>
          <w:cols w:equalWidth="0" w:num="1">
            <w:col w:w="9019"/>
          </w:cols>
          <w:pgMar w:left="1440" w:top="274" w:right="1440" w:bottom="426"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426" w:gutter="0" w:footer="0" w:header="0"/>
          <w:type w:val="continuous"/>
        </w:sectPr>
      </w:pPr>
    </w:p>
    <w:bookmarkStart w:id="290" w:name="page291"/>
    <w:bookmarkEnd w:id="29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right="579" w:hanging="426"/>
        <w:spacing w:after="0" w:line="260" w:lineRule="auto"/>
        <w:tabs>
          <w:tab w:leader="none" w:pos="88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each of the individuals is c/o BCTG Acquisition Corp., 12860 El Camino Real, Suite 300, San Diego, CA 92130.</w:t>
      </w:r>
    </w:p>
    <w:p>
      <w:pPr>
        <w:ind w:left="880" w:right="579" w:hanging="426"/>
        <w:spacing w:after="0" w:line="264" w:lineRule="auto"/>
        <w:tabs>
          <w:tab w:leader="none" w:pos="871"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 board consisting of Aaron Davis, Christopher Fuglesang and Andrew Ellis makes voting and dispositive decisions with respect to our securities owned by the sponsor. Each of Aaron Davis, Christopher Fuglesang and Andrew Ellis disclaims any pecuniary interest in the sponsor except to the extent of his beneficial interest in the securities owned by the sponsor. Represents [________] shares issued as Merger Consideration and [________] shares issued in the PIPE Investment.</w:t>
      </w:r>
    </w:p>
    <w:p>
      <w:pPr>
        <w:ind w:left="880" w:hanging="426"/>
        <w:spacing w:after="0"/>
        <w:tabs>
          <w:tab w:leader="none" w:pos="880" w:val="left"/>
        </w:tabs>
        <w:numPr>
          <w:ilvl w:val="0"/>
          <w:numId w:val="286"/>
        </w:numPr>
        <w:rPr>
          <w:rFonts w:ascii="Arial" w:cs="Arial" w:eastAsia="Arial" w:hAnsi="Arial"/>
          <w:sz w:val="14"/>
          <w:szCs w:val="14"/>
          <w:color w:val="auto"/>
        </w:rPr>
      </w:pPr>
      <w:r>
        <w:rPr>
          <w:rFonts w:ascii="Arial" w:cs="Arial" w:eastAsia="Arial" w:hAnsi="Arial"/>
          <w:sz w:val="14"/>
          <w:szCs w:val="14"/>
          <w:color w:val="auto"/>
        </w:rPr>
        <w:t>Represents [________] shares issued as Merger Consideration and [________] shares issued in the PIPE Investment.</w:t>
      </w:r>
    </w:p>
    <w:p>
      <w:pPr>
        <w:spacing w:after="0" w:line="41" w:lineRule="exact"/>
        <w:rPr>
          <w:rFonts w:ascii="Arial" w:cs="Arial" w:eastAsia="Arial" w:hAnsi="Arial"/>
          <w:sz w:val="14"/>
          <w:szCs w:val="14"/>
          <w:color w:val="auto"/>
        </w:rPr>
      </w:pPr>
    </w:p>
    <w:p>
      <w:pPr>
        <w:ind w:left="880" w:hanging="426"/>
        <w:spacing w:after="0"/>
        <w:tabs>
          <w:tab w:leader="none" w:pos="880" w:val="left"/>
        </w:tabs>
        <w:numPr>
          <w:ilvl w:val="0"/>
          <w:numId w:val="286"/>
        </w:numPr>
        <w:rPr>
          <w:rFonts w:ascii="Arial" w:cs="Arial" w:eastAsia="Arial" w:hAnsi="Arial"/>
          <w:sz w:val="14"/>
          <w:szCs w:val="14"/>
          <w:color w:val="auto"/>
        </w:rPr>
      </w:pPr>
      <w:r>
        <w:rPr>
          <w:rFonts w:ascii="Arial" w:cs="Arial" w:eastAsia="Arial" w:hAnsi="Arial"/>
          <w:sz w:val="14"/>
          <w:szCs w:val="14"/>
          <w:color w:val="auto"/>
        </w:rPr>
        <w:t>Represents [________] shares issued as Merger Consideration and [________] shares issued in the PIPE Investment.</w:t>
      </w:r>
    </w:p>
    <w:p>
      <w:pPr>
        <w:spacing w:after="0" w:line="41" w:lineRule="exact"/>
        <w:rPr>
          <w:rFonts w:ascii="Arial" w:cs="Arial" w:eastAsia="Arial" w:hAnsi="Arial"/>
          <w:sz w:val="14"/>
          <w:szCs w:val="14"/>
          <w:color w:val="auto"/>
        </w:rPr>
      </w:pPr>
    </w:p>
    <w:p>
      <w:pPr>
        <w:ind w:left="880" w:hanging="426"/>
        <w:spacing w:after="0"/>
        <w:tabs>
          <w:tab w:leader="none" w:pos="880" w:val="left"/>
        </w:tabs>
        <w:numPr>
          <w:ilvl w:val="0"/>
          <w:numId w:val="286"/>
        </w:numPr>
        <w:rPr>
          <w:rFonts w:ascii="Arial" w:cs="Arial" w:eastAsia="Arial" w:hAnsi="Arial"/>
          <w:sz w:val="14"/>
          <w:szCs w:val="14"/>
          <w:color w:val="auto"/>
        </w:rPr>
      </w:pPr>
      <w:r>
        <w:rPr>
          <w:rFonts w:ascii="Arial" w:cs="Arial" w:eastAsia="Arial" w:hAnsi="Arial"/>
          <w:sz w:val="14"/>
          <w:szCs w:val="14"/>
          <w:color w:val="auto"/>
        </w:rPr>
        <w:t>Represents [________] shares issued as Merger Consideration and [________] shares issued in the PIPE Investment.</w:t>
      </w:r>
    </w:p>
    <w:p>
      <w:pPr>
        <w:spacing w:after="0" w:line="41" w:lineRule="exact"/>
        <w:rPr>
          <w:rFonts w:ascii="Arial" w:cs="Arial" w:eastAsia="Arial" w:hAnsi="Arial"/>
          <w:sz w:val="14"/>
          <w:szCs w:val="14"/>
          <w:color w:val="auto"/>
        </w:rPr>
      </w:pPr>
    </w:p>
    <w:p>
      <w:pPr>
        <w:ind w:left="880" w:hanging="426"/>
        <w:spacing w:after="0"/>
        <w:tabs>
          <w:tab w:leader="none" w:pos="880" w:val="left"/>
        </w:tabs>
        <w:numPr>
          <w:ilvl w:val="0"/>
          <w:numId w:val="286"/>
        </w:numPr>
        <w:rPr>
          <w:rFonts w:ascii="Arial" w:cs="Arial" w:eastAsia="Arial" w:hAnsi="Arial"/>
          <w:sz w:val="14"/>
          <w:szCs w:val="14"/>
          <w:color w:val="auto"/>
        </w:rPr>
      </w:pPr>
      <w:r>
        <w:rPr>
          <w:rFonts w:ascii="Arial" w:cs="Arial" w:eastAsia="Arial" w:hAnsi="Arial"/>
          <w:sz w:val="14"/>
          <w:szCs w:val="14"/>
          <w:color w:val="auto"/>
        </w:rPr>
        <w:t>Represents [________] shares issued as Merger Consideration and [________] shares issued in the PIPE Investment.</w:t>
      </w:r>
    </w:p>
    <w:p>
      <w:pPr>
        <w:spacing w:after="0" w:line="41" w:lineRule="exact"/>
        <w:rPr>
          <w:rFonts w:ascii="Arial" w:cs="Arial" w:eastAsia="Arial" w:hAnsi="Arial"/>
          <w:sz w:val="14"/>
          <w:szCs w:val="14"/>
          <w:color w:val="auto"/>
        </w:rPr>
      </w:pPr>
    </w:p>
    <w:p>
      <w:pPr>
        <w:ind w:left="880" w:hanging="426"/>
        <w:spacing w:after="0"/>
        <w:tabs>
          <w:tab w:leader="none" w:pos="880" w:val="left"/>
        </w:tabs>
        <w:numPr>
          <w:ilvl w:val="0"/>
          <w:numId w:val="286"/>
        </w:numPr>
        <w:rPr>
          <w:rFonts w:ascii="Arial" w:cs="Arial" w:eastAsia="Arial" w:hAnsi="Arial"/>
          <w:sz w:val="14"/>
          <w:szCs w:val="14"/>
          <w:color w:val="auto"/>
        </w:rPr>
      </w:pPr>
      <w:r>
        <w:rPr>
          <w:rFonts w:ascii="Arial" w:cs="Arial" w:eastAsia="Arial" w:hAnsi="Arial"/>
          <w:sz w:val="14"/>
          <w:szCs w:val="14"/>
          <w:color w:val="auto"/>
        </w:rPr>
        <w:t>Represents [________] shares issued as Merger Consideration and [________] shares issued in the PIPE Investment.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1" w:name="page292"/>
    <w:bookmarkEnd w:id="29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BCTG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Founders Shares</w:t>
      </w:r>
    </w:p>
    <w:p>
      <w:pPr>
        <w:spacing w:after="0" w:line="144"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On June 4, 2020, we issued 3,593,750 shares of common stock to our Sponsor in exchange for a payment of $25,000 (the “</w:t>
      </w:r>
      <w:r>
        <w:rPr>
          <w:rFonts w:ascii="Arial" w:cs="Arial" w:eastAsia="Arial" w:hAnsi="Arial"/>
          <w:sz w:val="16"/>
          <w:szCs w:val="16"/>
          <w:b w:val="1"/>
          <w:bCs w:val="1"/>
          <w:color w:val="auto"/>
        </w:rPr>
        <w:t>Founders Shares</w:t>
      </w:r>
      <w:r>
        <w:rPr>
          <w:rFonts w:ascii="Arial" w:cs="Arial" w:eastAsia="Arial" w:hAnsi="Arial"/>
          <w:sz w:val="16"/>
          <w:szCs w:val="16"/>
          <w:color w:val="auto"/>
        </w:rPr>
        <w:t>”). On September 2, 2020, we declared a dividend of 0.16 shares for each outstanding share of common stock (an aggregate of 575,000 shares), resulting in an aggregate of 4,168,750 shares outstanding. All shares and associated amounts have been retroactively restated to reflect the share dividend. Our Sponsor currently owns an aggregate of 4,493,450 shares of common stock, and our independent directors and advisors collectively own 208,800 shares of common stock. Our Sponsor had agreed to forfeit up to an aggregate of 543,750 Founders Shares, so that the Founders Shares would represent 20% of our issued and outstanding shares after the BCTG IPO, to the extent the underwriters’ over-allotment option was not exercised in full or in part. On September 8, 2020, the underwriters exercised their 15% over-allotment option in full; thus, the Founders Shares were no longer subject to forfeiture.</w:t>
      </w:r>
    </w:p>
    <w:p>
      <w:pPr>
        <w:spacing w:after="0" w:line="101"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The Initial Stockholders agreed not to transfer, assign or sell any of their Founders Shares (except to certain permitted transferees) until the earlier of (i) one year after the date of the consummation of the initial Business Combination or (ii) the date on which the closing price of our common stock equals or exceeds $12.00 per share (as adjusted for stock splits, stock dividends, reorganizations and recapitalizations) for any 20 trading days within any 30-trading day period commencing at least 150 days after the initial Business Combination, or earlier if, subsequent to the initial Business Combination, we consummate a subsequent liquidation, merger, stock exchange or other similar transaction which results in all of the stockholders having the right to exchange their shares of common stock for cash, securities or other property.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Private Shares</w:t>
      </w:r>
    </w:p>
    <w:p>
      <w:pPr>
        <w:spacing w:after="0" w:line="158"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Concurrently with the closing of the BCTG IPO, our Sponsor purchased 533,500 Private Shares, at a price of $10.00 per share, in a private placement for an aggregate purchase price of approximately $5.3 million. The Private Shares are identical to the shares of common stock sold in the BCTG IPO, subject to certain limited exceptions as described in Note 1 of our financial statements.</w:t>
      </w:r>
    </w:p>
    <w:p>
      <w:pPr>
        <w:spacing w:after="0" w:line="90"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Our Sponsor and our officers and directors have agreed, subject to limited exceptions, not to transfer, assign or sell any of their Founder Shares, including the Private Shares until 30 days after the completion of the Initial Business Combination.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Related Party Loans</w:t>
      </w:r>
    </w:p>
    <w:p>
      <w:pPr>
        <w:spacing w:after="0" w:line="158"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On May 21, 2020 and June 10, 2020, our Sponsor agreed to loan us up to $25,025 and $274,975, respectively, for an aggregate amount of $300,000 to be used for the payment of costs related to the BCTG IPO pursuant to a promissory note (each, a “</w:t>
      </w:r>
      <w:r>
        <w:rPr>
          <w:rFonts w:ascii="Arial" w:cs="Arial" w:eastAsia="Arial" w:hAnsi="Arial"/>
          <w:sz w:val="17"/>
          <w:szCs w:val="17"/>
          <w:b w:val="1"/>
          <w:bCs w:val="1"/>
          <w:color w:val="auto"/>
        </w:rPr>
        <w:t>Note</w:t>
      </w:r>
      <w:r>
        <w:rPr>
          <w:rFonts w:ascii="Arial" w:cs="Arial" w:eastAsia="Arial" w:hAnsi="Arial"/>
          <w:sz w:val="17"/>
          <w:szCs w:val="17"/>
          <w:color w:val="auto"/>
        </w:rPr>
        <w:t>” and, collectively, the “</w:t>
      </w:r>
      <w:r>
        <w:rPr>
          <w:rFonts w:ascii="Arial" w:cs="Arial" w:eastAsia="Arial" w:hAnsi="Arial"/>
          <w:sz w:val="17"/>
          <w:szCs w:val="17"/>
          <w:b w:val="1"/>
          <w:bCs w:val="1"/>
          <w:color w:val="auto"/>
        </w:rPr>
        <w:t>Notes</w:t>
      </w:r>
      <w:r>
        <w:rPr>
          <w:rFonts w:ascii="Arial" w:cs="Arial" w:eastAsia="Arial" w:hAnsi="Arial"/>
          <w:sz w:val="17"/>
          <w:szCs w:val="17"/>
          <w:color w:val="auto"/>
        </w:rPr>
        <w:t>”). The Notes were non-interest bearing, unsecured and due upon the date we consummate the BCTG IPO. We borrowed approximately $127,000 under the Notes and repaid the Notes in full on September 10, 2020.</w:t>
      </w:r>
    </w:p>
    <w:p>
      <w:pPr>
        <w:spacing w:after="0" w:line="109"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In order to fund working capital deficiencies or finance transaction costs in connection with an intended initial Business Combination, the initial stockholders, officers and directors and their affiliates may, but are not obligated to, loan us funds as may be required (the “</w:t>
      </w:r>
      <w:r>
        <w:rPr>
          <w:rFonts w:ascii="Arial" w:cs="Arial" w:eastAsia="Arial" w:hAnsi="Arial"/>
          <w:sz w:val="17"/>
          <w:szCs w:val="17"/>
          <w:b w:val="1"/>
          <w:bCs w:val="1"/>
          <w:color w:val="auto"/>
        </w:rPr>
        <w:t>Working Capital Loans</w:t>
      </w:r>
      <w:r>
        <w:rPr>
          <w:rFonts w:ascii="Arial" w:cs="Arial" w:eastAsia="Arial" w:hAnsi="Arial"/>
          <w:sz w:val="17"/>
          <w:szCs w:val="17"/>
          <w:color w:val="auto"/>
        </w:rPr>
        <w:t>”). Each loan would be evidenced by a promissory note. The notes would either be paid upon consummation of the initial Business Combination, without interest, or, at the lender’s discretion, up to $1.5 million of the notes may be converted upon consummation of the Business Combination into additional private placement shares at a conversion price of $10.00 per share. If we do not complete a Business Combination, the loans will not be repaid. Such private placement shares would be identical to the Private Shares. We did not have any borrowings under the Working Capital Loans as of December 31, 2020.</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2" w:name="page293"/>
    <w:bookmarkEnd w:id="29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Administrative Support Agreement</w:t>
      </w:r>
    </w:p>
    <w:p>
      <w:pPr>
        <w:spacing w:after="0" w:line="144"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Commencing on the date of our prospectus, we agreed to pay an affiliate of the Sponsor a total of $10,000 per month for office space and certain office and secretarial services. Upon completion of the Initial Business Combination or our liquidation, we will cease paying these monthly fees. For the period from May 21, 2020 (inception) through December 31, 2020, the Company incurred $40,000 related to these services. As of December 31, 2020, no amounts were payable related to this agreement.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Share Purchase Commitment</w:t>
      </w:r>
    </w:p>
    <w:p>
      <w:pPr>
        <w:spacing w:after="0" w:line="158"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Our Sponsor entered into an agreement to purchase an aggregate of at least 2,500,000 shares of common for an aggregate purchase price of $25.0 million, or $10.00 per share, prior to, concurrently with, or following the closing of the initial Business Combination in a private placement. The funds from such private placement may be used as part of the consideration to the sellers in the initial Business Combination, and any excess funds from such private placement may be used for working capital in the post-transaction company.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Registration Rights</w:t>
      </w:r>
    </w:p>
    <w:p>
      <w:pPr>
        <w:spacing w:after="0" w:line="158"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The holders of the Founders Shares, and shares that may be issued upon conversion of Working Capital Loans are entitled to registration rights pursuant to a registration rights agreement. The holders of a majority of these securities are entitled to make up to two demands that we register such securities. The holders of the majority of the Founders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We will bear the expenses incurred in connection with the filing of any such registration statements.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Underwriting Agreement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underwriters were entitled to an underwriting discount of $0.20 per share, or approximately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$3.3 million in the aggregate, paid upon the closing of the BCTG IPO. In addition, the underwriters will be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entitled to a deferred underwriting commission of $0.35 per share, or approximately $5.8 million in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aggregate. The deferred fee will become payable to the underwriters from the amounts held in the Trust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 solely in the event that we complete a Business Combination, subject to the terms of the underwriting</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Policy</w:t>
      </w:r>
    </w:p>
    <w:p>
      <w:pPr>
        <w:spacing w:after="0" w:line="162" w:lineRule="exact"/>
        <w:rPr>
          <w:sz w:val="20"/>
          <w:szCs w:val="20"/>
          <w:color w:val="auto"/>
        </w:rPr>
      </w:pPr>
    </w:p>
    <w:p>
      <w:pPr>
        <w:jc w:val="both"/>
        <w:ind w:left="460" w:right="1219" w:firstLine="432"/>
        <w:spacing w:after="0" w:line="263" w:lineRule="auto"/>
        <w:rPr>
          <w:sz w:val="20"/>
          <w:szCs w:val="20"/>
          <w:color w:val="auto"/>
        </w:rPr>
      </w:pPr>
      <w:r>
        <w:rPr>
          <w:rFonts w:ascii="Arial" w:cs="Arial" w:eastAsia="Arial" w:hAnsi="Arial"/>
          <w:sz w:val="18"/>
          <w:szCs w:val="18"/>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116"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We have adopted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w:t>
      </w:r>
    </w:p>
    <w:p>
      <w:pPr>
        <w:spacing w:after="0" w:line="107"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In addition, our audit committee, pursuant to a written charter that we have adopted, is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We also require each of our directors and executive officers to complete a directors’ and officers’ questionnaire that elicits information about related party transactions.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3" w:name="page294"/>
    <w:bookmarkEnd w:id="29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1059" w:firstLine="432"/>
        <w:spacing w:after="0" w:line="342" w:lineRule="auto"/>
        <w:rPr>
          <w:sz w:val="20"/>
          <w:szCs w:val="20"/>
          <w:color w:val="auto"/>
        </w:rPr>
      </w:pPr>
      <w:r>
        <w:rPr>
          <w:rFonts w:ascii="Arial" w:cs="Arial" w:eastAsia="Arial" w:hAnsi="Arial"/>
          <w:sz w:val="16"/>
          <w:szCs w:val="16"/>
          <w:color w:val="auto"/>
        </w:rPr>
        <w:t>These procedures are intended to determine whether any such related party transaction impairs the independence of a director or presents a conflict of interest on the part of a director, employee or officer.</w:t>
      </w:r>
    </w:p>
    <w:p>
      <w:pPr>
        <w:spacing w:after="0" w:line="56"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To further minimize conflicts of interest, we have agreed not to consummate an initial business combination with an entity that is affiliated with any of our Sponsor, officers or directors unless we, or a committee of independent directors, have obtained an opinion from an independent investment banking firm that is a member of FINRA or from an independent accounting firm that our initial business combination is fair to our company from a financial point of view. Furthermore, no finder’s fees, reimbursements, consulting fee, monies in respect of any payment of a loan or other compensation will be paid by us to our Sponsor, officers or directors, or any affiliate of our Sponsor or officers, for services rendered to us prior to, or in connection with any services rendered in order to effectuate, the consummation of our initial business combination (regardless of the type of transaction that it is). However, the following payments will be made to our Sponsor, officers or directors, or our or their affiliates, none of which will be made from the proceeds of the BCTG IPO held in the trust account prior to the completion of our initial business combination:</w:t>
      </w:r>
    </w:p>
    <w:p>
      <w:pPr>
        <w:spacing w:after="0" w:line="104" w:lineRule="exact"/>
        <w:rPr>
          <w:sz w:val="20"/>
          <w:szCs w:val="20"/>
          <w:color w:val="auto"/>
        </w:rPr>
      </w:pPr>
    </w:p>
    <w:p>
      <w:pPr>
        <w:ind w:left="1320" w:right="599" w:hanging="434"/>
        <w:spacing w:after="0" w:line="277" w:lineRule="auto"/>
        <w:tabs>
          <w:tab w:leader="none" w:pos="131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Payment to an affiliate of our Sponsor of $10,000 per month, for up to 24 months, for office space, utilities and secretarial and administrative support;</w:t>
      </w:r>
    </w:p>
    <w:p>
      <w:pPr>
        <w:spacing w:after="0" w:line="89" w:lineRule="exact"/>
        <w:rPr>
          <w:rFonts w:ascii="Arial" w:cs="Arial" w:eastAsia="Arial" w:hAnsi="Arial"/>
          <w:sz w:val="18"/>
          <w:szCs w:val="18"/>
          <w:color w:val="auto"/>
        </w:rPr>
      </w:pPr>
    </w:p>
    <w:p>
      <w:pPr>
        <w:ind w:left="1320" w:right="559" w:hanging="434"/>
        <w:spacing w:after="0" w:line="277" w:lineRule="auto"/>
        <w:tabs>
          <w:tab w:leader="none" w:pos="131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Reimbursement for any out-of-pocket expenses related to identifying, investigating and completing an initial business combination; and</w:t>
      </w:r>
    </w:p>
    <w:p>
      <w:pPr>
        <w:spacing w:after="0" w:line="102" w:lineRule="exact"/>
        <w:rPr>
          <w:rFonts w:ascii="Arial" w:cs="Arial" w:eastAsia="Arial" w:hAnsi="Arial"/>
          <w:sz w:val="18"/>
          <w:szCs w:val="18"/>
          <w:color w:val="auto"/>
        </w:rPr>
      </w:pPr>
    </w:p>
    <w:p>
      <w:pPr>
        <w:ind w:left="1320" w:right="499" w:hanging="434"/>
        <w:spacing w:after="0" w:line="259" w:lineRule="auto"/>
        <w:tabs>
          <w:tab w:leader="none" w:pos="131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Repayment of loans which may be made by our Sponsor or an affiliate of our Sponsor or certain of our officers and directors to finance transaction costs in connection with an intended initial business combination, the terms of which have not been determined nor have any written agreements been executed with respect thereto.</w:t>
      </w:r>
    </w:p>
    <w:p>
      <w:pPr>
        <w:spacing w:after="0" w:line="119"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Our audit committee will review on a quarterly basis all payments that were made to our Sponsor, officers or directors, or our or their affiliates.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Tango</w:t>
      </w:r>
    </w:p>
    <w:p>
      <w:pPr>
        <w:spacing w:after="0" w:line="148"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following is a summary of transactions since January 1, 2018 to which Tango has been a participant, in which:</w:t>
      </w:r>
    </w:p>
    <w:p>
      <w:pPr>
        <w:spacing w:after="0" w:line="103" w:lineRule="exact"/>
        <w:rPr>
          <w:sz w:val="20"/>
          <w:szCs w:val="20"/>
          <w:color w:val="auto"/>
        </w:rPr>
      </w:pPr>
    </w:p>
    <w:p>
      <w:pPr>
        <w:ind w:left="1300" w:hanging="414"/>
        <w:spacing w:after="0"/>
        <w:tabs>
          <w:tab w:leader="none" w:pos="13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amount involved exceeded or will exceed $120,000; and</w:t>
      </w:r>
    </w:p>
    <w:p>
      <w:pPr>
        <w:spacing w:after="0" w:line="157" w:lineRule="exact"/>
        <w:rPr>
          <w:rFonts w:ascii="Arial" w:cs="Arial" w:eastAsia="Arial" w:hAnsi="Arial"/>
          <w:sz w:val="18"/>
          <w:szCs w:val="18"/>
          <w:color w:val="auto"/>
        </w:rPr>
      </w:pPr>
    </w:p>
    <w:p>
      <w:pPr>
        <w:ind w:left="1320" w:right="619" w:hanging="434"/>
        <w:spacing w:after="0" w:line="301" w:lineRule="auto"/>
        <w:tabs>
          <w:tab w:leader="none" w:pos="1311" w:val="left"/>
        </w:tabs>
        <w:numPr>
          <w:ilvl w:val="0"/>
          <w:numId w:val="288"/>
        </w:numPr>
        <w:rPr>
          <w:rFonts w:ascii="Arial" w:cs="Arial" w:eastAsia="Arial" w:hAnsi="Arial"/>
          <w:sz w:val="16"/>
          <w:szCs w:val="16"/>
          <w:color w:val="auto"/>
        </w:rPr>
      </w:pPr>
      <w:r>
        <w:rPr>
          <w:rFonts w:ascii="Arial" w:cs="Arial" w:eastAsia="Arial" w:hAnsi="Arial"/>
          <w:sz w:val="16"/>
          <w:szCs w:val="16"/>
          <w:color w:val="auto"/>
        </w:rPr>
        <w:t>any of its directors, executive officers, or holders of more than 5% of its capital stock, or any member of the immediate family of the foregoing persons, had or will have a direct or indirect material interest, other than compensation and other arrangements that are described in the section titled “Executive Compensation of Tango” or that were approved by its compensation committee.</w:t>
      </w:r>
    </w:p>
    <w:p>
      <w:pPr>
        <w:spacing w:after="0" w:line="76"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Tango believes the terms obtained or consideration that it paid or received, as applicable, in connection with the transactions described below were comparable to terms available or the amounts that would be paid or received, as applicable in arm’s-length transactions.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4" w:name="page295"/>
    <w:bookmarkEnd w:id="29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Series B Preferred Stock Financing</w:t>
      </w:r>
    </w:p>
    <w:p>
      <w:pPr>
        <w:spacing w:after="0" w:line="144" w:lineRule="exact"/>
        <w:rPr>
          <w:sz w:val="20"/>
          <w:szCs w:val="20"/>
          <w:color w:val="auto"/>
        </w:rPr>
      </w:pPr>
    </w:p>
    <w:p>
      <w:pPr>
        <w:ind w:left="460" w:right="499" w:firstLine="432"/>
        <w:spacing w:after="0" w:line="274" w:lineRule="auto"/>
        <w:rPr>
          <w:sz w:val="20"/>
          <w:szCs w:val="20"/>
          <w:color w:val="auto"/>
        </w:rPr>
      </w:pPr>
      <w:r>
        <w:rPr>
          <w:rFonts w:ascii="Arial" w:cs="Arial" w:eastAsia="Arial" w:hAnsi="Arial"/>
          <w:sz w:val="17"/>
          <w:szCs w:val="17"/>
          <w:color w:val="auto"/>
        </w:rPr>
        <w:t>On April 7, 2020, Tango entered into a Series B Preferred Stock Purchase Agreement (the “</w:t>
      </w:r>
      <w:r>
        <w:rPr>
          <w:rFonts w:ascii="Arial" w:cs="Arial" w:eastAsia="Arial" w:hAnsi="Arial"/>
          <w:sz w:val="17"/>
          <w:szCs w:val="17"/>
          <w:b w:val="1"/>
          <w:bCs w:val="1"/>
          <w:color w:val="auto"/>
        </w:rPr>
        <w:t>Series B</w:t>
      </w:r>
      <w:r>
        <w:rPr>
          <w:rFonts w:ascii="Arial" w:cs="Arial" w:eastAsia="Arial" w:hAnsi="Arial"/>
          <w:sz w:val="17"/>
          <w:szCs w:val="17"/>
          <w:color w:val="auto"/>
        </w:rPr>
        <w:t xml:space="preserve"> </w:t>
      </w:r>
      <w:r>
        <w:rPr>
          <w:rFonts w:ascii="Arial" w:cs="Arial" w:eastAsia="Arial" w:hAnsi="Arial"/>
          <w:sz w:val="17"/>
          <w:szCs w:val="17"/>
          <w:b w:val="1"/>
          <w:bCs w:val="1"/>
          <w:color w:val="auto"/>
        </w:rPr>
        <w:t>Purchase Agreement</w:t>
      </w:r>
      <w:r>
        <w:rPr>
          <w:rFonts w:ascii="Arial" w:cs="Arial" w:eastAsia="Arial" w:hAnsi="Arial"/>
          <w:sz w:val="17"/>
          <w:szCs w:val="17"/>
          <w:color w:val="auto"/>
        </w:rPr>
        <w:t>”), pursuant to which Tango issued 45,372,050 shares of its Series B Preferred Stock for a</w:t>
      </w:r>
      <w:r>
        <w:rPr>
          <w:rFonts w:ascii="Arial" w:cs="Arial" w:eastAsia="Arial" w:hAnsi="Arial"/>
          <w:sz w:val="17"/>
          <w:szCs w:val="17"/>
          <w:b w:val="1"/>
          <w:bCs w:val="1"/>
          <w:color w:val="auto"/>
        </w:rPr>
        <w:t xml:space="preserve"> </w:t>
      </w:r>
      <w:r>
        <w:rPr>
          <w:rFonts w:ascii="Arial" w:cs="Arial" w:eastAsia="Arial" w:hAnsi="Arial"/>
          <w:sz w:val="17"/>
          <w:szCs w:val="17"/>
          <w:color w:val="auto"/>
        </w:rPr>
        <w:t>per share price of $1.3224, for aggregate gross proceeds in the amount of $60.0 million in two closings. The first closing of the Series B Preferred Stock financing occurred on April 7, 2020, and the second closing of the Series B Preferred Stock financing occurred on March 11, 2021. The following holders of more than 5% of Tango’s capital stock participated in the Series B Preferred Stock financing.</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Number of</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Series B</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Series B</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0"/>
              </w:rPr>
              <w:t>Preferred Stock</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Aggregate</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0"/>
              </w:rPr>
              <w:t>Preferred Stock</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53"/>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6"/>
          </w:tcPr>
          <w:p>
            <w:pPr>
              <w:jc w:val="center"/>
              <w:spacing w:after="0"/>
              <w:rPr>
                <w:sz w:val="20"/>
                <w:szCs w:val="20"/>
                <w:color w:val="auto"/>
              </w:rPr>
            </w:pPr>
            <w:r>
              <w:rPr>
                <w:rFonts w:ascii="Arial" w:cs="Arial" w:eastAsia="Arial" w:hAnsi="Arial"/>
                <w:sz w:val="16"/>
                <w:szCs w:val="16"/>
                <w:b w:val="1"/>
                <w:bCs w:val="1"/>
                <w:color w:val="auto"/>
                <w:w w:val="95"/>
              </w:rPr>
              <w:t>Purchased –   Purchase Price –</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Purchased –</w:t>
            </w:r>
          </w:p>
        </w:tc>
        <w:tc>
          <w:tcPr>
            <w:tcW w:w="4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Purchase Price –</w:t>
            </w:r>
          </w:p>
        </w:tc>
      </w:tr>
      <w:tr>
        <w:trPr>
          <w:trHeight w:val="210"/>
        </w:trPr>
        <w:tc>
          <w:tcPr>
            <w:tcW w:w="3180" w:type="dxa"/>
            <w:vAlign w:val="bottom"/>
            <w:gridSpan w:val="2"/>
          </w:tcPr>
          <w:p>
            <w:pPr>
              <w:spacing w:after="0"/>
              <w:rPr>
                <w:sz w:val="20"/>
                <w:szCs w:val="20"/>
                <w:color w:val="auto"/>
              </w:rPr>
            </w:pPr>
            <w:r>
              <w:rPr>
                <w:rFonts w:ascii="Arial" w:cs="Arial" w:eastAsia="Arial" w:hAnsi="Arial"/>
                <w:sz w:val="16"/>
                <w:szCs w:val="16"/>
                <w:b w:val="1"/>
                <w:bCs w:val="1"/>
                <w:color w:val="auto"/>
              </w:rPr>
              <w:t>Name of 5% Tango Stockholder</w:t>
            </w:r>
          </w:p>
        </w:tc>
        <w:tc>
          <w:tcPr>
            <w:tcW w:w="11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1"/>
              </w:rPr>
              <w:t>First Closing</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89"/>
              </w:rPr>
              <w:t>First Closing</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87"/>
              </w:rPr>
              <w:t>Second Closing</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3"/>
              <w:spacing w:after="0"/>
              <w:rPr>
                <w:sz w:val="20"/>
                <w:szCs w:val="20"/>
                <w:color w:val="auto"/>
              </w:rPr>
            </w:pPr>
            <w:r>
              <w:rPr>
                <w:rFonts w:ascii="Arial" w:cs="Arial" w:eastAsia="Arial" w:hAnsi="Arial"/>
                <w:sz w:val="16"/>
                <w:szCs w:val="16"/>
                <w:b w:val="1"/>
                <w:bCs w:val="1"/>
                <w:color w:val="auto"/>
                <w:w w:val="87"/>
              </w:rPr>
              <w:t>Second Closing</w:t>
            </w:r>
          </w:p>
        </w:tc>
      </w:tr>
      <w:tr>
        <w:trPr>
          <w:trHeight w:val="47"/>
        </w:trPr>
        <w:tc>
          <w:tcPr>
            <w:tcW w:w="3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95"/>
        </w:trPr>
        <w:tc>
          <w:tcPr>
            <w:tcW w:w="3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Boxer Capital, LLC and affiliated</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71"/>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entities</w:t>
            </w:r>
            <w:r>
              <w:rPr>
                <w:rFonts w:ascii="Arial" w:cs="Arial" w:eastAsia="Arial" w:hAnsi="Arial"/>
                <w:sz w:val="20"/>
                <w:szCs w:val="20"/>
                <w:color w:val="auto"/>
                <w:vertAlign w:val="superscript"/>
              </w:rPr>
              <w:t>(1)</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8,507,260</w:t>
            </w: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11,250,000.63</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8,507,260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11,250,000.63</w:t>
            </w:r>
          </w:p>
        </w:tc>
      </w:tr>
      <w:tr>
        <w:trPr>
          <w:trHeight w:val="243"/>
        </w:trPr>
        <w:tc>
          <w:tcPr>
            <w:tcW w:w="3180" w:type="dxa"/>
            <w:vAlign w:val="bottom"/>
            <w:gridSpan w:val="2"/>
          </w:tcPr>
          <w:p>
            <w:pPr>
              <w:spacing w:after="0"/>
              <w:rPr>
                <w:sz w:val="20"/>
                <w:szCs w:val="20"/>
                <w:color w:val="auto"/>
              </w:rPr>
            </w:pPr>
            <w:r>
              <w:rPr>
                <w:rFonts w:ascii="Arial" w:cs="Arial" w:eastAsia="Arial" w:hAnsi="Arial"/>
                <w:sz w:val="18"/>
                <w:szCs w:val="18"/>
                <w:color w:val="auto"/>
              </w:rPr>
              <w:t>Casdin Capital</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1,890,502</w:t>
            </w: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2,499,999.85</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1,890,502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2,499,999.85</w:t>
            </w:r>
          </w:p>
        </w:tc>
      </w:tr>
      <w:tr>
        <w:trPr>
          <w:trHeight w:val="40"/>
        </w:trPr>
        <w:tc>
          <w:tcPr>
            <w:tcW w:w="3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02"/>
        </w:trPr>
        <w:tc>
          <w:tcPr>
            <w:tcW w:w="3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Cormorant Asset Management and</w:t>
            </w: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71"/>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affiliated entities</w:t>
            </w:r>
            <w:r>
              <w:rPr>
                <w:rFonts w:ascii="Arial" w:cs="Arial" w:eastAsia="Arial" w:hAnsi="Arial"/>
                <w:sz w:val="20"/>
                <w:szCs w:val="20"/>
                <w:color w:val="auto"/>
                <w:vertAlign w:val="superscript"/>
              </w:rPr>
              <w:t>(2)</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3,781,004</w:t>
            </w: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4,999,999.70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3,781,004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4,999,999.70</w:t>
            </w:r>
          </w:p>
        </w:tc>
      </w:tr>
      <w:tr>
        <w:trPr>
          <w:trHeight w:val="243"/>
        </w:trPr>
        <w:tc>
          <w:tcPr>
            <w:tcW w:w="3180" w:type="dxa"/>
            <w:vAlign w:val="bottom"/>
            <w:gridSpan w:val="2"/>
          </w:tcPr>
          <w:p>
            <w:pPr>
              <w:spacing w:after="0"/>
              <w:rPr>
                <w:sz w:val="20"/>
                <w:szCs w:val="20"/>
                <w:color w:val="auto"/>
              </w:rPr>
            </w:pPr>
            <w:r>
              <w:rPr>
                <w:rFonts w:ascii="Arial" w:cs="Arial" w:eastAsia="Arial" w:hAnsi="Arial"/>
                <w:sz w:val="18"/>
                <w:szCs w:val="18"/>
                <w:color w:val="auto"/>
              </w:rPr>
              <w:t>Hillhouse Capital</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4,726,255</w:t>
            </w: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6,249,999.62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4,726,255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6,249,999.62</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jc w:val="both"/>
        <w:ind w:left="880" w:right="479" w:hanging="426"/>
        <w:spacing w:after="0" w:line="303" w:lineRule="auto"/>
        <w:tabs>
          <w:tab w:leader="none" w:pos="880" w:val="left"/>
        </w:tabs>
        <w:numPr>
          <w:ilvl w:val="0"/>
          <w:numId w:val="289"/>
        </w:numPr>
        <w:rPr>
          <w:rFonts w:ascii="Arial" w:cs="Arial" w:eastAsia="Arial" w:hAnsi="Arial"/>
          <w:sz w:val="14"/>
          <w:szCs w:val="14"/>
          <w:color w:val="auto"/>
        </w:rPr>
      </w:pPr>
      <w:r>
        <w:rPr>
          <w:rFonts w:ascii="Arial" w:cs="Arial" w:eastAsia="Arial" w:hAnsi="Arial"/>
          <w:sz w:val="14"/>
          <w:szCs w:val="14"/>
          <w:color w:val="auto"/>
        </w:rPr>
        <w:t>Includes Boxer Capital LLC, which purchased 8,417,650 shares at the first closing and 8,417,650 shares at the second closing; and MVA Investors, LLC, which purchased 89,610 shares at the first closing and 89,610 shares at the second closing. Aaron Davis, a member of Tango’s Board of Directors, is Chief Executive Officer of Boxer Capital, LLC.</w:t>
      </w:r>
    </w:p>
    <w:p>
      <w:pPr>
        <w:spacing w:after="0" w:line="1"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6"/>
          <w:szCs w:val="16"/>
          <w:color w:val="auto"/>
        </w:rPr>
        <w:t>Boxer Capital, LLC and Mr. Davis are each affiliated with BCTG Acquisition Corp. and the Sponsor.</w:t>
      </w:r>
    </w:p>
    <w:p>
      <w:pPr>
        <w:spacing w:after="0" w:line="18" w:lineRule="exact"/>
        <w:rPr>
          <w:rFonts w:ascii="Arial" w:cs="Arial" w:eastAsia="Arial" w:hAnsi="Arial"/>
          <w:sz w:val="14"/>
          <w:szCs w:val="14"/>
          <w:color w:val="auto"/>
        </w:rPr>
      </w:pPr>
    </w:p>
    <w:p>
      <w:pPr>
        <w:ind w:left="880" w:right="779" w:hanging="426"/>
        <w:spacing w:after="0" w:line="295" w:lineRule="auto"/>
        <w:tabs>
          <w:tab w:leader="none" w:pos="880" w:val="left"/>
        </w:tabs>
        <w:numPr>
          <w:ilvl w:val="0"/>
          <w:numId w:val="289"/>
        </w:numPr>
        <w:rPr>
          <w:rFonts w:ascii="Arial" w:cs="Arial" w:eastAsia="Arial" w:hAnsi="Arial"/>
          <w:sz w:val="15"/>
          <w:szCs w:val="15"/>
          <w:color w:val="auto"/>
        </w:rPr>
      </w:pPr>
      <w:r>
        <w:rPr>
          <w:rFonts w:ascii="Arial" w:cs="Arial" w:eastAsia="Arial" w:hAnsi="Arial"/>
          <w:sz w:val="15"/>
          <w:szCs w:val="15"/>
          <w:color w:val="auto"/>
        </w:rPr>
        <w:t>Includes Cormorant Private Healthcare Fund II, LP, which purchased 3,027,828 shares at the first closing and 3,027,828 shares at the second closing; Cormorant Global Healthcare Master Fund, LP, which purchased 707,048 shares at the first closing and 707,048 shares at the second closing; and CRMA SPV, LP, which purchased 46,128 shares at the first closing and 46,128 shares at the second closing.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Series B-1 Preferred Stock Financing</w:t>
      </w:r>
    </w:p>
    <w:p>
      <w:pPr>
        <w:spacing w:after="0" w:line="162" w:lineRule="exact"/>
        <w:rPr>
          <w:sz w:val="20"/>
          <w:szCs w:val="20"/>
          <w:color w:val="auto"/>
        </w:rPr>
      </w:pPr>
    </w:p>
    <w:p>
      <w:pPr>
        <w:ind w:left="460" w:right="699" w:firstLine="432"/>
        <w:spacing w:after="0" w:line="275" w:lineRule="auto"/>
        <w:rPr>
          <w:sz w:val="20"/>
          <w:szCs w:val="20"/>
          <w:color w:val="auto"/>
        </w:rPr>
      </w:pPr>
      <w:r>
        <w:rPr>
          <w:rFonts w:ascii="Arial" w:cs="Arial" w:eastAsia="Arial" w:hAnsi="Arial"/>
          <w:sz w:val="17"/>
          <w:szCs w:val="17"/>
          <w:color w:val="auto"/>
        </w:rPr>
        <w:t>On August 17, 2020, Tango held the closing of its Series B-1 Preferred Stock financing, pursuant to its Series B-1 Preferred Stock Purchase Agreement (the “</w:t>
      </w:r>
      <w:r>
        <w:rPr>
          <w:rFonts w:ascii="Arial" w:cs="Arial" w:eastAsia="Arial" w:hAnsi="Arial"/>
          <w:sz w:val="17"/>
          <w:szCs w:val="17"/>
          <w:b w:val="1"/>
          <w:bCs w:val="1"/>
          <w:color w:val="auto"/>
        </w:rPr>
        <w:t>Series B-1 Purchase Agreement</w:t>
      </w:r>
      <w:r>
        <w:rPr>
          <w:rFonts w:ascii="Arial" w:cs="Arial" w:eastAsia="Arial" w:hAnsi="Arial"/>
          <w:sz w:val="17"/>
          <w:szCs w:val="17"/>
          <w:color w:val="auto"/>
        </w:rPr>
        <w:t>”), at which Tango issued 27,152,255 shares of its Series B-1 Preferred Stock for a per share price of $1.885, for aggregate gross proceeds in the amount of $51.2 million. The following holders of more than 5% of Tango’s capital stock participated in the Series B-1 Preferred Stock financing.</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4"/>
              </w:rPr>
              <w:t>Number of</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53"/>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Series B-1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73"/>
              <w:spacing w:after="0"/>
              <w:rPr>
                <w:sz w:val="20"/>
                <w:szCs w:val="20"/>
                <w:color w:val="auto"/>
              </w:rPr>
            </w:pPr>
            <w:r>
              <w:rPr>
                <w:rFonts w:ascii="Arial" w:cs="Arial" w:eastAsia="Arial" w:hAnsi="Arial"/>
                <w:sz w:val="16"/>
                <w:szCs w:val="16"/>
                <w:b w:val="1"/>
                <w:bCs w:val="1"/>
                <w:color w:val="auto"/>
                <w:w w:val="88"/>
              </w:rPr>
              <w:t>Purchase</w:t>
            </w:r>
          </w:p>
        </w:tc>
      </w:tr>
      <w:tr>
        <w:trPr>
          <w:trHeight w:val="210"/>
        </w:trPr>
        <w:tc>
          <w:tcPr>
            <w:tcW w:w="5440" w:type="dxa"/>
            <w:vAlign w:val="bottom"/>
            <w:gridSpan w:val="2"/>
          </w:tcPr>
          <w:p>
            <w:pPr>
              <w:spacing w:after="0"/>
              <w:rPr>
                <w:sz w:val="20"/>
                <w:szCs w:val="20"/>
                <w:color w:val="auto"/>
              </w:rPr>
            </w:pPr>
            <w:r>
              <w:rPr>
                <w:rFonts w:ascii="Arial" w:cs="Arial" w:eastAsia="Arial" w:hAnsi="Arial"/>
                <w:sz w:val="16"/>
                <w:szCs w:val="16"/>
                <w:b w:val="1"/>
                <w:bCs w:val="1"/>
                <w:color w:val="auto"/>
              </w:rPr>
              <w:t>Name of 5% Tango Stockholder</w:t>
            </w:r>
          </w:p>
        </w:tc>
        <w:tc>
          <w:tcPr>
            <w:tcW w:w="11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Preferred Stock</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133"/>
              <w:spacing w:after="0"/>
              <w:rPr>
                <w:sz w:val="20"/>
                <w:szCs w:val="20"/>
                <w:color w:val="auto"/>
              </w:rPr>
            </w:pPr>
            <w:r>
              <w:rPr>
                <w:rFonts w:ascii="Arial" w:cs="Arial" w:eastAsia="Arial" w:hAnsi="Arial"/>
                <w:sz w:val="16"/>
                <w:szCs w:val="16"/>
                <w:b w:val="1"/>
                <w:bCs w:val="1"/>
                <w:color w:val="auto"/>
                <w:w w:val="91"/>
              </w:rPr>
              <w:t>Price</w:t>
            </w:r>
          </w:p>
        </w:tc>
      </w:tr>
      <w:tr>
        <w:trPr>
          <w:trHeight w:val="46"/>
        </w:trPr>
        <w:tc>
          <w:tcPr>
            <w:tcW w:w="53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64"/>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Boxer Capital, LLC and affiliated entities</w:t>
            </w:r>
            <w:r>
              <w:rPr>
                <w:rFonts w:ascii="Arial" w:cs="Arial" w:eastAsia="Arial" w:hAnsi="Arial"/>
                <w:sz w:val="20"/>
                <w:szCs w:val="20"/>
                <w:color w:val="auto"/>
                <w:vertAlign w:val="superscript"/>
              </w:rPr>
              <w:t>(1)</w:t>
            </w: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3,511,769</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6,519,684.57</w:t>
            </w:r>
          </w:p>
        </w:tc>
      </w:tr>
      <w:tr>
        <w:trPr>
          <w:trHeight w:val="243"/>
        </w:trPr>
        <w:tc>
          <w:tcPr>
            <w:tcW w:w="5440" w:type="dxa"/>
            <w:vAlign w:val="bottom"/>
            <w:gridSpan w:val="2"/>
          </w:tcPr>
          <w:p>
            <w:pPr>
              <w:spacing w:after="0"/>
              <w:rPr>
                <w:sz w:val="20"/>
                <w:szCs w:val="20"/>
                <w:color w:val="auto"/>
              </w:rPr>
            </w:pPr>
            <w:r>
              <w:rPr>
                <w:rFonts w:ascii="Arial" w:cs="Arial" w:eastAsia="Arial" w:hAnsi="Arial"/>
                <w:sz w:val="18"/>
                <w:szCs w:val="18"/>
                <w:color w:val="auto"/>
              </w:rPr>
              <w:t>Casdin Capital</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7,957,852</w:t>
            </w:r>
          </w:p>
        </w:tc>
        <w:tc>
          <w:tcPr>
            <w:tcW w:w="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15,000,551.02</w:t>
            </w:r>
          </w:p>
        </w:tc>
      </w:tr>
      <w:tr>
        <w:trPr>
          <w:trHeight w:val="40"/>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83"/>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Cormorant Asset Management and affiliated entities</w:t>
            </w:r>
            <w:r>
              <w:rPr>
                <w:rFonts w:ascii="Arial" w:cs="Arial" w:eastAsia="Arial" w:hAnsi="Arial"/>
                <w:sz w:val="20"/>
                <w:szCs w:val="20"/>
                <w:color w:val="auto"/>
                <w:vertAlign w:val="superscript"/>
              </w:rPr>
              <w:t>(2)</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1,560,786</w:t>
            </w:r>
          </w:p>
        </w:tc>
        <w:tc>
          <w:tcPr>
            <w:tcW w:w="2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2,942,081.61</w:t>
            </w:r>
          </w:p>
        </w:tc>
      </w:tr>
      <w:tr>
        <w:trPr>
          <w:trHeight w:val="243"/>
        </w:trPr>
        <w:tc>
          <w:tcPr>
            <w:tcW w:w="5440" w:type="dxa"/>
            <w:vAlign w:val="bottom"/>
            <w:gridSpan w:val="2"/>
          </w:tcPr>
          <w:p>
            <w:pPr>
              <w:spacing w:after="0"/>
              <w:rPr>
                <w:sz w:val="20"/>
                <w:szCs w:val="20"/>
                <w:color w:val="auto"/>
              </w:rPr>
            </w:pPr>
            <w:r>
              <w:rPr>
                <w:rFonts w:ascii="Arial" w:cs="Arial" w:eastAsia="Arial" w:hAnsi="Arial"/>
                <w:sz w:val="18"/>
                <w:szCs w:val="18"/>
                <w:color w:val="auto"/>
              </w:rPr>
              <w:t>Hillhouse Capital</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1,950,983</w:t>
            </w:r>
          </w:p>
        </w:tc>
        <w:tc>
          <w:tcPr>
            <w:tcW w:w="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3,677,602.96</w:t>
            </w:r>
          </w:p>
        </w:tc>
      </w:tr>
      <w:tr>
        <w:trPr>
          <w:trHeight w:val="40"/>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43"/>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Gilead Sciences, Inc.</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10,610,079</w:t>
            </w:r>
          </w:p>
        </w:tc>
        <w:tc>
          <w:tcPr>
            <w:tcW w:w="2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19,999,998.92</w:t>
            </w:r>
          </w:p>
        </w:tc>
      </w:tr>
      <w:tr>
        <w:trPr>
          <w:trHeight w:val="40"/>
        </w:trPr>
        <w:tc>
          <w:tcPr>
            <w:tcW w:w="5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519" w:hanging="426"/>
        <w:spacing w:after="0" w:line="283" w:lineRule="auto"/>
        <w:tabs>
          <w:tab w:leader="none" w:pos="880" w:val="left"/>
        </w:tabs>
        <w:numPr>
          <w:ilvl w:val="0"/>
          <w:numId w:val="290"/>
        </w:numPr>
        <w:rPr>
          <w:rFonts w:ascii="Arial" w:cs="Arial" w:eastAsia="Arial" w:hAnsi="Arial"/>
          <w:sz w:val="15"/>
          <w:szCs w:val="15"/>
          <w:color w:val="auto"/>
        </w:rPr>
      </w:pPr>
      <w:r>
        <w:rPr>
          <w:rFonts w:ascii="Arial" w:cs="Arial" w:eastAsia="Arial" w:hAnsi="Arial"/>
          <w:sz w:val="15"/>
          <w:szCs w:val="15"/>
          <w:color w:val="auto"/>
        </w:rPr>
        <w:t>Includes Boxer Capital LLC, which purchased 3,392,141 shares; and MVA Investors, LLC, which purchased 119,628 shares. Aaron Davis, a member of Tango’s Board of Directors, is Chief Executive Officer of Boxer Capital, LLC. Boxer Capital, LLC and Mr. Davis are each affiliated with BCTG Acquisition Corp. and the Sponsor.</w:t>
      </w:r>
    </w:p>
    <w:p>
      <w:pPr>
        <w:spacing w:after="0" w:line="1" w:lineRule="exact"/>
        <w:rPr>
          <w:rFonts w:ascii="Arial" w:cs="Arial" w:eastAsia="Arial" w:hAnsi="Arial"/>
          <w:sz w:val="15"/>
          <w:szCs w:val="15"/>
          <w:color w:val="auto"/>
        </w:rPr>
      </w:pPr>
    </w:p>
    <w:p>
      <w:pPr>
        <w:ind w:left="880" w:right="979" w:hanging="426"/>
        <w:spacing w:after="0" w:line="288" w:lineRule="auto"/>
        <w:tabs>
          <w:tab w:leader="none" w:pos="88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Includes Cormorant Private Healthcare Fund II, LP, which purchased 1,235,518 shares; and Cormorant Global Healthcare Master Fund, LP, which purchased 325,268 shares.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Gilead Collaboration Agreement</w:t>
      </w:r>
    </w:p>
    <w:p>
      <w:pPr>
        <w:spacing w:after="0" w:line="162" w:lineRule="exact"/>
        <w:rPr>
          <w:sz w:val="20"/>
          <w:szCs w:val="20"/>
          <w:color w:val="auto"/>
        </w:rPr>
      </w:pPr>
    </w:p>
    <w:p>
      <w:pPr>
        <w:ind w:left="460" w:right="459" w:firstLine="432"/>
        <w:spacing w:after="0" w:line="311" w:lineRule="auto"/>
        <w:rPr>
          <w:sz w:val="20"/>
          <w:szCs w:val="20"/>
          <w:color w:val="auto"/>
        </w:rPr>
      </w:pPr>
      <w:r>
        <w:rPr>
          <w:rFonts w:ascii="Arial" w:cs="Arial" w:eastAsia="Arial" w:hAnsi="Arial"/>
          <w:sz w:val="16"/>
          <w:szCs w:val="16"/>
          <w:color w:val="auto"/>
        </w:rPr>
        <w:t>In October 2018, Tango entered into a Collaboration and License Agreement with Gilead Sciences, Inc. this collaboration was amended and restated on August 17, 2020, concurrently with the closing of the Series B-1 Preferred Stock Financing in which Gilead Sciences, Inc. participated. Gilead Sciences, Inc. holds five percent</w:t>
      </w:r>
    </w:p>
    <w:p>
      <w:pPr>
        <w:sectPr>
          <w:pgSz w:w="11900" w:h="16838" w:orient="portrait"/>
          <w:cols w:equalWidth="0" w:num="1">
            <w:col w:w="9019"/>
          </w:cols>
          <w:pgMar w:left="1440" w:top="274" w:right="1440" w:bottom="1440" w:gutter="0" w:footer="0" w:header="0"/>
        </w:sectPr>
      </w:pP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95" w:name="page296"/>
    <w:bookmarkEnd w:id="29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559"/>
        <w:spacing w:after="0" w:line="263" w:lineRule="auto"/>
        <w:rPr>
          <w:sz w:val="20"/>
          <w:szCs w:val="20"/>
          <w:color w:val="auto"/>
        </w:rPr>
      </w:pPr>
      <w:r>
        <w:rPr>
          <w:rFonts w:ascii="Arial" w:cs="Arial" w:eastAsia="Arial" w:hAnsi="Arial"/>
          <w:sz w:val="18"/>
          <w:szCs w:val="18"/>
          <w:color w:val="auto"/>
        </w:rPr>
        <w:t>or more of Tango’s capital stock. See the section titled “Information about Tango — Collaboration and License Agreements — Collaboration and License Agreement with Gilead Sciences” appearing elsewhere in this proxy statement/prospectus for more information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Investors Rights Agreement</w:t>
      </w:r>
    </w:p>
    <w:p>
      <w:pPr>
        <w:spacing w:after="0" w:line="162"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In connection with the initial closing of the Series B Preferred Stock financing, Tango entered into an Amended and Restated Investors Rights Agreement (the “</w:t>
      </w:r>
      <w:r>
        <w:rPr>
          <w:rFonts w:ascii="Arial" w:cs="Arial" w:eastAsia="Arial" w:hAnsi="Arial"/>
          <w:sz w:val="18"/>
          <w:szCs w:val="18"/>
          <w:b w:val="1"/>
          <w:bCs w:val="1"/>
          <w:color w:val="auto"/>
        </w:rPr>
        <w:t>Investors Rights Agreement</w:t>
      </w:r>
      <w:r>
        <w:rPr>
          <w:rFonts w:ascii="Arial" w:cs="Arial" w:eastAsia="Arial" w:hAnsi="Arial"/>
          <w:sz w:val="18"/>
          <w:szCs w:val="18"/>
          <w:color w:val="auto"/>
        </w:rPr>
        <w:t>”) with certain of its investors, including its 5% stockholders. Pursuant to the Investors Agreement, the investors were granted certain demand and registration rights as well as certain information rights. Pursuant to the Merger Agreement and the Tango Support Agreements, Tango and its investors have agreed to terminate the Investors Rights Agreement at the Closing.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Voting Agreement</w:t>
      </w:r>
    </w:p>
    <w:p>
      <w:pPr>
        <w:spacing w:after="0" w:line="162"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In connection with the initial closing of the Series B Preferred Stock financing, Tango entered into an Amended and Restated Voting Agreement (the “</w:t>
      </w:r>
      <w:r>
        <w:rPr>
          <w:rFonts w:ascii="Arial" w:cs="Arial" w:eastAsia="Arial" w:hAnsi="Arial"/>
          <w:sz w:val="16"/>
          <w:szCs w:val="16"/>
          <w:b w:val="1"/>
          <w:bCs w:val="1"/>
          <w:color w:val="auto"/>
        </w:rPr>
        <w:t>Voting Agreement</w:t>
      </w:r>
      <w:r>
        <w:rPr>
          <w:rFonts w:ascii="Arial" w:cs="Arial" w:eastAsia="Arial" w:hAnsi="Arial"/>
          <w:sz w:val="16"/>
          <w:szCs w:val="16"/>
          <w:color w:val="auto"/>
        </w:rPr>
        <w:t>”) with certain of its investors, including its 5% stockholders. Pursuant to the Investors Agreement, certain investors were given the right to designate certain members of Tango’s board of directors. Pursuant to the Merger Agreement and the Tango Support Agreements, Tango and its investors have agreed to terminate the Voting Agreement at the Closing.</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 Agreements</w:t>
      </w:r>
    </w:p>
    <w:p>
      <w:pPr>
        <w:spacing w:after="0" w:line="148"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In connection with the Business Combination, Tango expects to enter into new agreements to indemnify its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Tango’s right, on account of any services undertaken by such person on behalf of our company or that person’s status as a member of Tango’s board of directors to the maximum extent allowed under Delaware law.</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Policies for Approval of Related Party Transactions</w:t>
      </w:r>
    </w:p>
    <w:p>
      <w:pPr>
        <w:spacing w:after="0" w:line="158"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Tango’s board of directors reviews and approves transactions with directors, officers and holders of 5% or more of its capital stock and their affiliates, each a related party. Prior to this transaction, the material facts as to the related party’s relationship or interest in the transaction are disclosed to its board of directors prior to their consideration of such transaction, and the transaction is not considered approved by Tango’s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Policies and Procedures for Related Party Transactions</w:t>
      </w:r>
    </w:p>
    <w:p>
      <w:pPr>
        <w:spacing w:after="0" w:line="158" w:lineRule="exact"/>
        <w:rPr>
          <w:sz w:val="20"/>
          <w:szCs w:val="20"/>
          <w:color w:val="auto"/>
        </w:rPr>
      </w:pPr>
    </w:p>
    <w:p>
      <w:pPr>
        <w:jc w:val="both"/>
        <w:ind w:left="460" w:right="819" w:firstLine="432"/>
        <w:spacing w:after="0" w:line="342" w:lineRule="auto"/>
        <w:rPr>
          <w:sz w:val="20"/>
          <w:szCs w:val="20"/>
          <w:color w:val="auto"/>
        </w:rPr>
      </w:pPr>
      <w:r>
        <w:rPr>
          <w:rFonts w:ascii="Arial" w:cs="Arial" w:eastAsia="Arial" w:hAnsi="Arial"/>
          <w:sz w:val="16"/>
          <w:szCs w:val="16"/>
          <w:color w:val="auto"/>
        </w:rPr>
        <w:t>Upon the Closing, New Tango will adopt a written related person transaction policy that sets forth the following policies and procedures for the review and approval or ratification of related person transactions.</w:t>
      </w:r>
    </w:p>
    <w:p>
      <w:pPr>
        <w:spacing w:after="0" w:line="39" w:lineRule="exact"/>
        <w:rPr>
          <w:sz w:val="20"/>
          <w:szCs w:val="20"/>
          <w:color w:val="auto"/>
        </w:rPr>
      </w:pPr>
    </w:p>
    <w:p>
      <w:pPr>
        <w:ind w:left="460" w:right="499" w:firstLine="432"/>
        <w:spacing w:after="0" w:line="314"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Related Person Transaction</w:t>
      </w:r>
      <w:r>
        <w:rPr>
          <w:rFonts w:ascii="Arial" w:cs="Arial" w:eastAsia="Arial" w:hAnsi="Arial"/>
          <w:sz w:val="16"/>
          <w:szCs w:val="16"/>
          <w:color w:val="auto"/>
        </w:rPr>
        <w:t>” is a transaction, arrangement or relationship in which New Tango or any of its subsidiaries was, is or will be a participant, the amount of which involved exceeds $120,000, and in which any related person had, has or will have a direct or indirect material interest. A “</w:t>
      </w:r>
      <w:r>
        <w:rPr>
          <w:rFonts w:ascii="Arial" w:cs="Arial" w:eastAsia="Arial" w:hAnsi="Arial"/>
          <w:sz w:val="16"/>
          <w:szCs w:val="16"/>
          <w:b w:val="1"/>
          <w:bCs w:val="1"/>
          <w:color w:val="auto"/>
        </w:rPr>
        <w:t>Related Person</w:t>
      </w:r>
      <w:r>
        <w:rPr>
          <w:rFonts w:ascii="Arial" w:cs="Arial" w:eastAsia="Arial" w:hAnsi="Arial"/>
          <w:sz w:val="16"/>
          <w:szCs w:val="16"/>
          <w:color w:val="auto"/>
        </w:rPr>
        <w:t>” means:</w:t>
      </w:r>
    </w:p>
    <w:p>
      <w:pPr>
        <w:spacing w:after="0" w:line="78" w:lineRule="exact"/>
        <w:rPr>
          <w:sz w:val="20"/>
          <w:szCs w:val="20"/>
          <w:color w:val="auto"/>
        </w:rPr>
      </w:pPr>
    </w:p>
    <w:p>
      <w:pPr>
        <w:ind w:left="1320" w:right="599" w:hanging="434"/>
        <w:spacing w:after="0" w:line="277" w:lineRule="auto"/>
        <w:tabs>
          <w:tab w:leader="none" w:pos="131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New Tango’s officers or one of New Tango’s directors;</w:t>
      </w:r>
    </w:p>
    <w:p>
      <w:pPr>
        <w:spacing w:after="0" w:line="102"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any person who is known by Combined Entity to be the beneficial owner of more than five percent (5%) of its voting stock;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6" w:name="page297"/>
    <w:bookmarkEnd w:id="29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59" w:hanging="434"/>
        <w:spacing w:after="0" w:line="296" w:lineRule="auto"/>
        <w:tabs>
          <w:tab w:leader="none" w:pos="1311" w:val="left"/>
        </w:tabs>
        <w:numPr>
          <w:ilvl w:val="0"/>
          <w:numId w:val="292"/>
        </w:numPr>
        <w:rPr>
          <w:rFonts w:ascii="Arial" w:cs="Arial" w:eastAsia="Arial" w:hAnsi="Arial"/>
          <w:sz w:val="16"/>
          <w:szCs w:val="16"/>
          <w:color w:val="auto"/>
        </w:rPr>
      </w:pPr>
      <w:r>
        <w:rPr>
          <w:rFonts w:ascii="Arial" w:cs="Arial" w:eastAsia="Arial" w:hAnsi="Arial"/>
          <w:sz w:val="16"/>
          <w:szCs w:val="16"/>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93" w:lineRule="exact"/>
        <w:rPr>
          <w:rFonts w:ascii="Arial" w:cs="Arial" w:eastAsia="Arial" w:hAnsi="Arial"/>
          <w:sz w:val="16"/>
          <w:szCs w:val="16"/>
          <w:color w:val="auto"/>
        </w:rPr>
      </w:pPr>
    </w:p>
    <w:p>
      <w:pPr>
        <w:ind w:left="1320" w:right="619" w:hanging="434"/>
        <w:spacing w:after="0" w:line="263" w:lineRule="auto"/>
        <w:tabs>
          <w:tab w:leader="none" w:pos="1311"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ten percent (10%) or greater beneficial ownership interest.</w:t>
      </w:r>
    </w:p>
    <w:p>
      <w:pPr>
        <w:spacing w:after="0" w:line="116"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New Tango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will have the responsibility to review related party transactions.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7" w:name="page298"/>
    <w:bookmarkEnd w:id="29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Submission of Stockholder Proposals</w:t>
      </w:r>
    </w:p>
    <w:p>
      <w:pPr>
        <w:spacing w:after="0" w:line="148"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The Board is aware of no other matter that may be brought before the Special Meeting. Under Delaware law, only business that is specified in the notice of special meeting to stockholders may be transacted at the special meeting.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Future Stockholder Proposals</w:t>
      </w:r>
    </w:p>
    <w:p>
      <w:pPr>
        <w:spacing w:after="0" w:line="162"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We anticipate that the 2022 annual meeting of stockholders will be held no later than [•], 2022. For any proposal to be considered for inclusion in our proxy statement and form of proxy for submission to the stockholders at our 2022 annual meeting of stockholders, it must be submitted in writing and comply with the requirements of Rule 14a-8 of the Exchange Act and our bylaws. Assuming the meeting is held on or about [•], 2022, such proposals must be received by the Combined Entity at its offices at [•], within a reasonable time before the Combined Entity begins to print and send its proxy materials for the meeting.</w:t>
      </w:r>
    </w:p>
    <w:p>
      <w:pPr>
        <w:spacing w:after="0" w:line="110" w:lineRule="exact"/>
        <w:rPr>
          <w:sz w:val="20"/>
          <w:szCs w:val="20"/>
          <w:color w:val="auto"/>
        </w:rPr>
      </w:pPr>
    </w:p>
    <w:p>
      <w:pPr>
        <w:ind w:left="460" w:right="539" w:firstLine="432"/>
        <w:spacing w:after="0" w:line="278" w:lineRule="auto"/>
        <w:rPr>
          <w:sz w:val="20"/>
          <w:szCs w:val="20"/>
          <w:color w:val="auto"/>
        </w:rPr>
      </w:pPr>
      <w:r>
        <w:rPr>
          <w:rFonts w:ascii="Arial" w:cs="Arial" w:eastAsia="Arial" w:hAnsi="Arial"/>
          <w:sz w:val="16"/>
          <w:szCs w:val="16"/>
          <w:color w:val="auto"/>
        </w:rPr>
        <w:t>In addition, New Tango’s amended and restated bylaws, which will be effective upon the consummation of the Business Combination, provide notice procedures for stockholders to propose business (other than director nominations) to be considered by stockholders at a meeting. To be timely, a stockholder’s notice must be received by the Secretary at the principal executive offices of New Tango not later than the close of business on the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nor earlier than the close of business 120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the first anniversary of the preceding year’s annual meeting; provided, however, that in the event that no annual meeting was held during the preceding year or the date of the annual meeting is advanced more than 30 days prior to or delayed by more than 30 days after such anniversary of the preceding year’s annual meeting, notice by the stockholder to be timely must be so received no earlier than the close of business on the 120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such annual meeting and no later than the close of business on the later of the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such annual meeting or the tenth day following the day on which public announcement of the date such meeting is first made. Thus, for our 2022 annual meeting of stockholders, notice of a proposal must be delivered to our Secretary no later than [•], 2022 and no earlier than [•], 2022. The Chairperson of New Tango’s Board may refuse to acknowledge the introduction of any stockholder proposal not made in compliance with the foregoing procedures.</w:t>
      </w:r>
    </w:p>
    <w:p>
      <w:pPr>
        <w:spacing w:after="0" w:line="95" w:lineRule="exact"/>
        <w:rPr>
          <w:sz w:val="20"/>
          <w:szCs w:val="20"/>
          <w:color w:val="auto"/>
        </w:rPr>
      </w:pPr>
    </w:p>
    <w:p>
      <w:pPr>
        <w:ind w:left="460" w:right="459" w:firstLine="432"/>
        <w:spacing w:after="0" w:line="278" w:lineRule="auto"/>
        <w:rPr>
          <w:sz w:val="20"/>
          <w:szCs w:val="20"/>
          <w:color w:val="auto"/>
        </w:rPr>
      </w:pPr>
      <w:r>
        <w:rPr>
          <w:rFonts w:ascii="Arial" w:cs="Arial" w:eastAsia="Arial" w:hAnsi="Arial"/>
          <w:sz w:val="16"/>
          <w:szCs w:val="16"/>
          <w:color w:val="auto"/>
        </w:rPr>
        <w:t>Further, New Tango’s amended and restated bylaws, which will be effective upon the consummation of the Business Combination, provide notice procedures for stockholders to nominate a person as a director to be considered by stockholders at a meeting. To be timely, a stockholder’s notice must be received by the Secretary at the principal executive offices of New Tango (a) in the case of an annual meeting, not later than the close of business on the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nor earlier than the close of business on the 120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the first anniversary of the preceding year’s annual meeting; provided, however, that in the event that no annual meeting was held during the preceding year or the date of the annual meeting is advanced more than 30 days prior to or delayed by more than 60 days after the anniversary of the preceding year’s annual meeting, notice by the stockholder to be timely must be so received no earlier than the close of business on the 120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such annual meeting and not later than the close of business on the later of the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such annual meeting or the tenth day following the day on which public announcement of the date of such meeting was first made. Thus, for our 2022 annual meeting of stockholders, notice of a nomination must be delivered to our Secretary no later than [•], 2022 and no earlier than [•], 2022. The Chairperson of New Tango’s Board may refuse to acknowledge the introduction of any stockholder nomination not made in compliance with the foregoing procedures.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Stockholder Communications</w:t>
      </w:r>
    </w:p>
    <w:p>
      <w:pPr>
        <w:spacing w:after="0" w:line="162"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Stockholders and interested parties may communicate with the Board, any committee chairperson or the non-management directors as a group by writing to the Board or committee chairperson in care of the proxy solicitor at [•]. Following the Business Combination, such communications should be sent to [•] of New Tango. Each communication will be forwarded, depending on the subject matter, to the Board, the appropriate committee chairperson or all non-management directors.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8" w:name="page299"/>
    <w:bookmarkEnd w:id="29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The validity of the shares of Common Stock to be issued in connection with the Business Combination will be passed upon by Loeb &amp; Loeb LLP, New York, New York.</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The financial statements of BCTG Acquisition Corp. as of December 31, 2020 and for the period from May 21, 2020 (inception) through December 31, 2020, appearing in this proxy statement/prospectus have been audited by WithumSmith+Brown, PC, independent registered public accounting firm, as set forth in their report appearing elsewhere herein, and are included in reliance upon such report given on the authority of such firm as experts in accounting and auditing.</w:t>
      </w:r>
    </w:p>
    <w:p>
      <w:pPr>
        <w:spacing w:after="0" w:line="120" w:lineRule="exact"/>
        <w:rPr>
          <w:sz w:val="20"/>
          <w:szCs w:val="20"/>
          <w:color w:val="auto"/>
        </w:rPr>
      </w:pPr>
    </w:p>
    <w:p>
      <w:pPr>
        <w:jc w:val="both"/>
        <w:ind w:left="460" w:right="539" w:firstLine="432"/>
        <w:spacing w:after="0" w:line="279" w:lineRule="auto"/>
        <w:rPr>
          <w:sz w:val="20"/>
          <w:szCs w:val="20"/>
          <w:color w:val="auto"/>
        </w:rPr>
      </w:pPr>
      <w:r>
        <w:rPr>
          <w:rFonts w:ascii="Arial" w:cs="Arial" w:eastAsia="Arial" w:hAnsi="Arial"/>
          <w:sz w:val="17"/>
          <w:szCs w:val="17"/>
          <w:color w:val="auto"/>
        </w:rPr>
        <w:t>The financial statements of Tango Therapeutics, Inc. as of December 31, 2020 and 2019 and for each of the two years in the period ended December 31, 2020 included in this proxy statement/prospectus have been so included in reliance on the report of PricewaterhouseCoopers LLP, an independent registered public accounting firm, given on the authority of said firm as experts in auditing and accounting.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Delivery of Documents to Stockholders</w:t>
      </w:r>
    </w:p>
    <w:p>
      <w:pPr>
        <w:spacing w:after="0" w:line="148"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Pursuant to the rules of the SEC, BCTG and servicers that it employs to deliver communications to its stockholders are permitted to deliver to two or more stockholders sharing the same address a single copy of this proxy statement/prospectus. Upon written or oral request, BCTG will deliver a separate copy of this proxy statement/prospectus to any stockholder at a shared address to which a single copy of this proxy statement/prospectus was delivered and who wishes to receive separate copies in the future. Stockholders receiving multiple copies of this proxy statement/prospectus may likewise request delivery of single copies of this proxy statement/prospectus in the future. Stockholders may notify BCTG of their requests by calling or writing BCTG at its principal executive offices at (858) 400-3120 or 12860 El Camino Real, Suite 300, San Diego, CA 92130.</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Agent and Registrar</w:t>
      </w:r>
    </w:p>
    <w:p>
      <w:pPr>
        <w:spacing w:after="0" w:line="162" w:lineRule="exact"/>
        <w:rPr>
          <w:sz w:val="20"/>
          <w:szCs w:val="20"/>
          <w:color w:val="auto"/>
        </w:rPr>
      </w:pPr>
    </w:p>
    <w:p>
      <w:pPr>
        <w:ind w:left="460" w:right="599" w:firstLine="432"/>
        <w:spacing w:after="0" w:line="275" w:lineRule="auto"/>
        <w:rPr>
          <w:sz w:val="20"/>
          <w:szCs w:val="20"/>
          <w:color w:val="auto"/>
        </w:rPr>
      </w:pPr>
      <w:r>
        <w:rPr>
          <w:rFonts w:ascii="Arial" w:cs="Arial" w:eastAsia="Arial" w:hAnsi="Arial"/>
          <w:sz w:val="17"/>
          <w:szCs w:val="17"/>
          <w:color w:val="auto"/>
        </w:rPr>
        <w:t>The registrar and transfer agent for the shares of Common Stock is Continental Stock Transfer &amp; Trust Company. BCTG has agreed to indemnify Continental Stock Transfer &amp; Trust Company in its roles as transfer agent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9" w:name="page300"/>
    <w:bookmarkEnd w:id="29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8" w:lineRule="exact"/>
        <w:rPr>
          <w:sz w:val="20"/>
          <w:szCs w:val="20"/>
          <w:color w:val="auto"/>
        </w:rPr>
      </w:pPr>
    </w:p>
    <w:p>
      <w:pPr>
        <w:jc w:val="both"/>
        <w:ind w:left="460" w:right="699" w:firstLine="432"/>
        <w:spacing w:after="0" w:line="263" w:lineRule="auto"/>
        <w:rPr>
          <w:sz w:val="20"/>
          <w:szCs w:val="20"/>
          <w:color w:val="auto"/>
        </w:rPr>
      </w:pPr>
      <w:r>
        <w:rPr>
          <w:rFonts w:ascii="Arial" w:cs="Arial" w:eastAsia="Arial" w:hAnsi="Arial"/>
          <w:sz w:val="18"/>
          <w:szCs w:val="18"/>
          <w:color w:val="auto"/>
        </w:rPr>
        <w:t xml:space="preserve">We file reports, proxy statements and other information with the SEC as required by the Exchange Act. You can read BCTG’s SEC filings, including this proxy statement/prospectus,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16"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If you would like additional copies of this proxy statement/prospectus or if you have questions about the Business Combination or the proposals to be presented at the Special Meeting, you should contact BCTG by telephone or in writing: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Aaron I. Davis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12860 El Camino Real, Suite 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(858) 400-3120</w:t>
      </w:r>
    </w:p>
    <w:p>
      <w:pPr>
        <w:spacing w:after="0" w:line="130"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You may also obtain these documents by requesting them in writing or by telephone from BCTG’s proxy solicitation agent at the following address and telephone number: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If you are a stockholder of BCTG and would like to request documents, please do so by [•], 2021, in order to receive them before the Special Meeting. If you request any documents from BCTG, BCTG will mail them to you by first class mail, or another equally prompt means.</w:t>
      </w:r>
    </w:p>
    <w:p>
      <w:pPr>
        <w:spacing w:after="0" w:line="103" w:lineRule="exact"/>
        <w:rPr>
          <w:sz w:val="20"/>
          <w:szCs w:val="20"/>
          <w:color w:val="auto"/>
        </w:rPr>
      </w:pPr>
    </w:p>
    <w:p>
      <w:pPr>
        <w:ind w:left="460" w:right="619" w:firstLine="432"/>
        <w:spacing w:after="0" w:line="286" w:lineRule="auto"/>
        <w:rPr>
          <w:sz w:val="20"/>
          <w:szCs w:val="20"/>
          <w:color w:val="auto"/>
        </w:rPr>
      </w:pPr>
      <w:r>
        <w:rPr>
          <w:rFonts w:ascii="Arial" w:cs="Arial" w:eastAsia="Arial" w:hAnsi="Arial"/>
          <w:sz w:val="17"/>
          <w:szCs w:val="17"/>
          <w:color w:val="auto"/>
        </w:rPr>
        <w:t>All information contained in this proxy statement/prospectus relating to BCTG has been supplied by BCTG, and all such information relating to Tango has been supplied by Tango. Information provided by either BCTG or Tango does not constitute any representation, estimate or projection of any other party.</w:t>
      </w:r>
    </w:p>
    <w:p>
      <w:pPr>
        <w:spacing w:after="0" w:line="9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This document is a proxy statement/prospectus of BCTG for the Special Meeting. BCTG has not authorized anyone to give any information or make any representation about the Business Combination, BCTG or Tango that is different from, or in addition to, that contained in this proxy statement/prospectus. Therefore, if anyone does give you information of this sort, you should not rely on it. The information contained in this proxy statement/prospectus speaks only as of the date of this proxy statement/prospectus, unless the information specifically indicates that another date applies.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0" w:name="page301"/>
    <w:bookmarkEnd w:id="30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7"/>
        </w:trPr>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9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183"/>
        </w:trPr>
        <w:tc>
          <w:tcPr>
            <w:tcW w:w="7180" w:type="dxa"/>
            <w:vAlign w:val="bottom"/>
            <w:gridSpan w:val="14"/>
            <w:shd w:val="clear" w:color="auto" w:fill="CCEEFF"/>
          </w:tcPr>
          <w:p>
            <w:pPr>
              <w:spacing w:after="0" w:line="182" w:lineRule="exact"/>
              <w:rPr>
                <w:rFonts w:ascii="Arial" w:cs="Arial" w:eastAsia="Arial" w:hAnsi="Arial"/>
                <w:sz w:val="18"/>
                <w:szCs w:val="18"/>
                <w:color w:val="0000EE"/>
              </w:rPr>
            </w:pPr>
            <w:hyperlink w:anchor="page302">
              <w:r>
                <w:rPr>
                  <w:rFonts w:ascii="Arial" w:cs="Arial" w:eastAsia="Arial" w:hAnsi="Arial"/>
                  <w:sz w:val="18"/>
                  <w:szCs w:val="18"/>
                  <w:color w:val="0000EE"/>
                </w:rPr>
                <w:t>Report of Independent Registered Public Accounting Firm</w:t>
              </w:r>
            </w:hyperlink>
          </w:p>
        </w:tc>
        <w:tc>
          <w:tcPr>
            <w:tcW w:w="92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5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r>
      <w:tr>
        <w:trPr>
          <w:trHeight w:val="243"/>
        </w:trPr>
        <w:tc>
          <w:tcPr>
            <w:tcW w:w="718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92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9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3"/>
        </w:trPr>
        <w:tc>
          <w:tcPr>
            <w:tcW w:w="7180" w:type="dxa"/>
            <w:vAlign w:val="bottom"/>
            <w:gridSpan w:val="14"/>
            <w:shd w:val="clear" w:color="auto" w:fill="CCEEFF"/>
          </w:tcPr>
          <w:p>
            <w:pPr>
              <w:spacing w:after="0" w:line="202" w:lineRule="exact"/>
              <w:rPr>
                <w:rFonts w:ascii="Arial" w:cs="Arial" w:eastAsia="Arial" w:hAnsi="Arial"/>
                <w:sz w:val="18"/>
                <w:szCs w:val="18"/>
                <w:color w:val="0000EE"/>
              </w:rPr>
            </w:pPr>
            <w:hyperlink w:anchor="page303">
              <w:r>
                <w:rPr>
                  <w:rFonts w:ascii="Arial" w:cs="Arial" w:eastAsia="Arial" w:hAnsi="Arial"/>
                  <w:sz w:val="18"/>
                  <w:szCs w:val="18"/>
                  <w:color w:val="0000EE"/>
                </w:rPr>
                <w:t>Balance Sheet as of December 31, 2020</w:t>
              </w:r>
            </w:hyperlink>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F-3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5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r>
      <w:tr>
        <w:trPr>
          <w:trHeight w:val="176"/>
        </w:trPr>
        <w:tc>
          <w:tcPr>
            <w:tcW w:w="7180" w:type="dxa"/>
            <w:vAlign w:val="bottom"/>
            <w:gridSpan w:val="14"/>
          </w:tcPr>
          <w:p>
            <w:pPr>
              <w:spacing w:after="0" w:line="176" w:lineRule="exact"/>
              <w:rPr>
                <w:rFonts w:ascii="Arial" w:cs="Arial" w:eastAsia="Arial" w:hAnsi="Arial"/>
                <w:sz w:val="18"/>
                <w:szCs w:val="18"/>
                <w:color w:val="0000EE"/>
                <w:w w:val="97"/>
              </w:rPr>
            </w:pPr>
            <w:hyperlink w:anchor="page304">
              <w:r>
                <w:rPr>
                  <w:rFonts w:ascii="Arial" w:cs="Arial" w:eastAsia="Arial" w:hAnsi="Arial"/>
                  <w:sz w:val="18"/>
                  <w:szCs w:val="18"/>
                  <w:color w:val="0000EE"/>
                  <w:w w:val="97"/>
                </w:rPr>
                <w:t>Statement of Operations for the period from May 21, 2020 (inception) through December 31,</w:t>
              </w:r>
            </w:hyperlink>
          </w:p>
        </w:tc>
        <w:tc>
          <w:tcPr>
            <w:tcW w:w="920" w:type="dxa"/>
            <w:vAlign w:val="bottom"/>
          </w:tcPr>
          <w:p>
            <w:pPr>
              <w:spacing w:after="0"/>
              <w:rPr>
                <w:sz w:val="15"/>
                <w:szCs w:val="15"/>
                <w:color w:val="auto"/>
              </w:rPr>
            </w:pPr>
          </w:p>
        </w:tc>
      </w:tr>
      <w:tr>
        <w:trPr>
          <w:trHeight w:val="196"/>
        </w:trPr>
        <w:tc>
          <w:tcPr>
            <w:tcW w:w="2080" w:type="dxa"/>
            <w:vAlign w:val="bottom"/>
            <w:tcBorders>
              <w:top w:val="single" w:sz="8" w:color="0000EE"/>
            </w:tcBorders>
            <w:gridSpan w:val="3"/>
          </w:tcPr>
          <w:p>
            <w:pPr>
              <w:ind w:left="180"/>
              <w:spacing w:after="0" w:line="196" w:lineRule="exact"/>
              <w:rPr>
                <w:rFonts w:ascii="Arial" w:cs="Arial" w:eastAsia="Arial" w:hAnsi="Arial"/>
                <w:sz w:val="18"/>
                <w:szCs w:val="18"/>
                <w:color w:val="0000EE"/>
              </w:rPr>
            </w:pPr>
            <w:hyperlink w:anchor="page304">
              <w:r>
                <w:rPr>
                  <w:rFonts w:ascii="Arial" w:cs="Arial" w:eastAsia="Arial" w:hAnsi="Arial"/>
                  <w:sz w:val="18"/>
                  <w:szCs w:val="18"/>
                  <w:color w:val="0000EE"/>
                </w:rPr>
                <w:t>2020</w:t>
              </w:r>
            </w:hyperlink>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88"/>
              </w:rPr>
              <w:t>F-4</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176"/>
        </w:trPr>
        <w:tc>
          <w:tcPr>
            <w:tcW w:w="7180" w:type="dxa"/>
            <w:vAlign w:val="bottom"/>
            <w:gridSpan w:val="14"/>
            <w:shd w:val="clear" w:color="auto" w:fill="CCEEFF"/>
          </w:tcPr>
          <w:p>
            <w:pPr>
              <w:spacing w:after="0" w:line="176" w:lineRule="exact"/>
              <w:rPr>
                <w:rFonts w:ascii="Arial" w:cs="Arial" w:eastAsia="Arial" w:hAnsi="Arial"/>
                <w:sz w:val="18"/>
                <w:szCs w:val="18"/>
                <w:color w:val="0000EE"/>
                <w:w w:val="98"/>
              </w:rPr>
            </w:pPr>
            <w:hyperlink w:anchor="page305">
              <w:r>
                <w:rPr>
                  <w:rFonts w:ascii="Arial" w:cs="Arial" w:eastAsia="Arial" w:hAnsi="Arial"/>
                  <w:sz w:val="18"/>
                  <w:szCs w:val="18"/>
                  <w:color w:val="0000EE"/>
                  <w:w w:val="98"/>
                </w:rPr>
                <w:t>Statement of Changes in Shareholders’ Equity for the period from May 21, 2020 (inception)</w:t>
              </w:r>
            </w:hyperlink>
          </w:p>
        </w:tc>
        <w:tc>
          <w:tcPr>
            <w:tcW w:w="9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440" w:type="dxa"/>
            <w:vAlign w:val="bottom"/>
            <w:tcBorders>
              <w:top w:val="single" w:sz="8" w:color="0000EE"/>
            </w:tcBorders>
            <w:gridSpan w:val="9"/>
            <w:shd w:val="clear" w:color="auto" w:fill="CCEEFF"/>
          </w:tcPr>
          <w:p>
            <w:pPr>
              <w:spacing w:after="0" w:line="196" w:lineRule="exact"/>
              <w:rPr>
                <w:rFonts w:ascii="Arial" w:cs="Arial" w:eastAsia="Arial" w:hAnsi="Arial"/>
                <w:sz w:val="18"/>
                <w:szCs w:val="18"/>
                <w:color w:val="0000EE"/>
              </w:rPr>
            </w:pPr>
            <w:hyperlink w:anchor="page305">
              <w:r>
                <w:rPr>
                  <w:rFonts w:ascii="Arial" w:cs="Arial" w:eastAsia="Arial" w:hAnsi="Arial"/>
                  <w:sz w:val="18"/>
                  <w:szCs w:val="18"/>
                  <w:color w:val="0000EE"/>
                </w:rPr>
                <w:t>through December 31, 2020</w:t>
              </w:r>
            </w:hyperlink>
          </w:p>
        </w:tc>
        <w:tc>
          <w:tcPr>
            <w:tcW w:w="560" w:type="dxa"/>
            <w:vAlign w:val="bottom"/>
            <w:tcBorders>
              <w:top w:val="single" w:sz="8" w:color="CCEEFF"/>
            </w:tcBorders>
            <w:gridSpan w:val="4"/>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5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r>
      <w:tr>
        <w:trPr>
          <w:trHeight w:val="176"/>
        </w:trPr>
        <w:tc>
          <w:tcPr>
            <w:tcW w:w="7180" w:type="dxa"/>
            <w:vAlign w:val="bottom"/>
            <w:gridSpan w:val="14"/>
          </w:tcPr>
          <w:p>
            <w:pPr>
              <w:spacing w:after="0" w:line="176" w:lineRule="exact"/>
              <w:rPr>
                <w:rFonts w:ascii="Arial" w:cs="Arial" w:eastAsia="Arial" w:hAnsi="Arial"/>
                <w:sz w:val="18"/>
                <w:szCs w:val="18"/>
                <w:color w:val="0000EE"/>
                <w:w w:val="96"/>
              </w:rPr>
            </w:pPr>
            <w:hyperlink w:anchor="page306">
              <w:r>
                <w:rPr>
                  <w:rFonts w:ascii="Arial" w:cs="Arial" w:eastAsia="Arial" w:hAnsi="Arial"/>
                  <w:sz w:val="18"/>
                  <w:szCs w:val="18"/>
                  <w:color w:val="0000EE"/>
                  <w:w w:val="96"/>
                </w:rPr>
                <w:t>Statement of Cash Flows for the period from May 21, 2020 (inception) through December 31,</w:t>
              </w:r>
            </w:hyperlink>
          </w:p>
        </w:tc>
        <w:tc>
          <w:tcPr>
            <w:tcW w:w="920" w:type="dxa"/>
            <w:vAlign w:val="bottom"/>
          </w:tcPr>
          <w:p>
            <w:pPr>
              <w:spacing w:after="0"/>
              <w:rPr>
                <w:sz w:val="15"/>
                <w:szCs w:val="15"/>
                <w:color w:val="auto"/>
              </w:rPr>
            </w:pPr>
          </w:p>
        </w:tc>
      </w:tr>
      <w:tr>
        <w:trPr>
          <w:trHeight w:val="196"/>
        </w:trPr>
        <w:tc>
          <w:tcPr>
            <w:tcW w:w="2080" w:type="dxa"/>
            <w:vAlign w:val="bottom"/>
            <w:tcBorders>
              <w:top w:val="single" w:sz="8" w:color="0000EE"/>
            </w:tcBorders>
            <w:gridSpan w:val="3"/>
          </w:tcPr>
          <w:p>
            <w:pPr>
              <w:ind w:left="180"/>
              <w:spacing w:after="0" w:line="196" w:lineRule="exact"/>
              <w:rPr>
                <w:rFonts w:ascii="Arial" w:cs="Arial" w:eastAsia="Arial" w:hAnsi="Arial"/>
                <w:sz w:val="18"/>
                <w:szCs w:val="18"/>
                <w:color w:val="0000EE"/>
              </w:rPr>
            </w:pPr>
            <w:hyperlink w:anchor="page306">
              <w:r>
                <w:rPr>
                  <w:rFonts w:ascii="Arial" w:cs="Arial" w:eastAsia="Arial" w:hAnsi="Arial"/>
                  <w:sz w:val="18"/>
                  <w:szCs w:val="18"/>
                  <w:color w:val="0000EE"/>
                </w:rPr>
                <w:t>2020</w:t>
              </w:r>
            </w:hyperlink>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88"/>
              </w:rPr>
              <w:t>F-6</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03"/>
        </w:trPr>
        <w:tc>
          <w:tcPr>
            <w:tcW w:w="7180" w:type="dxa"/>
            <w:vAlign w:val="bottom"/>
            <w:gridSpan w:val="14"/>
            <w:shd w:val="clear" w:color="auto" w:fill="CCEEFF"/>
          </w:tcPr>
          <w:p>
            <w:pPr>
              <w:spacing w:after="0" w:line="202" w:lineRule="exact"/>
              <w:rPr>
                <w:rFonts w:ascii="Arial" w:cs="Arial" w:eastAsia="Arial" w:hAnsi="Arial"/>
                <w:sz w:val="18"/>
                <w:szCs w:val="18"/>
                <w:color w:val="0000EE"/>
              </w:rPr>
            </w:pPr>
            <w:hyperlink w:anchor="page307">
              <w:r>
                <w:rPr>
                  <w:rFonts w:ascii="Arial" w:cs="Arial" w:eastAsia="Arial" w:hAnsi="Arial"/>
                  <w:sz w:val="18"/>
                  <w:szCs w:val="18"/>
                  <w:color w:val="0000EE"/>
                </w:rPr>
                <w:t>Notes to Financial Statements</w:t>
              </w:r>
            </w:hyperlink>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F-7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5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r>
      <w:tr>
        <w:trPr>
          <w:trHeight w:val="432"/>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80" w:type="dxa"/>
            <w:vAlign w:val="bottom"/>
            <w:gridSpan w:val="9"/>
          </w:tcPr>
          <w:p>
            <w:pPr>
              <w:jc w:val="center"/>
              <w:ind w:right="1280"/>
              <w:spacing w:after="0"/>
              <w:rPr>
                <w:sz w:val="20"/>
                <w:szCs w:val="20"/>
                <w:color w:val="auto"/>
              </w:rPr>
            </w:pPr>
            <w:r>
              <w:rPr>
                <w:rFonts w:ascii="Arial" w:cs="Arial" w:eastAsia="Arial" w:hAnsi="Arial"/>
                <w:sz w:val="18"/>
                <w:szCs w:val="18"/>
                <w:b w:val="1"/>
                <w:bCs w:val="1"/>
                <w:color w:val="auto"/>
              </w:rPr>
              <w:t>TANGO THERAPEUTICS, INC.</w:t>
            </w:r>
          </w:p>
        </w:tc>
        <w:tc>
          <w:tcPr>
            <w:tcW w:w="920" w:type="dxa"/>
            <w:vAlign w:val="bottom"/>
          </w:tcPr>
          <w:p>
            <w:pPr>
              <w:spacing w:after="0"/>
              <w:rPr>
                <w:sz w:val="24"/>
                <w:szCs w:val="24"/>
                <w:color w:val="auto"/>
              </w:rPr>
            </w:pPr>
          </w:p>
        </w:tc>
      </w:tr>
      <w:tr>
        <w:trPr>
          <w:trHeight w:val="413"/>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7"/>
        </w:trPr>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9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183"/>
        </w:trPr>
        <w:tc>
          <w:tcPr>
            <w:tcW w:w="7180" w:type="dxa"/>
            <w:vAlign w:val="bottom"/>
            <w:gridSpan w:val="14"/>
            <w:shd w:val="clear" w:color="auto" w:fill="CCEEFF"/>
          </w:tcPr>
          <w:p>
            <w:pPr>
              <w:spacing w:after="0" w:line="182" w:lineRule="exact"/>
              <w:rPr>
                <w:rFonts w:ascii="Arial" w:cs="Arial" w:eastAsia="Arial" w:hAnsi="Arial"/>
                <w:sz w:val="18"/>
                <w:szCs w:val="18"/>
                <w:color w:val="0000EE"/>
              </w:rPr>
            </w:pPr>
            <w:hyperlink w:anchor="page317">
              <w:r>
                <w:rPr>
                  <w:rFonts w:ascii="Arial" w:cs="Arial" w:eastAsia="Arial" w:hAnsi="Arial"/>
                  <w:sz w:val="18"/>
                  <w:szCs w:val="18"/>
                  <w:color w:val="0000EE"/>
                </w:rPr>
                <w:t>Report of Independent Registered Public Accounting Firm</w:t>
              </w:r>
            </w:hyperlink>
          </w:p>
        </w:tc>
        <w:tc>
          <w:tcPr>
            <w:tcW w:w="92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F-17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5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r>
      <w:tr>
        <w:trPr>
          <w:trHeight w:val="203"/>
        </w:trPr>
        <w:tc>
          <w:tcPr>
            <w:tcW w:w="7180" w:type="dxa"/>
            <w:vAlign w:val="bottom"/>
            <w:gridSpan w:val="14"/>
          </w:tcPr>
          <w:p>
            <w:pPr>
              <w:spacing w:after="0" w:line="202" w:lineRule="exact"/>
              <w:rPr>
                <w:rFonts w:ascii="Arial" w:cs="Arial" w:eastAsia="Arial" w:hAnsi="Arial"/>
                <w:sz w:val="18"/>
                <w:szCs w:val="18"/>
                <w:color w:val="0000EE"/>
              </w:rPr>
            </w:pPr>
            <w:hyperlink w:anchor="page318">
              <w:r>
                <w:rPr>
                  <w:rFonts w:ascii="Arial" w:cs="Arial" w:eastAsia="Arial" w:hAnsi="Arial"/>
                  <w:sz w:val="18"/>
                  <w:szCs w:val="18"/>
                  <w:color w:val="0000EE"/>
                </w:rPr>
                <w:t>Consolidated Balance Sheets</w:t>
              </w:r>
            </w:hyperlink>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1"/>
              </w:rPr>
              <w:t>F-18</w:t>
            </w:r>
          </w:p>
        </w:tc>
      </w:tr>
      <w:tr>
        <w:trPr>
          <w:trHeight w:val="61"/>
        </w:trPr>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03"/>
        </w:trPr>
        <w:tc>
          <w:tcPr>
            <w:tcW w:w="7180" w:type="dxa"/>
            <w:vAlign w:val="bottom"/>
            <w:gridSpan w:val="14"/>
            <w:shd w:val="clear" w:color="auto" w:fill="CCEEFF"/>
          </w:tcPr>
          <w:p>
            <w:pPr>
              <w:spacing w:after="0" w:line="202" w:lineRule="exact"/>
              <w:rPr>
                <w:rFonts w:ascii="Arial" w:cs="Arial" w:eastAsia="Arial" w:hAnsi="Arial"/>
                <w:sz w:val="18"/>
                <w:szCs w:val="18"/>
                <w:color w:val="0000EE"/>
              </w:rPr>
            </w:pPr>
            <w:hyperlink w:anchor="page319">
              <w:r>
                <w:rPr>
                  <w:rFonts w:ascii="Arial" w:cs="Arial" w:eastAsia="Arial" w:hAnsi="Arial"/>
                  <w:sz w:val="18"/>
                  <w:szCs w:val="18"/>
                  <w:color w:val="0000EE"/>
                </w:rPr>
                <w:t>Consolidated Statements of Operations and Comprehensive Loss</w:t>
              </w:r>
            </w:hyperlink>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F-19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5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r>
      <w:tr>
        <w:trPr>
          <w:trHeight w:val="203"/>
        </w:trPr>
        <w:tc>
          <w:tcPr>
            <w:tcW w:w="7180" w:type="dxa"/>
            <w:vAlign w:val="bottom"/>
            <w:gridSpan w:val="14"/>
          </w:tcPr>
          <w:p>
            <w:pPr>
              <w:spacing w:after="0" w:line="202" w:lineRule="exact"/>
              <w:rPr>
                <w:rFonts w:ascii="Arial" w:cs="Arial" w:eastAsia="Arial" w:hAnsi="Arial"/>
                <w:sz w:val="18"/>
                <w:szCs w:val="18"/>
                <w:color w:val="0000EE"/>
                <w:w w:val="94"/>
              </w:rPr>
            </w:pPr>
            <w:hyperlink w:anchor="page320">
              <w:r>
                <w:rPr>
                  <w:rFonts w:ascii="Arial" w:cs="Arial" w:eastAsia="Arial" w:hAnsi="Arial"/>
                  <w:sz w:val="18"/>
                  <w:szCs w:val="18"/>
                  <w:color w:val="0000EE"/>
                  <w:w w:val="94"/>
                </w:rPr>
                <w:t>Consolidated Statements of Redeemable Convertible Preferred Stock and Stockholders’ Deficit</w:t>
              </w:r>
            </w:hyperlink>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1"/>
              </w:rPr>
              <w:t>F-20</w:t>
            </w:r>
          </w:p>
        </w:tc>
      </w:tr>
      <w:tr>
        <w:trPr>
          <w:trHeight w:val="61"/>
        </w:trPr>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9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03"/>
        </w:trPr>
        <w:tc>
          <w:tcPr>
            <w:tcW w:w="7180" w:type="dxa"/>
            <w:vAlign w:val="bottom"/>
            <w:gridSpan w:val="14"/>
            <w:shd w:val="clear" w:color="auto" w:fill="CCEEFF"/>
          </w:tcPr>
          <w:p>
            <w:pPr>
              <w:spacing w:after="0" w:line="202" w:lineRule="exact"/>
              <w:rPr>
                <w:rFonts w:ascii="Arial" w:cs="Arial" w:eastAsia="Arial" w:hAnsi="Arial"/>
                <w:sz w:val="18"/>
                <w:szCs w:val="18"/>
                <w:color w:val="0000EE"/>
              </w:rPr>
            </w:pPr>
            <w:hyperlink w:anchor="page321">
              <w:r>
                <w:rPr>
                  <w:rFonts w:ascii="Arial" w:cs="Arial" w:eastAsia="Arial" w:hAnsi="Arial"/>
                  <w:sz w:val="18"/>
                  <w:szCs w:val="18"/>
                  <w:color w:val="0000EE"/>
                </w:rPr>
                <w:t>Consolidated Statements of Cash Flows</w:t>
              </w:r>
            </w:hyperlink>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F-21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5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r>
      <w:tr>
        <w:trPr>
          <w:trHeight w:val="203"/>
        </w:trPr>
        <w:tc>
          <w:tcPr>
            <w:tcW w:w="7180" w:type="dxa"/>
            <w:vAlign w:val="bottom"/>
            <w:gridSpan w:val="14"/>
          </w:tcPr>
          <w:p>
            <w:pPr>
              <w:spacing w:after="0" w:line="202" w:lineRule="exact"/>
              <w:rPr>
                <w:rFonts w:ascii="Arial" w:cs="Arial" w:eastAsia="Arial" w:hAnsi="Arial"/>
                <w:sz w:val="18"/>
                <w:szCs w:val="18"/>
                <w:color w:val="0000EE"/>
              </w:rPr>
            </w:pPr>
            <w:hyperlink w:anchor="page322">
              <w:r>
                <w:rPr>
                  <w:rFonts w:ascii="Arial" w:cs="Arial" w:eastAsia="Arial" w:hAnsi="Arial"/>
                  <w:sz w:val="18"/>
                  <w:szCs w:val="18"/>
                  <w:color w:val="0000EE"/>
                </w:rPr>
                <w:t>Notes to Consolidated Financial Statements</w:t>
              </w:r>
            </w:hyperlink>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1"/>
              </w:rPr>
              <w:t>F-22</w:t>
            </w:r>
          </w:p>
        </w:tc>
      </w:tr>
      <w:tr>
        <w:trPr>
          <w:trHeight w:val="466"/>
        </w:trPr>
        <w:tc>
          <w:tcPr>
            <w:tcW w:w="1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5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040" w:type="dxa"/>
            <w:vAlign w:val="bottom"/>
            <w:tcBorders>
              <w:bottom w:val="single" w:sz="8" w:color="auto"/>
            </w:tcBorders>
            <w:gridSpan w:val="7"/>
          </w:tcPr>
          <w:p>
            <w:pPr>
              <w:jc w:val="center"/>
              <w:ind w:right="2240"/>
              <w:spacing w:after="0"/>
              <w:rPr>
                <w:sz w:val="20"/>
                <w:szCs w:val="20"/>
                <w:color w:val="auto"/>
              </w:rPr>
            </w:pPr>
            <w:r>
              <w:rPr>
                <w:rFonts w:ascii="Arial" w:cs="Arial" w:eastAsia="Arial" w:hAnsi="Arial"/>
                <w:sz w:val="18"/>
                <w:szCs w:val="18"/>
                <w:color w:val="auto"/>
                <w:w w:val="88"/>
              </w:rPr>
              <w:t>F-1</w:t>
            </w: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301" w:name="page302"/>
    <w:bookmarkEnd w:id="30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BCTG Acquisition Corp.</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We have audited the accompanying balance sheet of BCTG Acquisition Corp. (the “Company”), as of December 31, 2020, the related statements of operations, changes in stockholders’ equity and cash flows for the period from May 21,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May 21, 2020 (inception) through December 31, 2020, in conformity with accounting principles generally accepted in the United States of America.</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WithumSmith+Brown, PC</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31,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2" w:name="page303"/>
    <w:bookmarkEnd w:id="302"/>
    <w:tbl>
      <w:tblPr>
        <w:tblLayout w:type="fixed"/>
        <w:tblInd w:w="460" w:type="dxa"/>
        <w:tblCellMar>
          <w:top w:w="0" w:type="dxa"/>
          <w:left w:w="0" w:type="dxa"/>
          <w:bottom w:w="0" w:type="dxa"/>
          <w:right w:w="0" w:type="dxa"/>
        </w:tblCellMar>
      </w:tblPr>
      <w:tr>
        <w:trPr>
          <w:trHeight w:val="207"/>
        </w:trPr>
        <w:tc>
          <w:tcPr>
            <w:tcW w:w="6860" w:type="dxa"/>
            <w:vAlign w:val="bottom"/>
            <w:gridSpan w:val="2"/>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b w:val="1"/>
                <w:bCs w:val="1"/>
                <w:color w:val="auto"/>
                <w:w w:val="99"/>
              </w:rPr>
              <w:t>BCTG ACQUISITION CORP.</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Arial" w:cs="Arial" w:eastAsia="Arial" w:hAnsi="Arial"/>
                <w:sz w:val="18"/>
                <w:szCs w:val="18"/>
                <w:b w:val="1"/>
                <w:bCs w:val="1"/>
                <w:color w:val="auto"/>
                <w:w w:val="99"/>
              </w:rPr>
              <w:t>BALANCE SHEET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 2020</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76"/>
        </w:trPr>
        <w:tc>
          <w:tcPr>
            <w:tcW w:w="128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12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1,314,085</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183,496</w:t>
            </w:r>
          </w:p>
        </w:tc>
        <w:tc>
          <w:tcPr>
            <w:tcW w:w="120" w:type="dxa"/>
            <w:vAlign w:val="bottom"/>
          </w:tcPr>
          <w:p>
            <w:pPr>
              <w:spacing w:after="0"/>
              <w:rPr>
                <w:sz w:val="22"/>
                <w:szCs w:val="22"/>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1,497,581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57"/>
        </w:trPr>
        <w:tc>
          <w:tcPr>
            <w:tcW w:w="6860" w:type="dxa"/>
            <w:vAlign w:val="bottom"/>
            <w:gridSpan w:val="2"/>
          </w:tcPr>
          <w:p>
            <w:pPr>
              <w:spacing w:after="0"/>
              <w:rPr>
                <w:sz w:val="20"/>
                <w:szCs w:val="20"/>
                <w:color w:val="auto"/>
              </w:rPr>
            </w:pPr>
            <w:r>
              <w:rPr>
                <w:rFonts w:ascii="Arial" w:cs="Arial" w:eastAsia="Arial" w:hAnsi="Arial"/>
                <w:sz w:val="18"/>
                <w:szCs w:val="18"/>
                <w:color w:val="auto"/>
              </w:rPr>
              <w:t>Investments held in Trust Account</w:t>
            </w:r>
          </w:p>
        </w:tc>
        <w:tc>
          <w:tcPr>
            <w:tcW w:w="14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166,815,235</w:t>
            </w:r>
          </w:p>
        </w:tc>
        <w:tc>
          <w:tcPr>
            <w:tcW w:w="120" w:type="dxa"/>
            <w:vAlign w:val="bottom"/>
          </w:tcPr>
          <w:p>
            <w:pPr>
              <w:spacing w:after="0"/>
              <w:rPr>
                <w:sz w:val="22"/>
                <w:szCs w:val="22"/>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3"/>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168,312,816</w:t>
            </w:r>
          </w:p>
        </w:tc>
        <w:tc>
          <w:tcPr>
            <w:tcW w:w="120" w:type="dxa"/>
            <w:vAlign w:val="bottom"/>
            <w:shd w:val="clear" w:color="auto" w:fill="CCEEFF"/>
          </w:tcPr>
          <w:p>
            <w:pPr>
              <w:spacing w:after="0"/>
              <w:rPr>
                <w:sz w:val="21"/>
                <w:szCs w:val="2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271"/>
        </w:trPr>
        <w:tc>
          <w:tcPr>
            <w:tcW w:w="1280" w:type="dxa"/>
            <w:vAlign w:val="bottom"/>
          </w:tcPr>
          <w:p>
            <w:pPr>
              <w:spacing w:after="0"/>
              <w:rPr>
                <w:sz w:val="23"/>
                <w:szCs w:val="23"/>
                <w:color w:val="auto"/>
              </w:rPr>
            </w:pPr>
          </w:p>
        </w:tc>
        <w:tc>
          <w:tcPr>
            <w:tcW w:w="5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1"/>
        </w:trPr>
        <w:tc>
          <w:tcPr>
            <w:tcW w:w="12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74,927</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Accrued income taxes</w:t>
            </w:r>
          </w:p>
        </w:tc>
        <w:tc>
          <w:tcPr>
            <w:tcW w:w="14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6,864</w:t>
            </w:r>
          </w:p>
        </w:tc>
        <w:tc>
          <w:tcPr>
            <w:tcW w:w="120" w:type="dxa"/>
            <w:vAlign w:val="bottom"/>
          </w:tcPr>
          <w:p>
            <w:pPr>
              <w:spacing w:after="0"/>
              <w:rPr>
                <w:sz w:val="21"/>
                <w:szCs w:val="21"/>
                <w:color w:val="auto"/>
              </w:rPr>
            </w:pPr>
          </w:p>
        </w:tc>
      </w:tr>
      <w:tr>
        <w:trPr>
          <w:trHeight w:val="40"/>
        </w:trPr>
        <w:tc>
          <w:tcPr>
            <w:tcW w:w="12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Franchise tax payable</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32,563</w:t>
            </w:r>
          </w:p>
        </w:tc>
      </w:tr>
      <w:tr>
        <w:trPr>
          <w:trHeight w:val="22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114,354</w:t>
            </w:r>
          </w:p>
        </w:tc>
        <w:tc>
          <w:tcPr>
            <w:tcW w:w="140" w:type="dxa"/>
            <w:vAlign w:val="bottom"/>
            <w:gridSpan w:val="2"/>
          </w:tcPr>
          <w:p>
            <w:pPr>
              <w:spacing w:after="0"/>
              <w:rPr>
                <w:sz w:val="19"/>
                <w:szCs w:val="19"/>
                <w:color w:val="auto"/>
              </w:rPr>
            </w:pPr>
          </w:p>
        </w:tc>
      </w:tr>
      <w:tr>
        <w:trPr>
          <w:trHeight w:val="40"/>
        </w:trPr>
        <w:tc>
          <w:tcPr>
            <w:tcW w:w="12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5,836,250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2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5,950,604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0"/>
        </w:trPr>
        <w:tc>
          <w:tcPr>
            <w:tcW w:w="12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1280" w:type="dxa"/>
            <w:vAlign w:val="bottom"/>
            <w:shd w:val="clear" w:color="auto" w:fill="CCEEFF"/>
          </w:tcPr>
          <w:p>
            <w:pPr>
              <w:spacing w:after="0"/>
              <w:rPr>
                <w:sz w:val="24"/>
                <w:szCs w:val="24"/>
                <w:color w:val="auto"/>
              </w:rPr>
            </w:pPr>
          </w:p>
        </w:tc>
        <w:tc>
          <w:tcPr>
            <w:tcW w:w="5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12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1280" w:type="dxa"/>
            <w:vAlign w:val="bottom"/>
            <w:shd w:val="clear" w:color="auto" w:fill="CCEEFF"/>
          </w:tcPr>
          <w:p>
            <w:pPr>
              <w:spacing w:after="0"/>
              <w:rPr>
                <w:sz w:val="24"/>
                <w:szCs w:val="24"/>
                <w:color w:val="auto"/>
              </w:rPr>
            </w:pPr>
          </w:p>
        </w:tc>
        <w:tc>
          <w:tcPr>
            <w:tcW w:w="5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w w:val="93"/>
              </w:rPr>
              <w:t>Common stock; 15,736,221 shares subject to possible redemption at $10.00 per share</w:t>
            </w:r>
          </w:p>
        </w:tc>
        <w:tc>
          <w:tcPr>
            <w:tcW w:w="14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157,362,210</w:t>
            </w:r>
          </w:p>
        </w:tc>
        <w:tc>
          <w:tcPr>
            <w:tcW w:w="120" w:type="dxa"/>
            <w:vAlign w:val="bottom"/>
          </w:tcPr>
          <w:p>
            <w:pPr>
              <w:spacing w:after="0"/>
              <w:rPr>
                <w:sz w:val="21"/>
                <w:szCs w:val="21"/>
                <w:color w:val="auto"/>
              </w:rPr>
            </w:pPr>
          </w:p>
        </w:tc>
      </w:tr>
      <w:tr>
        <w:trPr>
          <w:trHeight w:val="40"/>
        </w:trPr>
        <w:tc>
          <w:tcPr>
            <w:tcW w:w="12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1280" w:type="dxa"/>
            <w:vAlign w:val="bottom"/>
            <w:shd w:val="clear" w:color="auto" w:fill="CCEEFF"/>
          </w:tcPr>
          <w:p>
            <w:pPr>
              <w:spacing w:after="0"/>
              <w:rPr>
                <w:sz w:val="24"/>
                <w:szCs w:val="24"/>
                <w:color w:val="auto"/>
              </w:rPr>
            </w:pPr>
          </w:p>
        </w:tc>
        <w:tc>
          <w:tcPr>
            <w:tcW w:w="5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12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0"/>
              </w:rPr>
              <w:t>Preferred stock, $0.0001 par value; 1,000,000 shares authorized; none issued and outstanding</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6860" w:type="dxa"/>
            <w:vAlign w:val="bottom"/>
            <w:gridSpan w:val="2"/>
          </w:tcPr>
          <w:p>
            <w:pPr>
              <w:spacing w:after="0" w:line="201" w:lineRule="exact"/>
              <w:rPr>
                <w:sz w:val="20"/>
                <w:szCs w:val="20"/>
                <w:color w:val="auto"/>
              </w:rPr>
            </w:pPr>
            <w:r>
              <w:rPr>
                <w:rFonts w:ascii="Arial" w:cs="Arial" w:eastAsia="Arial" w:hAnsi="Arial"/>
                <w:sz w:val="18"/>
                <w:szCs w:val="18"/>
                <w:color w:val="auto"/>
                <w:w w:val="93"/>
              </w:rPr>
              <w:t>Common stock, $0.0001 par value; 30,000,000 shares authorized; 5,641,029 shares issued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and outstanding (excluding 15,736,221 shares subject to possible redemption)</w:t>
            </w:r>
          </w:p>
        </w:tc>
        <w:tc>
          <w:tcPr>
            <w:tcW w:w="140" w:type="dxa"/>
            <w:vAlign w:val="bottom"/>
          </w:tcPr>
          <w:p>
            <w:pPr>
              <w:spacing w:after="0"/>
              <w:rPr>
                <w:sz w:val="20"/>
                <w:szCs w:val="20"/>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564</w:t>
            </w:r>
          </w:p>
        </w:tc>
      </w:tr>
      <w:tr>
        <w:trPr>
          <w:trHeight w:val="40"/>
        </w:trPr>
        <w:tc>
          <w:tcPr>
            <w:tcW w:w="12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4"/>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5,122,484</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6"/>
        </w:trPr>
        <w:tc>
          <w:tcPr>
            <w:tcW w:w="686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(123,046)</w:t>
            </w:r>
          </w:p>
        </w:tc>
      </w:tr>
      <w:tr>
        <w:trPr>
          <w:trHeight w:val="27"/>
        </w:trPr>
        <w:tc>
          <w:tcPr>
            <w:tcW w:w="128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5,000,002</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168,312,816</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12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303" w:name="page304"/>
    <w:bookmarkEnd w:id="30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May 21, 2020 (inception) through December 31, 2020</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108,865</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Administrative expenses – related party</w:t>
            </w:r>
          </w:p>
        </w:tc>
        <w:tc>
          <w:tcPr>
            <w:tcW w:w="18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Franchise tax expense</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32,563</w:t>
            </w:r>
          </w:p>
        </w:tc>
        <w:tc>
          <w:tcPr>
            <w:tcW w:w="0" w:type="dxa"/>
            <w:vAlign w:val="bottom"/>
          </w:tcPr>
          <w:p>
            <w:pPr>
              <w:spacing w:after="0"/>
              <w:rPr>
                <w:sz w:val="1"/>
                <w:szCs w:val="1"/>
                <w:color w:val="auto"/>
              </w:rPr>
            </w:pPr>
          </w:p>
        </w:tc>
      </w:tr>
      <w:tr>
        <w:trPr>
          <w:trHeight w:val="224"/>
        </w:trPr>
        <w:tc>
          <w:tcPr>
            <w:tcW w:w="686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65,246</w:t>
            </w:r>
          </w:p>
        </w:tc>
        <w:tc>
          <w:tcPr>
            <w:tcW w:w="0" w:type="dxa"/>
            <w:vAlign w:val="bottom"/>
          </w:tcPr>
          <w:p>
            <w:pPr>
              <w:spacing w:after="0"/>
              <w:rPr>
                <w:sz w:val="1"/>
                <w:szCs w:val="1"/>
                <w:color w:val="auto"/>
              </w:rPr>
            </w:pPr>
          </w:p>
        </w:tc>
      </w:tr>
      <w:tr>
        <w:trPr>
          <w:trHeight w:val="224"/>
        </w:trPr>
        <w:tc>
          <w:tcPr>
            <w:tcW w:w="6860" w:type="dxa"/>
            <w:vAlign w:val="bottom"/>
          </w:tcPr>
          <w:p>
            <w:pPr>
              <w:ind w:left="180"/>
              <w:spacing w:after="0"/>
              <w:rPr>
                <w:sz w:val="20"/>
                <w:szCs w:val="20"/>
                <w:color w:val="auto"/>
              </w:rPr>
            </w:pPr>
            <w:r>
              <w:rPr>
                <w:rFonts w:ascii="Arial" w:cs="Arial" w:eastAsia="Arial" w:hAnsi="Arial"/>
                <w:sz w:val="18"/>
                <w:szCs w:val="18"/>
                <w:color w:val="auto"/>
              </w:rPr>
              <w:t>Loss before income tax expense</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(116,182)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64"/>
        </w:trPr>
        <w:tc>
          <w:tcPr>
            <w:tcW w:w="686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(123,046</w:t>
            </w:r>
          </w:p>
        </w:tc>
        <w:tc>
          <w:tcPr>
            <w:tcW w:w="14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686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 of Public Shares</w:t>
            </w:r>
          </w:p>
        </w:tc>
        <w:tc>
          <w:tcPr>
            <w:tcW w:w="18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99"/>
              </w:rPr>
              <w:t>16,675,000</w:t>
            </w:r>
          </w:p>
        </w:tc>
        <w:tc>
          <w:tcPr>
            <w:tcW w:w="0" w:type="dxa"/>
            <w:vAlign w:val="bottom"/>
          </w:tcPr>
          <w:p>
            <w:pPr>
              <w:spacing w:after="0"/>
              <w:rPr>
                <w:sz w:val="1"/>
                <w:szCs w:val="1"/>
                <w:color w:val="auto"/>
              </w:rPr>
            </w:pPr>
          </w:p>
        </w:tc>
      </w:tr>
      <w:tr>
        <w:trPr>
          <w:trHeight w:val="224"/>
        </w:trPr>
        <w:tc>
          <w:tcPr>
            <w:tcW w:w="686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Basic and diluted net loss per share, Public Shares</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 of Founder Shares</w:t>
            </w: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86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4,212,127</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86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Basic and diluted net loss per share, Founder Shares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4" w:name="page305"/>
    <w:bookmarkEnd w:id="30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6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2100" w:type="dxa"/>
            <w:vAlign w:val="bottom"/>
            <w:gridSpan w:val="6"/>
            <w:vMerge w:val="restart"/>
          </w:tcPr>
          <w:p>
            <w:pPr>
              <w:jc w:val="right"/>
              <w:ind w:right="520"/>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16"/>
        </w:trPr>
        <w:tc>
          <w:tcPr>
            <w:tcW w:w="2220" w:type="dxa"/>
            <w:vAlign w:val="bottom"/>
          </w:tcPr>
          <w:p>
            <w:pPr>
              <w:spacing w:after="0"/>
              <w:rPr>
                <w:sz w:val="10"/>
                <w:szCs w:val="10"/>
                <w:color w:val="auto"/>
              </w:rPr>
            </w:pPr>
          </w:p>
        </w:tc>
        <w:tc>
          <w:tcPr>
            <w:tcW w:w="210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vMerge w:val="restart"/>
          </w:tcPr>
          <w:p>
            <w:pPr>
              <w:jc w:val="center"/>
              <w:ind w:right="200"/>
              <w:spacing w:after="0" w:line="142" w:lineRule="exact"/>
              <w:rPr>
                <w:sz w:val="20"/>
                <w:szCs w:val="20"/>
                <w:color w:val="auto"/>
              </w:rPr>
            </w:pPr>
            <w:r>
              <w:rPr>
                <w:rFonts w:ascii="Arial" w:cs="Arial" w:eastAsia="Arial" w:hAnsi="Arial"/>
                <w:sz w:val="16"/>
                <w:szCs w:val="16"/>
                <w:b w:val="1"/>
                <w:bCs w:val="1"/>
                <w:color w:val="auto"/>
              </w:rPr>
              <w:t>Paid-In</w:t>
            </w:r>
          </w:p>
        </w:tc>
        <w:tc>
          <w:tcPr>
            <w:tcW w:w="1120" w:type="dxa"/>
            <w:vAlign w:val="bottom"/>
            <w:gridSpan w:val="4"/>
            <w:vMerge w:val="restart"/>
          </w:tcPr>
          <w:p>
            <w:pPr>
              <w:jc w:val="center"/>
              <w:ind w:right="8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0"/>
                <w:szCs w:val="10"/>
                <w:color w:val="auto"/>
              </w:rPr>
            </w:pPr>
          </w:p>
        </w:tc>
        <w:tc>
          <w:tcPr>
            <w:tcW w:w="1140" w:type="dxa"/>
            <w:vAlign w:val="bottom"/>
            <w:gridSpan w:val="2"/>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46"/>
        </w:trPr>
        <w:tc>
          <w:tcPr>
            <w:tcW w:w="222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22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3"/>
              </w:rPr>
              <w:t>Capital</w:t>
            </w:r>
          </w:p>
        </w:tc>
        <w:tc>
          <w:tcPr>
            <w:tcW w:w="160" w:type="dxa"/>
            <w:vAlign w:val="bottom"/>
          </w:tcPr>
          <w:p>
            <w:pPr>
              <w:spacing w:after="0"/>
              <w:rPr>
                <w:sz w:val="20"/>
                <w:szCs w:val="20"/>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Deficit</w:t>
            </w: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47"/>
        </w:trPr>
        <w:tc>
          <w:tcPr>
            <w:tcW w:w="22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2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 May 21, 2020</w:t>
            </w: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(inception)</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w w:val="94"/>
              </w:rPr>
              <w:t>Issuance of common stock to</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80"/>
              <w:spacing w:after="0"/>
              <w:rPr>
                <w:sz w:val="20"/>
                <w:szCs w:val="20"/>
                <w:color w:val="auto"/>
              </w:rPr>
            </w:pPr>
            <w:r>
              <w:rPr>
                <w:rFonts w:ascii="Arial" w:cs="Arial" w:eastAsia="Arial" w:hAnsi="Arial"/>
                <w:sz w:val="18"/>
                <w:szCs w:val="18"/>
                <w:color w:val="auto"/>
              </w:rPr>
              <w:t>Sponsor</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4,168,750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24,583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40"/>
        </w:trPr>
        <w:tc>
          <w:tcPr>
            <w:tcW w:w="2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 in</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initial public offering,</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16,675,000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166,748,332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166,750,000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0"/>
                <w:szCs w:val="20"/>
                <w:color w:val="auto"/>
              </w:rPr>
            </w:pPr>
            <w:r>
              <w:rPr>
                <w:rFonts w:ascii="Arial" w:cs="Arial" w:eastAsia="Arial" w:hAnsi="Arial"/>
                <w:sz w:val="18"/>
                <w:szCs w:val="18"/>
                <w:color w:val="auto"/>
              </w:rPr>
              <w:t>Offering costs</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(9,624,742)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(9,624,742)</w:t>
            </w:r>
          </w:p>
        </w:tc>
        <w:tc>
          <w:tcPr>
            <w:tcW w:w="0" w:type="dxa"/>
            <w:vAlign w:val="bottom"/>
          </w:tcPr>
          <w:p>
            <w:pPr>
              <w:spacing w:after="0"/>
              <w:rPr>
                <w:sz w:val="1"/>
                <w:szCs w:val="1"/>
                <w:color w:val="auto"/>
              </w:rPr>
            </w:pPr>
          </w:p>
        </w:tc>
      </w:tr>
      <w:tr>
        <w:trPr>
          <w:trHeight w:val="41"/>
        </w:trPr>
        <w:tc>
          <w:tcPr>
            <w:tcW w:w="2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private placement</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to Sponsor in</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private placement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533,500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5,334,947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5,335,000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Shares subject to possible</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(15,736,221)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(1,574)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(157,360,636)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(157,362,210)</w:t>
            </w:r>
          </w:p>
        </w:tc>
        <w:tc>
          <w:tcPr>
            <w:tcW w:w="0" w:type="dxa"/>
            <w:vAlign w:val="bottom"/>
          </w:tcPr>
          <w:p>
            <w:pPr>
              <w:spacing w:after="0"/>
              <w:rPr>
                <w:sz w:val="1"/>
                <w:szCs w:val="1"/>
                <w:color w:val="auto"/>
              </w:rPr>
            </w:pPr>
          </w:p>
        </w:tc>
      </w:tr>
      <w:tr>
        <w:trPr>
          <w:trHeight w:val="41"/>
        </w:trPr>
        <w:tc>
          <w:tcPr>
            <w:tcW w:w="2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(123,046)</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(123,046)</w:t>
            </w:r>
          </w:p>
        </w:tc>
        <w:tc>
          <w:tcPr>
            <w:tcW w:w="0" w:type="dxa"/>
            <w:vAlign w:val="bottom"/>
          </w:tcPr>
          <w:p>
            <w:pPr>
              <w:spacing w:after="0"/>
              <w:rPr>
                <w:sz w:val="1"/>
                <w:szCs w:val="1"/>
                <w:color w:val="auto"/>
              </w:rPr>
            </w:pPr>
          </w:p>
        </w:tc>
      </w:tr>
      <w:tr>
        <w:trPr>
          <w:trHeight w:val="178"/>
        </w:trPr>
        <w:tc>
          <w:tcPr>
            <w:tcW w:w="2220" w:type="dxa"/>
            <w:vAlign w:val="bottom"/>
          </w:tcPr>
          <w:p>
            <w:pPr>
              <w:spacing w:after="0" w:line="177" w:lineRule="exact"/>
              <w:rPr>
                <w:sz w:val="20"/>
                <w:szCs w:val="20"/>
                <w:color w:val="auto"/>
              </w:rPr>
            </w:pPr>
            <w:r>
              <w:rPr>
                <w:rFonts w:ascii="Arial" w:cs="Arial" w:eastAsia="Arial" w:hAnsi="Arial"/>
                <w:sz w:val="18"/>
                <w:szCs w:val="18"/>
                <w:b w:val="1"/>
                <w:bCs w:val="1"/>
                <w:color w:val="auto"/>
              </w:rPr>
              <w:t>Balance – December 31,</w:t>
            </w: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220" w:type="dxa"/>
            <w:vAlign w:val="bottom"/>
          </w:tcPr>
          <w:p>
            <w:pPr>
              <w:ind w:left="180"/>
              <w:spacing w:after="0"/>
              <w:rPr>
                <w:sz w:val="20"/>
                <w:szCs w:val="20"/>
                <w:color w:val="auto"/>
              </w:rPr>
            </w:pPr>
            <w:r>
              <w:rPr>
                <w:rFonts w:ascii="Arial" w:cs="Arial" w:eastAsia="Arial" w:hAnsi="Arial"/>
                <w:sz w:val="18"/>
                <w:szCs w:val="18"/>
                <w:b w:val="1"/>
                <w:bCs w:val="1"/>
                <w:color w:val="auto"/>
              </w:rPr>
              <w:t>2020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5,641,029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564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5,122,484</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8"/>
              </w:rPr>
              <w:t>(123,046)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5,000,002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5" w:name="page306"/>
    <w:bookmarkEnd w:id="30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May 21, 2020 (Inception) Through December 31, 2020</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(123,046)</w:t>
            </w: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(65,235)</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(183,496)</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21"/>
                <w:szCs w:val="21"/>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4,927</w:t>
            </w:r>
          </w:p>
        </w:tc>
      </w:tr>
      <w:tr>
        <w:trPr>
          <w:trHeight w:val="41"/>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income taxes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6,864</w:t>
            </w: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Franchise tax payable</w:t>
            </w:r>
          </w:p>
        </w:tc>
        <w:tc>
          <w:tcPr>
            <w:tcW w:w="120" w:type="dxa"/>
            <w:vAlign w:val="bottom"/>
          </w:tcPr>
          <w:p>
            <w:pPr>
              <w:spacing w:after="0"/>
              <w:rPr>
                <w:sz w:val="22"/>
                <w:szCs w:val="22"/>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32,563</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(327,423</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r>
      <w:tr>
        <w:trPr>
          <w:trHeight w:val="277"/>
        </w:trPr>
        <w:tc>
          <w:tcPr>
            <w:tcW w:w="68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Cash deposited in Trust Account</w:t>
            </w:r>
          </w:p>
        </w:tc>
        <w:tc>
          <w:tcPr>
            <w:tcW w:w="120" w:type="dxa"/>
            <w:vAlign w:val="bottom"/>
          </w:tcPr>
          <w:p>
            <w:pPr>
              <w:spacing w:after="0"/>
              <w:rPr>
                <w:sz w:val="22"/>
                <w:szCs w:val="22"/>
                <w:color w:val="auto"/>
              </w:rPr>
            </w:pP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w w:val="90"/>
              </w:rPr>
              <w:t>(166,750,000)</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(166,750,000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r>
      <w:tr>
        <w:trPr>
          <w:trHeight w:val="20"/>
        </w:trPr>
        <w:tc>
          <w:tcPr>
            <w:tcW w:w="6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180340</wp:posOffset>
            </wp:positionV>
            <wp:extent cx="5143500" cy="1797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Flows from Financing Activities:</w:t>
      </w:r>
    </w:p>
    <w:p>
      <w:pPr>
        <w:sectPr>
          <w:pgSz w:w="11900" w:h="16838" w:orient="portrait"/>
          <w:cols w:equalWidth="0" w:num="1">
            <w:col w:w="9019"/>
          </w:cols>
          <w:pgMar w:left="1440" w:top="274" w:right="1440" w:bottom="1440" w:gutter="0" w:footer="0" w:header="0"/>
        </w:sectPr>
      </w:pPr>
    </w:p>
    <w:p>
      <w:pPr>
        <w:spacing w:after="0" w:line="81" w:lineRule="exact"/>
        <w:rPr>
          <w:sz w:val="20"/>
          <w:szCs w:val="20"/>
          <w:color w:val="auto"/>
        </w:rPr>
      </w:pPr>
    </w:p>
    <w:p>
      <w:pPr>
        <w:ind w:left="460" w:right="2332"/>
        <w:spacing w:after="0" w:line="327" w:lineRule="auto"/>
        <w:rPr>
          <w:sz w:val="20"/>
          <w:szCs w:val="20"/>
          <w:color w:val="auto"/>
        </w:rPr>
      </w:pPr>
      <w:r>
        <w:rPr>
          <w:rFonts w:ascii="Arial" w:cs="Arial" w:eastAsia="Arial" w:hAnsi="Arial"/>
          <w:sz w:val="18"/>
          <w:szCs w:val="18"/>
          <w:color w:val="auto"/>
        </w:rPr>
        <w:t>Proceeds from issuance of common stock to Sponsor Proceeds from note payable to related party Proceeds received from initial public offering, gross Proceeds received from private placement Repayment of note payable to related party Payments of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-901700</wp:posOffset>
            </wp:positionV>
            <wp:extent cx="5143500" cy="1797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-541655</wp:posOffset>
            </wp:positionV>
            <wp:extent cx="5143500" cy="1797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-181610</wp:posOffset>
            </wp:positionV>
            <wp:extent cx="5143500" cy="1803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85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240030</wp:posOffset>
            </wp:positionV>
            <wp:extent cx="5143500" cy="1803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6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Supplemental disclosure of noncash activities: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25,000</w:t>
      </w:r>
    </w:p>
    <w:p>
      <w:pPr>
        <w:spacing w:after="0" w:line="77"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25</w:t>
      </w:r>
    </w:p>
    <w:p>
      <w:pPr>
        <w:spacing w:after="0" w:line="77"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166,750,000</w:t>
      </w:r>
    </w:p>
    <w:p>
      <w:pPr>
        <w:spacing w:after="0" w:line="77"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5,335,000</w:t>
      </w:r>
    </w:p>
    <w:p>
      <w:pPr>
        <w:spacing w:after="0" w:line="77"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(127,232)</w:t>
      </w:r>
    </w:p>
    <w:p>
      <w:pPr>
        <w:spacing w:after="0" w:line="77"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(3,591,285)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0294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70"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168,391,508</w:t>
      </w:r>
    </w:p>
    <w:p>
      <w:pPr>
        <w:spacing w:after="0" w:line="360" w:lineRule="exact"/>
        <w:rPr>
          <w:sz w:val="20"/>
          <w:szCs w:val="20"/>
          <w:color w:val="auto"/>
        </w:rPr>
      </w:pPr>
    </w:p>
    <w:p>
      <w:pPr>
        <w:ind w:left="388"/>
        <w:spacing w:after="0"/>
        <w:rPr>
          <w:sz w:val="20"/>
          <w:szCs w:val="20"/>
          <w:color w:val="auto"/>
        </w:rPr>
      </w:pPr>
      <w:r>
        <w:rPr>
          <w:rFonts w:ascii="Arial" w:cs="Arial" w:eastAsia="Arial" w:hAnsi="Arial"/>
          <w:sz w:val="17"/>
          <w:szCs w:val="17"/>
          <w:color w:val="auto"/>
        </w:rPr>
        <w:t>1,314,085</w:t>
      </w:r>
    </w:p>
    <w:p>
      <w:pPr>
        <w:spacing w:after="0" w:line="385" w:lineRule="exact"/>
        <w:rPr>
          <w:sz w:val="20"/>
          <w:szCs w:val="20"/>
          <w:color w:val="auto"/>
        </w:rPr>
      </w:pPr>
    </w:p>
    <w:p>
      <w:pPr>
        <w:ind w:left="928"/>
        <w:spacing w:after="0"/>
        <w:rPr>
          <w:sz w:val="20"/>
          <w:szCs w:val="20"/>
          <w:color w:val="auto"/>
        </w:rPr>
      </w:pPr>
      <w:r>
        <w:rPr>
          <w:rFonts w:ascii="Arial" w:cs="Arial" w:eastAsia="Arial" w:hAnsi="Arial"/>
          <w:sz w:val="18"/>
          <w:szCs w:val="18"/>
          <w:color w:val="auto"/>
        </w:rPr>
        <w:t>—</w:t>
      </w:r>
    </w:p>
    <w:p>
      <w:pPr>
        <w:spacing w:after="0" w:line="73" w:lineRule="exact"/>
        <w:rPr>
          <w:sz w:val="20"/>
          <w:szCs w:val="20"/>
          <w:color w:val="auto"/>
        </w:rPr>
      </w:pPr>
    </w:p>
    <w:p>
      <w:pPr>
        <w:ind w:left="388" w:hanging="388"/>
        <w:spacing w:after="0"/>
        <w:tabs>
          <w:tab w:leader="none" w:pos="388" w:val="left"/>
        </w:tabs>
        <w:numPr>
          <w:ilvl w:val="0"/>
          <w:numId w:val="293"/>
        </w:numPr>
        <w:rPr>
          <w:rFonts w:ascii="Arial" w:cs="Arial" w:eastAsia="Arial" w:hAnsi="Arial"/>
          <w:sz w:val="17"/>
          <w:szCs w:val="17"/>
          <w:b w:val="1"/>
          <w:bCs w:val="1"/>
          <w:color w:val="auto"/>
        </w:rPr>
      </w:pPr>
      <w:r>
        <w:rPr>
          <w:rFonts w:ascii="Arial" w:cs="Arial" w:eastAsia="Arial" w:hAnsi="Arial"/>
          <w:sz w:val="17"/>
          <w:szCs w:val="17"/>
          <w:b w:val="1"/>
          <w:bCs w:val="1"/>
          <w:color w:val="auto"/>
        </w:rPr>
        <w:t>1,314,085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0294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6592" w:space="720"/>
            <w:col w:w="1707"/>
          </w:cols>
          <w:pgMar w:left="1440" w:top="274" w:right="1440" w:bottom="1440" w:gutter="0" w:footer="0" w:header="0"/>
          <w:type w:val="continuous"/>
        </w:sectPr>
      </w:pPr>
    </w:p>
    <w:tbl>
      <w:tblPr>
        <w:tblLayout w:type="fixed"/>
        <w:tblInd w:w="460" w:type="dxa"/>
        <w:tblCellMar>
          <w:top w:w="0" w:type="dxa"/>
          <w:left w:w="0" w:type="dxa"/>
          <w:bottom w:w="0" w:type="dxa"/>
          <w:right w:w="0" w:type="dxa"/>
        </w:tblCellMar>
      </w:tblP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Offering costs included in note payable – related party</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127,207</w:t>
            </w:r>
          </w:p>
        </w:tc>
      </w:tr>
      <w:tr>
        <w:trPr>
          <w:trHeight w:val="40"/>
        </w:trPr>
        <w:tc>
          <w:tcPr>
            <w:tcW w:w="5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Offering costs included in accrued expenses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70,000</w:t>
            </w:r>
          </w:p>
        </w:tc>
      </w:tr>
      <w:tr>
        <w:trPr>
          <w:trHeight w:val="243"/>
        </w:trPr>
        <w:tc>
          <w:tcPr>
            <w:tcW w:w="5860" w:type="dxa"/>
            <w:vAlign w:val="bottom"/>
          </w:tcPr>
          <w:p>
            <w:pPr>
              <w:ind w:left="180"/>
              <w:spacing w:after="0"/>
              <w:rPr>
                <w:sz w:val="20"/>
                <w:szCs w:val="20"/>
                <w:color w:val="auto"/>
              </w:rPr>
            </w:pPr>
            <w:r>
              <w:rPr>
                <w:rFonts w:ascii="Arial" w:cs="Arial" w:eastAsia="Arial" w:hAnsi="Arial"/>
                <w:sz w:val="18"/>
                <w:szCs w:val="18"/>
                <w:color w:val="auto"/>
              </w:rPr>
              <w:t>Deferred underwriting commissions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5,836,250</w:t>
            </w:r>
          </w:p>
        </w:tc>
      </w:tr>
      <w:tr>
        <w:trPr>
          <w:trHeight w:val="40"/>
        </w:trPr>
        <w:tc>
          <w:tcPr>
            <w:tcW w:w="5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Initial value of common stock subject to possible redemption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157,484,340</w:t>
            </w:r>
          </w:p>
        </w:tc>
      </w:tr>
      <w:tr>
        <w:trPr>
          <w:trHeight w:val="243"/>
        </w:trPr>
        <w:tc>
          <w:tcPr>
            <w:tcW w:w="5860" w:type="dxa"/>
            <w:vAlign w:val="bottom"/>
          </w:tcPr>
          <w:p>
            <w:pPr>
              <w:ind w:left="180"/>
              <w:spacing w:after="0"/>
              <w:rPr>
                <w:sz w:val="20"/>
                <w:szCs w:val="20"/>
                <w:color w:val="auto"/>
              </w:rPr>
            </w:pPr>
            <w:r>
              <w:rPr>
                <w:rFonts w:ascii="Arial" w:cs="Arial" w:eastAsia="Arial" w:hAnsi="Arial"/>
                <w:sz w:val="18"/>
                <w:szCs w:val="18"/>
                <w:color w:val="auto"/>
              </w:rPr>
              <w:t>Change in value of common stock subject to possible redemption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(122,130)</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06" w:name="page307"/>
    <w:bookmarkEnd w:id="30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ORGANIZATION, BUSINESS OPERATIONS AND BASIS OF PRESENTATION</w:t>
      </w:r>
    </w:p>
    <w:p>
      <w:pPr>
        <w:spacing w:after="0" w:line="144"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BCTG Acquisition Corp. (the “</w:t>
      </w:r>
      <w:r>
        <w:rPr>
          <w:rFonts w:ascii="Arial" w:cs="Arial" w:eastAsia="Arial" w:hAnsi="Arial"/>
          <w:sz w:val="16"/>
          <w:szCs w:val="16"/>
          <w:b w:val="1"/>
          <w:bCs w:val="1"/>
          <w:color w:val="auto"/>
        </w:rPr>
        <w:t>Company</w:t>
      </w:r>
      <w:r>
        <w:rPr>
          <w:rFonts w:ascii="Arial" w:cs="Arial" w:eastAsia="Arial" w:hAnsi="Arial"/>
          <w:sz w:val="16"/>
          <w:szCs w:val="16"/>
          <w:color w:val="auto"/>
        </w:rPr>
        <w:t>”) was incorporated as a Delaware corporation on May 21, 2020. The Company was formed for the purpose of effecting a merger, capital stock exchange, asset acquisition, stock purchase, reorganization or other similar business combination (“</w:t>
      </w:r>
      <w:r>
        <w:rPr>
          <w:rFonts w:ascii="Arial" w:cs="Arial" w:eastAsia="Arial" w:hAnsi="Arial"/>
          <w:sz w:val="16"/>
          <w:szCs w:val="16"/>
          <w:b w:val="1"/>
          <w:bCs w:val="1"/>
          <w:color w:val="auto"/>
        </w:rPr>
        <w:t>Initial Business Combination</w:t>
      </w:r>
      <w:r>
        <w:rPr>
          <w:rFonts w:ascii="Arial" w:cs="Arial" w:eastAsia="Arial" w:hAnsi="Arial"/>
          <w:sz w:val="16"/>
          <w:szCs w:val="16"/>
          <w:color w:val="auto"/>
        </w:rPr>
        <w:t>”) with one or more operating businesses or entities that it has not yet selected (a “</w:t>
      </w:r>
      <w:r>
        <w:rPr>
          <w:rFonts w:ascii="Arial" w:cs="Arial" w:eastAsia="Arial" w:hAnsi="Arial"/>
          <w:sz w:val="16"/>
          <w:szCs w:val="16"/>
          <w:b w:val="1"/>
          <w:bCs w:val="1"/>
          <w:color w:val="auto"/>
        </w:rPr>
        <w:t>target business</w:t>
      </w:r>
      <w:r>
        <w:rPr>
          <w:rFonts w:ascii="Arial" w:cs="Arial" w:eastAsia="Arial" w:hAnsi="Arial"/>
          <w:sz w:val="16"/>
          <w:szCs w:val="16"/>
          <w:color w:val="auto"/>
        </w:rPr>
        <w:t>”). Although the Company is not limited to a particular industry or sector for purposes of consummating a Business Combination, the Company intends to focus on businesses that have their primary operations located in North America and Europe in the biotechnology industry. The Company has neither engaged in any operations nor generated revenue to date, other than searching for a target business. The Company is an “emerging growth company,” as defined in Section 2(a)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as modified by the Jumpstart our Business Startups Act of 2012 (the “</w:t>
      </w:r>
      <w:r>
        <w:rPr>
          <w:rFonts w:ascii="Arial" w:cs="Arial" w:eastAsia="Arial" w:hAnsi="Arial"/>
          <w:sz w:val="16"/>
          <w:szCs w:val="16"/>
          <w:b w:val="1"/>
          <w:bCs w:val="1"/>
          <w:color w:val="auto"/>
        </w:rPr>
        <w:t>JOBS Act</w:t>
      </w:r>
      <w:r>
        <w:rPr>
          <w:rFonts w:ascii="Arial" w:cs="Arial" w:eastAsia="Arial" w:hAnsi="Arial"/>
          <w:sz w:val="16"/>
          <w:szCs w:val="16"/>
          <w:color w:val="auto"/>
        </w:rPr>
        <w:t>”).</w:t>
      </w:r>
    </w:p>
    <w:p>
      <w:pPr>
        <w:spacing w:after="0" w:line="97"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As of December 31, 2020, the Company had not commenced any operations, other than searching for a target business. All activity for the period from May 21, 2020 (inception) through December 31, 2020 had been related to the Company’s formation and the initial public offering (“</w:t>
      </w:r>
      <w:r>
        <w:rPr>
          <w:rFonts w:ascii="Arial" w:cs="Arial" w:eastAsia="Arial" w:hAnsi="Arial"/>
          <w:sz w:val="18"/>
          <w:szCs w:val="18"/>
          <w:b w:val="1"/>
          <w:bCs w:val="1"/>
          <w:color w:val="auto"/>
        </w:rPr>
        <w:t>Initial Public Offering</w:t>
      </w:r>
      <w:r>
        <w:rPr>
          <w:rFonts w:ascii="Arial" w:cs="Arial" w:eastAsia="Arial" w:hAnsi="Arial"/>
          <w:sz w:val="18"/>
          <w:szCs w:val="18"/>
          <w:color w:val="auto"/>
        </w:rPr>
        <w:t>”) described below, and since offering, the search for a prospective Initial Business Combination. The Company will not generate any operating revenue until after the completion of its Initial Business Combination, at the earliest. The Company generates non-operating income in the form of income earned on investments on cash and cash equivalents in the Trust Account (as defined below). The Company has selected December 31 as its fiscal year end.</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Company’s sponsor is BCTG Holdings, LLC, a Delaware limited liability company (the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Sponsor</w:t>
      </w:r>
      <w:r>
        <w:rPr>
          <w:rFonts w:ascii="Arial" w:cs="Arial" w:eastAsia="Arial" w:hAnsi="Arial"/>
          <w:sz w:val="17"/>
          <w:szCs w:val="17"/>
          <w:color w:val="auto"/>
        </w:rPr>
        <w:t>”). The registration statement for the Company’s Initial Public Offering was declared effective on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September 2, 2020. On September 8, 2020, the Company consummated its Initial Public Offering of 16,675,000</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shares of common stock (the “</w:t>
      </w:r>
      <w:r>
        <w:rPr>
          <w:rFonts w:ascii="Arial" w:cs="Arial" w:eastAsia="Arial" w:hAnsi="Arial"/>
          <w:sz w:val="17"/>
          <w:szCs w:val="17"/>
          <w:b w:val="1"/>
          <w:bCs w:val="1"/>
          <w:color w:val="auto"/>
        </w:rPr>
        <w:t>Public Shares</w:t>
      </w:r>
      <w:r>
        <w:rPr>
          <w:rFonts w:ascii="Arial" w:cs="Arial" w:eastAsia="Arial" w:hAnsi="Arial"/>
          <w:sz w:val="17"/>
          <w:szCs w:val="17"/>
          <w:color w:val="auto"/>
        </w:rPr>
        <w:t>”), including the 2,175,000 Public Shares as a result of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underwriters’ full exercise of their over-allotment option, at an offering price of $10.00 per Public Share,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generating gross proceeds of approximately $166.8 million, and incurring offering costs of approximately $9.6</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million, inclusive of approximately $5.8 million in deferred underwriting commissions (Note 6).</w:t>
      </w:r>
    </w:p>
    <w:p>
      <w:pPr>
        <w:spacing w:after="0" w:line="130"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w:t>
      </w:r>
      <w:r>
        <w:rPr>
          <w:rFonts w:ascii="Arial" w:cs="Arial" w:eastAsia="Arial" w:hAnsi="Arial"/>
          <w:sz w:val="18"/>
          <w:szCs w:val="18"/>
          <w:b w:val="1"/>
          <w:bCs w:val="1"/>
          <w:color w:val="auto"/>
        </w:rPr>
        <w:t>Private Placement</w:t>
      </w:r>
      <w:r>
        <w:rPr>
          <w:rFonts w:ascii="Arial" w:cs="Arial" w:eastAsia="Arial" w:hAnsi="Arial"/>
          <w:sz w:val="18"/>
          <w:szCs w:val="18"/>
          <w:color w:val="auto"/>
        </w:rPr>
        <w:t>”) of 533,500 shares of common stock (the “</w:t>
      </w:r>
      <w:r>
        <w:rPr>
          <w:rFonts w:ascii="Arial" w:cs="Arial" w:eastAsia="Arial" w:hAnsi="Arial"/>
          <w:sz w:val="18"/>
          <w:szCs w:val="18"/>
          <w:b w:val="1"/>
          <w:bCs w:val="1"/>
          <w:color w:val="auto"/>
        </w:rPr>
        <w:t>Private Placement Shares</w:t>
      </w:r>
      <w:r>
        <w:rPr>
          <w:rFonts w:ascii="Arial" w:cs="Arial" w:eastAsia="Arial" w:hAnsi="Arial"/>
          <w:sz w:val="18"/>
          <w:szCs w:val="18"/>
          <w:color w:val="auto"/>
        </w:rPr>
        <w:t>”), at a price of $10.00 per Private Placement Share to the Sponsor, generating gross proceeds of approximately $5.3 million (Note 4).</w:t>
      </w:r>
    </w:p>
    <w:p>
      <w:pPr>
        <w:spacing w:after="0" w:line="119"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Upon the closing of the Initial Public Offering and the Private Placement, approximately $166.8 million ($10.00 per share), representing the net proceeds of the Initial Public Offering and certain of the proceeds of the Private Placement was placed in a trust account (“</w:t>
      </w:r>
      <w:r>
        <w:rPr>
          <w:rFonts w:ascii="Arial" w:cs="Arial" w:eastAsia="Arial" w:hAnsi="Arial"/>
          <w:sz w:val="18"/>
          <w:szCs w:val="18"/>
          <w:b w:val="1"/>
          <w:bCs w:val="1"/>
          <w:color w:val="auto"/>
        </w:rPr>
        <w:t>Trust Account</w:t>
      </w:r>
      <w:r>
        <w:rPr>
          <w:rFonts w:ascii="Arial" w:cs="Arial" w:eastAsia="Arial" w:hAnsi="Arial"/>
          <w:sz w:val="18"/>
          <w:szCs w:val="18"/>
          <w:color w:val="auto"/>
        </w:rPr>
        <w:t>”) in the United States maintained by Continental Stock Transfer &amp; Trust Company, as trustee, and will remain invested only in U.S. government treasury bills, notes and bonds with a maturity of 185 days or less or in money market funds meeting certain conditions under Rule 2a-7 under the Investment Company Act and which invest solely in U.S. Treasuries, until the earlier of: (i) the completion of a Business Combination and (ii) the distribution of the Trust Account as described below.</w:t>
      </w:r>
    </w:p>
    <w:p>
      <w:pPr>
        <w:spacing w:after="0" w:line="124"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Pursuant to stock exchange listing rules, the Company’s Initial Business Combination must be with one or more operating businesses or assets with a fair market value equal to at least 80% of the net assets held in the Trust Account (as defined below) (excluding the amount of any deferred underwriting discount held in trust and taxes payable on the income earned on the Trust Account) at the time the Company signs a definitive agreement in connection with the Initial Business Combination. However, the Company will only complete an Initial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7" w:name="page308"/>
    <w:bookmarkEnd w:id="30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jc w:val="right"/>
        <w:ind w:left="460" w:right="959"/>
        <w:spacing w:after="0" w:line="384" w:lineRule="auto"/>
        <w:rPr>
          <w:sz w:val="20"/>
          <w:szCs w:val="20"/>
          <w:color w:val="auto"/>
        </w:rPr>
      </w:pPr>
      <w:r>
        <w:rPr>
          <w:rFonts w:ascii="Arial" w:cs="Arial" w:eastAsia="Arial" w:hAnsi="Arial"/>
          <w:sz w:val="17"/>
          <w:szCs w:val="17"/>
          <w:b w:val="1"/>
          <w:bCs w:val="1"/>
          <w:color w:val="auto"/>
        </w:rPr>
        <w:t xml:space="preserve">NOTE 1. ORGANIZATION, BUSINESS OPERATIONS AND BASIS OF PRESENTATION </w:t>
      </w:r>
      <w:r>
        <w:rPr>
          <w:rFonts w:ascii="Arial" w:cs="Arial" w:eastAsia="Arial" w:hAnsi="Arial"/>
          <w:sz w:val="17"/>
          <w:szCs w:val="17"/>
          <w:color w:val="auto"/>
        </w:rPr>
        <w:t>(cont.)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Company’s management has broad discretion with respect to the specific application of the net</w:t>
      </w:r>
    </w:p>
    <w:p>
      <w:pPr>
        <w:jc w:val="both"/>
        <w:ind w:left="460" w:right="559"/>
        <w:spacing w:after="0" w:line="302" w:lineRule="auto"/>
        <w:rPr>
          <w:sz w:val="20"/>
          <w:szCs w:val="20"/>
          <w:color w:val="auto"/>
        </w:rPr>
      </w:pPr>
      <w:r>
        <w:rPr>
          <w:rFonts w:ascii="Arial" w:cs="Arial" w:eastAsia="Arial" w:hAnsi="Arial"/>
          <w:sz w:val="16"/>
          <w:szCs w:val="16"/>
          <w:color w:val="auto"/>
        </w:rPr>
        <w:t>proceeds of its Initial Public Offering and the sale of Private Placement Shares, although substantially all of the net proceeds are intended to be applied generally toward consummating a Business Combination. Furthermore, there is no assurance that the Company will be able to successfully complete a Business Combination.</w:t>
      </w:r>
    </w:p>
    <w:p>
      <w:pPr>
        <w:spacing w:after="0" w:line="84"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The Company will provide the holders of Public Shares (the “</w:t>
      </w:r>
      <w:r>
        <w:rPr>
          <w:rFonts w:ascii="Arial" w:cs="Arial" w:eastAsia="Arial" w:hAnsi="Arial"/>
          <w:sz w:val="16"/>
          <w:szCs w:val="16"/>
          <w:b w:val="1"/>
          <w:bCs w:val="1"/>
          <w:color w:val="auto"/>
        </w:rPr>
        <w:t>Public Stockholders</w:t>
      </w:r>
      <w:r>
        <w:rPr>
          <w:rFonts w:ascii="Arial" w:cs="Arial" w:eastAsia="Arial" w:hAnsi="Arial"/>
          <w:sz w:val="16"/>
          <w:szCs w:val="16"/>
          <w:color w:val="auto"/>
        </w:rPr>
        <w:t>”)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$10.00 per share, plus any pro rata interest earned on the funds held in the Trust Account and not previously released to the Company to pay its tax obligations). The per-share amount to be distributed to Public Stockholders who redeem their Public Shares will not be reduced by the deferred underwriting commissions the Company will pay to the underwriters (as discussed in Note 6). In such case, 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in connection with the Initial Public Offering (the “</w:t>
      </w:r>
      <w:r>
        <w:rPr>
          <w:rFonts w:ascii="Arial" w:cs="Arial" w:eastAsia="Arial" w:hAnsi="Arial"/>
          <w:sz w:val="16"/>
          <w:szCs w:val="16"/>
          <w:b w:val="1"/>
          <w:bCs w:val="1"/>
          <w:color w:val="auto"/>
        </w:rPr>
        <w:t>Amended and Restated Certificate</w:t>
      </w:r>
      <w:r>
        <w:rPr>
          <w:rFonts w:ascii="Arial" w:cs="Arial" w:eastAsia="Arial" w:hAnsi="Arial"/>
          <w:sz w:val="16"/>
          <w:szCs w:val="16"/>
          <w:color w:val="auto"/>
        </w:rPr>
        <w:t>”), conduct the redemptions pursuant to the tender offer rules of the U.S.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holders of the Founder Shares prior to this Initial Public Offering (the “</w:t>
      </w:r>
      <w:r>
        <w:rPr>
          <w:rFonts w:ascii="Arial" w:cs="Arial" w:eastAsia="Arial" w:hAnsi="Arial"/>
          <w:sz w:val="16"/>
          <w:szCs w:val="16"/>
          <w:b w:val="1"/>
          <w:bCs w:val="1"/>
          <w:color w:val="auto"/>
        </w:rPr>
        <w:t>Initial Stockholders</w:t>
      </w:r>
      <w:r>
        <w:rPr>
          <w:rFonts w:ascii="Arial" w:cs="Arial" w:eastAsia="Arial" w:hAnsi="Arial"/>
          <w:sz w:val="16"/>
          <w:szCs w:val="16"/>
          <w:color w:val="auto"/>
        </w:rPr>
        <w:t>”) have agreed to vote their Founder Shares (as defined in Note 5)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 In addition, the Company has agreed not to enter into a definitive agreement regarding an Initial Business Combination without the prior consent of the Sponsor.</w:t>
      </w:r>
    </w:p>
    <w:p>
      <w:pPr>
        <w:spacing w:after="0" w:line="307"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If the Company holds a stockholder vote or there is a tender offer for shares in connection with an Initial Business Combination, a stockholder will have the right to redeem such holder’s Public Shares for an amount in cash equal to such holder’s pro rata share of the aggregate amount on deposit in the Trust Account as of two business days prior to the consummation of the Initial Business Combination, including interest not previously released to the Company to pay its franchise and income taxes. As a result, such common stock has been recorded at redemption amount and classified as temporary equity, in accordance with the Financial Accounting Standard Board (“</w:t>
      </w:r>
      <w:r>
        <w:rPr>
          <w:rFonts w:ascii="Arial" w:cs="Arial" w:eastAsia="Arial" w:hAnsi="Arial"/>
          <w:sz w:val="16"/>
          <w:szCs w:val="16"/>
          <w:b w:val="1"/>
          <w:bCs w:val="1"/>
          <w:color w:val="auto"/>
        </w:rPr>
        <w:t>FASB</w:t>
      </w:r>
      <w:r>
        <w:rPr>
          <w:rFonts w:ascii="Arial" w:cs="Arial" w:eastAsia="Arial" w:hAnsi="Arial"/>
          <w:sz w:val="16"/>
          <w:szCs w:val="16"/>
          <w:color w:val="auto"/>
        </w:rPr>
        <w:t>”), Accounting Standard Codification (“</w:t>
      </w:r>
      <w:r>
        <w:rPr>
          <w:rFonts w:ascii="Arial" w:cs="Arial" w:eastAsia="Arial" w:hAnsi="Arial"/>
          <w:sz w:val="16"/>
          <w:szCs w:val="16"/>
          <w:b w:val="1"/>
          <w:bCs w:val="1"/>
          <w:color w:val="auto"/>
        </w:rPr>
        <w:t>ASC</w:t>
      </w:r>
      <w:r>
        <w:rPr>
          <w:rFonts w:ascii="Arial" w:cs="Arial" w:eastAsia="Arial" w:hAnsi="Arial"/>
          <w:sz w:val="16"/>
          <w:szCs w:val="16"/>
          <w:color w:val="auto"/>
        </w:rPr>
        <w:t>”) 480, “Distinguishing Liabilities from Equity.” The amount in the Trust Account is initially anticipated to be $10.00 per Public Share.</w:t>
      </w:r>
    </w:p>
    <w:p>
      <w:pPr>
        <w:spacing w:after="0" w:line="98"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Notwithstanding the foregoing, the Company’s Amended and Restated Certificate provides that a Public Stockholder, together with any affiliate of such stockholder or any other person with whom such stockholder is acting in concert or as a “group” (as defined under Section 13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will be restricted from redeeming its shares with respect to more than an aggregate of 20% or more of the shares of common stock sold in the Initial Public Offering, without the prior consent of the Company.</w:t>
      </w:r>
    </w:p>
    <w:p>
      <w:pPr>
        <w:spacing w:after="0" w:line="125" w:lineRule="exact"/>
        <w:rPr>
          <w:sz w:val="20"/>
          <w:szCs w:val="20"/>
          <w:color w:val="auto"/>
        </w:rPr>
      </w:pPr>
    </w:p>
    <w:p>
      <w:pPr>
        <w:jc w:val="both"/>
        <w:ind w:left="460" w:right="659" w:firstLine="432"/>
        <w:spacing w:after="0" w:line="259" w:lineRule="auto"/>
        <w:rPr>
          <w:sz w:val="20"/>
          <w:szCs w:val="20"/>
          <w:color w:val="auto"/>
        </w:rPr>
      </w:pPr>
      <w:r>
        <w:rPr>
          <w:rFonts w:ascii="Arial" w:cs="Arial" w:eastAsia="Arial" w:hAnsi="Arial"/>
          <w:sz w:val="18"/>
          <w:szCs w:val="18"/>
          <w:color w:val="auto"/>
        </w:rPr>
        <w:t>The Company’s Sponsor, executive officers, and directors have agreed not to propose an amendment to the Company’s Amended and Restated Certificate that would affect the substance or timing of the Company’s obligation to provide for the redemption of its Public Shares in connection with a Business Combination or to redeem 100%</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8" w:name="page309"/>
    <w:bookmarkEnd w:id="30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ORGANIZATION, BUSINESS OPERATIONS AND BASIS OF PRESENTATION </w:t>
      </w:r>
      <w:r>
        <w:rPr>
          <w:rFonts w:ascii="Arial" w:cs="Arial" w:eastAsia="Arial" w:hAnsi="Arial"/>
          <w:sz w:val="18"/>
          <w:szCs w:val="18"/>
          <w:color w:val="auto"/>
        </w:rPr>
        <w:t>(cont.)</w:t>
      </w:r>
    </w:p>
    <w:p>
      <w:pPr>
        <w:spacing w:after="0" w:line="189" w:lineRule="exact"/>
        <w:rPr>
          <w:sz w:val="20"/>
          <w:szCs w:val="20"/>
          <w:color w:val="auto"/>
        </w:rPr>
      </w:pPr>
    </w:p>
    <w:p>
      <w:pPr>
        <w:jc w:val="both"/>
        <w:ind w:left="460" w:right="639"/>
        <w:spacing w:after="0" w:line="263" w:lineRule="auto"/>
        <w:rPr>
          <w:sz w:val="20"/>
          <w:szCs w:val="20"/>
          <w:color w:val="auto"/>
        </w:rPr>
      </w:pPr>
      <w:r>
        <w:rPr>
          <w:rFonts w:ascii="Arial" w:cs="Arial" w:eastAsia="Arial" w:hAnsi="Arial"/>
          <w:sz w:val="18"/>
          <w:szCs w:val="18"/>
          <w:color w:val="auto"/>
        </w:rPr>
        <w:t>of its Public Shares if the Company does not complete a Business Combination, unless the Company provides the Public Stockholders with the opportunity to redeem their shares of common stock in conjunction with any such amendment.</w:t>
      </w:r>
    </w:p>
    <w:p>
      <w:pPr>
        <w:spacing w:after="0" w:line="116"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If a Business Combination has not been consummated within 24 months from the closing of the Initial Public Offering, or September 8, 2022 (the “</w:t>
      </w:r>
      <w:r>
        <w:rPr>
          <w:rFonts w:ascii="Arial" w:cs="Arial" w:eastAsia="Arial" w:hAnsi="Arial"/>
          <w:sz w:val="16"/>
          <w:szCs w:val="16"/>
          <w:b w:val="1"/>
          <w:bCs w:val="1"/>
          <w:color w:val="auto"/>
        </w:rPr>
        <w:t>Combination Period</w:t>
      </w:r>
      <w:r>
        <w:rPr>
          <w:rFonts w:ascii="Arial" w:cs="Arial" w:eastAsia="Arial" w:hAnsi="Arial"/>
          <w:sz w:val="16"/>
          <w:szCs w:val="16"/>
          <w:color w:val="auto"/>
        </w:rPr>
        <w:t>”),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stockholders and the board of directors, dissolve and liquidate, subject (in the case of (ii) and (iii) above) to the Company’s obligations under Delaware law to provide for claims of creditors and the requirements of other applicable law.</w:t>
      </w:r>
    </w:p>
    <w:p>
      <w:pPr>
        <w:spacing w:after="0" w:line="85"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 Initial Stockholders have agreed to waive their liquidation rights with respect to the Founder Shares if the Company fails to complete a Business Combination within the Combination Period. However, if the Initial Stockholders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w:t>
      </w:r>
    </w:p>
    <w:p>
      <w:pPr>
        <w:spacing w:after="0" w:line="114"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6"/>
          <w:szCs w:val="16"/>
          <w:color w:val="auto"/>
        </w:rPr>
        <w:t>The Company will seek to have all third parties (other than the Company’s independent registered public accounting firm) and any prospective target businesses enter into valid and enforceable agreements with the Company waiving any right, title, interest or claim of any kind they may have in or to any monies held in the Trust Account. Nevertheless, there is no guarantee that vendors, service providers and prospective target businesses will execute such agreements. The Company’s insiders have agreed that they will be jointly and severally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$10.00 per Public Share, except as to any claims by a third party who executed a valid and enforceable agreement with the Company waiving any right, title, interest or claim of any kind they may have in or to any monies held in the Trust Account and except as to any claims under our indemnity of the underwriters of the Initial Public Offering against certain liabilities, including liabilities under the Securities Act. However, the Company’s insiders may not be able to satisfy their indemnification obligations. Moreover, the Company’s insiders will not be liable to the Public Stockholders and instead will only have liability to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58" w:lineRule="exact"/>
        <w:rPr>
          <w:sz w:val="20"/>
          <w:szCs w:val="20"/>
          <w:color w:val="auto"/>
        </w:rPr>
      </w:pPr>
    </w:p>
    <w:p>
      <w:pPr>
        <w:jc w:val="both"/>
        <w:ind w:left="460" w:right="1139" w:firstLine="432"/>
        <w:spacing w:after="0" w:line="263" w:lineRule="auto"/>
        <w:rPr>
          <w:sz w:val="20"/>
          <w:szCs w:val="20"/>
          <w:color w:val="auto"/>
        </w:rPr>
      </w:pPr>
      <w:r>
        <w:rPr>
          <w:rFonts w:ascii="Arial" w:cs="Arial" w:eastAsia="Arial" w:hAnsi="Arial"/>
          <w:sz w:val="18"/>
          <w:szCs w:val="18"/>
          <w:color w:val="auto"/>
        </w:rPr>
        <w:t>The accompanying financial statement is presented in U.S. dollars in conformity with accounting principles generally accepted in the United States of America (“</w:t>
      </w:r>
      <w:r>
        <w:rPr>
          <w:rFonts w:ascii="Arial" w:cs="Arial" w:eastAsia="Arial" w:hAnsi="Arial"/>
          <w:sz w:val="18"/>
          <w:szCs w:val="18"/>
          <w:b w:val="1"/>
          <w:bCs w:val="1"/>
          <w:color w:val="auto"/>
        </w:rPr>
        <w:t>GAAP</w:t>
      </w:r>
      <w:r>
        <w:rPr>
          <w:rFonts w:ascii="Arial" w:cs="Arial" w:eastAsia="Arial" w:hAnsi="Arial"/>
          <w:sz w:val="18"/>
          <w:szCs w:val="18"/>
          <w:color w:val="auto"/>
        </w:rPr>
        <w:t>”) and pursuant to the rules and regulations of the SEC.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Emerging Growth Company</w:t>
      </w:r>
    </w:p>
    <w:p>
      <w:pPr>
        <w:spacing w:after="0" w:line="144" w:lineRule="exact"/>
        <w:rPr>
          <w:sz w:val="20"/>
          <w:szCs w:val="20"/>
          <w:color w:val="auto"/>
        </w:rPr>
      </w:pPr>
    </w:p>
    <w:p>
      <w:pPr>
        <w:ind w:left="460" w:right="639" w:firstLine="432"/>
        <w:spacing w:after="0" w:line="272" w:lineRule="auto"/>
        <w:rPr>
          <w:sz w:val="20"/>
          <w:szCs w:val="20"/>
          <w:color w:val="auto"/>
        </w:rPr>
      </w:pPr>
      <w:r>
        <w:rPr>
          <w:rFonts w:ascii="Arial" w:cs="Arial" w:eastAsia="Arial" w:hAnsi="Arial"/>
          <w:sz w:val="17"/>
          <w:szCs w:val="17"/>
          <w:color w:val="auto"/>
        </w:rPr>
        <w:t>As an emerging growth company,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9" w:name="page310"/>
    <w:bookmarkEnd w:id="30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ORGANIZATION, BUSINESS OPERATIONS AND BASIS OF PRESENTATION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Liquidity and Capital Resources</w:t>
      </w:r>
    </w:p>
    <w:p>
      <w:pPr>
        <w:spacing w:after="0" w:line="158" w:lineRule="exact"/>
        <w:rPr>
          <w:sz w:val="20"/>
          <w:szCs w:val="20"/>
          <w:color w:val="auto"/>
        </w:rPr>
      </w:pPr>
    </w:p>
    <w:p>
      <w:pPr>
        <w:ind w:left="460" w:right="1399" w:firstLine="432"/>
        <w:spacing w:after="0" w:line="277" w:lineRule="auto"/>
        <w:rPr>
          <w:sz w:val="20"/>
          <w:szCs w:val="20"/>
          <w:color w:val="auto"/>
        </w:rPr>
      </w:pPr>
      <w:r>
        <w:rPr>
          <w:rFonts w:ascii="Arial" w:cs="Arial" w:eastAsia="Arial" w:hAnsi="Arial"/>
          <w:sz w:val="18"/>
          <w:szCs w:val="18"/>
          <w:color w:val="auto"/>
        </w:rPr>
        <w:t>As of December 31, 2020, the Company had $1.3 million of cash in its operating account and approximately $1.4 million of working capital.</w:t>
      </w:r>
    </w:p>
    <w:p>
      <w:pPr>
        <w:spacing w:after="0" w:line="89"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Through December 31, 2020, the Company’s liquidity needs were satisfied through a payment of $25,000 from the Company’s Sponsor in exchange for the issuance of the Founder Shares (as defined below), the loan under the Note of approximately $127,000 (see Note 5) to the Company to cover for offering costs in connection with the Initial Public Offering, and net proceeds from the consummation of the Private Placement not held in the Trust Account. The Company fully repaid the Note on September 10, 2020. In addition, in order to finance transaction costs in connection with a Business Combination, the Company’s officers, directors and initial stockholders may, but are not obligated to, provide the Company Working Capital Loans (see Note 5). As of December 31, 2020, there were no amounts outstanding under any Working Capital Loans.</w:t>
      </w:r>
    </w:p>
    <w:p>
      <w:pPr>
        <w:spacing w:after="0" w:line="98"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58"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w:t>
      </w:r>
    </w:p>
    <w:p>
      <w:pPr>
        <w:spacing w:after="0" w:line="106"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Actual results could differ from those estimates.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158" w:lineRule="exact"/>
        <w:rPr>
          <w:sz w:val="20"/>
          <w:szCs w:val="20"/>
          <w:color w:val="auto"/>
        </w:rPr>
      </w:pPr>
    </w:p>
    <w:p>
      <w:pPr>
        <w:ind w:left="460" w:right="499" w:firstLine="432"/>
        <w:spacing w:after="0" w:line="308" w:lineRule="auto"/>
        <w:rPr>
          <w:sz w:val="20"/>
          <w:szCs w:val="20"/>
          <w:color w:val="auto"/>
        </w:rPr>
      </w:pPr>
      <w:r>
        <w:rPr>
          <w:rFonts w:ascii="Arial" w:cs="Arial" w:eastAsia="Arial" w:hAnsi="Arial"/>
          <w:sz w:val="17"/>
          <w:szCs w:val="17"/>
          <w:color w:val="auto"/>
        </w:rPr>
        <w:t>The Company considers all short-term investments with an original maturity of three months or less when purchased to be cash equivalents. There were no cash equivalents at December 31, 2020.</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0" w:name="page311"/>
    <w:bookmarkEnd w:id="31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144" w:lineRule="exact"/>
        <w:rPr>
          <w:sz w:val="20"/>
          <w:szCs w:val="20"/>
          <w:color w:val="auto"/>
        </w:rPr>
      </w:pPr>
    </w:p>
    <w:p>
      <w:pPr>
        <w:ind w:left="460" w:right="599" w:firstLine="432"/>
        <w:spacing w:after="0" w:line="272"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of cash accounts in a financial institution which, at times, may exceed the Federal depository insurance coverage of $250,000, and investments held in Trust Account. The Company has not experienced losses on these accounts and management believes the Company is not exposed to significant risks on such accounts. The Company’s investments held in the Trust Account is comprised of investments in U.S. Treasury securities with an original maturity of 185 days or less or investments in a money market funds that comprise only U.S. Treasury securities, or a combination thereof.</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Investments Held in the Trust Account</w:t>
      </w:r>
    </w:p>
    <w:p>
      <w:pPr>
        <w:spacing w:after="0" w:line="158"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The Company’s portfolio of investments held in the Trust Account is comprised of U.S. government securities, within the meaning set forth in Section 2(a)(16) of the Investment Company Act, with a maturity of 185 days or less, or investments in money market funds that invest in U.S. government securities, or a combination thereof. The Company’s investments held in the Trust Account are classified as trading securities. Trading securities are presented on the balance sheet at fair value at the end of each reporting period. Gains and losses resulting from the change in fair value of these securities are included in interest earned on investments held in Trust Account on the accompanying statement of operations. The estimated fair values of investments held in the Trust Account are determined using available market information.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158"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80" w:lineRule="exact"/>
        <w:rPr>
          <w:sz w:val="20"/>
          <w:szCs w:val="20"/>
          <w:color w:val="auto"/>
        </w:rPr>
      </w:pPr>
    </w:p>
    <w:p>
      <w:pPr>
        <w:ind w:left="1320" w:right="519" w:hanging="434"/>
        <w:spacing w:after="0" w:line="277" w:lineRule="auto"/>
        <w:tabs>
          <w:tab w:leader="none" w:pos="1311" w:val="left"/>
        </w:tabs>
        <w:numPr>
          <w:ilvl w:val="0"/>
          <w:numId w:val="294"/>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02" w:lineRule="exact"/>
        <w:rPr>
          <w:rFonts w:ascii="Arial" w:cs="Arial" w:eastAsia="Arial" w:hAnsi="Arial"/>
          <w:sz w:val="18"/>
          <w:szCs w:val="18"/>
          <w:color w:val="auto"/>
        </w:rPr>
      </w:pPr>
    </w:p>
    <w:p>
      <w:pPr>
        <w:jc w:val="both"/>
        <w:ind w:left="1320" w:right="919" w:hanging="434"/>
        <w:spacing w:after="0" w:line="311" w:lineRule="auto"/>
        <w:tabs>
          <w:tab w:leader="none" w:pos="1311" w:val="left"/>
        </w:tabs>
        <w:numPr>
          <w:ilvl w:val="0"/>
          <w:numId w:val="294"/>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81" w:lineRule="exact"/>
        <w:rPr>
          <w:rFonts w:ascii="Arial" w:cs="Arial" w:eastAsia="Arial" w:hAnsi="Arial"/>
          <w:sz w:val="16"/>
          <w:szCs w:val="16"/>
          <w:color w:val="auto"/>
        </w:rPr>
      </w:pPr>
    </w:p>
    <w:p>
      <w:pPr>
        <w:ind w:left="1320" w:right="599" w:hanging="434"/>
        <w:spacing w:after="0" w:line="311" w:lineRule="auto"/>
        <w:tabs>
          <w:tab w:leader="none" w:pos="1311" w:val="left"/>
        </w:tabs>
        <w:numPr>
          <w:ilvl w:val="0"/>
          <w:numId w:val="294"/>
        </w:numPr>
        <w:rPr>
          <w:rFonts w:ascii="Arial" w:cs="Arial" w:eastAsia="Arial" w:hAnsi="Arial"/>
          <w:sz w:val="16"/>
          <w:szCs w:val="16"/>
          <w:color w:val="auto"/>
        </w:rPr>
      </w:pPr>
      <w:r>
        <w:rPr>
          <w:rFonts w:ascii="Arial" w:cs="Arial" w:eastAsia="Arial" w:hAnsi="Arial"/>
          <w:sz w:val="16"/>
          <w:szCs w:val="16"/>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68" w:lineRule="exact"/>
        <w:rPr>
          <w:sz w:val="20"/>
          <w:szCs w:val="20"/>
          <w:color w:val="auto"/>
        </w:rPr>
      </w:pPr>
    </w:p>
    <w:p>
      <w:pPr>
        <w:jc w:val="both"/>
        <w:ind w:left="460" w:right="519" w:firstLine="432"/>
        <w:spacing w:after="0" w:line="311" w:lineRule="auto"/>
        <w:rPr>
          <w:sz w:val="20"/>
          <w:szCs w:val="20"/>
          <w:color w:val="auto"/>
        </w:rPr>
      </w:pPr>
      <w:r>
        <w:rPr>
          <w:rFonts w:ascii="Arial" w:cs="Arial" w:eastAsia="Arial" w:hAnsi="Arial"/>
          <w:sz w:val="16"/>
          <w:szCs w:val="16"/>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81"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As of December 31, 2020, the carrying values of cash, prepaid expenses, accounts payable, accrued expenses, accrued income taxes and franchise tax payable approximate their fair values due to the short-term nature of the instruments. The Company’s investments held in Trust Account are comprised of investments in U.S. Treasury securities with an original maturity of 185 days or less or investments in money market funds that comprise only U.S. treasury securities and are recognized at fair value. The fair value of investments held in Trust Account is determined using quoted prices in active markets.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1" w:name="page312"/>
    <w:bookmarkEnd w:id="31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Offering Costs associated with the Initial Public Offering</w:t>
      </w:r>
    </w:p>
    <w:p>
      <w:pPr>
        <w:spacing w:after="0" w:line="144"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Offering costs consisted of legal, accounting and other costs incurred that were directly related to the Initial Public Offering and that were charged to stockholders’ equity upon the completion of the Initial Public Offering.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Common Stock Subject to Possible Redemption</w:t>
      </w:r>
    </w:p>
    <w:p>
      <w:pPr>
        <w:spacing w:after="0" w:line="158" w:lineRule="exact"/>
        <w:rPr>
          <w:sz w:val="20"/>
          <w:szCs w:val="20"/>
          <w:color w:val="auto"/>
        </w:rPr>
      </w:pPr>
    </w:p>
    <w:p>
      <w:pPr>
        <w:ind w:left="460" w:right="459" w:firstLine="432"/>
        <w:spacing w:after="0" w:line="288"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ASC Topic 480 “Distinguishing Liabilities from Equity.” Shares of common stock subject to mandatory redemption (if any) are classified as liability instruments and are measured at fair value. Shares of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shares of common stock are classified as stockholders’ equity. The Company’s common stock features certain redemption rights that are considered to be outside of the Company’s control and subject to the occurrence of uncertain future events. Accordingly, at December 31, 2020, 15,736,221 shares of common stock subject to possible redemption are presented as temporary equity, outside of the stockholders’ equity section of the Company’s balance sheet.</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58"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 Company complies with the accounting and reporting requirements of Financial Accounting Standards Board Accounting Standard Codification, or FASB ASC,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85"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Net Loss Per Common Share</w:t>
      </w:r>
    </w:p>
    <w:p>
      <w:pPr>
        <w:spacing w:after="0" w:line="158"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Net loss per share of common stock is computed by dividing net loss applicable to stockholders by the weighted average number of shares of common stock outstanding during the periods. Weighted average shares were reduced for the effect of an aggregate of 543,750 shares of common stock that were subject to forfeiture if the over-allotment option was not exercised by the underwriters. The underwriters exercised their over-allotment option in full on September 8, 2020; thus, these Founder Shares were no longer subject to forfeiture (see Note 6). At December 31,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periods presented.</w:t>
      </w:r>
    </w:p>
    <w:p>
      <w:pPr>
        <w:spacing w:after="0" w:line="98"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The Company’s statement of operations includes a presentation of loss per share for common stock subject to redemption in a manner similar to the two-class method of income per share. Net loss per share, basic and diluted for Public Shares is calculated by dividing the investment income earned on the Trust Account, net of applicable income and franchise taxes of approximately $26,000 for the period from May 21, 2020 (inception) through December 31, 2020, by the weighted average number of shares of Public Shares outstanding for the period. Net loss per share, basic and diluted for Founder Shares is calculated by dividing the net loss of approximately $123,000, less income attributable to Public Shares, by the weighted average number of shares of Founder Shares outstanding for the periods.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2" w:name="page313"/>
    <w:bookmarkEnd w:id="31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144" w:lineRule="exact"/>
        <w:rPr>
          <w:sz w:val="20"/>
          <w:szCs w:val="20"/>
          <w:color w:val="auto"/>
        </w:rPr>
      </w:pPr>
    </w:p>
    <w:p>
      <w:pPr>
        <w:ind w:left="460" w:right="559" w:firstLine="432"/>
        <w:spacing w:after="0" w:line="342" w:lineRule="auto"/>
        <w:rPr>
          <w:sz w:val="20"/>
          <w:szCs w:val="20"/>
          <w:color w:val="auto"/>
        </w:rPr>
      </w:pPr>
      <w:r>
        <w:rPr>
          <w:rFonts w:ascii="Arial" w:cs="Arial" w:eastAsia="Arial" w:hAnsi="Arial"/>
          <w:sz w:val="16"/>
          <w:szCs w:val="16"/>
          <w:color w:val="auto"/>
        </w:rPr>
        <w:t>Management does not believe that any recently issued, but not yet effective, accounting pronouncements, if currently adopted, would have a material effect on the Company’s financial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INITIAL PUBLIC OFFERING</w:t>
      </w:r>
    </w:p>
    <w:p>
      <w:pPr>
        <w:spacing w:after="0" w:line="162" w:lineRule="exact"/>
        <w:rPr>
          <w:sz w:val="20"/>
          <w:szCs w:val="20"/>
          <w:color w:val="auto"/>
        </w:rPr>
      </w:pPr>
    </w:p>
    <w:p>
      <w:pPr>
        <w:ind w:left="460" w:right="719" w:firstLine="432"/>
        <w:spacing w:after="0" w:line="257" w:lineRule="auto"/>
        <w:rPr>
          <w:sz w:val="20"/>
          <w:szCs w:val="20"/>
          <w:color w:val="auto"/>
        </w:rPr>
      </w:pPr>
      <w:r>
        <w:rPr>
          <w:rFonts w:ascii="Arial" w:cs="Arial" w:eastAsia="Arial" w:hAnsi="Arial"/>
          <w:sz w:val="18"/>
          <w:szCs w:val="18"/>
          <w:color w:val="auto"/>
        </w:rPr>
        <w:t>On September 8, 2020, the Company consummated its Initial Public Offering of 16,675,000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PRIVATE PLACEMENT</w:t>
      </w:r>
    </w:p>
    <w:p>
      <w:pPr>
        <w:spacing w:after="0" w:line="162" w:lineRule="exact"/>
        <w:rPr>
          <w:sz w:val="20"/>
          <w:szCs w:val="20"/>
          <w:color w:val="auto"/>
        </w:rPr>
      </w:pPr>
    </w:p>
    <w:p>
      <w:pPr>
        <w:ind w:left="460" w:right="799" w:firstLine="432"/>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of 533,500 Private Placement Shares, at a price of $10.00 per Private Placement Share to the Sponsor, generating gross proceeds of approximately $5.3 million.</w:t>
      </w:r>
    </w:p>
    <w:p>
      <w:pPr>
        <w:spacing w:after="0" w:line="103"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A portion of the proceeds from the Private Placement Shares was added to the proceeds from the Initial Public Offering to be held in the Trust Account.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RELATED PARTY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Founder Shares</w:t>
      </w:r>
    </w:p>
    <w:p>
      <w:pPr>
        <w:spacing w:after="0" w:line="154"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On June 4, 2020, the Company issued 3,593,750 shares of common stock to the Sponsor (the “</w:t>
      </w:r>
      <w:r>
        <w:rPr>
          <w:rFonts w:ascii="Arial" w:cs="Arial" w:eastAsia="Arial" w:hAnsi="Arial"/>
          <w:sz w:val="17"/>
          <w:szCs w:val="17"/>
          <w:b w:val="1"/>
          <w:bCs w:val="1"/>
          <w:color w:val="auto"/>
        </w:rPr>
        <w:t>Founder</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 for an aggregate purchase price of $25,000. On September 2, 2020, the Company declared a dividend</w:t>
      </w:r>
      <w:r>
        <w:rPr>
          <w:rFonts w:ascii="Arial" w:cs="Arial" w:eastAsia="Arial" w:hAnsi="Arial"/>
          <w:sz w:val="17"/>
          <w:szCs w:val="17"/>
          <w:b w:val="1"/>
          <w:bCs w:val="1"/>
          <w:color w:val="auto"/>
        </w:rPr>
        <w:t xml:space="preserve"> </w:t>
      </w:r>
      <w:r>
        <w:rPr>
          <w:rFonts w:ascii="Arial" w:cs="Arial" w:eastAsia="Arial" w:hAnsi="Arial"/>
          <w:sz w:val="17"/>
          <w:szCs w:val="17"/>
          <w:color w:val="auto"/>
        </w:rPr>
        <w:t>of 0.16 shares for each outstanding share of common stock (an aggregate of 575,000 shares), resulting in an aggregate of 4,168,750 shares outstanding. All shares and associated amounts have been retroactively restated to reflect the share dividend. The Sponsor agreed to forfeit up to an aggregate of 543,750 Founder Shares, so that the Founder Shares would represent 20% of the Company’s issued and outstanding shares after the Initial Public Offering, to the extent the underwriters’ over-allotment option was not exercised in full or in part. The underwriters fully exercised the over-allotment option on September 8, 2020; thus, these Founder Shares were no longer subject to forfeiture.</w:t>
      </w:r>
    </w:p>
    <w:p>
      <w:pPr>
        <w:spacing w:after="0" w:line="110"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The Initial Stockholders agreed not to transfer, assign or sell any of their Founder Shares (except to certain permitted transferees) until the earlier of (i) one year after the date of the consummation of the Initial Business Combination or (ii) the date on which the closing price of the Company’s common stock equals or exceeds $12.00 per share (as adjusted for stock splits, stock dividends, reorganizations and recapitalizations) for any 20 trading days within any 30-trading day period commencing at least 150 days after the Initial Business Combination, or earlier if, subsequent to the Initial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Private Placement Shares</w:t>
      </w:r>
    </w:p>
    <w:p>
      <w:pPr>
        <w:spacing w:after="0" w:line="144" w:lineRule="exact"/>
        <w:rPr>
          <w:sz w:val="20"/>
          <w:szCs w:val="20"/>
          <w:color w:val="auto"/>
        </w:rPr>
      </w:pPr>
    </w:p>
    <w:p>
      <w:pPr>
        <w:ind w:left="460" w:right="659" w:firstLine="432"/>
        <w:spacing w:after="0" w:line="279" w:lineRule="auto"/>
        <w:rPr>
          <w:sz w:val="20"/>
          <w:szCs w:val="20"/>
          <w:color w:val="auto"/>
        </w:rPr>
      </w:pPr>
      <w:r>
        <w:rPr>
          <w:rFonts w:ascii="Arial" w:cs="Arial" w:eastAsia="Arial" w:hAnsi="Arial"/>
          <w:sz w:val="17"/>
          <w:szCs w:val="17"/>
          <w:color w:val="auto"/>
        </w:rPr>
        <w:t>Concurrently with the closing of the Initial Public Offering, the Sponsor purchased 533,500 Private Placement Shares, at a price of $10.00 per share, in a private placement for an aggregate purchase price of approximately $5.3 million. The Private Placement Shares are identical to the shares of common stock sold in the Initial Public Offering, subject to certain limited exceptions as described in Note 1.</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3" w:name="page314"/>
    <w:bookmarkEnd w:id="31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5. RELATED PARTY TRANSACTIONS </w:t>
      </w:r>
      <w:r>
        <w:rPr>
          <w:rFonts w:ascii="Arial" w:cs="Arial" w:eastAsia="Arial" w:hAnsi="Arial"/>
          <w:sz w:val="18"/>
          <w:szCs w:val="18"/>
          <w:color w:val="auto"/>
        </w:rPr>
        <w:t>(cont.)</w:t>
      </w:r>
    </w:p>
    <w:p>
      <w:pPr>
        <w:spacing w:after="0" w:line="189"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The Sponsor and the Company’s officers and directors have agreed, subject to limited exceptions, not to transfer, assign or sell any of their Private Placement Shares until 30 days after the completion of the Initial Business Combination.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Related Party Loans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On May 21, 2020 and June 10, 2020, the Sponsor agreed to loan the Company up to $25,025 and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$274,975, respectively, for an aggregate amount of $300,000 to be used for the payment of costs related to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Initial Public Offering pursuant to a promissory note (each, a “</w:t>
      </w:r>
      <w:r>
        <w:rPr>
          <w:rFonts w:ascii="Arial" w:cs="Arial" w:eastAsia="Arial" w:hAnsi="Arial"/>
          <w:sz w:val="16"/>
          <w:szCs w:val="16"/>
          <w:b w:val="1"/>
          <w:bCs w:val="1"/>
          <w:color w:val="auto"/>
        </w:rPr>
        <w:t>Note</w:t>
      </w:r>
      <w:r>
        <w:rPr>
          <w:rFonts w:ascii="Arial" w:cs="Arial" w:eastAsia="Arial" w:hAnsi="Arial"/>
          <w:sz w:val="16"/>
          <w:szCs w:val="16"/>
          <w:color w:val="auto"/>
        </w:rPr>
        <w:t>” and, collectively, the “</w:t>
      </w:r>
      <w:r>
        <w:rPr>
          <w:rFonts w:ascii="Arial" w:cs="Arial" w:eastAsia="Arial" w:hAnsi="Arial"/>
          <w:sz w:val="16"/>
          <w:szCs w:val="16"/>
          <w:b w:val="1"/>
          <w:bCs w:val="1"/>
          <w:color w:val="auto"/>
        </w:rPr>
        <w:t>Notes</w:t>
      </w:r>
      <w:r>
        <w:rPr>
          <w:rFonts w:ascii="Arial" w:cs="Arial" w:eastAsia="Arial" w:hAnsi="Arial"/>
          <w:sz w:val="16"/>
          <w:szCs w:val="16"/>
          <w:color w:val="auto"/>
        </w:rPr>
        <w:t>”). The Notes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were non-interest bearing, unsecured and due upon the date the Company consummated the Initial Public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Offering. The Company borrowed approximately $127,000 under the Notes. The Company repaid the Notes in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full on September 10, 2020.</w:t>
      </w:r>
    </w:p>
    <w:p>
      <w:pPr>
        <w:spacing w:after="0" w:line="130"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In addition, in order to finance transaction costs in connection with a Business Combination, the Initial Stockholders may, but are not obligated to, loan the Company funds, from time to time or at any time, in whatever amount they deem reasonable in their sole discretion (the “</w:t>
      </w:r>
      <w:r>
        <w:rPr>
          <w:rFonts w:ascii="Arial" w:cs="Arial" w:eastAsia="Arial" w:hAnsi="Arial"/>
          <w:sz w:val="17"/>
          <w:szCs w:val="17"/>
          <w:b w:val="1"/>
          <w:bCs w:val="1"/>
          <w:color w:val="auto"/>
        </w:rPr>
        <w:t>Working Capital Loans</w:t>
      </w:r>
      <w:r>
        <w:rPr>
          <w:rFonts w:ascii="Arial" w:cs="Arial" w:eastAsia="Arial" w:hAnsi="Arial"/>
          <w:sz w:val="17"/>
          <w:szCs w:val="17"/>
          <w:color w:val="auto"/>
        </w:rPr>
        <w:t>”). Each loan would be evidenced by a promissory note. The notes would either be paid upon consummation of the Initial Business Combination, without interest, or, at the lender’s discretion, up to $1,500,000 of the notes may be converted upon consummation of the Business Combination into additional private placement shares at a conversion price of $10.00 per share. If the Company does not complete a Business Combination, the loans would not be repaid. Such private placement shares would be identical to the Private Placement Shares. To date, the Company had no borrowings under the Working Capital Loans.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Administrative Support Agreement</w:t>
      </w:r>
    </w:p>
    <w:p>
      <w:pPr>
        <w:spacing w:after="0" w:line="158" w:lineRule="exact"/>
        <w:rPr>
          <w:sz w:val="20"/>
          <w:szCs w:val="20"/>
          <w:color w:val="auto"/>
        </w:rPr>
      </w:pPr>
    </w:p>
    <w:p>
      <w:pPr>
        <w:ind w:left="460" w:right="659" w:firstLine="432"/>
        <w:spacing w:after="0" w:line="255" w:lineRule="auto"/>
        <w:rPr>
          <w:sz w:val="20"/>
          <w:szCs w:val="20"/>
          <w:color w:val="auto"/>
        </w:rPr>
      </w:pPr>
      <w:r>
        <w:rPr>
          <w:rFonts w:ascii="Arial" w:cs="Arial" w:eastAsia="Arial" w:hAnsi="Arial"/>
          <w:sz w:val="18"/>
          <w:szCs w:val="18"/>
          <w:color w:val="auto"/>
        </w:rPr>
        <w:t>Commencing on the date of the Company’s prospectus, the Company agreed to pay an affiliate of the Sponsor a total of $10,000 per month for office space and certain office and secretarial services. Upon completion of the Initial Business Combination or the Company’s liquidation, the Company will cease paying these monthly fees. For the period from May 21, 2020 (inception) through December 31, 2020, the Company incurred $40,000 related to these services. As of December 31, 2020, no amounts were payable related to this agreement.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Share Purchase Commitment</w:t>
      </w:r>
    </w:p>
    <w:p>
      <w:pPr>
        <w:spacing w:after="0" w:line="158"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Company’s Sponsor entered into an agreement to purchase an aggregate of at least 2,500,000 shares of common stock for an aggregate purchase price of $25.0 million, or $10.00 per share, prior to, concurrently with, or following the closing of the Initial Business Combination in a private placement. The funds from such private placement may be used as part of the consideration to the sellers in the Initial Business Combination, and any excess funds from such private placement may be used for working capital in the post-transaction company.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Registration Rights</w:t>
      </w:r>
    </w:p>
    <w:p>
      <w:pPr>
        <w:spacing w:after="0" w:line="144" w:lineRule="exact"/>
        <w:rPr>
          <w:sz w:val="20"/>
          <w:szCs w:val="20"/>
          <w:color w:val="auto"/>
        </w:rPr>
      </w:pPr>
    </w:p>
    <w:p>
      <w:pPr>
        <w:ind w:left="460" w:right="579" w:firstLine="432"/>
        <w:spacing w:after="0" w:line="290" w:lineRule="auto"/>
        <w:rPr>
          <w:sz w:val="20"/>
          <w:szCs w:val="20"/>
          <w:color w:val="auto"/>
        </w:rPr>
      </w:pPr>
      <w:r>
        <w:rPr>
          <w:rFonts w:ascii="Arial" w:cs="Arial" w:eastAsia="Arial" w:hAnsi="Arial"/>
          <w:sz w:val="16"/>
          <w:szCs w:val="16"/>
          <w:color w:val="auto"/>
        </w:rPr>
        <w:t>The holders of the Founder Shares, Private Placement Shares and shares that may be issued upon conversion of Working Capital Loans are entitled to registration rights pursuant to a registration rights agreement.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4" w:name="page315"/>
    <w:bookmarkEnd w:id="31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COMMITMENTS AND CONTINGENCIES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Underwriting Agreement</w:t>
      </w:r>
    </w:p>
    <w:p>
      <w:pPr>
        <w:spacing w:after="0" w:line="144"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The Company granted the underwriters a 45-day option from the date of the prospectus to purchase up to 2,175,000 additional shares at the Initial Public Offering price less the underwriting discounts and commissions. On September 8, 2020, the underwriters fully exercised the over-allotment option.</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underwriters were entitled to an underwriting discount of $0.20 per share, or approximately</w:t>
      </w:r>
    </w:p>
    <w:p>
      <w:pPr>
        <w:spacing w:after="0" w:line="23" w:lineRule="exact"/>
        <w:rPr>
          <w:sz w:val="20"/>
          <w:szCs w:val="20"/>
          <w:color w:val="auto"/>
        </w:rPr>
      </w:pPr>
    </w:p>
    <w:p>
      <w:pPr>
        <w:ind w:left="460" w:right="599"/>
        <w:spacing w:after="0" w:line="253" w:lineRule="auto"/>
        <w:rPr>
          <w:sz w:val="20"/>
          <w:szCs w:val="20"/>
          <w:color w:val="auto"/>
        </w:rPr>
      </w:pPr>
      <w:r>
        <w:rPr>
          <w:rFonts w:ascii="Arial" w:cs="Arial" w:eastAsia="Arial" w:hAnsi="Arial"/>
          <w:sz w:val="18"/>
          <w:szCs w:val="18"/>
          <w:color w:val="auto"/>
        </w:rPr>
        <w:t>$3.3 million in the aggregate, paid upon the closing of the Initial Public Offering. In addition, the underwriters will be entitled to a deferred underwriting commission of $0.35 per share, or approximately $5.8 million in the aggregate. The deferred fee will become payable to the underwriters from the amounts held in the Trust Account solely in the event that the Company completes a Business Combination, subject to the terms of the underwriting agreement.</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Risks and Uncertainties</w:t>
      </w:r>
    </w:p>
    <w:p>
      <w:pPr>
        <w:spacing w:after="0" w:line="158"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Management continues to evaluate the impact of the COVID-19 pandemic and has concluded that the specific impact is not readily determinable as of the date of the balance sheet. The financial statement does not include any adjustments that might result from the outcome of this uncertainty.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STOCKHOLDERS’ EQUITY</w:t>
      </w:r>
    </w:p>
    <w:p>
      <w:pPr>
        <w:spacing w:after="0" w:line="148" w:lineRule="exact"/>
        <w:rPr>
          <w:sz w:val="20"/>
          <w:szCs w:val="20"/>
          <w:color w:val="auto"/>
        </w:rPr>
      </w:pPr>
    </w:p>
    <w:p>
      <w:pPr>
        <w:ind w:left="460" w:right="799" w:firstLine="432"/>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of $0.0001 per share. As of December 31, 2020, there are no shares of preferred stock issued or outstanding.</w:t>
      </w:r>
    </w:p>
    <w:p>
      <w:pPr>
        <w:spacing w:after="0" w:line="116"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30,000,000 shares of common stock, par value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$0.0001 per share. On September 2, 2020, the Company declared a dividend of 0.16 shares for each outstanding share of common stock (an aggregate of 575,000 shares). All shares and associated amounts have been retroactively restated to reflect the share dividend. As of December 31, 2020, there were 21,377,250 shares of common stock outstanding, including 15,736,221 shares of common stock subject to possible redemption that were classified outside of permanent equity in the accompanying balance sheet.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FAIR VALUE MEASUREMENTS</w:t>
      </w:r>
    </w:p>
    <w:p>
      <w:pPr>
        <w:spacing w:after="0" w:line="162" w:lineRule="exact"/>
        <w:rPr>
          <w:sz w:val="20"/>
          <w:szCs w:val="20"/>
          <w:color w:val="auto"/>
        </w:rPr>
      </w:pPr>
    </w:p>
    <w:p>
      <w:pPr>
        <w:ind w:left="460" w:right="679" w:firstLine="432"/>
        <w:spacing w:after="0" w:line="308" w:lineRule="auto"/>
        <w:rPr>
          <w:sz w:val="20"/>
          <w:szCs w:val="20"/>
          <w:color w:val="auto"/>
        </w:rPr>
      </w:pPr>
      <w:r>
        <w:rPr>
          <w:rFonts w:ascii="Arial" w:cs="Arial" w:eastAsia="Arial" w:hAnsi="Arial"/>
          <w:sz w:val="17"/>
          <w:szCs w:val="17"/>
          <w:color w:val="auto"/>
        </w:rPr>
        <w:t>The following table presents information about the Company’s financial assets that are measured at fair value on a recurring basis as of December 31, 2020 by level within the fair value hierarchy:</w:t>
      </w:r>
    </w:p>
    <w:p>
      <w:pPr>
        <w:spacing w:after="0" w:line="10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Quoted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2"/>
              </w:rPr>
              <w:t>Significant</w:t>
            </w:r>
          </w:p>
        </w:tc>
        <w:tc>
          <w:tcPr>
            <w:tcW w:w="116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Significant</w:t>
            </w: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Prices in</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8"/>
              </w:rPr>
              <w:t>Other</w:t>
            </w:r>
          </w:p>
        </w:tc>
        <w:tc>
          <w:tcPr>
            <w:tcW w:w="1160" w:type="dxa"/>
            <w:vAlign w:val="bottom"/>
          </w:tcPr>
          <w:p>
            <w:pPr>
              <w:jc w:val="center"/>
              <w:ind w:right="76"/>
              <w:spacing w:after="0"/>
              <w:rPr>
                <w:sz w:val="20"/>
                <w:szCs w:val="20"/>
                <w:color w:val="auto"/>
              </w:rPr>
            </w:pPr>
            <w:r>
              <w:rPr>
                <w:rFonts w:ascii="Arial" w:cs="Arial" w:eastAsia="Arial" w:hAnsi="Arial"/>
                <w:sz w:val="16"/>
                <w:szCs w:val="16"/>
                <w:b w:val="1"/>
                <w:bCs w:val="1"/>
                <w:color w:val="auto"/>
                <w:w w:val="93"/>
              </w:rPr>
              <w:t>Other</w:t>
            </w: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Active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1"/>
              </w:rPr>
              <w:t>Observable</w:t>
            </w:r>
          </w:p>
        </w:tc>
        <w:tc>
          <w:tcPr>
            <w:tcW w:w="1160" w:type="dxa"/>
            <w:vAlign w:val="bottom"/>
          </w:tcPr>
          <w:p>
            <w:pPr>
              <w:jc w:val="center"/>
              <w:ind w:right="76"/>
              <w:spacing w:after="0"/>
              <w:rPr>
                <w:sz w:val="20"/>
                <w:szCs w:val="20"/>
                <w:color w:val="auto"/>
              </w:rPr>
            </w:pPr>
            <w:r>
              <w:rPr>
                <w:rFonts w:ascii="Arial" w:cs="Arial" w:eastAsia="Arial" w:hAnsi="Arial"/>
                <w:sz w:val="16"/>
                <w:szCs w:val="16"/>
                <w:b w:val="1"/>
                <w:bCs w:val="1"/>
                <w:color w:val="auto"/>
                <w:w w:val="90"/>
              </w:rPr>
              <w:t>Unobservable</w:t>
            </w: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Markets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1"/>
              </w:rPr>
              <w:t>Inputs</w:t>
            </w:r>
          </w:p>
        </w:tc>
        <w:tc>
          <w:tcPr>
            <w:tcW w:w="1160" w:type="dxa"/>
            <w:vAlign w:val="bottom"/>
          </w:tcPr>
          <w:p>
            <w:pPr>
              <w:jc w:val="center"/>
              <w:ind w:right="36"/>
              <w:spacing w:after="0"/>
              <w:rPr>
                <w:sz w:val="20"/>
                <w:szCs w:val="20"/>
                <w:color w:val="auto"/>
              </w:rPr>
            </w:pPr>
            <w:r>
              <w:rPr>
                <w:rFonts w:ascii="Arial" w:cs="Arial" w:eastAsia="Arial" w:hAnsi="Arial"/>
                <w:sz w:val="16"/>
                <w:szCs w:val="16"/>
                <w:b w:val="1"/>
                <w:bCs w:val="1"/>
                <w:color w:val="auto"/>
                <w:w w:val="91"/>
              </w:rPr>
              <w:t>Inputs</w:t>
            </w:r>
          </w:p>
        </w:tc>
      </w:tr>
      <w:tr>
        <w:trPr>
          <w:trHeight w:val="210"/>
        </w:trPr>
        <w:tc>
          <w:tcPr>
            <w:tcW w:w="436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c>
          <w:tcPr>
            <w:tcW w:w="1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(Level 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2"/>
              </w:rPr>
              <w:t>(Level 2)</w:t>
            </w:r>
          </w:p>
        </w:tc>
        <w:tc>
          <w:tcPr>
            <w:tcW w:w="1160" w:type="dxa"/>
            <w:vAlign w:val="bottom"/>
          </w:tcPr>
          <w:p>
            <w:pPr>
              <w:jc w:val="center"/>
              <w:ind w:right="36"/>
              <w:spacing w:after="0"/>
              <w:rPr>
                <w:sz w:val="20"/>
                <w:szCs w:val="20"/>
                <w:color w:val="auto"/>
              </w:rPr>
            </w:pPr>
            <w:r>
              <w:rPr>
                <w:rFonts w:ascii="Arial" w:cs="Arial" w:eastAsia="Arial" w:hAnsi="Arial"/>
                <w:sz w:val="16"/>
                <w:szCs w:val="16"/>
                <w:b w:val="1"/>
                <w:bCs w:val="1"/>
                <w:color w:val="auto"/>
                <w:w w:val="92"/>
              </w:rPr>
              <w:t>(Level 3)</w:t>
            </w:r>
          </w:p>
        </w:tc>
      </w:tr>
      <w:tr>
        <w:trPr>
          <w:trHeight w:val="47"/>
        </w:trPr>
        <w:tc>
          <w:tcPr>
            <w:tcW w:w="4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 held in Trust: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U.S. Treasury Securities maturing March 4, 2021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166,811,648</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ind w:left="840"/>
              <w:spacing w:after="0"/>
              <w:rPr>
                <w:sz w:val="20"/>
                <w:szCs w:val="20"/>
                <w:color w:val="auto"/>
              </w:rPr>
            </w:pPr>
            <w:r>
              <w:rPr>
                <w:rFonts w:ascii="Arial" w:cs="Arial" w:eastAsia="Arial" w:hAnsi="Arial"/>
                <w:sz w:val="18"/>
                <w:szCs w:val="18"/>
                <w:color w:val="auto"/>
              </w:rPr>
              <w:t>— $</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4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Money Market Fund</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3,587</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r>
      <w:tr>
        <w:trPr>
          <w:trHeight w:val="20"/>
        </w:trPr>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r>
        <w:trPr>
          <w:trHeight w:val="244"/>
        </w:trPr>
        <w:tc>
          <w:tcPr>
            <w:tcW w:w="4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3"/>
              </w:rPr>
              <w:t>166,815,235</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3"/>
          </w:tcPr>
          <w:p>
            <w:pPr>
              <w:ind w:left="840"/>
              <w:spacing w:after="0"/>
              <w:rPr>
                <w:sz w:val="20"/>
                <w:szCs w:val="20"/>
                <w:color w:val="auto"/>
              </w:rPr>
            </w:pPr>
            <w:r>
              <w:rPr>
                <w:rFonts w:ascii="Arial" w:cs="Arial" w:eastAsia="Arial" w:hAnsi="Arial"/>
                <w:sz w:val="18"/>
                <w:szCs w:val="18"/>
                <w:b w:val="1"/>
                <w:bCs w:val="1"/>
                <w:color w:val="auto"/>
              </w:rPr>
              <w:t>— $</w:t>
            </w:r>
          </w:p>
        </w:tc>
        <w:tc>
          <w:tcPr>
            <w:tcW w:w="1160" w:type="dxa"/>
            <w:vAlign w:val="bottom"/>
          </w:tcPr>
          <w:p>
            <w:pPr>
              <w:ind w:left="980"/>
              <w:spacing w:after="0"/>
              <w:rPr>
                <w:sz w:val="20"/>
                <w:szCs w:val="20"/>
                <w:color w:val="auto"/>
              </w:rPr>
            </w:pPr>
            <w:r>
              <w:rPr>
                <w:rFonts w:ascii="Arial" w:cs="Arial" w:eastAsia="Arial" w:hAnsi="Arial"/>
                <w:sz w:val="18"/>
                <w:szCs w:val="18"/>
                <w:b w:val="1"/>
                <w:bCs w:val="1"/>
                <w:color w:val="auto"/>
                <w:w w:val="88"/>
              </w:rPr>
              <w:t>—</w:t>
            </w:r>
          </w:p>
        </w:tc>
      </w:tr>
      <w:tr>
        <w:trPr>
          <w:trHeight w:val="20"/>
        </w:trPr>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three months ended December 31, 2020 and for the period from May 21, 2020 (inception) through December 31, 2020.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5" w:name="page316"/>
    <w:bookmarkEnd w:id="31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 INCOME TAXES</w:t>
      </w:r>
    </w:p>
    <w:p>
      <w:pPr>
        <w:spacing w:after="0" w:line="148" w:lineRule="exact"/>
        <w:rPr>
          <w:sz w:val="20"/>
          <w:szCs w:val="20"/>
          <w:color w:val="auto"/>
        </w:rPr>
      </w:pPr>
    </w:p>
    <w:p>
      <w:pPr>
        <w:ind w:left="460" w:right="719" w:firstLine="432"/>
        <w:spacing w:after="0" w:line="263" w:lineRule="auto"/>
        <w:rPr>
          <w:sz w:val="20"/>
          <w:szCs w:val="20"/>
          <w:color w:val="auto"/>
        </w:rPr>
      </w:pPr>
      <w:r>
        <w:rPr>
          <w:rFonts w:ascii="Arial" w:cs="Arial" w:eastAsia="Arial" w:hAnsi="Arial"/>
          <w:sz w:val="18"/>
          <w:szCs w:val="18"/>
          <w:color w:val="auto"/>
        </w:rPr>
        <w:t>The Company generates taxable income primarily consisting of interest income earned on the Trust Account. The Company’s general and administrative costs are generally considered start-up costs and are not currently deductible.</w:t>
      </w:r>
    </w:p>
    <w:p>
      <w:pPr>
        <w:spacing w:after="0" w:line="116"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The income tax provision (benefit) for the period from May 21, 2020 (inception) through December 31, 2020 consists of the following:</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(31,262)</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31,262</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Income tax provision</w:t>
            </w: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420"/>
              <w:spacing w:after="0"/>
              <w:rPr>
                <w:sz w:val="20"/>
                <w:szCs w:val="20"/>
                <w:color w:val="auto"/>
              </w:rPr>
            </w:pPr>
            <w:r>
              <w:rPr>
                <w:rFonts w:ascii="Arial" w:cs="Arial" w:eastAsia="Arial" w:hAnsi="Arial"/>
                <w:sz w:val="18"/>
                <w:szCs w:val="18"/>
                <w:color w:val="auto"/>
                <w:w w:val="99"/>
              </w:rPr>
              <w:t>As of December 31, 2020, the Company’s net deferred tax assets are as follows:</w:t>
            </w: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6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Start-up/Organization costs</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31,262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31,262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(31,262)</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net of allowance</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assets,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May 21, 2020 (inception) through December 31, 2020, the valuation allowance was $31,362.</w:t>
      </w:r>
    </w:p>
    <w:p>
      <w:pPr>
        <w:spacing w:after="0" w:line="113"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A reconciliation of the statutory federal income tax rate (benefit) to the Company’s effective tax rate for the period from May 6 (inception) through December 31, 2020 is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57"/>
        </w:trPr>
        <w:tc>
          <w:tcPr>
            <w:tcW w:w="67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(26.91)%</w:t>
            </w:r>
          </w:p>
        </w:tc>
      </w:tr>
      <w:tr>
        <w:trPr>
          <w:trHeight w:val="27"/>
        </w:trPr>
        <w:tc>
          <w:tcPr>
            <w:tcW w:w="6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3"/>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1"/>
              </w:rPr>
              <w:t>)%</w:t>
            </w:r>
          </w:p>
        </w:tc>
      </w:tr>
      <w:tr>
        <w:trPr>
          <w:trHeight w:val="20"/>
        </w:trPr>
        <w:tc>
          <w:tcPr>
            <w:tcW w:w="6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There were no unrecognized tax benefits as of December 31, 2020. No amounts were accrued for the payment of interest and penalties at December 31, 2020. The Company is currently not aware of any issues under review that could result in significant payments, accruals or material deviation from its position. The Company is subject to income tax examinations by major taxing authorities since inception. The Company’s management does not expect that the total amount of unrecognized tax benefits will materially change over the next twelve months.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10. SUBSEQUENT EVENTS</w:t>
      </w:r>
    </w:p>
    <w:p>
      <w:pPr>
        <w:spacing w:after="0" w:line="148"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The Company evaluated subsequent events and transactions that occurred after the balance sheet date through the date the financial statements were available to be issued. Based upon this review, the Company did not identify any subsequent events that would have required adjustment or disclosure in the financial statements which have not previously been disclosed within the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6" w:name="page317"/>
    <w:bookmarkEnd w:id="31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right="2259" w:firstLine="1798"/>
        <w:spacing w:after="0" w:line="478"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Board of Directors and Shareholders of Tango Therapeutics, Inc.</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58" w:lineRule="exact"/>
        <w:rPr>
          <w:sz w:val="20"/>
          <w:szCs w:val="20"/>
          <w:color w:val="auto"/>
        </w:rPr>
      </w:pPr>
    </w:p>
    <w:p>
      <w:pPr>
        <w:ind w:left="460" w:right="579" w:firstLine="432"/>
        <w:spacing w:after="0" w:line="271" w:lineRule="auto"/>
        <w:rPr>
          <w:sz w:val="20"/>
          <w:szCs w:val="20"/>
          <w:color w:val="auto"/>
        </w:rPr>
      </w:pPr>
      <w:r>
        <w:rPr>
          <w:rFonts w:ascii="Arial" w:cs="Arial" w:eastAsia="Arial" w:hAnsi="Arial"/>
          <w:sz w:val="17"/>
          <w:szCs w:val="17"/>
          <w:color w:val="auto"/>
        </w:rPr>
        <w:t>We have audited the accompanying consolidated balance sheets of Tango Therapeutics, Inc. and its subsidiary (the “Company”) as of December 31, 2020 and 2019, and the related consolidated statements of operations and comprehensive loss, of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2020 and December 31, 2019, and the results of its operations and its cash flows for the years then ended in conformity with accounting principles generally accepted in the United States of America.</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58" w:lineRule="exact"/>
        <w:rPr>
          <w:sz w:val="20"/>
          <w:szCs w:val="20"/>
          <w:color w:val="auto"/>
        </w:rPr>
      </w:pPr>
    </w:p>
    <w:p>
      <w:pPr>
        <w:ind w:left="460" w:right="579" w:firstLine="432"/>
        <w:spacing w:after="0" w:line="271"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w:t>
      </w:r>
    </w:p>
    <w:p>
      <w:pPr>
        <w:ind w:left="460" w:right="659"/>
        <w:spacing w:after="0" w:line="255" w:lineRule="auto"/>
        <w:rPr>
          <w:sz w:val="20"/>
          <w:szCs w:val="20"/>
          <w:color w:val="auto"/>
        </w:rPr>
      </w:pPr>
      <w:r>
        <w:rPr>
          <w:rFonts w:ascii="Arial" w:cs="Arial" w:eastAsia="Arial" w:hAnsi="Arial"/>
          <w:sz w:val="18"/>
          <w:szCs w:val="18"/>
          <w:color w:val="auto"/>
        </w:rPr>
        <w:t>(United States)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ind w:left="460" w:right="719" w:firstLine="432"/>
        <w:spacing w:after="0" w:line="301"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90" w:lineRule="exact"/>
        <w:rPr>
          <w:sz w:val="20"/>
          <w:szCs w:val="20"/>
          <w:color w:val="auto"/>
        </w:rPr>
      </w:pPr>
    </w:p>
    <w:p>
      <w:pPr>
        <w:ind w:left="460" w:right="459" w:firstLine="432"/>
        <w:spacing w:after="0" w:line="293"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PricewaterhouseCoopers LLP</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April 12, 2021</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2017.</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7" w:name="page318"/>
    <w:bookmarkEnd w:id="317"/>
    <w:p>
      <w:pPr>
        <w:spacing w:after="0" w:line="29" w:lineRule="exact"/>
        <w:rPr>
          <w:sz w:val="20"/>
          <w:szCs w:val="20"/>
          <w:color w:val="auto"/>
        </w:rPr>
      </w:pPr>
    </w:p>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41"/>
        </w:trPr>
        <w:tc>
          <w:tcPr>
            <w:tcW w:w="57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7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28,381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22,889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161,939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17,536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7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1,231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193,632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41,656</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3,823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3,442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7,480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8,387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2,279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2,279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vMerge w:val="continue"/>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207,252</w:t>
            </w:r>
          </w:p>
        </w:tc>
        <w:tc>
          <w:tcPr>
            <w:tcW w:w="100" w:type="dxa"/>
            <w:vAlign w:val="bottom"/>
          </w:tcPr>
          <w:p>
            <w:pPr>
              <w:spacing w:after="0"/>
              <w:rPr>
                <w:sz w:val="20"/>
                <w:szCs w:val="20"/>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55,764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700" w:type="dxa"/>
            <w:vAlign w:val="bottom"/>
          </w:tcPr>
          <w:p>
            <w:pPr>
              <w:spacing w:after="0" w:line="198" w:lineRule="exact"/>
              <w:rPr>
                <w:sz w:val="20"/>
                <w:szCs w:val="20"/>
                <w:color w:val="auto"/>
              </w:rPr>
            </w:pPr>
            <w:r>
              <w:rPr>
                <w:rFonts w:ascii="Arial" w:cs="Arial" w:eastAsia="Arial" w:hAnsi="Arial"/>
                <w:sz w:val="18"/>
                <w:szCs w:val="18"/>
                <w:b w:val="1"/>
                <w:bCs w:val="1"/>
                <w:color w:val="auto"/>
                <w:w w:val="94"/>
              </w:rPr>
              <w:t>Liabilities, Redeemable Convertible Preferred Stock and Stockholders’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18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6,140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655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31,977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19,594</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7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25,851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6,925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20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120,805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14,106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70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47,859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7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Series A redeemable convertible preferred stock, $0.001 par value,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55,700,000 shares authorized, issued, and outstanding at December 31,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2020 and 2019, respectively; liquidation preferences of $55,700 at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December 31, 2020 and 2019,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55,700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55,700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700" w:type="dxa"/>
            <w:vAlign w:val="bottom"/>
          </w:tcPr>
          <w:p>
            <w:pPr>
              <w:ind w:left="180"/>
              <w:spacing w:after="0" w:line="201" w:lineRule="exact"/>
              <w:rPr>
                <w:sz w:val="20"/>
                <w:szCs w:val="20"/>
                <w:color w:val="auto"/>
              </w:rPr>
            </w:pPr>
            <w:r>
              <w:rPr>
                <w:rFonts w:ascii="Arial" w:cs="Arial" w:eastAsia="Arial" w:hAnsi="Arial"/>
                <w:sz w:val="18"/>
                <w:szCs w:val="18"/>
                <w:color w:val="auto"/>
              </w:rPr>
              <w:t>Series B redeemable convertible preferred stock, $0.001 par value,</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w w:val="95"/>
              </w:rPr>
              <w:t>45,372,051 and 0 shares authorized at December 31, 2020 and 2019,</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respectively; 22,686,025 and 0 shares issued and outstanding at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w w:val="96"/>
              </w:rPr>
              <w:t>December 31, 2020 and December 31, 2019, respectively; liquidation</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preferences of $30,000 and $0 at December 31, 2020 and 2019,</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29,761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7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Series B-1 redeemable convertible preferred stock, $0.001 par value,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27,152,255 and 0 shares authorized, issued, and outstanding at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December 31, 2020 and 2019, respectively; liquidation preferences of</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$51,182 and $0 at December 31, 2020 and 2019,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51,083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0"/>
                <w:szCs w:val="20"/>
                <w:color w:val="auto"/>
              </w:rPr>
            </w:pPr>
            <w:r>
              <w:rPr>
                <w:rFonts w:ascii="Arial" w:cs="Arial" w:eastAsia="Arial" w:hAnsi="Arial"/>
                <w:sz w:val="18"/>
                <w:szCs w:val="18"/>
                <w:color w:val="auto"/>
              </w:rPr>
              <w:t>Stockholders’ deficit:</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$0.001 par value; 166,000,000 and 80,800,000 shares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authorized at December 31, 2020 and December 31, 2019, respectively;</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13,301,649 and 13,334,856 shares issued and outstanding as of December</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31, 2020 and 2019,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5,127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3,311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00" w:type="dxa"/>
            <w:vAlign w:val="bottom"/>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(103,101)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(51,129)</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deficit</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(97,944</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(47,795</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2"/>
        </w:trPr>
        <w:tc>
          <w:tcPr>
            <w:tcW w:w="5700" w:type="dxa"/>
            <w:vAlign w:val="bottom"/>
          </w:tcPr>
          <w:p>
            <w:pPr>
              <w:ind w:left="360"/>
              <w:spacing w:after="0" w:line="182" w:lineRule="exact"/>
              <w:rPr>
                <w:sz w:val="20"/>
                <w:szCs w:val="20"/>
                <w:color w:val="auto"/>
              </w:rPr>
            </w:pPr>
            <w:r>
              <w:rPr>
                <w:rFonts w:ascii="Arial" w:cs="Arial" w:eastAsia="Arial" w:hAnsi="Arial"/>
                <w:sz w:val="18"/>
                <w:szCs w:val="18"/>
                <w:color w:val="auto"/>
              </w:rPr>
              <w:t>Total liabilities, redeemable convertible preferred stock and</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700" w:type="dxa"/>
            <w:vAlign w:val="bottom"/>
          </w:tcPr>
          <w:p>
            <w:pPr>
              <w:ind w:left="540"/>
              <w:spacing w:after="0"/>
              <w:rPr>
                <w:sz w:val="20"/>
                <w:szCs w:val="20"/>
                <w:color w:val="auto"/>
              </w:rPr>
            </w:pPr>
            <w:r>
              <w:rPr>
                <w:rFonts w:ascii="Arial" w:cs="Arial" w:eastAsia="Arial" w:hAnsi="Arial"/>
                <w:sz w:val="18"/>
                <w:szCs w:val="18"/>
                <w:color w:val="auto"/>
              </w:rPr>
              <w:t>stockholders’ deficit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207,252</w:t>
            </w:r>
          </w:p>
        </w:tc>
        <w:tc>
          <w:tcPr>
            <w:tcW w:w="100" w:type="dxa"/>
            <w:vAlign w:val="bottom"/>
          </w:tcPr>
          <w:p>
            <w:pPr>
              <w:spacing w:after="0"/>
              <w:rPr>
                <w:sz w:val="21"/>
                <w:szCs w:val="21"/>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55,764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43500" cy="5715"/>
                    </a:xfrm>
                    <a:prstGeom prst="rect">
                      <a:avLst/>
                    </a:prstGeom>
                    <a:noFill/>
                  </pic:spPr>
                </pic:pic>
              </a:graphicData>
            </a:graphic>
          </wp:anchor>
        </w:drawing>
      </w:r>
    </w:p>
    <w:p>
      <w:pPr>
        <w:sectPr>
          <w:pgSz w:w="11900" w:h="16868" w:orient="portrait"/>
          <w:cols w:equalWidth="0" w:num="1">
            <w:col w:w="9019"/>
          </w:cols>
          <w:pgMar w:left="1440" w:top="274" w:right="1440" w:bottom="0" w:gutter="0" w:footer="0" w:header="0"/>
        </w:sectPr>
      </w:pPr>
    </w:p>
    <w:bookmarkStart w:id="318" w:name="page319"/>
    <w:bookmarkEnd w:id="31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7"/>
          </w:tcPr>
          <w:p>
            <w:pPr>
              <w:jc w:val="right"/>
              <w:ind w:right="260"/>
              <w:spacing w:after="0"/>
              <w:rPr>
                <w:sz w:val="20"/>
                <w:szCs w:val="20"/>
                <w:color w:val="auto"/>
              </w:rPr>
            </w:pPr>
            <w:r>
              <w:rPr>
                <w:rFonts w:ascii="Arial" w:cs="Arial" w:eastAsia="Arial" w:hAnsi="Arial"/>
                <w:sz w:val="16"/>
                <w:szCs w:val="16"/>
                <w:b w:val="1"/>
                <w:bCs w:val="1"/>
                <w:color w:val="auto"/>
                <w:w w:val="98"/>
              </w:rPr>
              <w:t>Year Ended December 31,</w:t>
            </w:r>
          </w:p>
        </w:tc>
        <w:tc>
          <w:tcPr>
            <w:tcW w:w="0" w:type="dxa"/>
            <w:vAlign w:val="bottom"/>
          </w:tcPr>
          <w:p>
            <w:pPr>
              <w:spacing w:after="0"/>
              <w:rPr>
                <w:sz w:val="1"/>
                <w:szCs w:val="1"/>
                <w:color w:val="auto"/>
              </w:rPr>
            </w:pPr>
          </w:p>
        </w:tc>
      </w:tr>
      <w:tr>
        <w:trPr>
          <w:trHeight w:val="47"/>
        </w:trPr>
        <w:tc>
          <w:tcPr>
            <w:tcW w:w="57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5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7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7,656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24,649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49,991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32,274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22"/>
                <w:szCs w:val="22"/>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9,865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7,537</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59,856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39,811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78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(15,162)</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684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ind w:left="360"/>
              <w:spacing w:after="0"/>
              <w:rPr>
                <w:sz w:val="20"/>
                <w:szCs w:val="20"/>
                <w:color w:val="auto"/>
              </w:rPr>
            </w:pPr>
            <w:r>
              <w:rPr>
                <w:rFonts w:ascii="Arial" w:cs="Arial" w:eastAsia="Arial" w:hAnsi="Arial"/>
                <w:sz w:val="18"/>
                <w:szCs w:val="18"/>
                <w:color w:val="auto"/>
              </w:rPr>
              <w:t>Total other income, net</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1,067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(51,972</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(14,095</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5780" w:type="dxa"/>
            <w:vAlign w:val="bottom"/>
          </w:tcPr>
          <w:p>
            <w:pPr>
              <w:spacing w:after="0"/>
              <w:rPr>
                <w:sz w:val="20"/>
                <w:szCs w:val="20"/>
                <w:color w:val="auto"/>
              </w:rPr>
            </w:pPr>
            <w:r>
              <w:rPr>
                <w:rFonts w:ascii="Arial" w:cs="Arial" w:eastAsia="Arial" w:hAnsi="Arial"/>
                <w:sz w:val="18"/>
                <w:szCs w:val="18"/>
                <w:color w:val="auto"/>
              </w:rPr>
              <w:t>Net loss per common share – basic and diluted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Weighted average number of common shares outstanding – basic and diluted</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8"/>
              </w:rPr>
              <w:t>11,461,011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8,985,710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(51,972)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(14,095)</w:t>
            </w:r>
          </w:p>
        </w:tc>
        <w:tc>
          <w:tcPr>
            <w:tcW w:w="0" w:type="dxa"/>
            <w:vAlign w:val="bottom"/>
          </w:tcPr>
          <w:p>
            <w:pPr>
              <w:spacing w:after="0"/>
              <w:rPr>
                <w:sz w:val="1"/>
                <w:szCs w:val="1"/>
                <w:color w:val="auto"/>
              </w:rPr>
            </w:pPr>
          </w:p>
        </w:tc>
      </w:tr>
      <w:tr>
        <w:trPr>
          <w:trHeight w:val="236"/>
        </w:trPr>
        <w:tc>
          <w:tcPr>
            <w:tcW w:w="57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780" w:type="dxa"/>
            <w:vAlign w:val="bottom"/>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(51,965</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(14,078</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9" w:name="page320"/>
    <w:bookmarkEnd w:id="31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TANGO THERAPEUTICS, INC.</w:t>
      </w:r>
    </w:p>
    <w:p>
      <w:pPr>
        <w:spacing w:after="0" w:line="144"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CONSOLIDATED STATEMENTS OF REDEEMABLE CONVERTIBLE PREFERRED STOCK AND</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STOCKHOLDERS’ DEFICIT</w:t>
      </w:r>
    </w:p>
    <w:p>
      <w:pPr>
        <w:spacing w:after="0" w:line="13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(in thousands, except share data)</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312"/>
        </w:trPr>
        <w:tc>
          <w:tcPr>
            <w:tcW w:w="1100" w:type="dxa"/>
            <w:vAlign w:val="bottom"/>
          </w:tcPr>
          <w:p>
            <w:pPr>
              <w:spacing w:after="0"/>
              <w:rPr>
                <w:sz w:val="24"/>
                <w:szCs w:val="24"/>
                <w:color w:val="auto"/>
              </w:rPr>
            </w:pPr>
          </w:p>
        </w:tc>
        <w:tc>
          <w:tcPr>
            <w:tcW w:w="3200" w:type="dxa"/>
            <w:vAlign w:val="bottom"/>
            <w:gridSpan w:val="12"/>
          </w:tcPr>
          <w:p>
            <w:pPr>
              <w:jc w:val="center"/>
              <w:ind w:left="468"/>
              <w:spacing w:after="0"/>
              <w:rPr>
                <w:sz w:val="20"/>
                <w:szCs w:val="20"/>
                <w:color w:val="auto"/>
              </w:rPr>
            </w:pPr>
            <w:r>
              <w:rPr>
                <w:rFonts w:ascii="Arial" w:cs="Arial" w:eastAsia="Arial" w:hAnsi="Arial"/>
                <w:sz w:val="14"/>
                <w:szCs w:val="14"/>
                <w:b w:val="1"/>
                <w:bCs w:val="1"/>
                <w:color w:val="auto"/>
                <w:w w:val="93"/>
              </w:rPr>
              <w:t>Redeemable Convertible Preferred Stock</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7"/>
              </w:rPr>
              <w:t>Accumulated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1100" w:type="dxa"/>
            <w:vAlign w:val="bottom"/>
          </w:tcPr>
          <w:p>
            <w:pPr>
              <w:spacing w:after="0"/>
              <w:rPr>
                <w:sz w:val="5"/>
                <w:szCs w:val="5"/>
                <w:color w:val="auto"/>
              </w:rPr>
            </w:pPr>
          </w:p>
        </w:tc>
        <w:tc>
          <w:tcPr>
            <w:tcW w:w="126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Series A</w:t>
            </w:r>
          </w:p>
        </w:tc>
        <w:tc>
          <w:tcPr>
            <w:tcW w:w="1260" w:type="dxa"/>
            <w:vAlign w:val="bottom"/>
            <w:gridSpan w:val="6"/>
            <w:vMerge w:val="restart"/>
          </w:tcPr>
          <w:p>
            <w:pPr>
              <w:jc w:val="center"/>
              <w:ind w:right="40"/>
              <w:spacing w:after="0"/>
              <w:rPr>
                <w:sz w:val="20"/>
                <w:szCs w:val="20"/>
                <w:color w:val="auto"/>
              </w:rPr>
            </w:pPr>
            <w:r>
              <w:rPr>
                <w:rFonts w:ascii="Arial" w:cs="Arial" w:eastAsia="Arial" w:hAnsi="Arial"/>
                <w:sz w:val="14"/>
                <w:szCs w:val="14"/>
                <w:b w:val="1"/>
                <w:bCs w:val="1"/>
                <w:color w:val="auto"/>
                <w:w w:val="89"/>
              </w:rPr>
              <w:t>Series B</w:t>
            </w:r>
          </w:p>
        </w:tc>
        <w:tc>
          <w:tcPr>
            <w:tcW w:w="1300" w:type="dxa"/>
            <w:vAlign w:val="bottom"/>
            <w:tcBorders>
              <w:right w:val="single" w:sz="8" w:color="auto"/>
            </w:tcBorders>
            <w:gridSpan w:val="5"/>
            <w:vMerge w:val="restart"/>
          </w:tcPr>
          <w:p>
            <w:pPr>
              <w:jc w:val="right"/>
              <w:ind w:right="308"/>
              <w:spacing w:after="0"/>
              <w:rPr>
                <w:sz w:val="20"/>
                <w:szCs w:val="20"/>
                <w:color w:val="auto"/>
              </w:rPr>
            </w:pPr>
            <w:r>
              <w:rPr>
                <w:rFonts w:ascii="Arial" w:cs="Arial" w:eastAsia="Arial" w:hAnsi="Arial"/>
                <w:sz w:val="14"/>
                <w:szCs w:val="14"/>
                <w:b w:val="1"/>
                <w:bCs w:val="1"/>
                <w:color w:val="auto"/>
              </w:rPr>
              <w:t>Series B-1</w:t>
            </w:r>
          </w:p>
        </w:tc>
        <w:tc>
          <w:tcPr>
            <w:tcW w:w="1280" w:type="dxa"/>
            <w:vAlign w:val="bottom"/>
            <w:gridSpan w:val="7"/>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Additional</w:t>
            </w:r>
          </w:p>
        </w:tc>
        <w:tc>
          <w:tcPr>
            <w:tcW w:w="9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260" w:type="dxa"/>
            <w:vAlign w:val="bottom"/>
            <w:gridSpan w:val="6"/>
            <w:vMerge w:val="continue"/>
          </w:tcPr>
          <w:p>
            <w:pPr>
              <w:spacing w:after="0"/>
              <w:rPr>
                <w:sz w:val="12"/>
                <w:szCs w:val="12"/>
                <w:color w:val="auto"/>
              </w:rPr>
            </w:pPr>
          </w:p>
        </w:tc>
        <w:tc>
          <w:tcPr>
            <w:tcW w:w="1300" w:type="dxa"/>
            <w:vAlign w:val="bottom"/>
            <w:tcBorders>
              <w:right w:val="single" w:sz="8" w:color="auto"/>
            </w:tcBorders>
            <w:gridSpan w:val="5"/>
            <w:vMerge w:val="continue"/>
          </w:tcPr>
          <w:p>
            <w:pPr>
              <w:spacing w:after="0"/>
              <w:rPr>
                <w:sz w:val="12"/>
                <w:szCs w:val="12"/>
                <w:color w:val="auto"/>
              </w:rPr>
            </w:pPr>
          </w:p>
        </w:tc>
        <w:tc>
          <w:tcPr>
            <w:tcW w:w="1280" w:type="dxa"/>
            <w:vAlign w:val="bottom"/>
            <w:gridSpan w:val="7"/>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10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2680" w:type="dxa"/>
            <w:vAlign w:val="bottom"/>
            <w:gridSpan w:val="11"/>
            <w:vMerge w:val="restart"/>
          </w:tcPr>
          <w:p>
            <w:pPr>
              <w:spacing w:after="0" w:line="149" w:lineRule="exact"/>
              <w:rPr>
                <w:sz w:val="20"/>
                <w:szCs w:val="20"/>
                <w:color w:val="auto"/>
              </w:rPr>
            </w:pPr>
            <w:r>
              <w:rPr>
                <w:rFonts w:ascii="Arial" w:cs="Arial" w:eastAsia="Arial" w:hAnsi="Arial"/>
                <w:sz w:val="14"/>
                <w:szCs w:val="14"/>
                <w:b w:val="1"/>
                <w:bCs w:val="1"/>
                <w:color w:val="auto"/>
                <w:w w:val="90"/>
              </w:rPr>
              <w:t>Comprehensive Accumulated Stockholders’</w:t>
            </w:r>
          </w:p>
        </w:tc>
        <w:tc>
          <w:tcPr>
            <w:tcW w:w="0" w:type="dxa"/>
            <w:vAlign w:val="bottom"/>
          </w:tcPr>
          <w:p>
            <w:pPr>
              <w:spacing w:after="0"/>
              <w:rPr>
                <w:sz w:val="1"/>
                <w:szCs w:val="1"/>
                <w:color w:val="auto"/>
              </w:rPr>
            </w:pPr>
          </w:p>
        </w:tc>
      </w:tr>
      <w:tr>
        <w:trPr>
          <w:trHeight w:val="65"/>
        </w:trPr>
        <w:tc>
          <w:tcPr>
            <w:tcW w:w="1100" w:type="dxa"/>
            <w:vAlign w:val="bottom"/>
          </w:tcPr>
          <w:p>
            <w:pPr>
              <w:spacing w:after="0"/>
              <w:rPr>
                <w:sz w:val="5"/>
                <w:szCs w:val="5"/>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0"/>
              </w:rPr>
              <w:t>Amount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5"/>
                <w:szCs w:val="5"/>
                <w:color w:val="auto"/>
              </w:rPr>
            </w:pPr>
          </w:p>
        </w:tc>
        <w:tc>
          <w:tcPr>
            <w:tcW w:w="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5"/>
                <w:szCs w:val="5"/>
                <w:color w:val="auto"/>
              </w:rPr>
            </w:pPr>
          </w:p>
        </w:tc>
        <w:tc>
          <w:tcPr>
            <w:tcW w:w="600" w:type="dxa"/>
            <w:vAlign w:val="bottom"/>
            <w:tcBorders>
              <w:right w:val="single" w:sz="8" w:color="auto"/>
            </w:tcBorders>
            <w:gridSpan w:val="2"/>
            <w:vMerge w:val="restart"/>
          </w:tcPr>
          <w:p>
            <w:pPr>
              <w:jc w:val="right"/>
              <w:ind w:right="8"/>
              <w:spacing w:after="0"/>
              <w:rPr>
                <w:sz w:val="20"/>
                <w:szCs w:val="20"/>
                <w:color w:val="auto"/>
              </w:rPr>
            </w:pPr>
            <w:r>
              <w:rPr>
                <w:rFonts w:ascii="Arial" w:cs="Arial" w:eastAsia="Arial" w:hAnsi="Arial"/>
                <w:sz w:val="14"/>
                <w:szCs w:val="14"/>
                <w:b w:val="1"/>
                <w:bCs w:val="1"/>
                <w:color w:val="auto"/>
                <w:w w:val="94"/>
              </w:rPr>
              <w:t>Amount</w:t>
            </w:r>
          </w:p>
        </w:tc>
        <w:tc>
          <w:tcPr>
            <w:tcW w:w="7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54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68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gridSpan w:val="3"/>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right w:val="single" w:sz="8" w:color="auto"/>
            </w:tcBorders>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54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w w:val="92"/>
              </w:rPr>
              <w:t>Income (Loss)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6"/>
        </w:trPr>
        <w:tc>
          <w:tcPr>
            <w:tcW w:w="1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1100" w:type="dxa"/>
            <w:vAlign w:val="bottom"/>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at</w:t>
            </w: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tcBorders>
              <w:right w:val="single" w:sz="8" w:color="auto"/>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w w:val="98"/>
              </w:rPr>
              <w:t>December 31,</w:t>
            </w: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88"/>
              </w:rPr>
              <w:t>44,700,000</w:t>
            </w:r>
          </w:p>
        </w:tc>
        <w:tc>
          <w:tcPr>
            <w:tcW w:w="5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88"/>
              </w:rPr>
              <w:t>$ 44,700</w:t>
            </w:r>
          </w:p>
        </w:tc>
        <w:tc>
          <w:tcPr>
            <w:tcW w:w="80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w:t>
            </w:r>
          </w:p>
        </w:tc>
        <w:tc>
          <w:tcPr>
            <w:tcW w:w="50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88"/>
              </w:rPr>
              <w:t>14,522,360</w:t>
            </w:r>
          </w:p>
        </w:tc>
        <w:tc>
          <w:tcPr>
            <w:tcW w:w="1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14</w:t>
            </w:r>
          </w:p>
        </w:tc>
        <w:tc>
          <w:tcPr>
            <w:tcW w:w="6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6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1,601</w:t>
            </w:r>
          </w:p>
        </w:tc>
        <w:tc>
          <w:tcPr>
            <w:tcW w:w="1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(7)</w:t>
            </w:r>
          </w:p>
        </w:tc>
        <w:tc>
          <w:tcPr>
            <w:tcW w:w="1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(37,034)</w:t>
            </w:r>
          </w:p>
        </w:tc>
        <w:tc>
          <w:tcPr>
            <w:tcW w:w="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(35,426)</w:t>
            </w:r>
          </w:p>
        </w:tc>
        <w:tc>
          <w:tcPr>
            <w:tcW w:w="0" w:type="dxa"/>
            <w:vAlign w:val="bottom"/>
          </w:tcPr>
          <w:p>
            <w:pPr>
              <w:spacing w:after="0"/>
              <w:rPr>
                <w:sz w:val="1"/>
                <w:szCs w:val="1"/>
                <w:color w:val="auto"/>
              </w:rPr>
            </w:pPr>
          </w:p>
        </w:tc>
      </w:tr>
      <w:tr>
        <w:trPr>
          <w:trHeight w:val="192"/>
        </w:trPr>
        <w:tc>
          <w:tcPr>
            <w:tcW w:w="1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560" w:type="dxa"/>
            <w:vAlign w:val="bottom"/>
            <w:tcBorders>
              <w:bottom w:val="single" w:sz="8" w:color="CCEEFF"/>
            </w:tcBorders>
            <w:gridSpan w:val="2"/>
            <w:vMerge w:val="continue"/>
            <w:shd w:val="clear" w:color="auto" w:fill="CCEEFF"/>
          </w:tcPr>
          <w:p>
            <w:pPr>
              <w:spacing w:after="0"/>
              <w:rPr>
                <w:sz w:val="16"/>
                <w:szCs w:val="16"/>
                <w:color w:val="auto"/>
              </w:rPr>
            </w:pPr>
          </w:p>
        </w:tc>
        <w:tc>
          <w:tcPr>
            <w:tcW w:w="800" w:type="dxa"/>
            <w:vAlign w:val="bottom"/>
            <w:tcBorders>
              <w:bottom w:val="single" w:sz="8" w:color="CCEEFF"/>
            </w:tcBorders>
            <w:gridSpan w:val="4"/>
            <w:vMerge w:val="continue"/>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4"/>
            <w:vMerge w:val="continue"/>
            <w:shd w:val="clear" w:color="auto" w:fill="CCEEFF"/>
          </w:tcPr>
          <w:p>
            <w:pPr>
              <w:spacing w:after="0"/>
              <w:rPr>
                <w:sz w:val="16"/>
                <w:szCs w:val="16"/>
                <w:color w:val="auto"/>
              </w:rPr>
            </w:pPr>
          </w:p>
        </w:tc>
        <w:tc>
          <w:tcPr>
            <w:tcW w:w="50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3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100" w:type="dxa"/>
            <w:vAlign w:val="bottom"/>
          </w:tcPr>
          <w:p>
            <w:pPr>
              <w:spacing w:after="0" w:line="130" w:lineRule="exact"/>
              <w:rPr>
                <w:sz w:val="20"/>
                <w:szCs w:val="20"/>
                <w:color w:val="auto"/>
              </w:rPr>
            </w:pPr>
            <w:r>
              <w:rPr>
                <w:rFonts w:ascii="Arial" w:cs="Arial" w:eastAsia="Arial" w:hAnsi="Arial"/>
                <w:sz w:val="14"/>
                <w:szCs w:val="14"/>
                <w:color w:val="auto"/>
                <w:w w:val="93"/>
              </w:rPr>
              <w:t>Issuance of Series</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80"/>
              <w:spacing w:after="0" w:line="149" w:lineRule="exact"/>
              <w:rPr>
                <w:sz w:val="20"/>
                <w:szCs w:val="20"/>
                <w:color w:val="auto"/>
              </w:rPr>
            </w:pPr>
            <w:r>
              <w:rPr>
                <w:rFonts w:ascii="Arial" w:cs="Arial" w:eastAsia="Arial" w:hAnsi="Arial"/>
                <w:sz w:val="14"/>
                <w:szCs w:val="14"/>
                <w:color w:val="auto"/>
              </w:rPr>
              <w:t>A redeemable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80"/>
              <w:spacing w:after="0" w:line="149" w:lineRule="exact"/>
              <w:rPr>
                <w:sz w:val="20"/>
                <w:szCs w:val="20"/>
                <w:color w:val="auto"/>
              </w:rPr>
            </w:pPr>
            <w:r>
              <w:rPr>
                <w:rFonts w:ascii="Arial" w:cs="Arial" w:eastAsia="Arial" w:hAnsi="Arial"/>
                <w:sz w:val="14"/>
                <w:szCs w:val="14"/>
                <w:color w:val="auto"/>
              </w:rPr>
              <w:t>convertible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00" w:type="dxa"/>
            <w:vAlign w:val="bottom"/>
            <w:gridSpan w:val="3"/>
          </w:tcPr>
          <w:p>
            <w:pPr>
              <w:ind w:left="180"/>
              <w:spacing w:after="0"/>
              <w:rPr>
                <w:sz w:val="20"/>
                <w:szCs w:val="20"/>
                <w:color w:val="auto"/>
              </w:rPr>
            </w:pPr>
            <w:r>
              <w:rPr>
                <w:rFonts w:ascii="Arial" w:cs="Arial" w:eastAsia="Arial" w:hAnsi="Arial"/>
                <w:sz w:val="14"/>
                <w:szCs w:val="14"/>
                <w:color w:val="auto"/>
                <w:w w:val="95"/>
              </w:rPr>
              <w:t>preferred stock 11,000,000</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11,000</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restricted</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9"/>
              </w:rPr>
              <w:t>common stock</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w:t>
            </w: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100" w:type="dxa"/>
            <w:vAlign w:val="bottom"/>
          </w:tcPr>
          <w:p>
            <w:pPr>
              <w:spacing w:after="0" w:line="130" w:lineRule="exact"/>
              <w:rPr>
                <w:sz w:val="20"/>
                <w:szCs w:val="20"/>
                <w:color w:val="auto"/>
              </w:rPr>
            </w:pPr>
            <w:r>
              <w:rPr>
                <w:rFonts w:ascii="Arial" w:cs="Arial" w:eastAsia="Arial" w:hAnsi="Arial"/>
                <w:sz w:val="14"/>
                <w:szCs w:val="14"/>
                <w:color w:val="auto"/>
              </w:rPr>
              <w:t>Repurchases of</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80"/>
              <w:spacing w:after="0" w:line="149" w:lineRule="exact"/>
              <w:rPr>
                <w:sz w:val="20"/>
                <w:szCs w:val="20"/>
                <w:color w:val="auto"/>
              </w:rPr>
            </w:pPr>
            <w:r>
              <w:rPr>
                <w:rFonts w:ascii="Arial" w:cs="Arial" w:eastAsia="Arial" w:hAnsi="Arial"/>
                <w:sz w:val="14"/>
                <w:szCs w:val="14"/>
                <w:color w:val="auto"/>
              </w:rPr>
              <w:t>restricted</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ind w:left="180"/>
              <w:spacing w:after="0" w:line="149" w:lineRule="exact"/>
              <w:rPr>
                <w:sz w:val="20"/>
                <w:szCs w:val="20"/>
                <w:color w:val="auto"/>
              </w:rPr>
            </w:pPr>
            <w:r>
              <w:rPr>
                <w:rFonts w:ascii="Arial" w:cs="Arial" w:eastAsia="Arial" w:hAnsi="Arial"/>
                <w:sz w:val="14"/>
                <w:szCs w:val="14"/>
                <w:color w:val="auto"/>
                <w:w w:val="99"/>
              </w:rPr>
              <w:t>common 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00" w:type="dxa"/>
            <w:vAlign w:val="bottom"/>
          </w:tcPr>
          <w:p>
            <w:pPr>
              <w:ind w:left="180"/>
              <w:spacing w:after="0"/>
              <w:rPr>
                <w:sz w:val="20"/>
                <w:szCs w:val="20"/>
                <w:color w:val="auto"/>
              </w:rPr>
            </w:pPr>
            <w:r>
              <w:rPr>
                <w:rFonts w:ascii="Arial" w:cs="Arial" w:eastAsia="Arial" w:hAnsi="Arial"/>
                <w:sz w:val="14"/>
                <w:szCs w:val="14"/>
                <w:color w:val="auto"/>
              </w:rPr>
              <w:t>awards</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4"/>
                <w:szCs w:val="14"/>
                <w:color w:val="auto"/>
                <w:w w:val="92"/>
              </w:rPr>
              <w:t>(1,187,504)</w:t>
            </w:r>
          </w:p>
        </w:tc>
        <w:tc>
          <w:tcPr>
            <w:tcW w:w="160" w:type="dxa"/>
            <w:vAlign w:val="bottom"/>
          </w:tcPr>
          <w:p>
            <w:pPr>
              <w:spacing w:after="0"/>
              <w:rPr>
                <w:sz w:val="15"/>
                <w:szCs w:val="15"/>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 based</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compensation</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expense</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1,694</w:t>
            </w: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1,694</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100" w:type="dxa"/>
            <w:vAlign w:val="bottom"/>
          </w:tcPr>
          <w:p>
            <w:pPr>
              <w:spacing w:after="0" w:line="130" w:lineRule="exact"/>
              <w:rPr>
                <w:sz w:val="20"/>
                <w:szCs w:val="20"/>
                <w:color w:val="auto"/>
              </w:rPr>
            </w:pPr>
            <w:r>
              <w:rPr>
                <w:rFonts w:ascii="Arial" w:cs="Arial" w:eastAsia="Arial" w:hAnsi="Arial"/>
                <w:sz w:val="14"/>
                <w:szCs w:val="14"/>
                <w:color w:val="auto"/>
              </w:rPr>
              <w:t>Other</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80"/>
              <w:spacing w:after="0" w:line="149" w:lineRule="exact"/>
              <w:rPr>
                <w:sz w:val="20"/>
                <w:szCs w:val="20"/>
                <w:color w:val="auto"/>
              </w:rPr>
            </w:pPr>
            <w:r>
              <w:rPr>
                <w:rFonts w:ascii="Arial" w:cs="Arial" w:eastAsia="Arial" w:hAnsi="Arial"/>
                <w:sz w:val="14"/>
                <w:szCs w:val="14"/>
                <w:color w:val="auto"/>
                <w:w w:val="94"/>
              </w:rPr>
              <w:t>comprehensive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00" w:type="dxa"/>
            <w:vAlign w:val="bottom"/>
          </w:tcPr>
          <w:p>
            <w:pPr>
              <w:ind w:left="180"/>
              <w:spacing w:after="0"/>
              <w:rPr>
                <w:sz w:val="20"/>
                <w:szCs w:val="20"/>
                <w:color w:val="auto"/>
              </w:rPr>
            </w:pPr>
            <w:r>
              <w:rPr>
                <w:rFonts w:ascii="Arial" w:cs="Arial" w:eastAsia="Arial" w:hAnsi="Arial"/>
                <w:sz w:val="14"/>
                <w:szCs w:val="14"/>
                <w:color w:val="auto"/>
              </w:rPr>
              <w:t>income</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11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(14,095)</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(14,095)</w:t>
            </w:r>
          </w:p>
        </w:tc>
        <w:tc>
          <w:tcPr>
            <w:tcW w:w="0" w:type="dxa"/>
            <w:vAlign w:val="bottom"/>
          </w:tcPr>
          <w:p>
            <w:pPr>
              <w:spacing w:after="0"/>
              <w:rPr>
                <w:sz w:val="1"/>
                <w:szCs w:val="1"/>
                <w:color w:val="auto"/>
              </w:rPr>
            </w:pPr>
          </w:p>
        </w:tc>
      </w:tr>
      <w:tr>
        <w:trPr>
          <w:trHeight w:val="106"/>
        </w:trPr>
        <w:tc>
          <w:tcPr>
            <w:tcW w:w="1100" w:type="dxa"/>
            <w:vAlign w:val="bottom"/>
          </w:tcPr>
          <w:p>
            <w:pPr>
              <w:spacing w:after="0" w:line="106" w:lineRule="exact"/>
              <w:rPr>
                <w:sz w:val="20"/>
                <w:szCs w:val="20"/>
                <w:color w:val="auto"/>
              </w:rPr>
            </w:pPr>
            <w:r>
              <w:rPr>
                <w:rFonts w:ascii="Arial" w:cs="Arial" w:eastAsia="Arial" w:hAnsi="Arial"/>
                <w:sz w:val="12"/>
                <w:szCs w:val="12"/>
                <w:b w:val="1"/>
                <w:bCs w:val="1"/>
                <w:color w:val="auto"/>
              </w:rPr>
              <w:t>Balance at</w:t>
            </w: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right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1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w w:val="98"/>
              </w:rPr>
              <w:t>December 31,</w:t>
            </w: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8"/>
              </w:rPr>
              <w:t>55,700,000</w:t>
            </w: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55,700</w:t>
            </w: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88"/>
              </w:rPr>
              <w:t>13,334,856</w:t>
            </w:r>
          </w:p>
        </w:tc>
        <w:tc>
          <w:tcPr>
            <w:tcW w:w="160" w:type="dxa"/>
            <w:vAlign w:val="bottom"/>
          </w:tcPr>
          <w:p>
            <w:pPr>
              <w:spacing w:after="0"/>
              <w:rPr>
                <w:sz w:val="12"/>
                <w:szCs w:val="12"/>
                <w:color w:val="auto"/>
              </w:rPr>
            </w:pP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13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3,311</w:t>
            </w:r>
          </w:p>
        </w:tc>
        <w:tc>
          <w:tcPr>
            <w:tcW w:w="18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(51,129)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(47,795)</w:t>
            </w:r>
          </w:p>
        </w:tc>
        <w:tc>
          <w:tcPr>
            <w:tcW w:w="0" w:type="dxa"/>
            <w:vAlign w:val="bottom"/>
          </w:tcPr>
          <w:p>
            <w:pPr>
              <w:spacing w:after="0"/>
              <w:rPr>
                <w:sz w:val="1"/>
                <w:szCs w:val="1"/>
                <w:color w:val="auto"/>
              </w:rPr>
            </w:pPr>
          </w:p>
        </w:tc>
      </w:tr>
      <w:tr>
        <w:trPr>
          <w:trHeight w:val="186"/>
        </w:trPr>
        <w:tc>
          <w:tcPr>
            <w:tcW w:w="1100" w:type="dxa"/>
            <w:vAlign w:val="bottom"/>
          </w:tcPr>
          <w:p>
            <w:pPr>
              <w:ind w:left="180"/>
              <w:spacing w:after="0"/>
              <w:rPr>
                <w:sz w:val="20"/>
                <w:szCs w:val="20"/>
                <w:color w:val="auto"/>
              </w:rPr>
            </w:pPr>
            <w:r>
              <w:rPr>
                <w:rFonts w:ascii="Arial" w:cs="Arial" w:eastAsia="Arial" w:hAnsi="Arial"/>
                <w:sz w:val="14"/>
                <w:szCs w:val="14"/>
                <w:b w:val="1"/>
                <w:bCs w:val="1"/>
                <w:color w:val="auto"/>
              </w:rPr>
              <w:t>2019</w:t>
            </w:r>
          </w:p>
        </w:tc>
        <w:tc>
          <w:tcPr>
            <w:tcW w:w="70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right w:val="single" w:sz="8" w:color="auto"/>
            </w:tcBorders>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tcBorders>
              <w:right w:val="single" w:sz="8" w:color="auto"/>
            </w:tcBorders>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100" w:type="dxa"/>
            <w:vAlign w:val="bottom"/>
          </w:tcPr>
          <w:p>
            <w:pPr>
              <w:spacing w:after="0" w:line="130" w:lineRule="exact"/>
              <w:rPr>
                <w:sz w:val="20"/>
                <w:szCs w:val="20"/>
                <w:color w:val="auto"/>
              </w:rPr>
            </w:pPr>
            <w:r>
              <w:rPr>
                <w:rFonts w:ascii="Arial" w:cs="Arial" w:eastAsia="Arial" w:hAnsi="Arial"/>
                <w:sz w:val="14"/>
                <w:szCs w:val="14"/>
                <w:color w:val="auto"/>
                <w:w w:val="93"/>
              </w:rPr>
              <w:t>Issuance of Series</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80"/>
              <w:spacing w:after="0" w:line="149" w:lineRule="exact"/>
              <w:rPr>
                <w:sz w:val="20"/>
                <w:szCs w:val="20"/>
                <w:color w:val="auto"/>
              </w:rPr>
            </w:pPr>
            <w:r>
              <w:rPr>
                <w:rFonts w:ascii="Arial" w:cs="Arial" w:eastAsia="Arial" w:hAnsi="Arial"/>
                <w:sz w:val="14"/>
                <w:szCs w:val="14"/>
                <w:color w:val="auto"/>
              </w:rPr>
              <w:t>B redeemable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ind w:left="180"/>
              <w:spacing w:after="0" w:line="149" w:lineRule="exact"/>
              <w:rPr>
                <w:sz w:val="20"/>
                <w:szCs w:val="20"/>
                <w:color w:val="auto"/>
              </w:rPr>
            </w:pPr>
            <w:r>
              <w:rPr>
                <w:rFonts w:ascii="Arial" w:cs="Arial" w:eastAsia="Arial" w:hAnsi="Arial"/>
                <w:sz w:val="14"/>
                <w:szCs w:val="14"/>
                <w:color w:val="auto"/>
              </w:rPr>
              <w:t>convertible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80"/>
              <w:spacing w:after="0" w:line="149" w:lineRule="exact"/>
              <w:rPr>
                <w:sz w:val="20"/>
                <w:szCs w:val="20"/>
                <w:color w:val="auto"/>
              </w:rPr>
            </w:pPr>
            <w:r>
              <w:rPr>
                <w:rFonts w:ascii="Arial" w:cs="Arial" w:eastAsia="Arial" w:hAnsi="Arial"/>
                <w:sz w:val="14"/>
                <w:szCs w:val="14"/>
                <w:color w:val="auto"/>
              </w:rPr>
              <w:t>preferred</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80"/>
              <w:spacing w:after="0" w:line="149" w:lineRule="exact"/>
              <w:rPr>
                <w:sz w:val="20"/>
                <w:szCs w:val="20"/>
                <w:color w:val="auto"/>
              </w:rPr>
            </w:pPr>
            <w:r>
              <w:rPr>
                <w:rFonts w:ascii="Arial" w:cs="Arial" w:eastAsia="Arial" w:hAnsi="Arial"/>
                <w:sz w:val="14"/>
                <w:szCs w:val="14"/>
                <w:color w:val="auto"/>
              </w:rPr>
              <w:t>stock, net of</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ind w:left="180"/>
              <w:spacing w:after="0" w:line="149" w:lineRule="exact"/>
              <w:rPr>
                <w:sz w:val="20"/>
                <w:szCs w:val="20"/>
                <w:color w:val="auto"/>
              </w:rPr>
            </w:pPr>
            <w:r>
              <w:rPr>
                <w:rFonts w:ascii="Arial" w:cs="Arial" w:eastAsia="Arial" w:hAnsi="Arial"/>
                <w:sz w:val="14"/>
                <w:szCs w:val="14"/>
                <w:color w:val="auto"/>
                <w:w w:val="97"/>
              </w:rPr>
              <w:t>issuance costs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00" w:type="dxa"/>
            <w:vAlign w:val="bottom"/>
          </w:tcPr>
          <w:p>
            <w:pPr>
              <w:ind w:left="180"/>
              <w:spacing w:after="0"/>
              <w:rPr>
                <w:sz w:val="20"/>
                <w:szCs w:val="20"/>
                <w:color w:val="auto"/>
              </w:rPr>
            </w:pPr>
            <w:r>
              <w:rPr>
                <w:rFonts w:ascii="Arial" w:cs="Arial" w:eastAsia="Arial" w:hAnsi="Arial"/>
                <w:sz w:val="14"/>
                <w:szCs w:val="14"/>
                <w:color w:val="auto"/>
              </w:rPr>
              <w:t>of $0.2 million</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4"/>
          </w:tcPr>
          <w:p>
            <w:pPr>
              <w:jc w:val="right"/>
              <w:ind w:right="40"/>
              <w:spacing w:after="0"/>
              <w:rPr>
                <w:sz w:val="20"/>
                <w:szCs w:val="20"/>
                <w:color w:val="auto"/>
              </w:rPr>
            </w:pPr>
            <w:r>
              <w:rPr>
                <w:rFonts w:ascii="Arial" w:cs="Arial" w:eastAsia="Arial" w:hAnsi="Arial"/>
                <w:sz w:val="14"/>
                <w:szCs w:val="14"/>
                <w:color w:val="auto"/>
              </w:rPr>
              <w:t>— 22,686,025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w w:val="93"/>
              </w:rPr>
              <w:t>29,761</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Issuance of Series</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B-1</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redeemable</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convertible</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preferred</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 net of</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7"/>
              </w:rPr>
              <w:t>issuance costs</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of $0.1 million</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 27,152,255</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3"/>
              </w:rPr>
              <w:t>51,083</w:t>
            </w:r>
          </w:p>
        </w:tc>
        <w:tc>
          <w:tcPr>
            <w:tcW w:w="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100" w:type="dxa"/>
            <w:vAlign w:val="bottom"/>
          </w:tcPr>
          <w:p>
            <w:pPr>
              <w:spacing w:after="0" w:line="130" w:lineRule="exact"/>
              <w:rPr>
                <w:sz w:val="20"/>
                <w:szCs w:val="20"/>
                <w:color w:val="auto"/>
              </w:rPr>
            </w:pPr>
            <w:r>
              <w:rPr>
                <w:rFonts w:ascii="Arial" w:cs="Arial" w:eastAsia="Arial" w:hAnsi="Arial"/>
                <w:sz w:val="14"/>
                <w:szCs w:val="14"/>
                <w:color w:val="auto"/>
              </w:rPr>
              <w:t>Exercise of stock</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100" w:type="dxa"/>
            <w:vAlign w:val="bottom"/>
          </w:tcPr>
          <w:p>
            <w:pPr>
              <w:ind w:left="180"/>
              <w:spacing w:after="0"/>
              <w:rPr>
                <w:sz w:val="20"/>
                <w:szCs w:val="20"/>
                <w:color w:val="auto"/>
              </w:rPr>
            </w:pPr>
            <w:r>
              <w:rPr>
                <w:rFonts w:ascii="Arial" w:cs="Arial" w:eastAsia="Arial" w:hAnsi="Arial"/>
                <w:sz w:val="14"/>
                <w:szCs w:val="14"/>
                <w:color w:val="auto"/>
              </w:rPr>
              <w:t>options</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81,870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40</w:t>
            </w:r>
          </w:p>
        </w:tc>
        <w:tc>
          <w:tcPr>
            <w:tcW w:w="1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restricted</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9"/>
              </w:rPr>
              <w:t>common stock</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w:t>
            </w: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100" w:type="dxa"/>
            <w:vAlign w:val="bottom"/>
          </w:tcPr>
          <w:p>
            <w:pPr>
              <w:spacing w:after="0" w:line="130" w:lineRule="exact"/>
              <w:rPr>
                <w:sz w:val="20"/>
                <w:szCs w:val="20"/>
                <w:color w:val="auto"/>
              </w:rPr>
            </w:pPr>
            <w:r>
              <w:rPr>
                <w:rFonts w:ascii="Arial" w:cs="Arial" w:eastAsia="Arial" w:hAnsi="Arial"/>
                <w:sz w:val="14"/>
                <w:szCs w:val="14"/>
                <w:color w:val="auto"/>
              </w:rPr>
              <w:t>Repurchases of</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00" w:type="dxa"/>
            <w:vAlign w:val="bottom"/>
          </w:tcPr>
          <w:p>
            <w:pPr>
              <w:ind w:left="180"/>
              <w:spacing w:after="0" w:line="149" w:lineRule="exact"/>
              <w:rPr>
                <w:sz w:val="20"/>
                <w:szCs w:val="20"/>
                <w:color w:val="auto"/>
              </w:rPr>
            </w:pPr>
            <w:r>
              <w:rPr>
                <w:rFonts w:ascii="Arial" w:cs="Arial" w:eastAsia="Arial" w:hAnsi="Arial"/>
                <w:sz w:val="14"/>
                <w:szCs w:val="14"/>
                <w:color w:val="auto"/>
              </w:rPr>
              <w:t>restricted</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80"/>
              <w:spacing w:after="0" w:line="149" w:lineRule="exact"/>
              <w:rPr>
                <w:sz w:val="20"/>
                <w:szCs w:val="20"/>
                <w:color w:val="auto"/>
              </w:rPr>
            </w:pPr>
            <w:r>
              <w:rPr>
                <w:rFonts w:ascii="Arial" w:cs="Arial" w:eastAsia="Arial" w:hAnsi="Arial"/>
                <w:sz w:val="14"/>
                <w:szCs w:val="14"/>
                <w:color w:val="auto"/>
                <w:w w:val="99"/>
              </w:rPr>
              <w:t>common 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00" w:type="dxa"/>
            <w:vAlign w:val="bottom"/>
          </w:tcPr>
          <w:p>
            <w:pPr>
              <w:ind w:left="180"/>
              <w:spacing w:after="0"/>
              <w:rPr>
                <w:sz w:val="20"/>
                <w:szCs w:val="20"/>
                <w:color w:val="auto"/>
              </w:rPr>
            </w:pPr>
            <w:r>
              <w:rPr>
                <w:rFonts w:ascii="Arial" w:cs="Arial" w:eastAsia="Arial" w:hAnsi="Arial"/>
                <w:sz w:val="14"/>
                <w:szCs w:val="14"/>
                <w:color w:val="auto"/>
              </w:rPr>
              <w:t>awards</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(115,077)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 based</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compensation</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expense</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1,764</w:t>
            </w: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1,764</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100" w:type="dxa"/>
            <w:vAlign w:val="bottom"/>
          </w:tcPr>
          <w:p>
            <w:pPr>
              <w:spacing w:after="0" w:line="130" w:lineRule="exact"/>
              <w:rPr>
                <w:sz w:val="20"/>
                <w:szCs w:val="20"/>
                <w:color w:val="auto"/>
              </w:rPr>
            </w:pPr>
            <w:r>
              <w:rPr>
                <w:rFonts w:ascii="Arial" w:cs="Arial" w:eastAsia="Arial" w:hAnsi="Arial"/>
                <w:sz w:val="14"/>
                <w:szCs w:val="14"/>
                <w:color w:val="auto"/>
              </w:rPr>
              <w:t>Other</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00" w:type="dxa"/>
            <w:vAlign w:val="bottom"/>
          </w:tcPr>
          <w:p>
            <w:pPr>
              <w:ind w:left="180"/>
              <w:spacing w:after="0" w:line="149" w:lineRule="exact"/>
              <w:rPr>
                <w:sz w:val="20"/>
                <w:szCs w:val="20"/>
                <w:color w:val="auto"/>
              </w:rPr>
            </w:pPr>
            <w:r>
              <w:rPr>
                <w:rFonts w:ascii="Arial" w:cs="Arial" w:eastAsia="Arial" w:hAnsi="Arial"/>
                <w:sz w:val="14"/>
                <w:szCs w:val="14"/>
                <w:color w:val="auto"/>
                <w:w w:val="94"/>
              </w:rPr>
              <w:t>comprehensive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00" w:type="dxa"/>
            <w:vAlign w:val="bottom"/>
          </w:tcPr>
          <w:p>
            <w:pPr>
              <w:ind w:left="180"/>
              <w:spacing w:after="0"/>
              <w:rPr>
                <w:sz w:val="20"/>
                <w:szCs w:val="20"/>
                <w:color w:val="auto"/>
              </w:rPr>
            </w:pPr>
            <w:r>
              <w:rPr>
                <w:rFonts w:ascii="Arial" w:cs="Arial" w:eastAsia="Arial" w:hAnsi="Arial"/>
                <w:sz w:val="14"/>
                <w:szCs w:val="14"/>
                <w:color w:val="auto"/>
              </w:rPr>
              <w:t>income</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1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(51,972)</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(51,972)</w:t>
            </w:r>
          </w:p>
        </w:tc>
        <w:tc>
          <w:tcPr>
            <w:tcW w:w="0" w:type="dxa"/>
            <w:vAlign w:val="bottom"/>
          </w:tcPr>
          <w:p>
            <w:pPr>
              <w:spacing w:after="0"/>
              <w:rPr>
                <w:sz w:val="1"/>
                <w:szCs w:val="1"/>
                <w:color w:val="auto"/>
              </w:rPr>
            </w:pPr>
          </w:p>
        </w:tc>
      </w:tr>
      <w:tr>
        <w:trPr>
          <w:trHeight w:val="106"/>
        </w:trPr>
        <w:tc>
          <w:tcPr>
            <w:tcW w:w="1100" w:type="dxa"/>
            <w:vAlign w:val="bottom"/>
          </w:tcPr>
          <w:p>
            <w:pPr>
              <w:spacing w:after="0" w:line="106" w:lineRule="exact"/>
              <w:rPr>
                <w:sz w:val="20"/>
                <w:szCs w:val="20"/>
                <w:color w:val="auto"/>
              </w:rPr>
            </w:pPr>
            <w:r>
              <w:rPr>
                <w:rFonts w:ascii="Arial" w:cs="Arial" w:eastAsia="Arial" w:hAnsi="Arial"/>
                <w:sz w:val="12"/>
                <w:szCs w:val="12"/>
                <w:b w:val="1"/>
                <w:bCs w:val="1"/>
                <w:color w:val="auto"/>
              </w:rPr>
              <w:t>Balance at</w:t>
            </w: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right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1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w w:val="98"/>
              </w:rPr>
              <w:t>December 31,</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100" w:type="dxa"/>
            <w:vAlign w:val="bottom"/>
          </w:tcPr>
          <w:p>
            <w:pPr>
              <w:ind w:left="180"/>
              <w:spacing w:after="0"/>
              <w:rPr>
                <w:sz w:val="20"/>
                <w:szCs w:val="20"/>
                <w:color w:val="auto"/>
              </w:rPr>
            </w:pPr>
            <w:r>
              <w:rPr>
                <w:rFonts w:ascii="Arial" w:cs="Arial" w:eastAsia="Arial" w:hAnsi="Arial"/>
                <w:sz w:val="14"/>
                <w:szCs w:val="14"/>
                <w:b w:val="1"/>
                <w:bCs w:val="1"/>
                <w:color w:val="auto"/>
              </w:rPr>
              <w:t>2020</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55,700,000</w:t>
            </w:r>
          </w:p>
        </w:tc>
        <w:tc>
          <w:tcPr>
            <w:tcW w:w="12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1"/>
              </w:rPr>
              <w:t>$ 55,700 22,686,025</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4"/>
              </w:rPr>
              <w:t>29,761 27,152,255</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3"/>
              </w:rPr>
              <w:t>51,083</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8"/>
              </w:rPr>
              <w:t>13,301,649</w:t>
            </w:r>
          </w:p>
        </w:tc>
        <w:tc>
          <w:tcPr>
            <w:tcW w:w="6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13</w:t>
            </w:r>
          </w:p>
        </w:tc>
        <w:tc>
          <w:tcPr>
            <w:tcW w:w="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4"/>
                <w:szCs w:val="14"/>
                <w:b w:val="1"/>
                <w:bCs w:val="1"/>
                <w:color w:val="auto"/>
                <w:w w:val="76"/>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5,127</w:t>
            </w:r>
          </w:p>
        </w:tc>
        <w:tc>
          <w:tcPr>
            <w:tcW w:w="180" w:type="dxa"/>
            <w:vAlign w:val="bottom"/>
          </w:tcPr>
          <w:p>
            <w:pPr>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17</w:t>
            </w:r>
          </w:p>
        </w:tc>
        <w:tc>
          <w:tcPr>
            <w:tcW w:w="1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(103,101)</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(97,944)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8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10040"/>
          </w:cols>
          <w:pgMar w:left="1440" w:top="274" w:right="419" w:bottom="1440" w:gutter="0" w:footer="0" w:header="0"/>
        </w:sectPr>
      </w:pPr>
    </w:p>
    <w:bookmarkStart w:id="320" w:name="page321"/>
    <w:bookmarkEnd w:id="32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jc w:val="right"/>
              <w:ind w:right="340"/>
              <w:spacing w:after="0"/>
              <w:rPr>
                <w:sz w:val="20"/>
                <w:szCs w:val="20"/>
                <w:color w:val="auto"/>
              </w:rPr>
            </w:pPr>
            <w:r>
              <w:rPr>
                <w:rFonts w:ascii="Arial" w:cs="Arial" w:eastAsia="Arial" w:hAnsi="Arial"/>
                <w:sz w:val="16"/>
                <w:szCs w:val="16"/>
                <w:b w:val="1"/>
                <w:bCs w:val="1"/>
                <w:color w:val="auto"/>
                <w:w w:val="97"/>
              </w:rPr>
              <w:t>Year Ended 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(51,972)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(14,095)</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Adjustments to reconcile net loss to net cash provided by (used in) operating</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operating lease expense</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57"/>
        </w:trPr>
        <w:tc>
          <w:tcPr>
            <w:tcW w:w="56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119,081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(14,249)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70,074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(24,803)</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Sales and maturities of marketable securities</w:t>
            </w:r>
          </w:p>
        </w:tc>
        <w:tc>
          <w:tcPr>
            <w:tcW w:w="2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63,220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35,246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(207,540)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(32,581)</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provided by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(145,466)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Proceeds from issuance of preferred stock, net of issuance costs of $0.3</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million and $0 during the periods ended December 31, 2020 and 2019,</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80,844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w w:val="92"/>
              </w:rPr>
              <w:t>Proceeds from issuance of common stock upon exercise of stock options</w:t>
            </w:r>
          </w:p>
        </w:tc>
        <w:tc>
          <w:tcPr>
            <w:tcW w:w="2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80,884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2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5,492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(12,955)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38,123</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30,660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25,168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leases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1,782</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4"/>
              </w:rPr>
              <w:t>Supplemental disclosure of noncash investing and financing activity:</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600" w:type="dxa"/>
            <w:vAlign w:val="bottom"/>
          </w:tcPr>
          <w:p>
            <w:pPr>
              <w:ind w:left="180"/>
              <w:spacing w:after="0" w:line="201" w:lineRule="exact"/>
              <w:rPr>
                <w:sz w:val="20"/>
                <w:szCs w:val="20"/>
                <w:color w:val="auto"/>
              </w:rPr>
            </w:pPr>
            <w:r>
              <w:rPr>
                <w:rFonts w:ascii="Arial" w:cs="Arial" w:eastAsia="Arial" w:hAnsi="Arial"/>
                <w:sz w:val="18"/>
                <w:szCs w:val="18"/>
                <w:color w:val="auto"/>
                <w:w w:val="94"/>
              </w:rPr>
              <w:t>Purchases of property and equipment included in accounts payable and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1" w:name="page322"/>
    <w:bookmarkEnd w:id="32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820" w:hanging="366"/>
        <w:spacing w:after="0"/>
        <w:tabs>
          <w:tab w:leader="none" w:pos="82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44" w:lineRule="exact"/>
        <w:rPr>
          <w:sz w:val="20"/>
          <w:szCs w:val="20"/>
          <w:color w:val="auto"/>
        </w:rPr>
      </w:pPr>
    </w:p>
    <w:p>
      <w:pPr>
        <w:ind w:left="460" w:right="499" w:firstLine="432"/>
        <w:spacing w:after="0" w:line="347" w:lineRule="auto"/>
        <w:rPr>
          <w:sz w:val="20"/>
          <w:szCs w:val="20"/>
          <w:color w:val="auto"/>
        </w:rPr>
      </w:pPr>
      <w:r>
        <w:rPr>
          <w:rFonts w:ascii="Arial" w:cs="Arial" w:eastAsia="Arial" w:hAnsi="Arial"/>
          <w:sz w:val="16"/>
          <w:szCs w:val="16"/>
          <w:color w:val="auto"/>
        </w:rPr>
        <w:t>Tango Therapeutics, Inc (“</w:t>
      </w:r>
      <w:r>
        <w:rPr>
          <w:rFonts w:ascii="Arial" w:cs="Arial" w:eastAsia="Arial" w:hAnsi="Arial"/>
          <w:sz w:val="16"/>
          <w:szCs w:val="16"/>
          <w:b w:val="1"/>
          <w:bCs w:val="1"/>
          <w:color w:val="auto"/>
        </w:rPr>
        <w:t>Tango</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is a precision oncology company committed to the discovery and development of novel new drugs in defined patient populations with high unmet medical need.</w:t>
      </w:r>
    </w:p>
    <w:p>
      <w:pPr>
        <w:spacing w:after="0" w:line="52"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The Company is subject to risks common to early-stage companies in the biotechnology industry. Principal among these risks are the uncertainties of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Even if the Company’s development efforts are successful, it is uncertain when, if ever, the Company will realize significant revenue from product sales. If the Company fails to become profitable or is unable to sustain profitability on a continuing basis, then the Company may be unable to continue its operations at planned levels and be forced to reduce or terminate its operations. The Company expects to incur substantial operating losses and negative cash flows from operations for the foreseeable future.</w:t>
      </w:r>
    </w:p>
    <w:p>
      <w:pPr>
        <w:spacing w:after="0" w:line="112"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Since inception, the Company has generated recurring net losses, including a net loss of $52.0 million and $14.1 million for the years ended December 31, 2020 and 2019, respectively. The Company had an accumulated deficit of $103.1 million and $51.1 million as of December 31, 2020 and 2019, respectively. Since inception and through the issuance date of these consolidated financial statements, the Company has raised an aggregate of approximately $166.9 million of gross proceeds from the sale of preferred shares.</w:t>
      </w:r>
    </w:p>
    <w:p>
      <w:pPr>
        <w:spacing w:after="0" w:line="80"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The Company expects operating losses and negative cash flows from operations to continue for the foreseeable future as it continues to develop, manufacture and commercialize its products. As of April 12, 2021, the issuance date of the consolidated financial statements for the year ended December 31, 2020, the Company expected that its cash, cash equivalents and marketable securities, and the $30.0 of additional proceeds from the closing of the second tranche of the Series B convertible preferred stock purchase agreement (see Note 14) received in March 2021, will be sufficient to fund its operating expenses and capital expenditure requirements for at least 12 months from the issuance date of the annual consolidated financial statements. The future viability of the Company beyond that point may be dependent on its ability to raise additional capital to finance its operations.</w:t>
      </w:r>
    </w:p>
    <w:p>
      <w:pPr>
        <w:spacing w:after="0" w:line="113" w:lineRule="exact"/>
        <w:rPr>
          <w:sz w:val="20"/>
          <w:szCs w:val="20"/>
          <w:color w:val="auto"/>
        </w:rPr>
      </w:pPr>
    </w:p>
    <w:p>
      <w:pPr>
        <w:ind w:left="460" w:right="559" w:firstLine="432"/>
        <w:spacing w:after="0" w:line="293" w:lineRule="auto"/>
        <w:rPr>
          <w:sz w:val="20"/>
          <w:szCs w:val="20"/>
          <w:color w:val="auto"/>
        </w:rPr>
      </w:pPr>
      <w:r>
        <w:rPr>
          <w:rFonts w:ascii="Arial" w:cs="Arial" w:eastAsia="Arial" w:hAnsi="Arial"/>
          <w:sz w:val="16"/>
          <w:szCs w:val="16"/>
          <w:color w:val="auto"/>
        </w:rPr>
        <w:t>The Company may seek additional funding in the future, from one or more equity or debt financings, collaborations, or other sources, in order to carry out all of its planned research and development and commercialization activities. However, there is no assurance that the Company will be able to obtain additional funding under acceptable terms, if at all. If the Company is unable to obtain additional financing, the Company may be forced to delay, reduce or eliminate some or all of its research and development programs, product portfolio expansion or commercialization efforts, which could adversely affect its business prospects.</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Merger with BCTG Acquisition Corporation (Unaudited)</w:t>
      </w:r>
    </w:p>
    <w:p>
      <w:pPr>
        <w:spacing w:after="0" w:line="154"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On April 13, 2021, the Company and BCTG Acquisition Corp. (“</w:t>
      </w:r>
      <w:r>
        <w:rPr>
          <w:rFonts w:ascii="Arial" w:cs="Arial" w:eastAsia="Arial" w:hAnsi="Arial"/>
          <w:sz w:val="17"/>
          <w:szCs w:val="17"/>
          <w:b w:val="1"/>
          <w:bCs w:val="1"/>
          <w:color w:val="auto"/>
        </w:rPr>
        <w:t>BCTG</w:t>
      </w:r>
      <w:r>
        <w:rPr>
          <w:rFonts w:ascii="Arial" w:cs="Arial" w:eastAsia="Arial" w:hAnsi="Arial"/>
          <w:sz w:val="17"/>
          <w:szCs w:val="17"/>
          <w:color w:val="auto"/>
        </w:rPr>
        <w:t>”) signed a definitive merger agreement, which will result in BCTG acquiring 100% of the Company’s issued and outstanding equity securities. The proposed merger will be accounted for as a “reverse recapitalization” in accordance with U.S. GAAP. Under the reverse recapitalization model, the Business Combination will be treated as Tango issuing equity for the net assets of BCTG, with no goodwill or intangible assets recorded. Under this method of accounting, BCTG will be treated as the “acquired” company for financial reporting purposes. This determination is primarily based on the fact that subsequent to the merger, the Company’s stockholders are expected to have a majority of the voting power of the combined company, the Company will comprise all of the ongoing operations of the combined entity, the Company will comprise a majority of the governing body of the combined company, and the Company’s senior management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2" w:name="page323"/>
    <w:bookmarkEnd w:id="32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820" w:hanging="366"/>
        <w:spacing w:after="0"/>
        <w:tabs>
          <w:tab w:leader="none" w:pos="82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the Business and Basis of Presentation </w:t>
      </w:r>
      <w:r>
        <w:rPr>
          <w:rFonts w:ascii="Arial" w:cs="Arial" w:eastAsia="Arial" w:hAnsi="Arial"/>
          <w:sz w:val="18"/>
          <w:szCs w:val="18"/>
          <w:color w:val="auto"/>
        </w:rPr>
        <w:t>(cont.)</w:t>
      </w:r>
    </w:p>
    <w:p>
      <w:pPr>
        <w:spacing w:after="0" w:line="189" w:lineRule="exact"/>
        <w:rPr>
          <w:sz w:val="20"/>
          <w:szCs w:val="20"/>
          <w:color w:val="auto"/>
        </w:rPr>
      </w:pPr>
    </w:p>
    <w:p>
      <w:pPr>
        <w:ind w:left="460" w:right="919"/>
        <w:spacing w:after="0" w:line="263" w:lineRule="auto"/>
        <w:rPr>
          <w:sz w:val="20"/>
          <w:szCs w:val="20"/>
          <w:color w:val="auto"/>
        </w:rPr>
      </w:pPr>
      <w:r>
        <w:rPr>
          <w:rFonts w:ascii="Arial" w:cs="Arial" w:eastAsia="Arial" w:hAnsi="Arial"/>
          <w:sz w:val="18"/>
          <w:szCs w:val="18"/>
          <w:color w:val="auto"/>
        </w:rPr>
        <w:t>will comprise all of the senior management of the combined company. As a result of the proposed merger, BCTG will be renamed Tango Therapeutics, Inc. The boards of directors of both BCTG and Tango have approved the proposed merger transaction.</w:t>
      </w:r>
    </w:p>
    <w:p>
      <w:pPr>
        <w:spacing w:after="0" w:line="116"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BCTG is expected to receive net proceeds of approximately $156.9 million upon the closing of the proposed merger transaction, assuming no redemptions are affected by stockholders of BCTG, and will operate under the current Tango management team upon the closing of the proposed merger. In connection with the proposed merger, BCTG has entered into agreements with existing and new investors to subscribe for and purchase an aggregate of 18.6 million shares of its common stock (the “</w:t>
      </w:r>
      <w:r>
        <w:rPr>
          <w:rFonts w:ascii="Arial" w:cs="Arial" w:eastAsia="Arial" w:hAnsi="Arial"/>
          <w:sz w:val="17"/>
          <w:szCs w:val="17"/>
          <w:b w:val="1"/>
          <w:bCs w:val="1"/>
          <w:color w:val="auto"/>
        </w:rPr>
        <w:t>PIPE Financing</w:t>
      </w:r>
      <w:r>
        <w:rPr>
          <w:rFonts w:ascii="Arial" w:cs="Arial" w:eastAsia="Arial" w:hAnsi="Arial"/>
          <w:sz w:val="17"/>
          <w:szCs w:val="17"/>
          <w:color w:val="auto"/>
        </w:rPr>
        <w:t>”) that will result in net proceeds of an additional $179.7 million upon the closing of the PIPE Financing. The closing of the proposed merger is a precondition to the PIPE Financing.</w:t>
      </w:r>
    </w:p>
    <w:p>
      <w:pPr>
        <w:spacing w:after="0" w:line="92"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Subject to the terms of the merger agreement, at the effective time of the merger (the “</w:t>
      </w:r>
      <w:r>
        <w:rPr>
          <w:rFonts w:ascii="Arial" w:cs="Arial" w:eastAsia="Arial" w:hAnsi="Arial"/>
          <w:sz w:val="16"/>
          <w:szCs w:val="16"/>
          <w:b w:val="1"/>
          <w:bCs w:val="1"/>
          <w:color w:val="auto"/>
        </w:rPr>
        <w:t>Effective Time</w:t>
      </w:r>
      <w:r>
        <w:rPr>
          <w:rFonts w:ascii="Arial" w:cs="Arial" w:eastAsia="Arial" w:hAnsi="Arial"/>
          <w:sz w:val="16"/>
          <w:szCs w:val="16"/>
          <w:color w:val="auto"/>
        </w:rPr>
        <w:t>”), each share of the Company’s redeemable convertible preferred stock “</w:t>
      </w:r>
      <w:r>
        <w:rPr>
          <w:rFonts w:ascii="Arial" w:cs="Arial" w:eastAsia="Arial" w:hAnsi="Arial"/>
          <w:sz w:val="16"/>
          <w:szCs w:val="16"/>
          <w:b w:val="1"/>
          <w:bCs w:val="1"/>
          <w:color w:val="auto"/>
        </w:rPr>
        <w:t>Preferred Stock</w:t>
      </w:r>
      <w:r>
        <w:rPr>
          <w:rFonts w:ascii="Arial" w:cs="Arial" w:eastAsia="Arial" w:hAnsi="Arial"/>
          <w:sz w:val="16"/>
          <w:szCs w:val="16"/>
          <w:color w:val="auto"/>
        </w:rPr>
        <w:t>” issued and outstanding immediately prior to the Effective Time shall be converted into a share of the Company’s common stock. At the Effective Time, each option to purchase the Company’s common stock shall become an option, respectively, to purchase shares of common stock of the surviving entity, subject to adjustment in accordance with the exchange ratio. Completion of the PIPE Financing and proposed merger transactions is subject to approval of BCTG stockholders and the satisfaction or waiver of certain other customary closing conditions. The approval from BCTG stockholders is expected in the third quarter of 2021.</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58"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At the end of 2019, a novel strain of a virus named SARS-CoV-2 (severe acute respiratory syndrome coronavirus 2), or coronavirus, which causes COVID-19 has spread to most countries across the world, including all 50 states within the U.S., including Cambridge, Massachusetts, where the Company’s primary office and laboratory space is located. The coronavirus pandemic led to the implementation of various responses, including government-imposed quarantines, travel restrictions and other public health safety measures. The extent to which the coronavirus impacts the Company’s operations or those of its third-party partners, including preclinical studies or clinical trial operations, will depend on future developments, which are highly uncertain and cannot be predicted with confidence, including the duration of the outbreak, new information that will emerge concerning the severity of the coronavirus and the actions to contain the coronavirus or treat its impact, among others. The continued spread of COVID-19 globally could adversely impact the Company’s preclinical or clinical trial operations in the U.S., including it’s ability to recruit and retain patients and principal investigators and site staff who, as healthcare providers, may have heightened exposure to COVID-19 if an outbreak occurs in their geography.</w:t>
      </w:r>
    </w:p>
    <w:p>
      <w:pPr>
        <w:spacing w:after="0" w:line="119"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 Company is monitoring the potential impact of the COVID-19 pandemic on its business and financial statements. To date, COVID-19 has not had a material impact on operations, and the Company has not incurred significant delays related to its research and development programs. Additionally, the Company has not incurred impairment losses in the carrying values of its assets as a result of the pandemic and it is not aware of any specific related event or circumstance that would require it to revise its estimates reflected in these consolidated financial statements. The extent to which the COVID-19 pandemic will directly or indirectly impact the Company’s business, results of operations, financial condition and liquidity, including research and development costs, will depend on future developments that are highly uncertain, including as a result of new information that may emerge concerning COVID-19, the actions taken to contain or treat it, and the duration and intensity of the related effects.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3" w:name="page324"/>
    <w:bookmarkEnd w:id="32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820" w:hanging="366"/>
        <w:spacing w:after="0"/>
        <w:tabs>
          <w:tab w:leader="none" w:pos="82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the Business and Basis of Presentation </w:t>
      </w:r>
      <w:r>
        <w:rPr>
          <w:rFonts w:ascii="Arial" w:cs="Arial" w:eastAsia="Arial" w:hAnsi="Arial"/>
          <w:sz w:val="18"/>
          <w:szCs w:val="18"/>
          <w:color w:val="auto"/>
        </w:rPr>
        <w:t>(cont.)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4"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w:t>
      </w:r>
      <w:r>
        <w:rPr>
          <w:rFonts w:ascii="Arial" w:cs="Arial" w:eastAsia="Arial" w:hAnsi="Arial"/>
          <w:sz w:val="18"/>
          <w:szCs w:val="18"/>
          <w:b w:val="1"/>
          <w:bCs w:val="1"/>
          <w:color w:val="auto"/>
        </w:rPr>
        <w:t>U.S. GAAP</w:t>
      </w:r>
      <w:r>
        <w:rPr>
          <w:rFonts w:ascii="Arial" w:cs="Arial" w:eastAsia="Arial" w:hAnsi="Arial"/>
          <w:sz w:val="18"/>
          <w:szCs w:val="18"/>
          <w:color w:val="auto"/>
        </w:rPr>
        <w:t>”). The accompanying consolidated financial statements reflect the operations of Tango and its wholly owned subsidiary. All intercompany accounts and transactions have been eliminated. The functional and reporting currency of the Company and its subsidiary is the U.S. dollar.</w:t>
      </w:r>
    </w:p>
    <w:p>
      <w:pPr>
        <w:spacing w:after="0" w:line="184" w:lineRule="exact"/>
        <w:rPr>
          <w:sz w:val="20"/>
          <w:szCs w:val="20"/>
          <w:color w:val="auto"/>
        </w:rPr>
      </w:pPr>
    </w:p>
    <w:p>
      <w:pPr>
        <w:ind w:left="820" w:hanging="366"/>
        <w:spacing w:after="0"/>
        <w:tabs>
          <w:tab w:leader="none" w:pos="82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The preparation of consolidated financial statements requires that the Company make estimates, judgments and assumptions that may affect the reported amounts of assets, liabilities, equity, revenues and expenses and related disclosure of contingent assets and liabilities. Significant estimates and assumptions made in the consolidated financial statements include, but are not limited to, the revenue recognized from collaboration agreements, the valuation of common shares and stock-based awards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consolidated financial statements, the Company is not aware of any specific event or circumstance that would require the Company to update estimates, judgments or revise the carrying value of any assets or liabilities related to COVID-19. Actual results may differ from these estimates under different assumptions or conditions. Changes in estimates are reflected in reported results in the period in which they become known.</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58"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for evaluation by the chief operating decision maker in deciding how to allocate resources and in assessing performance. The Company operates in one operating segment, the business of discovering and developing precision oncology therapies.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44" w:lineRule="exact"/>
        <w:rPr>
          <w:sz w:val="20"/>
          <w:szCs w:val="20"/>
          <w:color w:val="auto"/>
        </w:rPr>
      </w:pPr>
    </w:p>
    <w:p>
      <w:pPr>
        <w:jc w:val="both"/>
        <w:ind w:left="460" w:right="619" w:firstLine="432"/>
        <w:spacing w:after="0" w:line="263" w:lineRule="auto"/>
        <w:rPr>
          <w:sz w:val="20"/>
          <w:szCs w:val="20"/>
          <w:color w:val="auto"/>
        </w:rPr>
      </w:pPr>
      <w:r>
        <w:rPr>
          <w:rFonts w:ascii="Arial" w:cs="Arial" w:eastAsia="Arial" w:hAnsi="Arial"/>
          <w:sz w:val="18"/>
          <w:szCs w:val="18"/>
          <w:color w:val="auto"/>
        </w:rPr>
        <w:t>All highly liquid marketable securities purchased with an original maturity date of 90 days or less at the date of purchase are considered to be cash equivalents. Cash equivalents consisted of money market funds and U.S Treasury bills as of December 31, 2020 and 2019.</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158"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Marketable debt securities consist of investments with original maturities greater than 90 days. The Company classifies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which is based on quoted market prices. Unrealized gains and losses are reported as a component of accumulated other comprehensive income (loss) in stockholders’ equity (deficit). Amortization and accretion of premiums and discounts are recorded in interest income. Realized gains and losses and declines in value determined to be other than temporary are based on the specific identification method and are included as a component of other income, net in the consolidated statements of operations.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4" w:name="page325"/>
    <w:bookmarkEnd w:id="32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820" w:hanging="366"/>
        <w:spacing w:after="0"/>
        <w:tabs>
          <w:tab w:leader="none" w:pos="82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The Company evaluates its investments with unrealized losses for impairment. When assessing investments for unrealized declines in value, the Company considers whether the decline in value is related to a credit loss or non-credit loss. For credit losses, the Company reduces the investment to fair value through an allowance for credit losses recorded to the balance sheet and corresponding charge to the statement of operations. The allowance for credit losses and corresponding impairment charge is adjusted each period for changes in fair value. For non-credit losses, the Company reduces the investment to fair value through a charge to the statement of comprehensive loss, reported as a component of accumulated other comprehensive income (loss) in stockholders’ equity. No such credit losses were recorded during the periods presented.</w:t>
      </w:r>
    </w:p>
    <w:p>
      <w:pPr>
        <w:spacing w:after="0" w:line="98"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Prior to the early adoption of ASU 2016-13</w:t>
      </w:r>
      <w:r>
        <w:rPr>
          <w:rFonts w:ascii="Arial" w:cs="Arial" w:eastAsia="Arial" w:hAnsi="Arial"/>
          <w:sz w:val="18"/>
          <w:szCs w:val="18"/>
          <w:i w:val="1"/>
          <w:iCs w:val="1"/>
          <w:color w:val="auto"/>
        </w:rPr>
        <w:t>, Financial Instruments — 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of Credit Losses on Financial Instruments, </w:t>
      </w:r>
      <w:r>
        <w:rPr>
          <w:rFonts w:ascii="Arial" w:cs="Arial" w:eastAsia="Arial" w:hAnsi="Arial"/>
          <w:sz w:val="18"/>
          <w:szCs w:val="18"/>
          <w:color w:val="auto"/>
        </w:rPr>
        <w:t>on January 1, 2020, the Company evaluated its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with unrealized losses for other-than-temporary impairment. If any adjustment to fair value reflected a decline in the value of the investment that the Company considered to be “other than temporary,” the Company would reduce the investment to fair value through a charge to the consolidated statements of operations.</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44"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The accounting standard for fair value measurements defines fair value, establishes a framework for measuring fair value in accordance with U.S. GAAP, and requires certain disclosures about fair value measurements. Under this standard, fair value is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11" w:lineRule="exact"/>
        <w:rPr>
          <w:sz w:val="20"/>
          <w:szCs w:val="20"/>
          <w:color w:val="auto"/>
        </w:rPr>
      </w:pPr>
    </w:p>
    <w:p>
      <w:pPr>
        <w:ind w:left="1320" w:right="719" w:hanging="434"/>
        <w:spacing w:after="0" w:line="277" w:lineRule="auto"/>
        <w:tabs>
          <w:tab w:leader="none" w:pos="131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Level 1 — Fair values are determined utilizing prices (unadjusted) in active markets for identical assets or liabilities that the Company has the ability to access.</w:t>
      </w:r>
    </w:p>
    <w:p>
      <w:pPr>
        <w:spacing w:after="0" w:line="102" w:lineRule="exact"/>
        <w:rPr>
          <w:rFonts w:ascii="Arial" w:cs="Arial" w:eastAsia="Arial" w:hAnsi="Arial"/>
          <w:sz w:val="18"/>
          <w:szCs w:val="18"/>
          <w:color w:val="auto"/>
        </w:rPr>
      </w:pPr>
    </w:p>
    <w:p>
      <w:pPr>
        <w:ind w:left="1320" w:right="679" w:hanging="434"/>
        <w:spacing w:after="0" w:line="263" w:lineRule="auto"/>
        <w:tabs>
          <w:tab w:leader="none" w:pos="131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Level 2 — Fair values are determined by utilizing quoted prices for identical or similar assets and liabilities in active markets or other market observable inputs such as interest rates, yield curves, and foreign currency spot rates.</w:t>
      </w:r>
    </w:p>
    <w:p>
      <w:pPr>
        <w:spacing w:after="0" w:line="102" w:lineRule="exact"/>
        <w:rPr>
          <w:rFonts w:ascii="Arial" w:cs="Arial" w:eastAsia="Arial" w:hAnsi="Arial"/>
          <w:sz w:val="18"/>
          <w:szCs w:val="18"/>
          <w:color w:val="auto"/>
        </w:rPr>
      </w:pPr>
    </w:p>
    <w:p>
      <w:pPr>
        <w:ind w:left="1320" w:right="1199" w:hanging="434"/>
        <w:spacing w:after="0" w:line="277" w:lineRule="auto"/>
        <w:tabs>
          <w:tab w:leader="none" w:pos="131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103"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fair value of the Company’s cash equivalents and marketable securities are determined according to the fair value hierarchy described above (see Note 4). The carrying values of the Company’s accounts receivable, accounts payable and accrued expenses approximate their fair values due to the short-term nature of these assets and liabilities.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Concentration of Credit Risk and Significant Suppliers</w:t>
      </w:r>
    </w:p>
    <w:p>
      <w:pPr>
        <w:spacing w:after="0" w:line="158" w:lineRule="exact"/>
        <w:rPr>
          <w:sz w:val="20"/>
          <w:szCs w:val="20"/>
          <w:color w:val="auto"/>
        </w:rPr>
      </w:pPr>
    </w:p>
    <w:p>
      <w:pPr>
        <w:ind w:left="460" w:right="459" w:firstLine="432"/>
        <w:spacing w:after="0" w:line="289"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of cash, cash equivalents and marketable debt securities. The Company’s cash, cash equivalent and marketable securities balances are held by major financial institutions that management believes to be creditworthy. The Company uses multiple financial institutions to limit the amount of credit exposure to any one financial institution. Substantially all the Company’s cash, cash equivalent and marketable debt securities were invested in money market funds, U.S. Treasury bills, and U.S. government agency bonds at December 31, 2020 and 2019. At times, the Company’s cash deposits may exceed the amount of federal insurance provided on such deposits. The Company has not experienced any losses in such accounts and believes it is not exposed to significant credit risk beyond the normal credit risk associated with commercial banking relationships.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5" w:name="page326"/>
    <w:bookmarkEnd w:id="32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820" w:hanging="366"/>
        <w:spacing w:after="0"/>
        <w:tabs>
          <w:tab w:leader="none" w:pos="82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619" w:firstLine="432"/>
        <w:spacing w:after="0" w:line="311" w:lineRule="auto"/>
        <w:rPr>
          <w:sz w:val="20"/>
          <w:szCs w:val="20"/>
          <w:color w:val="auto"/>
        </w:rPr>
      </w:pPr>
      <w:r>
        <w:rPr>
          <w:rFonts w:ascii="Arial" w:cs="Arial" w:eastAsia="Arial" w:hAnsi="Arial"/>
          <w:sz w:val="16"/>
          <w:szCs w:val="16"/>
          <w:color w:val="auto"/>
        </w:rPr>
        <w:t>The Company relies, and expects to continue to rely, on a small number of vendors to perform research activities that continue to progress its product candidates for its development programs. These programs could be adversely affected by a significant interruption in the related processes of these vendors.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58"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Cash accounts with any type of restriction are considered restricted cash and are classified on the balance sheet based on the length of the restrictive obligation. As of both December 31, 2020 and 2019, the Company recorded restricted cash of $2.3 million, all of which was related to security deposits associated with the Company’s facility leases in Boston, Massachusetts and Cambridge, Massachusetts, and is recorded as long term in its balance sheet because the deposit is required for the duration of the lease which is greater than a year.</w:t>
      </w:r>
    </w:p>
    <w:p>
      <w:pPr>
        <w:spacing w:after="0" w:line="80" w:lineRule="exact"/>
        <w:rPr>
          <w:sz w:val="20"/>
          <w:szCs w:val="20"/>
          <w:color w:val="auto"/>
        </w:rPr>
      </w:pPr>
    </w:p>
    <w:p>
      <w:pPr>
        <w:ind w:left="460" w:right="1319" w:firstLine="432"/>
        <w:spacing w:after="0" w:line="277" w:lineRule="auto"/>
        <w:rPr>
          <w:sz w:val="20"/>
          <w:szCs w:val="20"/>
          <w:color w:val="auto"/>
        </w:rPr>
      </w:pPr>
      <w:r>
        <w:rPr>
          <w:rFonts w:ascii="Arial" w:cs="Arial" w:eastAsia="Arial" w:hAnsi="Arial"/>
          <w:sz w:val="18"/>
          <w:szCs w:val="18"/>
          <w:color w:val="auto"/>
        </w:rPr>
        <w:t>The reconciliation of cash and cash equivalents and restricted cash to amounts presented in the consolidated statements of cash flows are as follows: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92"/>
              <w:spacing w:after="0"/>
              <w:rPr>
                <w:sz w:val="20"/>
                <w:szCs w:val="20"/>
                <w:color w:val="auto"/>
              </w:rPr>
            </w:pPr>
            <w:r>
              <w:rPr>
                <w:rFonts w:ascii="Arial" w:cs="Arial" w:eastAsia="Arial" w:hAnsi="Arial"/>
                <w:sz w:val="16"/>
                <w:szCs w:val="16"/>
                <w:b w:val="1"/>
                <w:bCs w:val="1"/>
                <w:color w:val="auto"/>
              </w:rPr>
              <w:t>December 31,</w:t>
            </w: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5"/>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gridSpan w:val="5"/>
          </w:tcPr>
          <w:p>
            <w:pPr>
              <w:spacing w:after="0"/>
              <w:rPr>
                <w:sz w:val="4"/>
                <w:szCs w:val="4"/>
                <w:color w:val="auto"/>
              </w:rPr>
            </w:pPr>
          </w:p>
        </w:tc>
      </w:tr>
      <w:tr>
        <w:trPr>
          <w:trHeight w:val="217"/>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72"/>
              <w:spacing w:after="0"/>
              <w:rPr>
                <w:sz w:val="20"/>
                <w:szCs w:val="20"/>
                <w:color w:val="auto"/>
              </w:rPr>
            </w:pPr>
            <w:r>
              <w:rPr>
                <w:rFonts w:ascii="Arial" w:cs="Arial" w:eastAsia="Arial" w:hAnsi="Arial"/>
                <w:sz w:val="16"/>
                <w:szCs w:val="16"/>
                <w:b w:val="1"/>
                <w:bCs w:val="1"/>
                <w:color w:val="auto"/>
              </w:rPr>
              <w:t>(in thousands)</w:t>
            </w: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28,381</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22,889</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2,279</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2,279</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30,660</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25,168</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44" w:lineRule="exact"/>
        <w:rPr>
          <w:sz w:val="20"/>
          <w:szCs w:val="20"/>
          <w:color w:val="auto"/>
        </w:rPr>
      </w:pPr>
    </w:p>
    <w:p>
      <w:pPr>
        <w:jc w:val="both"/>
        <w:ind w:left="460" w:right="679" w:firstLine="432"/>
        <w:spacing w:after="0" w:line="279"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and amortization expense is recognized using the straight-line method over the estimated useful lives of each asset. Estimated useful lives are periodically assessed to determine if changes are appropriate. The estimated useful lives of the Company’s property and equipment are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31"/>
        </w:trPr>
        <w:tc>
          <w:tcPr>
            <w:tcW w:w="4040" w:type="dxa"/>
            <w:vAlign w:val="bottom"/>
            <w:gridSpan w:val="2"/>
          </w:tcPr>
          <w:p>
            <w:pPr>
              <w:spacing w:after="0"/>
              <w:rPr>
                <w:sz w:val="20"/>
                <w:szCs w:val="20"/>
                <w:color w:val="auto"/>
              </w:rPr>
            </w:pPr>
            <w:r>
              <w:rPr>
                <w:rFonts w:ascii="Arial" w:cs="Arial" w:eastAsia="Arial" w:hAnsi="Arial"/>
                <w:sz w:val="16"/>
                <w:szCs w:val="16"/>
                <w:b w:val="1"/>
                <w:bCs w:val="1"/>
                <w:color w:val="auto"/>
              </w:rPr>
              <w:t>Asset</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25"/>
        </w:trPr>
        <w:tc>
          <w:tcPr>
            <w:tcW w:w="3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Computer equipment</w:t>
            </w:r>
          </w:p>
        </w:tc>
        <w:tc>
          <w:tcPr>
            <w:tcW w:w="100" w:type="dxa"/>
            <w:vAlign w:val="bottom"/>
          </w:tcPr>
          <w:p>
            <w:pPr>
              <w:spacing w:after="0"/>
              <w:rPr>
                <w:sz w:val="19"/>
                <w:szCs w:val="19"/>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84"/>
              </w:rPr>
              <w:t>3 years</w:t>
            </w:r>
          </w:p>
        </w:tc>
      </w:tr>
      <w:tr>
        <w:trPr>
          <w:trHeight w:val="283"/>
        </w:trPr>
        <w:tc>
          <w:tcPr>
            <w:tcW w:w="4040" w:type="dxa"/>
            <w:vAlign w:val="bottom"/>
            <w:gridSpan w:val="2"/>
          </w:tcPr>
          <w:p>
            <w:pPr>
              <w:spacing w:after="0"/>
              <w:rPr>
                <w:sz w:val="20"/>
                <w:szCs w:val="20"/>
                <w:color w:val="auto"/>
              </w:rPr>
            </w:pPr>
            <w:r>
              <w:rPr>
                <w:rFonts w:ascii="Arial" w:cs="Arial" w:eastAsia="Arial" w:hAnsi="Arial"/>
                <w:sz w:val="18"/>
                <w:szCs w:val="18"/>
                <w:color w:val="auto"/>
              </w:rPr>
              <w:t>Computer software</w:t>
            </w:r>
          </w:p>
        </w:tc>
        <w:tc>
          <w:tcPr>
            <w:tcW w:w="4060" w:type="dxa"/>
            <w:vAlign w:val="bottom"/>
          </w:tcPr>
          <w:p>
            <w:pPr>
              <w:jc w:val="center"/>
              <w:spacing w:after="0"/>
              <w:rPr>
                <w:sz w:val="20"/>
                <w:szCs w:val="20"/>
                <w:color w:val="auto"/>
              </w:rPr>
            </w:pPr>
            <w:r>
              <w:rPr>
                <w:rFonts w:ascii="Arial" w:cs="Arial" w:eastAsia="Arial" w:hAnsi="Arial"/>
                <w:sz w:val="18"/>
                <w:szCs w:val="18"/>
                <w:color w:val="auto"/>
                <w:w w:val="84"/>
              </w:rPr>
              <w:t>5 years</w:t>
            </w:r>
          </w:p>
        </w:tc>
      </w:tr>
      <w:tr>
        <w:trPr>
          <w:trHeight w:val="284"/>
        </w:trPr>
        <w:tc>
          <w:tcPr>
            <w:tcW w:w="4040" w:type="dxa"/>
            <w:vAlign w:val="bottom"/>
            <w:gridSpan w:val="2"/>
          </w:tcPr>
          <w:p>
            <w:pPr>
              <w:spacing w:after="0"/>
              <w:rPr>
                <w:sz w:val="20"/>
                <w:szCs w:val="20"/>
                <w:color w:val="auto"/>
              </w:rPr>
            </w:pPr>
            <w:r>
              <w:rPr>
                <w:rFonts w:ascii="Arial" w:cs="Arial" w:eastAsia="Arial" w:hAnsi="Arial"/>
                <w:sz w:val="18"/>
                <w:szCs w:val="18"/>
                <w:color w:val="auto"/>
              </w:rPr>
              <w:t>Office equipment</w:t>
            </w:r>
          </w:p>
        </w:tc>
        <w:tc>
          <w:tcPr>
            <w:tcW w:w="4060" w:type="dxa"/>
            <w:vAlign w:val="bottom"/>
          </w:tcPr>
          <w:p>
            <w:pPr>
              <w:jc w:val="center"/>
              <w:spacing w:after="0"/>
              <w:rPr>
                <w:sz w:val="20"/>
                <w:szCs w:val="20"/>
                <w:color w:val="auto"/>
              </w:rPr>
            </w:pPr>
            <w:r>
              <w:rPr>
                <w:rFonts w:ascii="Arial" w:cs="Arial" w:eastAsia="Arial" w:hAnsi="Arial"/>
                <w:sz w:val="18"/>
                <w:szCs w:val="18"/>
                <w:color w:val="auto"/>
                <w:w w:val="84"/>
              </w:rPr>
              <w:t>5 years</w:t>
            </w:r>
          </w:p>
        </w:tc>
      </w:tr>
      <w:tr>
        <w:trPr>
          <w:trHeight w:val="283"/>
        </w:trPr>
        <w:tc>
          <w:tcPr>
            <w:tcW w:w="404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4060" w:type="dxa"/>
            <w:vAlign w:val="bottom"/>
          </w:tcPr>
          <w:p>
            <w:pPr>
              <w:jc w:val="center"/>
              <w:spacing w:after="0"/>
              <w:rPr>
                <w:sz w:val="20"/>
                <w:szCs w:val="20"/>
                <w:color w:val="auto"/>
              </w:rPr>
            </w:pPr>
            <w:r>
              <w:rPr>
                <w:rFonts w:ascii="Arial" w:cs="Arial" w:eastAsia="Arial" w:hAnsi="Arial"/>
                <w:sz w:val="18"/>
                <w:szCs w:val="18"/>
                <w:color w:val="auto"/>
                <w:w w:val="84"/>
              </w:rPr>
              <w:t>7 years</w:t>
            </w:r>
          </w:p>
        </w:tc>
      </w:tr>
      <w:tr>
        <w:trPr>
          <w:trHeight w:val="283"/>
        </w:trPr>
        <w:tc>
          <w:tcPr>
            <w:tcW w:w="4040" w:type="dxa"/>
            <w:vAlign w:val="bottom"/>
            <w:gridSpan w:val="2"/>
          </w:tcPr>
          <w:p>
            <w:pPr>
              <w:spacing w:after="0"/>
              <w:rPr>
                <w:sz w:val="20"/>
                <w:szCs w:val="20"/>
                <w:color w:val="auto"/>
              </w:rPr>
            </w:pPr>
            <w:r>
              <w:rPr>
                <w:rFonts w:ascii="Arial" w:cs="Arial" w:eastAsia="Arial" w:hAnsi="Arial"/>
                <w:sz w:val="18"/>
                <w:szCs w:val="18"/>
                <w:color w:val="auto"/>
              </w:rPr>
              <w:t>Laboratory equipment</w:t>
            </w:r>
          </w:p>
        </w:tc>
        <w:tc>
          <w:tcPr>
            <w:tcW w:w="4060" w:type="dxa"/>
            <w:vAlign w:val="bottom"/>
          </w:tcPr>
          <w:p>
            <w:pPr>
              <w:jc w:val="center"/>
              <w:spacing w:after="0"/>
              <w:rPr>
                <w:sz w:val="20"/>
                <w:szCs w:val="20"/>
                <w:color w:val="auto"/>
              </w:rPr>
            </w:pPr>
            <w:r>
              <w:rPr>
                <w:rFonts w:ascii="Arial" w:cs="Arial" w:eastAsia="Arial" w:hAnsi="Arial"/>
                <w:sz w:val="18"/>
                <w:szCs w:val="18"/>
                <w:color w:val="auto"/>
                <w:w w:val="84"/>
              </w:rPr>
              <w:t>7 years</w:t>
            </w:r>
          </w:p>
        </w:tc>
      </w:tr>
      <w:tr>
        <w:trPr>
          <w:trHeight w:val="284"/>
        </w:trPr>
        <w:tc>
          <w:tcPr>
            <w:tcW w:w="40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4060" w:type="dxa"/>
            <w:vAlign w:val="bottom"/>
          </w:tcPr>
          <w:p>
            <w:pPr>
              <w:jc w:val="center"/>
              <w:spacing w:after="0"/>
              <w:rPr>
                <w:sz w:val="20"/>
                <w:szCs w:val="20"/>
                <w:color w:val="auto"/>
              </w:rPr>
            </w:pPr>
            <w:r>
              <w:rPr>
                <w:rFonts w:ascii="Arial" w:cs="Arial" w:eastAsia="Arial" w:hAnsi="Arial"/>
                <w:sz w:val="18"/>
                <w:szCs w:val="18"/>
                <w:color w:val="auto"/>
                <w:w w:val="90"/>
              </w:rPr>
              <w:t>Shorter of remaining lease term or 10 years</w:t>
            </w:r>
          </w:p>
        </w:tc>
      </w:tr>
    </w:tbl>
    <w:p>
      <w:pPr>
        <w:spacing w:after="0" w:line="202"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The Company reviews long-lived assets, such as property and equipment, for impairment when events or changes in circumstances indicate the carrying value of the assets may not be recoverable. If indicators of impairment are present, the assets are tested for recoverability by comparing the carrying amount of the assets to the related estimated future undiscounted cash flows that the assets are expected to generate. If the expected cash flows are less than the carrying value of the asset group, then the asset group is considered to be impaired and its carrying value is written down to fair value, based on the related estimated discounted future cash flows. To date, no such impairment losses have been recorded.</w:t>
      </w:r>
    </w:p>
    <w:p>
      <w:pPr>
        <w:spacing w:after="0" w:line="110"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Costs for assets not yet placed into service are capitalized as construction-in-progress and depreciated or amortized in accordance with the above useful lives once placed into service. Upon retirement or sale, the related cost and accumulated depreciation and amortization are removed from the accounts and any resulting gain or loss is included in the consolidated statements of operations. Repairs and maintenance costs are expensed as incurred.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6" w:name="page327"/>
    <w:bookmarkEnd w:id="32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820" w:hanging="366"/>
        <w:spacing w:after="0"/>
        <w:tabs>
          <w:tab w:leader="none" w:pos="82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44"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 xml:space="preserve">The Company accounts for leases in accordance with ASC Topic 842, </w:t>
      </w:r>
      <w:r>
        <w:rPr>
          <w:rFonts w:ascii="Arial" w:cs="Arial" w:eastAsia="Arial" w:hAnsi="Arial"/>
          <w:sz w:val="18"/>
          <w:szCs w:val="18"/>
          <w:i w:val="1"/>
          <w:iCs w:val="1"/>
          <w:color w:val="auto"/>
        </w:rPr>
        <w:t>Leases</w:t>
      </w:r>
      <w:r>
        <w:rPr>
          <w:rFonts w:ascii="Arial" w:cs="Arial" w:eastAsia="Arial" w:hAnsi="Arial"/>
          <w:sz w:val="18"/>
          <w:szCs w:val="18"/>
          <w:color w:val="auto"/>
        </w:rPr>
        <w:t>, which it early adopted on January 1, 2018.</w:t>
      </w:r>
    </w:p>
    <w:p>
      <w:pPr>
        <w:spacing w:after="0" w:line="103"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At the inception of an arrangement, the Company determines whether the arrangement is or contains a lease based on specific facts and circumstances and the existence of an identified asset(s), if any, and its control over the use of the identified asset(s), if applicable. Upon lease commencement, operating lease liabilities and their corresponding right-of-use assets are recorded on the balance sheet based at the present value of lease payments over the expected lease term. Leases with an initial term of 12 months or less are not recorded on the balance sheet. Lease expense is recognized over the expected term on a straight-line basis.</w:t>
      </w:r>
    </w:p>
    <w:p>
      <w:pPr>
        <w:spacing w:after="0" w:line="97"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Lease payments are discounted at the lease commencement date using the interest rate implicit in the lease contract. As this rate is typically not readily determinable, the Company determines an incremental borrowing rate that is used to discount lease payments, which reflects the fixed rate at which the Company could borrow on a collateralized basis the amount of the lease payments in the same currency, for a similar term, in a similar economic environment. Certain prospective adjustments to the right-of-use asset may be required for items such as initial direct costs paid or incentives received.</w:t>
      </w:r>
    </w:p>
    <w:p>
      <w:pPr>
        <w:spacing w:after="0" w:line="97" w:lineRule="exact"/>
        <w:rPr>
          <w:sz w:val="20"/>
          <w:szCs w:val="20"/>
          <w:color w:val="auto"/>
        </w:rPr>
      </w:pPr>
    </w:p>
    <w:p>
      <w:pPr>
        <w:ind w:left="460" w:right="599" w:firstLine="432"/>
        <w:spacing w:after="0" w:line="291" w:lineRule="auto"/>
        <w:rPr>
          <w:sz w:val="20"/>
          <w:szCs w:val="20"/>
          <w:color w:val="auto"/>
        </w:rPr>
      </w:pPr>
      <w:r>
        <w:rPr>
          <w:rFonts w:ascii="Arial" w:cs="Arial" w:eastAsia="Arial" w:hAnsi="Arial"/>
          <w:sz w:val="16"/>
          <w:szCs w:val="16"/>
          <w:color w:val="auto"/>
        </w:rPr>
        <w:t>The Company elected to account for lease and non-lease components as a single lease component, however non-lease components that are variable, such as common area maintenance and utilities, are generally paid separately from rent based on actual costs incurred and therefore are not included in the right-of-use asset and operating lease liability and are reflected as an expense in the period incurred. The Company’s lease terms often include renewal options. The amounts determined for the Company’s right-of-use assets and lease liabilities generally do not assume that any renewal options or any early-termination provisions, if any, are exercised, unless it is reasonably certain that the Company will exercise such options.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At contract inception, the Company assesses whether the collaboration arrangements are within the scope of ASC Topic 808, Collaborative Arrangements, or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ASC 808 that contain multiple elements, the Company first determines which elements of the arrangement are within the scope of ASC 808 and which elements are within the scope of ASC 606. For elements of collaboration arrangements that are accounted for pursuant to ASC 808, an appropriate recognition method is determined and applied consistently, either by analogy to authoritative accounting literature or by applying a reasonable and rational policy election. To date, the Company has not entered into any arrangements within the scope of ASC 808.</w:t>
      </w:r>
    </w:p>
    <w:p>
      <w:pPr>
        <w:spacing w:after="0" w:line="114"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The Company’s revenues are generated through its license and collaboration agreements with Gilead. Refer to Note 3, “Collaboration Agreements.”</w:t>
      </w:r>
    </w:p>
    <w:p>
      <w:pPr>
        <w:spacing w:after="0" w:line="89"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 xml:space="preserve">Effective January 1, 2017, the Company early adopted ASC Topic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w:t>
      </w:r>
      <w:r>
        <w:rPr>
          <w:rFonts w:ascii="Arial" w:cs="Arial" w:eastAsia="Arial" w:hAnsi="Arial"/>
          <w:sz w:val="17"/>
          <w:szCs w:val="17"/>
          <w:b w:val="1"/>
          <w:bCs w:val="1"/>
          <w:color w:val="auto"/>
        </w:rPr>
        <w:t>ASC 606</w:t>
      </w:r>
      <w:r>
        <w:rPr>
          <w:rFonts w:ascii="Arial" w:cs="Arial" w:eastAsia="Arial" w:hAnsi="Arial"/>
          <w:sz w:val="17"/>
          <w:szCs w:val="17"/>
          <w:color w:val="auto"/>
        </w:rPr>
        <w:t>”), and related amendments using the retrospective transition method, which had no</w:t>
      </w:r>
      <w:r>
        <w:rPr>
          <w:rFonts w:ascii="Arial" w:cs="Arial" w:eastAsia="Arial" w:hAnsi="Arial"/>
          <w:sz w:val="17"/>
          <w:szCs w:val="17"/>
          <w:i w:val="1"/>
          <w:iCs w:val="1"/>
          <w:color w:val="auto"/>
        </w:rPr>
        <w:t xml:space="preserve"> </w:t>
      </w:r>
      <w:r>
        <w:rPr>
          <w:rFonts w:ascii="Arial" w:cs="Arial" w:eastAsia="Arial" w:hAnsi="Arial"/>
          <w:sz w:val="17"/>
          <w:szCs w:val="17"/>
          <w:color w:val="auto"/>
        </w:rPr>
        <w:t>impact on the Company’s financial statements. This standard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7" w:name="page328"/>
    <w:bookmarkEnd w:id="32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820" w:hanging="366"/>
        <w:spacing w:after="0"/>
        <w:tabs>
          <w:tab w:leader="none" w:pos="82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19"/>
        <w:spacing w:after="0" w:line="286" w:lineRule="auto"/>
        <w:rPr>
          <w:sz w:val="20"/>
          <w:szCs w:val="20"/>
          <w:color w:val="auto"/>
        </w:rPr>
      </w:pPr>
      <w:r>
        <w:rPr>
          <w:rFonts w:ascii="Arial" w:cs="Arial" w:eastAsia="Arial" w:hAnsi="Arial"/>
          <w:sz w:val="16"/>
          <w:szCs w:val="16"/>
          <w:color w:val="auto"/>
        </w:rPr>
        <w:t>price; (iv) allocate the transaction price to the performance obligations in the contract; and (v) recognize revenue when (or as) performance obligations are satisfied. The Company only applies this framework to contracts when it is probable that the entity will collect the consideration it is entitled to in exchange for the goods or services it transfers to the customer. At contract inception, once the contract is determined to be within the scope of ASC 606, the Company assesses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The Company then allocates the transaction price (that is, the amount of consideration the Company expects to be entitled to from a customer in exchange for the promised goods or services) to each performance obligation and recognizes the associated revenue when (or as) each performance obligation is satisfied. The Company’s estimate of the transaction price for each contract includes all variable consideration to which the Company expects to be entitled, subject to the constraint on variable consideration. Variable consideration is not constrained if the potential reversal of cumulative revenue recognized at the contract level is not significant.</w:t>
      </w:r>
    </w:p>
    <w:p>
      <w:pPr>
        <w:spacing w:after="0" w:line="106"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In determining the appropriate amount of revenue to be recognized as the Company fulfills its obligations under active agreements, the Company must use its judgment to determine: (a) the number of performance obligations based on the determination under step (ii) above; (b) the transaction price under step (iii) above;</w:t>
      </w:r>
    </w:p>
    <w:p>
      <w:pPr>
        <w:spacing w:after="0" w:line="2" w:lineRule="exact"/>
        <w:rPr>
          <w:sz w:val="20"/>
          <w:szCs w:val="20"/>
          <w:color w:val="auto"/>
        </w:rPr>
      </w:pPr>
    </w:p>
    <w:p>
      <w:pPr>
        <w:ind w:left="460" w:right="579" w:hanging="6"/>
        <w:spacing w:after="0" w:line="285" w:lineRule="auto"/>
        <w:tabs>
          <w:tab w:leader="none" w:pos="705"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stand-alone selling price for each performance obligation identified in the contract for the allocation of transaction price in step (iv) above; and (d) the contract term and pattern of satisfaction of the performance obligations under step (v) above. The Company uses judgment to determine whether milestones or other variable consideration, except for royalties, should be included in the transaction price as described further below. The transaction price is allocated to the identified performance obligations on a relative stand-alone selling price basis, for which the Company recognizes revenue as or when the performance obligations under the contract are satisfied. In certain instances, the timing of satisfying these obligations can be difficult to estimate. Accordingly, the Company’s estimates may change in the future and those changes could be material. Such changes to estimates would result in a change in amounts of revenue recognized. If these estimates and judgments change over the course of these agreements, it may affect the timing and amount of revenue that the Company recognizes and records in future periods.</w:t>
      </w:r>
    </w:p>
    <w:p>
      <w:pPr>
        <w:spacing w:after="0" w:line="93"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Amounts due to the Company for satisfying the revenue recognition criteria or that are contractually due based upon the terms of the collaboration agreements are recorded as accounts receivable in the Company’s consolidated balance sheet. Amounts received prior to satisfying the revenue recognition criteria are recorded as deferred revenue in the Company’s consolidated balance sheets. Amounts expected to be recognized as revenue within the one year following the balance sheet date are classified as current deferred revenue. Amounts not expected to be recognized as revenue within the one year following the balance sheet date are classified as deferred revenue, net of current portion. Amounts recognized as revenue, but not yet received or invoiced are generally recognized as contract assets.</w:t>
      </w:r>
    </w:p>
    <w:p>
      <w:pPr>
        <w:spacing w:after="0" w:line="111"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i w:val="1"/>
          <w:iCs w:val="1"/>
          <w:color w:val="auto"/>
        </w:rPr>
        <w:t xml:space="preserve">Exclusive License Rights </w:t>
      </w:r>
      <w:r>
        <w:rPr>
          <w:rFonts w:ascii="Arial" w:cs="Arial" w:eastAsia="Arial" w:hAnsi="Arial"/>
          <w:sz w:val="16"/>
          <w:szCs w:val="16"/>
          <w:color w:val="auto"/>
        </w:rPr>
        <w:t>— If the license to the Company’s intellectual property is determined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distinct from the other promises or performance obligations 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 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the Company utilizes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 functional intellectual</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8" w:name="page329"/>
    <w:bookmarkEnd w:id="32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820" w:hanging="366"/>
        <w:spacing w:after="0"/>
        <w:tabs>
          <w:tab w:leader="none" w:pos="82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5" w:lineRule="exact"/>
        <w:rPr>
          <w:sz w:val="20"/>
          <w:szCs w:val="20"/>
          <w:color w:val="auto"/>
        </w:rPr>
      </w:pPr>
    </w:p>
    <w:p>
      <w:pPr>
        <w:ind w:left="460" w:right="879"/>
        <w:spacing w:after="0" w:line="266" w:lineRule="auto"/>
        <w:rPr>
          <w:sz w:val="20"/>
          <w:szCs w:val="20"/>
          <w:color w:val="auto"/>
        </w:rPr>
      </w:pPr>
      <w:r>
        <w:rPr>
          <w:rFonts w:ascii="Arial" w:cs="Arial" w:eastAsia="Arial" w:hAnsi="Arial"/>
          <w:sz w:val="18"/>
          <w:szCs w:val="18"/>
          <w:color w:val="auto"/>
        </w:rPr>
        <w:t>property (“</w:t>
      </w:r>
      <w:r>
        <w:rPr>
          <w:rFonts w:ascii="Arial" w:cs="Arial" w:eastAsia="Arial" w:hAnsi="Arial"/>
          <w:sz w:val="18"/>
          <w:szCs w:val="18"/>
          <w:b w:val="1"/>
          <w:bCs w:val="1"/>
          <w:color w:val="auto"/>
        </w:rPr>
        <w:t>IP</w:t>
      </w:r>
      <w:r>
        <w:rPr>
          <w:rFonts w:ascii="Arial" w:cs="Arial" w:eastAsia="Arial" w:hAnsi="Arial"/>
          <w:sz w:val="18"/>
          <w:szCs w:val="18"/>
          <w:color w:val="auto"/>
        </w:rPr>
        <w:t>”), revenue is recognized at the point in time when control of the license is transferred. If it is determined that the license does not represent functional IP, revenue is recognized over time using an appropriate method of measuring progress.</w:t>
      </w:r>
    </w:p>
    <w:p>
      <w:pPr>
        <w:spacing w:after="0" w:line="112"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i w:val="1"/>
          <w:iCs w:val="1"/>
          <w:color w:val="auto"/>
        </w:rPr>
        <w:t xml:space="preserve">Research and Development Services </w:t>
      </w:r>
      <w:r>
        <w:rPr>
          <w:rFonts w:ascii="Arial" w:cs="Arial" w:eastAsia="Arial" w:hAnsi="Arial"/>
          <w:sz w:val="16"/>
          <w:szCs w:val="16"/>
          <w:color w:val="auto"/>
        </w:rPr>
        <w:t>— The obligations under the Company’s collaboration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may include research and development services to be performed by the Company to benefit the collaboration partner. For performance obligations that include research and development services, the Company generally 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 The Company evaluates the measure of progress each reporting period and, if necessary, adjusts the measure of performance and related revenue recognition. The measure of progress, and thereby periods of which revenue should be recognized, are subject to estimates by management and may change over the course of the contract. Reimbursements from the partner that are the result of a collaborative relationship with the partner, instead of a customer relationship, such as co-development activities, are recorded as a reduction to research and development expense. No collaborative arrangements existed that would result in such reimbursements for the periods presented.</w:t>
      </w:r>
    </w:p>
    <w:p>
      <w:pPr>
        <w:spacing w:after="0" w:line="87"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i w:val="1"/>
          <w:iCs w:val="1"/>
          <w:color w:val="auto"/>
        </w:rPr>
        <w:t xml:space="preserve">Customer Options </w:t>
      </w:r>
      <w:r>
        <w:rPr>
          <w:rFonts w:ascii="Arial" w:cs="Arial" w:eastAsia="Arial" w:hAnsi="Arial"/>
          <w:sz w:val="16"/>
          <w:szCs w:val="16"/>
          <w:color w:val="auto"/>
        </w:rPr>
        <w:t>— The Company’s arrangements may provide a collaborator with the right to acquire</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goods or services in the future. Under these agreements, fees may be due to the Company (i) upon the exercise of the customer option or (ii) in equal installment payments over an agreed upon period. If an arrangement is determined to contain customer options that allow the customer to acquire additional goods or services, the additional goods and services underlying the customer options are evaluated in order to determine if these additional goods or services are distinct from those included as a performance obligation at the outset of the arrangement. If the additional services are not determined to be distinct, the variable consideration pertaining to the customer option is added to the initial transaction price at the time in which the option exercise becomes probable, so long as a potential for reversal of cumulative revenue recognized at the contract level is not significant. Any such adjustments to the transaction price are recorded on a cumulative catch-up basis, which would affect revenues and earnings in the period of adjustment. If the additional services are distinct,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06"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 At the inception of an arrangement that includes development milestone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the Company evaluates whether the milestones are considered probable of being achieved and estimates the amount to be included in the transaction price using the most likely amount method. If it is probable that a significant reversal of cumulative revenue recognized would not occur, the associated milestone value is included in the transaction price. Milestone payments that are not within the control of the Company,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9" w:name="page330"/>
    <w:bookmarkEnd w:id="32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820" w:hanging="366"/>
        <w:spacing w:after="0"/>
        <w:tabs>
          <w:tab w:leader="none" w:pos="82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i w:val="1"/>
          <w:iCs w:val="1"/>
          <w:color w:val="auto"/>
        </w:rPr>
        <w:t xml:space="preserve">Royalties </w:t>
      </w:r>
      <w:r>
        <w:rPr>
          <w:rFonts w:ascii="Arial" w:cs="Arial" w:eastAsia="Arial" w:hAnsi="Arial"/>
          <w:sz w:val="16"/>
          <w:szCs w:val="16"/>
          <w:color w:val="auto"/>
        </w:rPr>
        <w:t>— For arrangements that include sales-based royalties, including milestone payments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a level of sales, where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licensing agreements.</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left="460" w:right="679" w:firstLine="432"/>
        <w:spacing w:after="0" w:line="272" w:lineRule="auto"/>
        <w:rPr>
          <w:sz w:val="20"/>
          <w:szCs w:val="20"/>
          <w:color w:val="auto"/>
        </w:rPr>
      </w:pPr>
      <w:r>
        <w:rPr>
          <w:rFonts w:ascii="Arial" w:cs="Arial" w:eastAsia="Arial" w:hAnsi="Arial"/>
          <w:sz w:val="17"/>
          <w:szCs w:val="17"/>
          <w:color w:val="auto"/>
        </w:rPr>
        <w:t>Research and development expenses include costs directly attributable to the conduct of research programs, including the cost of salaries, employee benefits, stock-based compensation expense, materials, supplies, depreciation on and maintenance of research equipment, the cost of services provided by outside contractors to conduct research and development activities and the allocable portions of facility costs, such as rent, utilities, and general support services. All costs incurred to fulfill the Company’s obligations under the collaboration with Gilead are classified as research and development expenses. All costs associated with research and development are expensed as incurred.</w:t>
      </w:r>
    </w:p>
    <w:p>
      <w:pPr>
        <w:spacing w:after="0" w:line="96" w:lineRule="exact"/>
        <w:rPr>
          <w:sz w:val="20"/>
          <w:szCs w:val="20"/>
          <w:color w:val="auto"/>
        </w:rPr>
      </w:pPr>
    </w:p>
    <w:p>
      <w:pPr>
        <w:ind w:left="460" w:right="499" w:firstLine="432"/>
        <w:spacing w:after="0" w:line="320" w:lineRule="auto"/>
        <w:rPr>
          <w:sz w:val="20"/>
          <w:szCs w:val="20"/>
          <w:color w:val="auto"/>
        </w:rPr>
      </w:pPr>
      <w:r>
        <w:rPr>
          <w:rFonts w:ascii="Arial" w:cs="Arial" w:eastAsia="Arial" w:hAnsi="Arial"/>
          <w:sz w:val="15"/>
          <w:szCs w:val="15"/>
          <w:color w:val="auto"/>
        </w:rPr>
        <w:t>Management estimates the Company’s accrued research and development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are deferred and recognized as expense in the period that the related goods are consumed or services are performed.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Patent Costs</w:t>
      </w:r>
    </w:p>
    <w:p>
      <w:pPr>
        <w:spacing w:after="0" w:line="158" w:lineRule="exact"/>
        <w:rPr>
          <w:sz w:val="20"/>
          <w:szCs w:val="20"/>
          <w:color w:val="auto"/>
        </w:rPr>
      </w:pPr>
    </w:p>
    <w:p>
      <w:pPr>
        <w:ind w:left="460" w:right="1059" w:firstLine="432"/>
        <w:spacing w:after="0" w:line="263"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The Company measures the cost of employee services received in exchange for stock-based awards based on the grant-date fair value of the awards. The Company calculates the fair value of restricted stock awards based on the grant date fair value of the underlying common stock. The Company recognizes stock-based compensation expense on a straight-line basis over the requisite service period of the awards for service-based awards, which is generally the vesting period. The Company recognizes stock-based compensation for performance-based awards when the underlying performance conditions are considered probable of occurrence and recognizes the cumulative effect of current and prior period changes in the period of change. The Company also has the right and option to repurchase an individual’s shares of common stock or vested stock options to acquire common stock subsequent to employment termination.</w:t>
      </w:r>
    </w:p>
    <w:p>
      <w:pPr>
        <w:spacing w:after="0" w:line="100"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 xml:space="preserve">The fair value of common stock underlying stock-based awards is based on an estimate at each grant date. The valuation provided by the board of directors is derived from a recommendation by an unrelated third-party valuation firm. The Company determines the estimated per share fair value of its common stock at various dates considering contemporaneous and retrospective valuations that incorporate objective and subjective factors, including actual and forecasted financial results, market conditions and performance of comparable publicly traded companies, developments and milestones of the Company, the rights and preferences of common and redeemable convertible preferred stock, advice from the third-party valuation specialists, and transactions involving the Company’s stock. The estimated per share fair value of the Company’s common stock is determined in accordance with the guidance outlined in the American Institute of Certified Public Accountants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The fair value of each restricted common stock award is estimated on the date of grant based on the fair value of the Company’s common stock on that same date. The fair value of each stock option grant is determined using assumptions discussed below.</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0" w:name="page331"/>
    <w:bookmarkEnd w:id="33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820" w:hanging="366"/>
        <w:spacing w:after="0"/>
        <w:tabs>
          <w:tab w:leader="none" w:pos="82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679" w:firstLine="432"/>
        <w:spacing w:after="0" w:line="275" w:lineRule="auto"/>
        <w:rPr>
          <w:sz w:val="20"/>
          <w:szCs w:val="20"/>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 The expected term of the stock options is estimated using the “simplified method,” as</w:t>
      </w:r>
      <w:r>
        <w:rPr>
          <w:rFonts w:ascii="Arial" w:cs="Arial" w:eastAsia="Arial" w:hAnsi="Arial"/>
          <w:sz w:val="17"/>
          <w:szCs w:val="17"/>
          <w:i w:val="1"/>
          <w:iCs w:val="1"/>
          <w:color w:val="auto"/>
        </w:rPr>
        <w:t xml:space="preserve"> </w:t>
      </w:r>
      <w:r>
        <w:rPr>
          <w:rFonts w:ascii="Arial" w:cs="Arial" w:eastAsia="Arial" w:hAnsi="Arial"/>
          <w:sz w:val="17"/>
          <w:szCs w:val="17"/>
          <w:color w:val="auto"/>
        </w:rPr>
        <w:t>prescribed in SEC’s Staff Accounting Bulletin (SAB) No. 107, as the Company has no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w:t>
      </w:r>
    </w:p>
    <w:p>
      <w:pPr>
        <w:spacing w:after="0" w:line="109"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 Since there is limited historical data for the Company’s common stock and limited</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company-specific historical volatility, the Company has determined the share price volatility for options granted based on an analysis of the volatility used by a peer group of publicly traded companies. In evaluating similarity, the Company considers factors such as industry, stage of life cycle and size.</w:t>
      </w:r>
    </w:p>
    <w:p>
      <w:pPr>
        <w:spacing w:after="0" w:line="90"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rate is based on the U.S. Treasury yield curve commensurate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expected life of the option.</w:t>
      </w:r>
    </w:p>
    <w:p>
      <w:pPr>
        <w:spacing w:after="0" w:line="103" w:lineRule="exact"/>
        <w:rPr>
          <w:sz w:val="20"/>
          <w:szCs w:val="20"/>
          <w:color w:val="auto"/>
        </w:rPr>
      </w:pPr>
    </w:p>
    <w:p>
      <w:pPr>
        <w:ind w:left="460" w:right="1199" w:firstLine="432"/>
        <w:spacing w:after="0" w:line="277" w:lineRule="auto"/>
        <w:rPr>
          <w:sz w:val="20"/>
          <w:szCs w:val="20"/>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 The expected dividend was assumed to be zero as the Company has never paid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and has no current plans to do so.</w:t>
      </w:r>
    </w:p>
    <w:p>
      <w:pPr>
        <w:spacing w:after="0" w:line="103"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The assumptions used in estimating the fair value of stock-based awards represent management’s estimate and involve inherent uncertainties and the application of management’s judgment. As a result, if factors change and management uses different assumptions, stock-based compensation expense could be materially different for future awards.</w:t>
      </w:r>
    </w:p>
    <w:p>
      <w:pPr>
        <w:spacing w:after="0" w:line="106" w:lineRule="exact"/>
        <w:rPr>
          <w:sz w:val="20"/>
          <w:szCs w:val="20"/>
          <w:color w:val="auto"/>
        </w:rPr>
      </w:pPr>
    </w:p>
    <w:p>
      <w:pPr>
        <w:ind w:left="460" w:right="599" w:firstLine="432"/>
        <w:spacing w:after="0" w:line="279" w:lineRule="auto"/>
        <w:rPr>
          <w:sz w:val="20"/>
          <w:szCs w:val="20"/>
          <w:color w:val="auto"/>
        </w:rPr>
      </w:pPr>
      <w:r>
        <w:rPr>
          <w:rFonts w:ascii="Arial" w:cs="Arial" w:eastAsia="Arial" w:hAnsi="Arial"/>
          <w:sz w:val="17"/>
          <w:szCs w:val="17"/>
          <w:color w:val="auto"/>
        </w:rPr>
        <w:t>Stock-based compensation is classified in the accompanying consolidated statements of operations and comprehensive loss based on the function to which the related services are provided. Forfeitures are accounted for as they occur. Any consideration paid by employees on exercising stock options and the corresponding portion previously credited to additional paid-in capital are credited to share capital.</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Classification of Convertible Preferred Shares</w:t>
      </w:r>
    </w:p>
    <w:p>
      <w:pPr>
        <w:spacing w:after="0" w:line="158"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The Company’s convertible preferred shares are classified outside of stockholders’ deficit because the holders of such shares have liquidation rights in the event of a deemed liquidation that, in certain situations, are not solely within the control of the Company. Further, the Company’s convertible preferred shares are redeemable at the option of the holder after March 2023. The Company records convertible preferred shares at fair value upon issuance, net of any issuance costs or discounts.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Share Issuance Costs</w:t>
      </w:r>
    </w:p>
    <w:p>
      <w:pPr>
        <w:spacing w:after="0" w:line="158"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as a reduction of the proceeds from the offering, either as a reduction to the carrying value of the preferred exchangeable shares or convertible preferred shares or in shareholders’ equity (deficit) as a reduction of additional paid-in capital generated as a result of the offering. Should an in-process equity financing be abandoned, the deferred offering costs would be expensed immediately as a charge to operating expenses in the consolidated statements of operations and comprehensive loss. As of December 31, 2020 and 2019, the Company had no deferred offering costs.</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Company accounts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1" w:name="page332"/>
    <w:bookmarkEnd w:id="33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820" w:hanging="366"/>
        <w:spacing w:after="0"/>
        <w:tabs>
          <w:tab w:leader="none" w:pos="82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539"/>
        <w:spacing w:after="0" w:line="311" w:lineRule="auto"/>
        <w:rPr>
          <w:sz w:val="20"/>
          <w:szCs w:val="20"/>
          <w:color w:val="auto"/>
        </w:rPr>
      </w:pPr>
      <w:r>
        <w:rPr>
          <w:rFonts w:ascii="Arial" w:cs="Arial" w:eastAsia="Arial" w:hAnsi="Arial"/>
          <w:sz w:val="16"/>
          <w:szCs w:val="16"/>
          <w:color w:val="auto"/>
        </w:rPr>
        <w:t>deferred tax assets and liabilities of a change in tax rates is recognized in income in the period corresponding to the enactment date. A valuation allowance is established when it is more likely than not that all or some portion of the deferred tax assets will not be realized through generating sufficient future taxable income.</w:t>
      </w:r>
    </w:p>
    <w:p>
      <w:pPr>
        <w:spacing w:after="0" w:line="81"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The Company assesses all material positions taken in any income tax return, including all significant uncertain positions, in all tax years that are still subject to assessment or challenge by relevant taxing authorities.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more likely than not likelihood of being realized upon ultimate settlement with the tax authority. The recognition and measurement of tax benefits requires significant judgments that are subject to change as new information becomes available.</w:t>
      </w:r>
    </w:p>
    <w:p>
      <w:pPr>
        <w:spacing w:after="0" w:line="84"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Penalties and interest expense related to income taxes are included as components of income tax expense and interest expense, respectively, as necessary.</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58"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The Company’s only element of other comprehensive loss for the years ended December 31, 2020 and 2019 was unrealized gains on investments in marketable securities.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58"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Basic net loss per share attributable to common stockholders is computed by dividing net loss by the weighted-average number of shares of common shares outstanding during each reporting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attributable to common stockholders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convertible preferred stock and unvested restricted stock entitles the holder to participate in dividends and earnings of the Company, and, if the Company were to recognize net income, it would apply the two-class method to calculate earnings per share. The two-class method is not applicable during periods with a net loss, as the holders of the convertible preferred stock and unvested restricted stock have no obligation to fund losses.</w:t>
      </w:r>
    </w:p>
    <w:p>
      <w:pPr>
        <w:spacing w:after="0" w:line="103"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two-class method of computing net loss per share would be applicable in a reporting period that resulted in a net income position,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58"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2" w:name="page333"/>
    <w:bookmarkEnd w:id="33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820" w:hanging="366"/>
        <w:spacing w:after="0"/>
        <w:tabs>
          <w:tab w:leader="none" w:pos="82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44"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The Company considers events or transactions that occur after the balance sheet date but before the financial statements are issued to provide additional evidence relative to certain estimates or to identify matters that require additional disclosure.</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Emerging Growth Company Status (Unaudited)</w:t>
      </w:r>
    </w:p>
    <w:p>
      <w:pPr>
        <w:spacing w:after="0" w:line="158"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The Company is an “emerging growth company,” as defined in the Jumpstart Our Business Startups Act (“</w:t>
      </w:r>
      <w:r>
        <w:rPr>
          <w:rFonts w:ascii="Arial" w:cs="Arial" w:eastAsia="Arial" w:hAnsi="Arial"/>
          <w:sz w:val="17"/>
          <w:szCs w:val="17"/>
          <w:b w:val="1"/>
          <w:bCs w:val="1"/>
          <w:color w:val="auto"/>
        </w:rPr>
        <w:t>JOBS Act</w:t>
      </w:r>
      <w:r>
        <w:rPr>
          <w:rFonts w:ascii="Arial" w:cs="Arial" w:eastAsia="Arial" w:hAnsi="Arial"/>
          <w:sz w:val="17"/>
          <w:szCs w:val="17"/>
          <w:color w:val="auto"/>
        </w:rPr>
        <w:t>”), and may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initial public offering or such earlier time that it is no longer an emerging growth company. However, the Company has not yet delayed the adoption of any new accounting standards.</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58" w:lineRule="exact"/>
        <w:rPr>
          <w:sz w:val="20"/>
          <w:szCs w:val="20"/>
          <w:color w:val="auto"/>
        </w:rPr>
      </w:pPr>
    </w:p>
    <w:p>
      <w:pPr>
        <w:ind w:left="460" w:right="579" w:firstLine="432"/>
        <w:spacing w:after="0" w:line="269" w:lineRule="auto"/>
        <w:rPr>
          <w:sz w:val="20"/>
          <w:szCs w:val="20"/>
          <w:color w:val="auto"/>
        </w:rPr>
      </w:pPr>
      <w:r>
        <w:rPr>
          <w:rFonts w:ascii="Arial" w:cs="Arial" w:eastAsia="Arial" w:hAnsi="Arial"/>
          <w:sz w:val="17"/>
          <w:szCs w:val="17"/>
          <w:color w:val="auto"/>
        </w:rPr>
        <w:t>In June 2016, the FASB issued ASU 2016-13</w:t>
      </w:r>
      <w:r>
        <w:rPr>
          <w:rFonts w:ascii="Arial" w:cs="Arial" w:eastAsia="Arial" w:hAnsi="Arial"/>
          <w:sz w:val="17"/>
          <w:szCs w:val="17"/>
          <w:i w:val="1"/>
          <w:iCs w:val="1"/>
          <w:color w:val="auto"/>
        </w:rPr>
        <w:t>, Financial Instruments — 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The standard amends the impairment model by</w:t>
      </w:r>
      <w:r>
        <w:rPr>
          <w:rFonts w:ascii="Arial" w:cs="Arial" w:eastAsia="Arial" w:hAnsi="Arial"/>
          <w:sz w:val="17"/>
          <w:szCs w:val="17"/>
          <w:i w:val="1"/>
          <w:iCs w:val="1"/>
          <w:color w:val="auto"/>
        </w:rPr>
        <w:t xml:space="preserve"> </w:t>
      </w:r>
      <w:r>
        <w:rPr>
          <w:rFonts w:ascii="Arial" w:cs="Arial" w:eastAsia="Arial" w:hAnsi="Arial"/>
          <w:sz w:val="17"/>
          <w:szCs w:val="17"/>
          <w:color w:val="auto"/>
        </w:rPr>
        <w:t>requiring entities to use a forward-looking approach based on expected losses to estimate credit losses for most financial assets and certain other instruments that aren’t measured at fair value through net income. For available-for-sale debt securities, entities are required to recognize an allowance for credit losses rather than a reduction in carrying value of the asset. Entities are no longer permitted to consider the length of time that fair value has been less than amortized cost when evaluating when credit losses should be recognized. For public entities, the guidance was effective for annual reporting periods beginning after December 15, 2019 and for interim periods within those fiscal years. Early adoption was permitted. The Company early adopted this standard as of January 1, 2020 on a prospective basis. The adoption did not have a material impact on the Company’s consolidated financial statements.</w:t>
      </w:r>
    </w:p>
    <w:p>
      <w:pPr>
        <w:spacing w:after="0" w:line="101"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Changes to the Disclosure Requirements for 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w:t>
      </w:r>
      <w:r>
        <w:rPr>
          <w:rFonts w:ascii="Arial" w:cs="Arial" w:eastAsia="Arial" w:hAnsi="Arial"/>
          <w:sz w:val="16"/>
          <w:szCs w:val="16"/>
          <w:color w:val="auto"/>
        </w:rPr>
        <w:t>. The amendments become effective for the Company’s fiscal year beginning January 1, 2020.</w:t>
      </w:r>
      <w:r>
        <w:rPr>
          <w:rFonts w:ascii="Arial" w:cs="Arial" w:eastAsia="Arial" w:hAnsi="Arial"/>
          <w:sz w:val="16"/>
          <w:szCs w:val="16"/>
          <w:i w:val="1"/>
          <w:iCs w:val="1"/>
          <w:color w:val="auto"/>
        </w:rPr>
        <w:t xml:space="preserve"> </w:t>
      </w:r>
      <w:r>
        <w:rPr>
          <w:rFonts w:ascii="Arial" w:cs="Arial" w:eastAsia="Arial" w:hAnsi="Arial"/>
          <w:sz w:val="16"/>
          <w:szCs w:val="16"/>
          <w:color w:val="auto"/>
        </w:rPr>
        <w:t>Early adoption of the amendments in full or only the provisions that eliminate or modify the disclosure requirements for fair value measurements is permitted. Adoption of this standard on January 1, 2020 did not have a material impact on the Company’s consolidated financial statements and related disclosures.</w:t>
      </w:r>
    </w:p>
    <w:p>
      <w:pPr>
        <w:spacing w:after="0" w:line="94"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Customer’s Accounting for Implementation Costs</w:t>
      </w:r>
      <w:r>
        <w:rPr>
          <w:rFonts w:ascii="Arial" w:cs="Arial" w:eastAsia="Arial" w:hAnsi="Arial"/>
          <w:sz w:val="18"/>
          <w:szCs w:val="18"/>
          <w:color w:val="auto"/>
        </w:rPr>
        <w:t xml:space="preserve"> </w:t>
      </w:r>
      <w:r>
        <w:rPr>
          <w:rFonts w:ascii="Arial" w:cs="Arial" w:eastAsia="Arial" w:hAnsi="Arial"/>
          <w:sz w:val="18"/>
          <w:szCs w:val="18"/>
          <w:i w:val="1"/>
          <w:iCs w:val="1"/>
          <w:color w:val="auto"/>
        </w:rPr>
        <w:t>Incurred in a Cloud Computing Arrangement That Is a Service Contract</w:t>
      </w:r>
      <w:r>
        <w:rPr>
          <w:rFonts w:ascii="Arial" w:cs="Arial" w:eastAsia="Arial" w:hAnsi="Arial"/>
          <w:sz w:val="18"/>
          <w:szCs w:val="18"/>
          <w:color w:val="auto"/>
        </w:rPr>
        <w:t>. The new standard requires a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in a cloud computing arrangement to determine which implementation costs to capitalize as assets or expense as incurred. Capitalized implementation costs related to a hosting arrangement that is a service contract will be amortized over the term of the hosting arrangement, beginning when the module or component of the hosting arrangement is ready for its intended use. The new standard became effective for the Company’s fiscal year beginning January 1, 2020. Early adoption was permitted. The early adoption of this standard on January 1, 2020 did not have a material impact on the Company’s consolidated financial statements and related disclosures.</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54" w:lineRule="exact"/>
        <w:rPr>
          <w:sz w:val="20"/>
          <w:szCs w:val="20"/>
          <w:color w:val="auto"/>
        </w:rPr>
      </w:pPr>
    </w:p>
    <w:p>
      <w:pPr>
        <w:ind w:left="460" w:right="559" w:firstLine="432"/>
        <w:spacing w:after="0" w:line="314"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w:t>
      </w:r>
      <w:r>
        <w:rPr>
          <w:rFonts w:ascii="Arial" w:cs="Arial" w:eastAsia="Arial" w:hAnsi="Arial"/>
          <w:sz w:val="16"/>
          <w:szCs w:val="16"/>
          <w:b w:val="1"/>
          <w:bCs w:val="1"/>
          <w:color w:val="auto"/>
        </w:rPr>
        <w:t>ASC</w:t>
      </w:r>
      <w:r>
        <w:rPr>
          <w:rFonts w:ascii="Arial" w:cs="Arial" w:eastAsia="Arial" w:hAnsi="Arial"/>
          <w:sz w:val="16"/>
          <w:szCs w:val="16"/>
          <w:color w:val="auto"/>
        </w:rPr>
        <w:t xml:space="preserve"> </w:t>
      </w:r>
      <w:r>
        <w:rPr>
          <w:rFonts w:ascii="Arial" w:cs="Arial" w:eastAsia="Arial" w:hAnsi="Arial"/>
          <w:sz w:val="16"/>
          <w:szCs w:val="16"/>
          <w:b w:val="1"/>
          <w:bCs w:val="1"/>
          <w:color w:val="auto"/>
        </w:rPr>
        <w:t>740</w:t>
      </w:r>
      <w:r>
        <w:rPr>
          <w:rFonts w:ascii="Arial" w:cs="Arial" w:eastAsia="Arial" w:hAnsi="Arial"/>
          <w:sz w:val="16"/>
          <w:szCs w:val="16"/>
          <w:color w:val="auto"/>
        </w:rPr>
        <w:t>”). The ASU enhances and simplifies various aspects of the income tax accounting guidance in ASC 740,</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requirements related to hybrid tax regimes, the tax basis step-up in goodwill obtained in a transaction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3" w:name="page334"/>
    <w:bookmarkEnd w:id="33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820" w:hanging="366"/>
        <w:spacing w:after="0"/>
        <w:tabs>
          <w:tab w:leader="none" w:pos="82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59"/>
        <w:spacing w:after="0" w:line="293" w:lineRule="auto"/>
        <w:rPr>
          <w:sz w:val="20"/>
          <w:szCs w:val="20"/>
          <w:color w:val="auto"/>
        </w:rPr>
      </w:pPr>
      <w:r>
        <w:rPr>
          <w:rFonts w:ascii="Arial" w:cs="Arial" w:eastAsia="Arial" w:hAnsi="Arial"/>
          <w:sz w:val="16"/>
          <w:szCs w:val="16"/>
          <w:color w:val="auto"/>
        </w:rPr>
        <w:t>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year-to-date loss limitation in interim-period tax accounting. This guidance is effective for the Company for annual and interim periods beginning after December 31, 2020; however, early adoption is permitted. The adoption is not expected to have a material impact on the Company’s consolidated financial statements.</w:t>
      </w:r>
    </w:p>
    <w:p>
      <w:pPr>
        <w:spacing w:after="0" w:line="97"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 Debt with Conversion and Other Options</w:t>
      </w:r>
      <w:r>
        <w:rPr>
          <w:rFonts w:ascii="Arial" w:cs="Arial" w:eastAsia="Arial" w:hAnsi="Arial"/>
          <w:sz w:val="17"/>
          <w:szCs w:val="17"/>
          <w:color w:val="auto"/>
        </w:rPr>
        <w:t xml:space="preserve"> </w:t>
      </w:r>
      <w:r>
        <w:rPr>
          <w:rFonts w:ascii="Arial" w:cs="Arial" w:eastAsia="Arial" w:hAnsi="Arial"/>
          <w:sz w:val="17"/>
          <w:szCs w:val="17"/>
          <w:i w:val="1"/>
          <w:iCs w:val="1"/>
          <w:color w:val="auto"/>
        </w:rPr>
        <w:t>(Subtopic 470-20) and Derivatives and Hedging — Contracts in Entity’s Own Equity (Subtopic 815 — 40)</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in this update affect entities that issue convertible instruments and/or contracts indexed to and potentially settled in an entity’s own equity. The new ASU eliminates the beneficial conversion and cash conversion accounting models for 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EPS computation. Early adoption is permitted, but no earlier than fiscal years beginning after December 15, 2020, including interim periods within those fiscal years. The Company elected to early adopt this guidance on January 1, 2021. Adoption of the ASU 2020-06 guidance as of January 1, 2021 has no impact on its consolidated financial statements for the year ended December 31, 2020. The Company issued the second tranche of its redeemable convertible Series B preferred stock in March 2021 at an original issue price of $1.32 per share, which would have resulted in the recognition of a beneficial conversion feature of $28.4 million prior to the adoption of ASU 2020-06. As such, the adoption of this guidance is expected to have a material impact on the Company’s financial statements for the year ending December 31, 2021.</w:t>
      </w:r>
    </w:p>
    <w:p>
      <w:pPr>
        <w:spacing w:after="0" w:line="99"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From time to time, new account pronouncements are issued by the FASB or other standard setting bodies and adopted by the Company as of the specified effective date. Unless otherwise discussed, the Company believes that recently issued standards that are not yet effective will not have a material impact on the Company’s consolidated financial statements.</w:t>
      </w:r>
    </w:p>
    <w:p>
      <w:pPr>
        <w:spacing w:after="0" w:line="183" w:lineRule="exact"/>
        <w:rPr>
          <w:sz w:val="20"/>
          <w:szCs w:val="20"/>
          <w:color w:val="auto"/>
        </w:rPr>
      </w:pPr>
    </w:p>
    <w:p>
      <w:pPr>
        <w:ind w:left="820" w:hanging="366"/>
        <w:spacing w:after="0"/>
        <w:tabs>
          <w:tab w:leader="none" w:pos="82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2018 Gilead Agreement</w:t>
      </w:r>
    </w:p>
    <w:p>
      <w:pPr>
        <w:spacing w:after="0" w:line="154" w:lineRule="exact"/>
        <w:rPr>
          <w:sz w:val="20"/>
          <w:szCs w:val="20"/>
          <w:color w:val="auto"/>
        </w:rPr>
      </w:pPr>
    </w:p>
    <w:p>
      <w:pPr>
        <w:ind w:left="460" w:right="579" w:firstLine="432"/>
        <w:spacing w:after="0" w:line="298" w:lineRule="auto"/>
        <w:rPr>
          <w:sz w:val="20"/>
          <w:szCs w:val="20"/>
          <w:color w:val="auto"/>
        </w:rPr>
      </w:pPr>
      <w:r>
        <w:rPr>
          <w:rFonts w:ascii="Arial" w:cs="Arial" w:eastAsia="Arial" w:hAnsi="Arial"/>
          <w:sz w:val="16"/>
          <w:szCs w:val="16"/>
          <w:color w:val="auto"/>
        </w:rPr>
        <w:t>In October 2018, the Company entered into a Research Collaboration and License Agreement (the “</w:t>
      </w:r>
      <w:r>
        <w:rPr>
          <w:rFonts w:ascii="Arial" w:cs="Arial" w:eastAsia="Arial" w:hAnsi="Arial"/>
          <w:sz w:val="16"/>
          <w:szCs w:val="16"/>
          <w:b w:val="1"/>
          <w:bCs w:val="1"/>
          <w:color w:val="auto"/>
        </w:rPr>
        <w:t>2018</w:t>
      </w:r>
      <w:r>
        <w:rPr>
          <w:rFonts w:ascii="Arial" w:cs="Arial" w:eastAsia="Arial" w:hAnsi="Arial"/>
          <w:sz w:val="16"/>
          <w:szCs w:val="16"/>
          <w:color w:val="auto"/>
        </w:rPr>
        <w:t xml:space="preserve"> </w:t>
      </w:r>
      <w:r>
        <w:rPr>
          <w:rFonts w:ascii="Arial" w:cs="Arial" w:eastAsia="Arial" w:hAnsi="Arial"/>
          <w:sz w:val="16"/>
          <w:szCs w:val="16"/>
          <w:b w:val="1"/>
          <w:bCs w:val="1"/>
          <w:color w:val="auto"/>
        </w:rPr>
        <w:t>Gilead Agreement</w:t>
      </w:r>
      <w:r>
        <w:rPr>
          <w:rFonts w:ascii="Arial" w:cs="Arial" w:eastAsia="Arial" w:hAnsi="Arial"/>
          <w:sz w:val="16"/>
          <w:szCs w:val="16"/>
          <w:color w:val="auto"/>
        </w:rPr>
        <w:t>”) with Gilead Sciences, Inc. (“</w:t>
      </w:r>
      <w:r>
        <w:rPr>
          <w:rFonts w:ascii="Arial" w:cs="Arial" w:eastAsia="Arial" w:hAnsi="Arial"/>
          <w:sz w:val="16"/>
          <w:szCs w:val="16"/>
          <w:b w:val="1"/>
          <w:bCs w:val="1"/>
          <w:color w:val="auto"/>
        </w:rPr>
        <w:t>Gilead</w:t>
      </w:r>
      <w:r>
        <w:rPr>
          <w:rFonts w:ascii="Arial" w:cs="Arial" w:eastAsia="Arial" w:hAnsi="Arial"/>
          <w:sz w:val="16"/>
          <w:szCs w:val="16"/>
          <w:color w:val="auto"/>
        </w:rPr>
        <w:t>”). Pursuant to the 2018 Gilead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performed target discovery and validation activities in accordance with an agreed-upon a multi-year research plan. During the initial three-year research term, Gilead had the option to obtain exclusive, worldwide licenses to develop and commercialize up to five validated programs (“</w:t>
      </w:r>
      <w:r>
        <w:rPr>
          <w:rFonts w:ascii="Arial" w:cs="Arial" w:eastAsia="Arial" w:hAnsi="Arial"/>
          <w:sz w:val="16"/>
          <w:szCs w:val="16"/>
          <w:b w:val="1"/>
          <w:bCs w:val="1"/>
          <w:color w:val="auto"/>
        </w:rPr>
        <w:t>Gilead Program License</w:t>
      </w:r>
      <w:r>
        <w:rPr>
          <w:rFonts w:ascii="Arial" w:cs="Arial" w:eastAsia="Arial" w:hAnsi="Arial"/>
          <w:sz w:val="16"/>
          <w:szCs w:val="16"/>
          <w:color w:val="auto"/>
        </w:rPr>
        <w:t>”).</w:t>
      </w:r>
    </w:p>
    <w:p>
      <w:pPr>
        <w:spacing w:after="0" w:line="90"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In 2018, Gilead paid the Company a $50.0 million non-refundable upfront payment upon the execution of the 2018 Gilead Agreement. The Company was eligible to receive milestone payments of up to $1.7 billion across all programs and up to low double-digit tiered percentage royalties on future sales of commercialized products, if any. For up to two programs licensed by Gilead, the Company had the option to co-develop and co-promote certain programs licensed by Gilead in the U.S. and was eligible to receive milestone payments and royalties on ex-U.S. sales.</w:t>
      </w:r>
    </w:p>
    <w:p>
      <w:pPr>
        <w:spacing w:after="0" w:line="111"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The Company assessed this arrangement in accordance with ASC 606 and concluded that the contract counterparty, Gilead, was a customer. The Company identified a single performance obligation under the arrangement consisting of the combination of participating on the joint steering committee and the research and development services provided during the research term. The identified promises were determined to not be individually distinct due to the specialized nature of the early-stage research services to be provided by the Company and the interdependent relationship between the promises. The Company determined that the option for Gilead to extend the term of the arrangement was not priced at a discount, and therefore did not provide Gilead with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4" w:name="page335"/>
    <w:bookmarkEnd w:id="33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820" w:hanging="366"/>
        <w:spacing w:after="0"/>
        <w:tabs>
          <w:tab w:leader="none" w:pos="82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Collaboration Agreements </w:t>
      </w:r>
      <w:r>
        <w:rPr>
          <w:rFonts w:ascii="Arial" w:cs="Arial" w:eastAsia="Arial" w:hAnsi="Arial"/>
          <w:sz w:val="18"/>
          <w:szCs w:val="18"/>
          <w:color w:val="auto"/>
        </w:rPr>
        <w:t>(cont.)</w:t>
      </w:r>
    </w:p>
    <w:p>
      <w:pPr>
        <w:spacing w:after="0" w:line="189" w:lineRule="exact"/>
        <w:rPr>
          <w:sz w:val="20"/>
          <w:szCs w:val="20"/>
          <w:color w:val="auto"/>
        </w:rPr>
      </w:pPr>
    </w:p>
    <w:p>
      <w:pPr>
        <w:ind w:left="460" w:right="739"/>
        <w:spacing w:after="0" w:line="263" w:lineRule="auto"/>
        <w:rPr>
          <w:sz w:val="20"/>
          <w:szCs w:val="20"/>
          <w:color w:val="auto"/>
        </w:rPr>
      </w:pPr>
      <w:r>
        <w:rPr>
          <w:rFonts w:ascii="Arial" w:cs="Arial" w:eastAsia="Arial" w:hAnsi="Arial"/>
          <w:sz w:val="18"/>
          <w:szCs w:val="18"/>
          <w:color w:val="auto"/>
        </w:rPr>
        <w:t>material right. This option will be excluded from the transaction price until exercised. At the inception of the 2018 Gilead Agreement, the Company also determined that the Gilead program license options provided to Gilead did not include a material right.</w:t>
      </w:r>
    </w:p>
    <w:p>
      <w:pPr>
        <w:spacing w:after="0" w:line="116"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The Company determined that the transaction price at the inception of the arrangement was equal to the total upfront payment received in the aggregate amount of $50.0 million. The total transaction price, subject to variable consideration constraints, was allocated to the combined single performance obligation. The Company determined that the single combined performance obligation is satisfied over time as the customer is simultaneously receiving and consuming the benefit of the Company’s performance. The future milestone payments represent variable consideration that is fully constrained at inception of the arrangement as the achievement of the milestone events are highly uncertain.</w:t>
      </w:r>
    </w:p>
    <w:p>
      <w:pPr>
        <w:spacing w:after="0" w:line="92"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In May 2019, Gilead licensed (the “</w:t>
      </w:r>
      <w:r>
        <w:rPr>
          <w:rFonts w:ascii="Arial" w:cs="Arial" w:eastAsia="Arial" w:hAnsi="Arial"/>
          <w:sz w:val="18"/>
          <w:szCs w:val="18"/>
          <w:b w:val="1"/>
          <w:bCs w:val="1"/>
          <w:color w:val="auto"/>
        </w:rPr>
        <w:t>Gilead License</w:t>
      </w:r>
      <w:r>
        <w:rPr>
          <w:rFonts w:ascii="Arial" w:cs="Arial" w:eastAsia="Arial" w:hAnsi="Arial"/>
          <w:sz w:val="18"/>
          <w:szCs w:val="18"/>
          <w:color w:val="auto"/>
        </w:rPr>
        <w:t>”) its first program under the 2018 Gilead Agreement and paid the Company a $7.5 million license fee. Gilead obtained a license to develop and commercialize therapies associated with the nominated program. At the inception of the 2018 Gilead Agreement, the Company determined that the licenses provided to Gilead through the 2018 Gilead Agreement did not include a material right as the license fees were not priced at a discount. At the time of the exercise of the license option by Gilead for the specified nominated program, the Company’s obligations for the nominated program were completed. As such, the Gilead license of the nominated program was determined to be distinct and accounted for as a separate contract.</w:t>
      </w:r>
    </w:p>
    <w:p>
      <w:pPr>
        <w:spacing w:after="0" w:line="124" w:lineRule="exact"/>
        <w:rPr>
          <w:sz w:val="20"/>
          <w:szCs w:val="20"/>
          <w:color w:val="auto"/>
        </w:rPr>
      </w:pPr>
    </w:p>
    <w:p>
      <w:pPr>
        <w:ind w:left="460" w:right="539" w:firstLine="432"/>
        <w:spacing w:after="0" w:line="253" w:lineRule="auto"/>
        <w:rPr>
          <w:sz w:val="20"/>
          <w:szCs w:val="20"/>
          <w:color w:val="auto"/>
        </w:rPr>
      </w:pPr>
      <w:r>
        <w:rPr>
          <w:rFonts w:ascii="Arial" w:cs="Arial" w:eastAsia="Arial" w:hAnsi="Arial"/>
          <w:sz w:val="18"/>
          <w:szCs w:val="18"/>
          <w:color w:val="auto"/>
        </w:rPr>
        <w:t>In July 2019, the Company and Gilead also entered into a letter agreement (the “</w:t>
      </w:r>
      <w:r>
        <w:rPr>
          <w:rFonts w:ascii="Arial" w:cs="Arial" w:eastAsia="Arial" w:hAnsi="Arial"/>
          <w:sz w:val="18"/>
          <w:szCs w:val="18"/>
          <w:b w:val="1"/>
          <w:bCs w:val="1"/>
          <w:color w:val="auto"/>
        </w:rPr>
        <w:t>Gilead Letter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whereby the Company would perform additional research services on behalf of Gilead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first program licensed under the 2018 Gilead Agreement. Upon execution of the Gilead Letter Agreement, Gilead made a $2.6 million payment to the Company as consideration for the performance of additional research services as stipulated in the Gilead Letter Agreement. The Company concluded that the Gilead Letter Agreement should be combined with the Gilead License and accounted for as a single contract. The Company determined that the Gilead License and the research services included in the Gilead Letter Agreement were each distinct as Gilead could benefit from the Gilead License without receiving the additional research services from the Company. As such, the Company allocated the transaction price for the combined agreement between the two distinct performance obligations in proportion to their relative standalone selling prices.</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Amended Gilead Agreement</w:t>
      </w:r>
    </w:p>
    <w:p>
      <w:pPr>
        <w:spacing w:after="0" w:line="158"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In August 2020, Gilead made an equity investment of $20.0 million into the Company as a participant in the Company’s Series B-1 preferred stock offering. At the time of the original investment, as well as of the December 31, 2020 balance sheet date, Gilead maintains an ownership of less than 10% of the Company and is thus not considered to be a related party to the Company.</w:t>
      </w:r>
    </w:p>
    <w:p>
      <w:pPr>
        <w:spacing w:after="0" w:line="90"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In August 2020, the Company and Gilead also entered into an Amended Research Collaboration and License Agreement (the “</w:t>
      </w:r>
      <w:r>
        <w:rPr>
          <w:rFonts w:ascii="Arial" w:cs="Arial" w:eastAsia="Arial" w:hAnsi="Arial"/>
          <w:sz w:val="17"/>
          <w:szCs w:val="17"/>
          <w:b w:val="1"/>
          <w:bCs w:val="1"/>
          <w:color w:val="auto"/>
        </w:rPr>
        <w:t>Gilead Agreement</w:t>
      </w:r>
      <w:r>
        <w:rPr>
          <w:rFonts w:ascii="Arial" w:cs="Arial" w:eastAsia="Arial" w:hAnsi="Arial"/>
          <w:sz w:val="17"/>
          <w:szCs w:val="17"/>
          <w:color w:val="auto"/>
        </w:rPr>
        <w:t>”), which superseded and replaced the 2018 Gilead agreement. The Gilead Agreement represents a continuation of the initial target discovery and validation research and development efforts begun under the 2018 Gilead Agreement. Under the Gilead Agreement:</w:t>
      </w:r>
    </w:p>
    <w:p>
      <w:pPr>
        <w:spacing w:after="0" w:line="104" w:lineRule="exact"/>
        <w:rPr>
          <w:sz w:val="20"/>
          <w:szCs w:val="20"/>
          <w:color w:val="auto"/>
        </w:rPr>
      </w:pPr>
    </w:p>
    <w:p>
      <w:pPr>
        <w:ind w:left="1320" w:right="639" w:hanging="434"/>
        <w:spacing w:after="0" w:line="277" w:lineRule="auto"/>
        <w:tabs>
          <w:tab w:leader="none" w:pos="1311"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Company received upfront, non-refundable consideration of $125.0 million from Gilead upon execution of the Gilead Agreement in 2020;</w:t>
      </w:r>
    </w:p>
    <w:p>
      <w:pPr>
        <w:spacing w:after="0" w:line="102"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term of the 2018 Gilead Agreement ended on the date the Gilead Agreement was executed. The Gilead Agreement has a research term of seven years;</w:t>
      </w:r>
    </w:p>
    <w:p>
      <w:pPr>
        <w:spacing w:after="0" w:line="89" w:lineRule="exact"/>
        <w:rPr>
          <w:rFonts w:ascii="Arial" w:cs="Arial" w:eastAsia="Arial" w:hAnsi="Arial"/>
          <w:sz w:val="18"/>
          <w:szCs w:val="18"/>
          <w:color w:val="auto"/>
        </w:rPr>
      </w:pPr>
    </w:p>
    <w:p>
      <w:pPr>
        <w:ind w:left="1320" w:right="799" w:hanging="434"/>
        <w:spacing w:after="0" w:line="342" w:lineRule="auto"/>
        <w:tabs>
          <w:tab w:leader="none" w:pos="1311" w:val="left"/>
        </w:tabs>
        <w:numPr>
          <w:ilvl w:val="0"/>
          <w:numId w:val="313"/>
        </w:numPr>
        <w:rPr>
          <w:rFonts w:ascii="Arial" w:cs="Arial" w:eastAsia="Arial" w:hAnsi="Arial"/>
          <w:sz w:val="16"/>
          <w:szCs w:val="16"/>
          <w:color w:val="auto"/>
        </w:rPr>
      </w:pPr>
      <w:r>
        <w:rPr>
          <w:rFonts w:ascii="Arial" w:cs="Arial" w:eastAsia="Arial" w:hAnsi="Arial"/>
          <w:sz w:val="16"/>
          <w:szCs w:val="16"/>
          <w:color w:val="auto"/>
        </w:rPr>
        <w:t>Gilead expanded its option to license up to 15 programs for which Gilead may obtain exclusive, worldwide licenses to develop and commercialize therapies, subject to applicable license fees;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5" w:name="page336"/>
    <w:bookmarkEnd w:id="33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820" w:hanging="366"/>
        <w:spacing w:after="0"/>
        <w:tabs>
          <w:tab w:leader="none" w:pos="820"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Collaboration Agreements </w:t>
      </w:r>
      <w:r>
        <w:rPr>
          <w:rFonts w:ascii="Arial" w:cs="Arial" w:eastAsia="Arial" w:hAnsi="Arial"/>
          <w:sz w:val="18"/>
          <w:szCs w:val="18"/>
          <w:color w:val="auto"/>
        </w:rPr>
        <w:t>(cont.)</w:t>
      </w:r>
    </w:p>
    <w:p>
      <w:pPr>
        <w:spacing w:after="0" w:line="188" w:lineRule="exact"/>
        <w:rPr>
          <w:rFonts w:ascii="Arial" w:cs="Arial" w:eastAsia="Arial" w:hAnsi="Arial"/>
          <w:sz w:val="18"/>
          <w:szCs w:val="18"/>
          <w:b w:val="1"/>
          <w:bCs w:val="1"/>
          <w:color w:val="auto"/>
        </w:rPr>
      </w:pPr>
    </w:p>
    <w:p>
      <w:pPr>
        <w:jc w:val="both"/>
        <w:ind w:left="1320" w:right="799" w:hanging="434"/>
        <w:spacing w:after="0" w:line="311" w:lineRule="auto"/>
        <w:tabs>
          <w:tab w:leader="none" w:pos="1311" w:val="left"/>
        </w:tabs>
        <w:numPr>
          <w:ilvl w:val="1"/>
          <w:numId w:val="314"/>
        </w:numPr>
        <w:rPr>
          <w:rFonts w:ascii="Arial" w:cs="Arial" w:eastAsia="Arial" w:hAnsi="Arial"/>
          <w:sz w:val="16"/>
          <w:szCs w:val="16"/>
          <w:color w:val="auto"/>
        </w:rPr>
      </w:pPr>
      <w:r>
        <w:rPr>
          <w:rFonts w:ascii="Arial" w:cs="Arial" w:eastAsia="Arial" w:hAnsi="Arial"/>
          <w:sz w:val="16"/>
          <w:szCs w:val="16"/>
          <w:color w:val="auto"/>
        </w:rPr>
        <w:t>Prior to exercising its option to license a program, Gilead may “extend” such program, in which case Gilead will pay research extension fees and the Company will continue to collaborate with Gilead to discover and develop programs, potentially through early clinical development.</w:t>
      </w:r>
    </w:p>
    <w:p>
      <w:pPr>
        <w:spacing w:after="0" w:line="81" w:lineRule="exact"/>
        <w:rPr>
          <w:rFonts w:ascii="Arial" w:cs="Arial" w:eastAsia="Arial" w:hAnsi="Arial"/>
          <w:sz w:val="16"/>
          <w:szCs w:val="16"/>
          <w:color w:val="auto"/>
        </w:rPr>
      </w:pPr>
    </w:p>
    <w:p>
      <w:pPr>
        <w:ind w:left="1320" w:right="519" w:hanging="434"/>
        <w:spacing w:after="0" w:line="263" w:lineRule="auto"/>
        <w:tabs>
          <w:tab w:leader="none" w:pos="1311" w:val="left"/>
        </w:tabs>
        <w:numPr>
          <w:ilvl w:val="1"/>
          <w:numId w:val="314"/>
        </w:numPr>
        <w:rPr>
          <w:rFonts w:ascii="Arial" w:cs="Arial" w:eastAsia="Arial" w:hAnsi="Arial"/>
          <w:sz w:val="18"/>
          <w:szCs w:val="18"/>
          <w:color w:val="auto"/>
        </w:rPr>
      </w:pPr>
      <w:r>
        <w:rPr>
          <w:rFonts w:ascii="Arial" w:cs="Arial" w:eastAsia="Arial" w:hAnsi="Arial"/>
          <w:sz w:val="18"/>
          <w:szCs w:val="18"/>
          <w:color w:val="auto"/>
        </w:rPr>
        <w:t>For up to five programs licensed by Gilead, the Company has the option to co-develop and co-promote the lead product in the U.S., subject to certain exceptions, and eligible to receive milestone payments and royalties on ex-U.S. sales.</w:t>
      </w:r>
    </w:p>
    <w:p>
      <w:pPr>
        <w:spacing w:after="0" w:line="103"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The Company is eligible to receive up to $410.0 million per program in license, research extension, and clinical, regulatory, and commercial milestones. The Company is also eligible to receive up to low double-digit tiered royalties on net sales by Gilead, if any, on a country-by-country and product-by-product basis until the later of (a) the expiration of the last valid claim of the Company’s patents or, in some instances, certain Gilead patents, in each case, covering such product in such country or (b) ten years after the first commercial sale of such product in such country. For those programs the Company co-develops and co-promotes in the U.S., the Company and Gilead would share equally in the development costs as well as the profits and losses in the U.S. For such products, the Company remains eligible to receive certain clinical and regulatory milestone payments as well as commercial milestone payments and up to low double-digit tiered royalties based on net sales outside the U.S.</w:t>
      </w:r>
    </w:p>
    <w:p>
      <w:pPr>
        <w:spacing w:after="0" w:line="11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 Gilead Agreement was accounted for as a modification of the 2018 Gilead Agreement under ASC 606 as both the scope and price of the contract were changed under the Gilead Agreement. The additional goods and services to be provided under the Gilead Agreement are not distinct from the combined performance obligation identified under the 2018 Gilead Agreement which was only partially satisfied at the date of contract modification. As such, the Company identified a single combined performance obligation under the Gilead Agreement consisting of the research services and continued participation on the joint steering committee during the research term. As a result, the Company’s progress towards completing its research services to Gilead over the seven-year term of the Amended Gilead Agreement was lower than its progress under the three-year term of the 2018 Gilead Agreement and a cumulative catch-up adjustment was recorded during the third quarter of 2020 resulting in a reduction of $11.3 million of revenue previously recognized through the date of the Gilead Agreement.</w:t>
      </w:r>
    </w:p>
    <w:p>
      <w:pPr>
        <w:spacing w:after="0" w:line="114" w:lineRule="exact"/>
        <w:rPr>
          <w:sz w:val="20"/>
          <w:szCs w:val="20"/>
          <w:color w:val="auto"/>
        </w:rPr>
      </w:pPr>
    </w:p>
    <w:p>
      <w:pPr>
        <w:jc w:val="both"/>
        <w:ind w:left="460" w:right="519" w:firstLine="432"/>
        <w:spacing w:after="0" w:line="287" w:lineRule="auto"/>
        <w:rPr>
          <w:sz w:val="20"/>
          <w:szCs w:val="20"/>
          <w:color w:val="auto"/>
        </w:rPr>
      </w:pPr>
      <w:r>
        <w:rPr>
          <w:rFonts w:ascii="Arial" w:cs="Arial" w:eastAsia="Arial" w:hAnsi="Arial"/>
          <w:sz w:val="16"/>
          <w:szCs w:val="16"/>
          <w:color w:val="auto"/>
        </w:rPr>
        <w:t>In December 2020, Gilead elected to extend a program for a research extension fee of $12.0 million. The Company determined that the additional goods and services relating to the continued research services were not distinct from the early-stage research services already promised to Gilead under the on-going research plan.</w:t>
      </w:r>
    </w:p>
    <w:p>
      <w:pPr>
        <w:spacing w:after="0" w:line="2" w:lineRule="exact"/>
        <w:rPr>
          <w:sz w:val="20"/>
          <w:szCs w:val="20"/>
          <w:color w:val="auto"/>
        </w:rPr>
      </w:pPr>
    </w:p>
    <w:p>
      <w:pPr>
        <w:ind w:left="460" w:right="559"/>
        <w:spacing w:after="0" w:line="252" w:lineRule="auto"/>
        <w:rPr>
          <w:sz w:val="20"/>
          <w:szCs w:val="20"/>
          <w:color w:val="auto"/>
        </w:rPr>
      </w:pPr>
      <w:r>
        <w:rPr>
          <w:rFonts w:ascii="Arial" w:cs="Arial" w:eastAsia="Arial" w:hAnsi="Arial"/>
          <w:sz w:val="18"/>
          <w:szCs w:val="18"/>
          <w:color w:val="auto"/>
        </w:rPr>
        <w:t>Consideration pertaining to the research extension is paid to the Company in equal quarterly installment payments over an agreed upon payment schedule. Although future research installment payments are not payable in the event of scientific failure, the Company determined that the variable consideration of $12.0 million should not be constrained as the potential for a significant reversal of cumulative revenue recognized at the contract level is remote, and therefore the research extension consideration was added to the transaction price under the Gilead Agreement.</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Gilead Revenue Recognized</w:t>
      </w:r>
    </w:p>
    <w:p>
      <w:pPr>
        <w:spacing w:after="0" w:line="144"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The total transaction price allocated to the combined performance obligation under the Gilead Agreement was $187.0 million at December 31, 2020. The total transaction price was comprised of the $50.0 million upfront payment pursuant to the 2018 Gilead Agreement, the $125.0 million upfront payment pursuant to the Gilead Agreement, and the $12.0 million pursuant to the research extension fee in December 2020. During the years ended December 31, 2020 and 2019, the Company recognized $7.0 million and $15.2 million, respectively, of revenue associated with the Gilead Agreements based on performance completed during each period. During the years ended December 31, 2020 and 2019, the Company recognized revenue of $0.7 million and $9.4 million, respectively, associated with the payments received in 2019 pursuant to the program license and Gilead Letter Agreement. The consideration allocated to the Gilead License was recognized upon delivery of the underlying license in 2019 as Gilead could benefit from the license on its own and the Gilead License was separately identifiable from the Gilead Letter Agreement research services.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6" w:name="page337"/>
    <w:bookmarkEnd w:id="33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820" w:hanging="366"/>
        <w:spacing w:after="0"/>
        <w:tabs>
          <w:tab w:leader="none" w:pos="82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Collaboration Agreements </w:t>
      </w:r>
      <w:r>
        <w:rPr>
          <w:rFonts w:ascii="Arial" w:cs="Arial" w:eastAsia="Arial" w:hAnsi="Arial"/>
          <w:sz w:val="18"/>
          <w:szCs w:val="18"/>
          <w:color w:val="auto"/>
        </w:rPr>
        <w:t>(cont.)</w:t>
      </w:r>
    </w:p>
    <w:p>
      <w:pPr>
        <w:spacing w:after="0" w:line="189"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December 31, 2020 and 2019, the Company had short-term deferred revenue of $32.0 million and $19.6 million, respectively, and long-term deferred revenue of $120.8 million and $14.1 million, respectively, related to the Gilead collaboration. Of the total short-term deferred revenue at December 31, 2019, $18.6 million related to the 2018 Gilead Agreement and the other $1.0 million related to the Gilead Letter Agreement.</w:t>
      </w:r>
    </w:p>
    <w:p>
      <w:pPr>
        <w:spacing w:after="0" w:line="111" w:lineRule="exact"/>
        <w:rPr>
          <w:sz w:val="20"/>
          <w:szCs w:val="20"/>
          <w:color w:val="auto"/>
        </w:rPr>
      </w:pPr>
    </w:p>
    <w:p>
      <w:pPr>
        <w:ind w:left="460" w:right="639" w:firstLine="432"/>
        <w:spacing w:after="0" w:line="293" w:lineRule="auto"/>
        <w:rPr>
          <w:sz w:val="20"/>
          <w:szCs w:val="20"/>
          <w:color w:val="auto"/>
        </w:rPr>
      </w:pPr>
      <w:r>
        <w:rPr>
          <w:rFonts w:ascii="Arial" w:cs="Arial" w:eastAsia="Arial" w:hAnsi="Arial"/>
          <w:sz w:val="16"/>
          <w:szCs w:val="16"/>
          <w:color w:val="auto"/>
        </w:rPr>
        <w:t>Amounts due to the Company that have not yet been received are recorded as accounts receivable and amounts received that have not yet been recognized as revenue are recorded as deferred revenue on the Company’s consolidated balance sheet. As of December 31, 2020, $2.0 million of the total research extension fee amount of $12.0 million had been recorded as accounts receivable and the remaining $10.0 million was determined to be conditional upon the satisfaction of additional research obligations, and thus a contract asset. The contract asset balance is presented net of the deferred revenue contract liability.</w:t>
      </w:r>
    </w:p>
    <w:p>
      <w:pPr>
        <w:spacing w:after="0" w:line="8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Costs incurred pursuant to the Gilead Agreements are recorded as research and development expense.</w:t>
      </w:r>
    </w:p>
    <w:p>
      <w:pPr>
        <w:spacing w:after="0" w:line="233" w:lineRule="exact"/>
        <w:rPr>
          <w:sz w:val="20"/>
          <w:szCs w:val="20"/>
          <w:color w:val="auto"/>
        </w:rPr>
      </w:pPr>
    </w:p>
    <w:p>
      <w:pPr>
        <w:ind w:left="820" w:hanging="366"/>
        <w:spacing w:after="0"/>
        <w:tabs>
          <w:tab w:leader="none" w:pos="820"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62"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gridSpan w:val="8"/>
          </w:tcPr>
          <w:p>
            <w:pPr>
              <w:jc w:val="center"/>
              <w:ind w:right="90"/>
              <w:spacing w:after="0"/>
              <w:rPr>
                <w:sz w:val="20"/>
                <w:szCs w:val="20"/>
                <w:color w:val="auto"/>
              </w:rPr>
            </w:pPr>
            <w:r>
              <w:rPr>
                <w:rFonts w:ascii="Arial" w:cs="Arial" w:eastAsia="Arial" w:hAnsi="Arial"/>
                <w:sz w:val="16"/>
                <w:szCs w:val="16"/>
                <w:b w:val="1"/>
                <w:bCs w:val="1"/>
                <w:color w:val="auto"/>
                <w:w w:val="93"/>
              </w:rPr>
              <w:t>Fair Market Value Measurements</w:t>
            </w:r>
          </w:p>
        </w:tc>
        <w:tc>
          <w:tcPr>
            <w:tcW w:w="900" w:type="dxa"/>
            <w:vAlign w:val="bottom"/>
          </w:tcPr>
          <w:p>
            <w:pPr>
              <w:spacing w:after="0"/>
              <w:rPr>
                <w:sz w:val="17"/>
                <w:szCs w:val="17"/>
                <w:color w:val="auto"/>
              </w:rPr>
            </w:pPr>
          </w:p>
        </w:tc>
      </w:tr>
      <w:tr>
        <w:trPr>
          <w:trHeight w:val="210"/>
        </w:trPr>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89"/>
              </w:rPr>
              <w:t>as of December 31, 2020</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6"/>
        </w:trPr>
        <w:tc>
          <w:tcPr>
            <w:tcW w:w="36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3"/>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30"/>
        </w:trPr>
        <w:tc>
          <w:tcPr>
            <w:tcW w:w="3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Level 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Level 2</w:t>
            </w: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20"/>
                <w:szCs w:val="20"/>
                <w:color w:val="auto"/>
              </w:rPr>
            </w:pPr>
          </w:p>
        </w:tc>
        <w:tc>
          <w:tcPr>
            <w:tcW w:w="900" w:type="dxa"/>
            <w:vAlign w:val="bottom"/>
          </w:tcPr>
          <w:p>
            <w:pPr>
              <w:jc w:val="right"/>
              <w:ind w:right="312"/>
              <w:spacing w:after="0"/>
              <w:rPr>
                <w:sz w:val="20"/>
                <w:szCs w:val="20"/>
                <w:color w:val="auto"/>
              </w:rPr>
            </w:pPr>
            <w:r>
              <w:rPr>
                <w:rFonts w:ascii="Arial" w:cs="Arial" w:eastAsia="Arial" w:hAnsi="Arial"/>
                <w:sz w:val="16"/>
                <w:szCs w:val="16"/>
                <w:b w:val="1"/>
                <w:bCs w:val="1"/>
                <w:color w:val="auto"/>
              </w:rPr>
              <w:t>Total</w:t>
            </w:r>
          </w:p>
        </w:tc>
      </w:tr>
      <w:tr>
        <w:trPr>
          <w:trHeight w:val="47"/>
        </w:trPr>
        <w:tc>
          <w:tcPr>
            <w:tcW w:w="36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gridSpan w:val="5"/>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17"/>
        </w:trPr>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88"/>
              </w:rPr>
              <w:t>(in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6"/>
        </w:trPr>
        <w:tc>
          <w:tcPr>
            <w:tcW w:w="3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64"/>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362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12,698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1180" w:type="dxa"/>
            <w:vAlign w:val="bottom"/>
            <w:gridSpan w:val="3"/>
          </w:tcPr>
          <w:p>
            <w:pPr>
              <w:ind w:left="660"/>
              <w:spacing w:after="0"/>
              <w:rPr>
                <w:sz w:val="20"/>
                <w:szCs w:val="20"/>
                <w:color w:val="auto"/>
              </w:rPr>
            </w:pPr>
            <w:r>
              <w:rPr>
                <w:rFonts w:ascii="Arial" w:cs="Arial" w:eastAsia="Arial" w:hAnsi="Arial"/>
                <w:sz w:val="18"/>
                <w:szCs w:val="18"/>
                <w:color w:val="auto"/>
              </w:rPr>
              <w:t>— $</w:t>
            </w:r>
          </w:p>
        </w:tc>
        <w:tc>
          <w:tcPr>
            <w:tcW w:w="900" w:type="dxa"/>
            <w:vAlign w:val="bottom"/>
          </w:tcPr>
          <w:p>
            <w:pPr>
              <w:jc w:val="right"/>
              <w:spacing w:after="0"/>
              <w:rPr>
                <w:sz w:val="20"/>
                <w:szCs w:val="20"/>
                <w:color w:val="auto"/>
              </w:rPr>
            </w:pPr>
            <w:r>
              <w:rPr>
                <w:rFonts w:ascii="Arial" w:cs="Arial" w:eastAsia="Arial" w:hAnsi="Arial"/>
                <w:sz w:val="18"/>
                <w:szCs w:val="18"/>
                <w:color w:val="auto"/>
              </w:rPr>
              <w:t>12,698</w:t>
            </w:r>
          </w:p>
        </w:tc>
      </w:tr>
      <w:tr>
        <w:trPr>
          <w:trHeight w:val="40"/>
        </w:trPr>
        <w:tc>
          <w:tcPr>
            <w:tcW w:w="3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4"/>
        </w:trPr>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Treasury bills</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7,175</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7,175</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Marketable debt securities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40"/>
        </w:trPr>
        <w:tc>
          <w:tcPr>
            <w:tcW w:w="3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3"/>
        </w:trPr>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Treasury bills</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131,939</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131,939</w:t>
            </w:r>
          </w:p>
        </w:tc>
      </w:tr>
      <w:tr>
        <w:trPr>
          <w:trHeight w:val="257"/>
        </w:trPr>
        <w:tc>
          <w:tcPr>
            <w:tcW w:w="3620" w:type="dxa"/>
            <w:vAlign w:val="bottom"/>
          </w:tcPr>
          <w:p>
            <w:pPr>
              <w:ind w:left="360"/>
              <w:spacing w:after="0"/>
              <w:rPr>
                <w:sz w:val="20"/>
                <w:szCs w:val="20"/>
                <w:color w:val="auto"/>
              </w:rPr>
            </w:pPr>
            <w:r>
              <w:rPr>
                <w:rFonts w:ascii="Arial" w:cs="Arial" w:eastAsia="Arial" w:hAnsi="Arial"/>
                <w:sz w:val="18"/>
                <w:szCs w:val="18"/>
                <w:color w:val="auto"/>
              </w:rPr>
              <w:t>U.S. government agency bonds</w:t>
            </w:r>
          </w:p>
        </w:tc>
        <w:tc>
          <w:tcPr>
            <w:tcW w:w="16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22"/>
                <w:szCs w:val="22"/>
                <w:color w:val="auto"/>
              </w:rPr>
            </w:pP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7"/>
        </w:trPr>
        <w:tc>
          <w:tcPr>
            <w:tcW w:w="3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12,698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169,114 $</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181,812</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65"/>
        </w:trPr>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gridSpan w:val="8"/>
          </w:tcPr>
          <w:p>
            <w:pPr>
              <w:jc w:val="center"/>
              <w:ind w:right="90"/>
              <w:spacing w:after="0"/>
              <w:rPr>
                <w:sz w:val="20"/>
                <w:szCs w:val="20"/>
                <w:color w:val="auto"/>
              </w:rPr>
            </w:pPr>
            <w:r>
              <w:rPr>
                <w:rFonts w:ascii="Arial" w:cs="Arial" w:eastAsia="Arial" w:hAnsi="Arial"/>
                <w:sz w:val="16"/>
                <w:szCs w:val="16"/>
                <w:b w:val="1"/>
                <w:bCs w:val="1"/>
                <w:color w:val="auto"/>
                <w:w w:val="93"/>
              </w:rPr>
              <w:t>Fair Market Value Measurements</w:t>
            </w:r>
          </w:p>
        </w:tc>
        <w:tc>
          <w:tcPr>
            <w:tcW w:w="900" w:type="dxa"/>
            <w:vAlign w:val="bottom"/>
          </w:tcPr>
          <w:p>
            <w:pPr>
              <w:spacing w:after="0"/>
              <w:rPr>
                <w:sz w:val="24"/>
                <w:szCs w:val="24"/>
                <w:color w:val="auto"/>
              </w:rPr>
            </w:pPr>
          </w:p>
        </w:tc>
      </w:tr>
      <w:tr>
        <w:trPr>
          <w:trHeight w:val="210"/>
        </w:trPr>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89"/>
              </w:rPr>
              <w:t>as of December 31, 2019</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6"/>
        </w:trPr>
        <w:tc>
          <w:tcPr>
            <w:tcW w:w="36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3"/>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30"/>
        </w:trPr>
        <w:tc>
          <w:tcPr>
            <w:tcW w:w="3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Level 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Level 2</w:t>
            </w: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20"/>
                <w:szCs w:val="20"/>
                <w:color w:val="auto"/>
              </w:rPr>
            </w:pPr>
          </w:p>
        </w:tc>
        <w:tc>
          <w:tcPr>
            <w:tcW w:w="900" w:type="dxa"/>
            <w:vAlign w:val="bottom"/>
          </w:tcPr>
          <w:p>
            <w:pPr>
              <w:jc w:val="right"/>
              <w:ind w:right="312"/>
              <w:spacing w:after="0"/>
              <w:rPr>
                <w:sz w:val="20"/>
                <w:szCs w:val="20"/>
                <w:color w:val="auto"/>
              </w:rPr>
            </w:pPr>
            <w:r>
              <w:rPr>
                <w:rFonts w:ascii="Arial" w:cs="Arial" w:eastAsia="Arial" w:hAnsi="Arial"/>
                <w:sz w:val="16"/>
                <w:szCs w:val="16"/>
                <w:b w:val="1"/>
                <w:bCs w:val="1"/>
                <w:color w:val="auto"/>
              </w:rPr>
              <w:t>Total</w:t>
            </w:r>
          </w:p>
        </w:tc>
      </w:tr>
      <w:tr>
        <w:trPr>
          <w:trHeight w:val="47"/>
        </w:trPr>
        <w:tc>
          <w:tcPr>
            <w:tcW w:w="36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gridSpan w:val="5"/>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17"/>
        </w:trPr>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88"/>
              </w:rPr>
              <w:t>(in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6"/>
        </w:trPr>
        <w:tc>
          <w:tcPr>
            <w:tcW w:w="3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64"/>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362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18,508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1180" w:type="dxa"/>
            <w:vAlign w:val="bottom"/>
            <w:gridSpan w:val="3"/>
          </w:tcPr>
          <w:p>
            <w:pPr>
              <w:ind w:left="660"/>
              <w:spacing w:after="0"/>
              <w:rPr>
                <w:sz w:val="20"/>
                <w:szCs w:val="20"/>
                <w:color w:val="auto"/>
              </w:rPr>
            </w:pPr>
            <w:r>
              <w:rPr>
                <w:rFonts w:ascii="Arial" w:cs="Arial" w:eastAsia="Arial" w:hAnsi="Arial"/>
                <w:sz w:val="18"/>
                <w:szCs w:val="18"/>
                <w:color w:val="auto"/>
              </w:rPr>
              <w:t>— $</w:t>
            </w:r>
          </w:p>
        </w:tc>
        <w:tc>
          <w:tcPr>
            <w:tcW w:w="900" w:type="dxa"/>
            <w:vAlign w:val="bottom"/>
          </w:tcPr>
          <w:p>
            <w:pPr>
              <w:jc w:val="right"/>
              <w:spacing w:after="0"/>
              <w:rPr>
                <w:sz w:val="20"/>
                <w:szCs w:val="20"/>
                <w:color w:val="auto"/>
              </w:rPr>
            </w:pPr>
            <w:r>
              <w:rPr>
                <w:rFonts w:ascii="Arial" w:cs="Arial" w:eastAsia="Arial" w:hAnsi="Arial"/>
                <w:sz w:val="18"/>
                <w:szCs w:val="18"/>
                <w:color w:val="auto"/>
              </w:rPr>
              <w:t>18,508</w:t>
            </w:r>
          </w:p>
        </w:tc>
      </w:tr>
      <w:tr>
        <w:trPr>
          <w:trHeight w:val="40"/>
        </w:trPr>
        <w:tc>
          <w:tcPr>
            <w:tcW w:w="3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4"/>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debt securities: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56"/>
        </w:trPr>
        <w:tc>
          <w:tcPr>
            <w:tcW w:w="3620" w:type="dxa"/>
            <w:vAlign w:val="bottom"/>
          </w:tcPr>
          <w:p>
            <w:pPr>
              <w:ind w:left="360"/>
              <w:spacing w:after="0"/>
              <w:rPr>
                <w:sz w:val="20"/>
                <w:szCs w:val="20"/>
                <w:color w:val="auto"/>
              </w:rPr>
            </w:pPr>
            <w:r>
              <w:rPr>
                <w:rFonts w:ascii="Arial" w:cs="Arial" w:eastAsia="Arial" w:hAnsi="Arial"/>
                <w:sz w:val="18"/>
                <w:szCs w:val="18"/>
                <w:color w:val="auto"/>
              </w:rPr>
              <w:t>U.S. Treasury bills</w:t>
            </w:r>
          </w:p>
        </w:tc>
        <w:tc>
          <w:tcPr>
            <w:tcW w:w="16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17,536</w:t>
            </w:r>
          </w:p>
        </w:tc>
        <w:tc>
          <w:tcPr>
            <w:tcW w:w="180" w:type="dxa"/>
            <w:vAlign w:val="bottom"/>
          </w:tcPr>
          <w:p>
            <w:pPr>
              <w:spacing w:after="0"/>
              <w:rPr>
                <w:sz w:val="22"/>
                <w:szCs w:val="22"/>
                <w:color w:val="auto"/>
              </w:rPr>
            </w:pP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17,536</w:t>
            </w:r>
          </w:p>
        </w:tc>
      </w:tr>
      <w:tr>
        <w:trPr>
          <w:trHeight w:val="27"/>
        </w:trPr>
        <w:tc>
          <w:tcPr>
            <w:tcW w:w="3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18,508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17,536 $</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36,044</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ind w:left="2080" w:right="240"/>
        <w:spacing w:after="0" w:line="481" w:lineRule="auto"/>
        <w:rPr>
          <w:sz w:val="20"/>
          <w:szCs w:val="20"/>
          <w:color w:val="auto"/>
        </w:rPr>
      </w:pPr>
      <w:r>
        <w:rPr>
          <w:rFonts w:ascii="Arial" w:cs="Arial" w:eastAsia="Arial" w:hAnsi="Arial"/>
          <w:sz w:val="18"/>
          <w:szCs w:val="18"/>
          <w:color w:val="auto"/>
        </w:rPr>
        <w:t>There were no transfers between fair value levels during the years ended December 31, 2020 and 2019. 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7" w:name="page338"/>
    <w:bookmarkEnd w:id="33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820" w:hanging="366"/>
        <w:spacing w:after="0"/>
        <w:tabs>
          <w:tab w:leader="none" w:pos="82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48" w:lineRule="exact"/>
        <w:rPr>
          <w:sz w:val="20"/>
          <w:szCs w:val="20"/>
          <w:color w:val="auto"/>
        </w:rPr>
      </w:pPr>
    </w:p>
    <w:p>
      <w:pPr>
        <w:ind w:left="460" w:right="599" w:firstLine="432"/>
        <w:spacing w:after="0" w:line="279" w:lineRule="auto"/>
        <w:rPr>
          <w:sz w:val="20"/>
          <w:szCs w:val="20"/>
          <w:color w:val="auto"/>
        </w:rPr>
      </w:pPr>
      <w:r>
        <w:rPr>
          <w:rFonts w:ascii="Arial" w:cs="Arial" w:eastAsia="Arial" w:hAnsi="Arial"/>
          <w:sz w:val="17"/>
          <w:szCs w:val="17"/>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the Company’s marketable debt securities, classified as available-for-</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w w:val="92"/>
              </w:rPr>
              <w:t>Fair Value Measurements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6"/>
          </w:tcPr>
          <w:p>
            <w:pPr>
              <w:ind w:left="180"/>
              <w:spacing w:after="0"/>
              <w:rPr>
                <w:sz w:val="20"/>
                <w:szCs w:val="20"/>
                <w:color w:val="auto"/>
              </w:rPr>
            </w:pPr>
            <w:r>
              <w:rPr>
                <w:rFonts w:ascii="Arial" w:cs="Arial" w:eastAsia="Arial" w:hAnsi="Arial"/>
                <w:sz w:val="16"/>
                <w:szCs w:val="16"/>
                <w:b w:val="1"/>
                <w:bCs w:val="1"/>
                <w:color w:val="auto"/>
              </w:rPr>
              <w:t>as of December 31, 2020</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46"/>
        </w:trPr>
        <w:tc>
          <w:tcPr>
            <w:tcW w:w="36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182"/>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200"/>
              <w:spacing w:after="0" w:line="182" w:lineRule="exact"/>
              <w:rPr>
                <w:sz w:val="20"/>
                <w:szCs w:val="20"/>
                <w:color w:val="auto"/>
              </w:rPr>
            </w:pPr>
            <w:r>
              <w:rPr>
                <w:rFonts w:ascii="Arial" w:cs="Arial" w:eastAsia="Arial" w:hAnsi="Arial"/>
                <w:sz w:val="16"/>
                <w:szCs w:val="16"/>
                <w:b w:val="1"/>
                <w:bCs w:val="1"/>
                <w:color w:val="auto"/>
              </w:rPr>
              <w:t>Gross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00"/>
              <w:spacing w:after="0" w:line="182" w:lineRule="exact"/>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3"/>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Amortized</w:t>
            </w:r>
          </w:p>
        </w:tc>
        <w:tc>
          <w:tcPr>
            <w:tcW w:w="12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Unrealized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Unrealized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Cost</w:t>
            </w:r>
          </w:p>
        </w:tc>
        <w:tc>
          <w:tcPr>
            <w:tcW w:w="12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6"/>
                <w:szCs w:val="16"/>
                <w:b w:val="1"/>
                <w:bCs w:val="1"/>
                <w:color w:val="auto"/>
              </w:rPr>
              <w:t>Gains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Arial" w:cs="Arial" w:eastAsia="Arial" w:hAnsi="Arial"/>
                <w:sz w:val="16"/>
                <w:szCs w:val="16"/>
                <w:b w:val="1"/>
                <w:bCs w:val="1"/>
                <w:color w:val="auto"/>
              </w:rPr>
              <w:t>Fair Value</w:t>
            </w:r>
          </w:p>
        </w:tc>
      </w:tr>
      <w:tr>
        <w:trPr>
          <w:trHeight w:val="47"/>
        </w:trPr>
        <w:tc>
          <w:tcPr>
            <w:tcW w:w="36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gridSpan w:val="6"/>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17"/>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88"/>
              </w:rPr>
              <w:t>(in thousands)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46"/>
        </w:trPr>
        <w:tc>
          <w:tcPr>
            <w:tcW w:w="3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63"/>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debt securities:</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U.S. Treasury bills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131,927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131,939</w:t>
            </w:r>
          </w:p>
        </w:tc>
      </w:tr>
      <w:tr>
        <w:trPr>
          <w:trHeight w:val="40"/>
        </w:trPr>
        <w:tc>
          <w:tcPr>
            <w:tcW w:w="3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4"/>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agency bonds</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29,995</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0"/>
        </w:trPr>
        <w:tc>
          <w:tcPr>
            <w:tcW w:w="3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43"/>
        </w:trPr>
        <w:tc>
          <w:tcPr>
            <w:tcW w:w="36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161,922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ind w:left="72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161,939</w:t>
            </w:r>
          </w:p>
        </w:tc>
      </w:tr>
      <w:tr>
        <w:trPr>
          <w:trHeight w:val="20"/>
        </w:trPr>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65"/>
        </w:trPr>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w w:val="92"/>
              </w:rPr>
              <w:t>Fair Value Measurements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0"/>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6"/>
          </w:tcPr>
          <w:p>
            <w:pPr>
              <w:ind w:left="180"/>
              <w:spacing w:after="0"/>
              <w:rPr>
                <w:sz w:val="20"/>
                <w:szCs w:val="20"/>
                <w:color w:val="auto"/>
              </w:rPr>
            </w:pPr>
            <w:r>
              <w:rPr>
                <w:rFonts w:ascii="Arial" w:cs="Arial" w:eastAsia="Arial" w:hAnsi="Arial"/>
                <w:sz w:val="16"/>
                <w:szCs w:val="16"/>
                <w:b w:val="1"/>
                <w:bCs w:val="1"/>
                <w:color w:val="auto"/>
              </w:rPr>
              <w:t>as of December 31, 2019</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47"/>
        </w:trPr>
        <w:tc>
          <w:tcPr>
            <w:tcW w:w="36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182"/>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200"/>
              <w:spacing w:after="0" w:line="182" w:lineRule="exact"/>
              <w:rPr>
                <w:sz w:val="20"/>
                <w:szCs w:val="20"/>
                <w:color w:val="auto"/>
              </w:rPr>
            </w:pPr>
            <w:r>
              <w:rPr>
                <w:rFonts w:ascii="Arial" w:cs="Arial" w:eastAsia="Arial" w:hAnsi="Arial"/>
                <w:sz w:val="16"/>
                <w:szCs w:val="16"/>
                <w:b w:val="1"/>
                <w:bCs w:val="1"/>
                <w:color w:val="auto"/>
              </w:rPr>
              <w:t>Gross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00"/>
              <w:spacing w:after="0" w:line="182" w:lineRule="exact"/>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3"/>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Amortized</w:t>
            </w:r>
          </w:p>
        </w:tc>
        <w:tc>
          <w:tcPr>
            <w:tcW w:w="12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Unrealized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Unrealized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Cost</w:t>
            </w:r>
          </w:p>
        </w:tc>
        <w:tc>
          <w:tcPr>
            <w:tcW w:w="12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6"/>
                <w:szCs w:val="16"/>
                <w:b w:val="1"/>
                <w:bCs w:val="1"/>
                <w:color w:val="auto"/>
              </w:rPr>
              <w:t>Gains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Arial" w:cs="Arial" w:eastAsia="Arial" w:hAnsi="Arial"/>
                <w:sz w:val="16"/>
                <w:szCs w:val="16"/>
                <w:b w:val="1"/>
                <w:bCs w:val="1"/>
                <w:color w:val="auto"/>
              </w:rPr>
              <w:t>Fair Value</w:t>
            </w:r>
          </w:p>
        </w:tc>
      </w:tr>
      <w:tr>
        <w:trPr>
          <w:trHeight w:val="46"/>
        </w:trPr>
        <w:tc>
          <w:tcPr>
            <w:tcW w:w="36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gridSpan w:val="6"/>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17"/>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88"/>
              </w:rPr>
              <w:t>(in thousands)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47"/>
        </w:trPr>
        <w:tc>
          <w:tcPr>
            <w:tcW w:w="3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63"/>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debt securities:</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57"/>
        </w:trPr>
        <w:tc>
          <w:tcPr>
            <w:tcW w:w="3620" w:type="dxa"/>
            <w:vAlign w:val="bottom"/>
          </w:tcPr>
          <w:p>
            <w:pPr>
              <w:ind w:left="180"/>
              <w:spacing w:after="0"/>
              <w:rPr>
                <w:sz w:val="20"/>
                <w:szCs w:val="20"/>
                <w:color w:val="auto"/>
              </w:rPr>
            </w:pPr>
            <w:r>
              <w:rPr>
                <w:rFonts w:ascii="Arial" w:cs="Arial" w:eastAsia="Arial" w:hAnsi="Arial"/>
                <w:sz w:val="18"/>
                <w:szCs w:val="18"/>
                <w:color w:val="auto"/>
              </w:rPr>
              <w:t>U.S. Treasury bills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17,536</w:t>
            </w:r>
          </w:p>
        </w:tc>
      </w:tr>
      <w:tr>
        <w:trPr>
          <w:trHeight w:val="27"/>
        </w:trPr>
        <w:tc>
          <w:tcPr>
            <w:tcW w:w="3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6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17,536</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Company holds investment grade marketable securities, and none were considered to be in an unrealized loss position as of December 31, 2020 and 2019. As a result, the Company did not record any reserves for credit losses related to its marketable debt securities during the years then ended. Marketable securities include $0.1 million in accrued interest for each of the years ended December 31, 2020 and December 31, 2019.</w:t>
      </w:r>
    </w:p>
    <w:p>
      <w:pPr>
        <w:spacing w:after="0" w:line="184" w:lineRule="exact"/>
        <w:rPr>
          <w:sz w:val="20"/>
          <w:szCs w:val="20"/>
          <w:color w:val="auto"/>
        </w:rPr>
      </w:pPr>
    </w:p>
    <w:p>
      <w:pPr>
        <w:ind w:left="820" w:hanging="366"/>
        <w:spacing w:after="0"/>
        <w:tabs>
          <w:tab w:leader="none" w:pos="82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Information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Property and equipment, net as of December 31, 2020 and 2019 consists of the following:</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ind w:left="5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gridSpan w:val="6"/>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ind w:left="50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4,580</w:t>
            </w: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Computer equipment</w:t>
            </w:r>
          </w:p>
        </w:tc>
        <w:tc>
          <w:tcPr>
            <w:tcW w:w="260" w:type="dxa"/>
            <w:vAlign w:val="bottom"/>
          </w:tcPr>
          <w:p>
            <w:pPr>
              <w:spacing w:after="0"/>
              <w:rPr>
                <w:sz w:val="21"/>
                <w:szCs w:val="21"/>
                <w:color w:val="auto"/>
              </w:rPr>
            </w:pPr>
          </w:p>
        </w:tc>
        <w:tc>
          <w:tcPr>
            <w:tcW w:w="980" w:type="dxa"/>
            <w:vAlign w:val="bottom"/>
            <w:gridSpan w:val="2"/>
          </w:tcPr>
          <w:p>
            <w:pPr>
              <w:jc w:val="right"/>
              <w:ind w:right="161"/>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125</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21"/>
                <w:szCs w:val="21"/>
                <w:color w:val="auto"/>
              </w:rPr>
            </w:pPr>
          </w:p>
        </w:tc>
        <w:tc>
          <w:tcPr>
            <w:tcW w:w="980" w:type="dxa"/>
            <w:vAlign w:val="bottom"/>
            <w:gridSpan w:val="2"/>
          </w:tcPr>
          <w:p>
            <w:pPr>
              <w:jc w:val="right"/>
              <w:ind w:right="161"/>
              <w:spacing w:after="0"/>
              <w:rPr>
                <w:sz w:val="20"/>
                <w:szCs w:val="20"/>
                <w:color w:val="auto"/>
              </w:rPr>
            </w:pPr>
            <w:r>
              <w:rPr>
                <w:rFonts w:ascii="Arial" w:cs="Arial" w:eastAsia="Arial" w:hAnsi="Arial"/>
                <w:sz w:val="18"/>
                <w:szCs w:val="18"/>
                <w:color w:val="auto"/>
              </w:rPr>
              <w:t>384</w:t>
            </w: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246</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61"/>
              <w:spacing w:after="0"/>
              <w:rPr>
                <w:sz w:val="20"/>
                <w:szCs w:val="20"/>
                <w:color w:val="auto"/>
              </w:rPr>
            </w:pPr>
            <w:r>
              <w:rPr>
                <w:rFonts w:ascii="Arial" w:cs="Arial" w:eastAsia="Arial" w:hAnsi="Arial"/>
                <w:sz w:val="18"/>
                <w:szCs w:val="18"/>
                <w:color w:val="auto"/>
              </w:rPr>
              <w:t>5,507</w:t>
            </w:r>
          </w:p>
        </w:tc>
        <w:tc>
          <w:tcPr>
            <w:tcW w:w="2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4,480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1"/>
              <w:spacing w:after="0"/>
              <w:rPr>
                <w:sz w:val="20"/>
                <w:szCs w:val="20"/>
                <w:color w:val="auto"/>
              </w:rPr>
            </w:pPr>
            <w:r>
              <w:rPr>
                <w:rFonts w:ascii="Arial" w:cs="Arial" w:eastAsia="Arial" w:hAnsi="Arial"/>
                <w:sz w:val="18"/>
                <w:szCs w:val="18"/>
                <w:color w:val="auto"/>
              </w:rPr>
              <w:t>3,823</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3,442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9019"/>
          </w:cols>
          <w:pgMar w:left="1440" w:top="274" w:right="1440" w:bottom="1440" w:gutter="0" w:footer="0" w:header="0"/>
        </w:sectPr>
      </w:pPr>
    </w:p>
    <w:p>
      <w:pPr>
        <w:jc w:val="center"/>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38" w:name="page339"/>
    <w:bookmarkEnd w:id="33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820" w:hanging="366"/>
        <w:spacing w:after="0"/>
        <w:tabs>
          <w:tab w:leader="none" w:pos="82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Supplemental Balance Sheet Information </w:t>
      </w:r>
      <w:r>
        <w:rPr>
          <w:rFonts w:ascii="Arial" w:cs="Arial" w:eastAsia="Arial" w:hAnsi="Arial"/>
          <w:sz w:val="18"/>
          <w:szCs w:val="18"/>
          <w:color w:val="auto"/>
        </w:rPr>
        <w:t>(cont.)</w:t>
      </w:r>
    </w:p>
    <w:p>
      <w:pPr>
        <w:spacing w:after="0" w:line="189"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Depreciation expense was $0.7 million and $0.6 million for the years ended December 31, 2020 and 2019, respectively.</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Accrued expenses and other current liabilities as of December 31, 2020 and 2019 include the following:</w:t>
      </w:r>
    </w:p>
    <w:p>
      <w:pPr>
        <w:spacing w:after="0" w:line="24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3"/>
          </w:tcPr>
          <w:p>
            <w:pPr>
              <w:jc w:val="right"/>
              <w:ind w:right="264"/>
              <w:spacing w:after="0"/>
              <w:rPr>
                <w:sz w:val="20"/>
                <w:szCs w:val="20"/>
                <w:color w:val="auto"/>
              </w:rPr>
            </w:pPr>
            <w:r>
              <w:rPr>
                <w:rFonts w:ascii="Arial" w:cs="Arial" w:eastAsia="Arial" w:hAnsi="Arial"/>
                <w:sz w:val="16"/>
                <w:szCs w:val="16"/>
                <w:b w:val="1"/>
                <w:bCs w:val="1"/>
                <w:color w:val="auto"/>
                <w:w w:val="92"/>
              </w:rPr>
              <w:t>December 31,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3"/>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3"/>
          </w:tcPr>
          <w:p>
            <w:pPr>
              <w:jc w:val="right"/>
              <w:ind w:right="244"/>
              <w:spacing w:after="0"/>
              <w:rPr>
                <w:sz w:val="20"/>
                <w:szCs w:val="20"/>
                <w:color w:val="auto"/>
              </w:rPr>
            </w:pPr>
            <w:r>
              <w:rPr>
                <w:rFonts w:ascii="Arial" w:cs="Arial" w:eastAsia="Arial" w:hAnsi="Arial"/>
                <w:sz w:val="16"/>
                <w:szCs w:val="16"/>
                <w:b w:val="1"/>
                <w:bCs w:val="1"/>
                <w:color w:val="auto"/>
                <w:w w:val="88"/>
              </w:rPr>
              <w:t>(in thousands)</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and employee-related costs</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2,652</w:t>
            </w:r>
          </w:p>
        </w:tc>
        <w:tc>
          <w:tcPr>
            <w:tcW w:w="820" w:type="dxa"/>
            <w:vAlign w:val="bottom"/>
            <w:tcBorders>
              <w:bottom w:val="single" w:sz="8" w:color="CCEEFF"/>
            </w:tcBorders>
            <w:shd w:val="clear" w:color="auto" w:fill="CCEEFF"/>
          </w:tcPr>
          <w:p>
            <w:pPr>
              <w:jc w:val="right"/>
              <w:ind w:right="664"/>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1,830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74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2,695</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2,764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w:t>
            </w:r>
          </w:p>
        </w:tc>
        <w:tc>
          <w:tcPr>
            <w:tcW w:w="8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Arial" w:cs="Arial" w:eastAsia="Arial" w:hAnsi="Arial"/>
                <w:sz w:val="18"/>
                <w:szCs w:val="18"/>
                <w:color w:val="auto"/>
              </w:rPr>
              <w:t>Total accrued expenses and other current liabilities</w:t>
            </w: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740" w:type="dxa"/>
            <w:vAlign w:val="bottom"/>
          </w:tcPr>
          <w:p>
            <w:pPr>
              <w:jc w:val="right"/>
              <w:ind w:right="553"/>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6,140</w:t>
            </w:r>
          </w:p>
        </w:tc>
        <w:tc>
          <w:tcPr>
            <w:tcW w:w="820" w:type="dxa"/>
            <w:vAlign w:val="bottom"/>
          </w:tcPr>
          <w:p>
            <w:pPr>
              <w:jc w:val="right"/>
              <w:ind w:right="664"/>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4,932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hanging="366"/>
        <w:spacing w:after="0"/>
        <w:tabs>
          <w:tab w:leader="none" w:pos="82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In July 2017, the Company entered into a lease of office and laboratory space at 100 Binney Street in Cambridge, Massachusetts for the Company’s corporate headquarters. The lease commenced in March 2018 and rent commenced in June 2018. This lease has a non-cancelable term of eight years with an option to extend for one additional three-year period.</w:t>
      </w:r>
    </w:p>
    <w:p>
      <w:pPr>
        <w:spacing w:after="0" w:line="106"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Upon commencement of the lease, the Company recorded an operating lease liability in the amount of $9.5 million and related operating lease right-of-use asset in the amount of $9.8 million. Upfront payments totaling $0.3 million for rent and tenant improvements were included as a reduction in the calculation of the lease liability amount upon the commencement of the lease. There were no tenant obligation payments made for leasehold improvements for the periods ended December 31, 2020 and 2019. The fixed annual rent payable under the lease is $1.7 million, increasing by 3% annually from the rent commencement date. The minimum rent payments to be paid over the non-cancelable term of this lease totaled $15.6 million. The additional rental payments associated with the renewal option are not included in the calculation of the operating lease right-of-use asset and associated operating lease liability as the renewal is not considered probable of occurring. The lease agreement required the Company to provide a letter of credit for $0.6 million that is collateralized with cash that is recorded as restricted cash in the accompanying balance sheet.</w:t>
      </w:r>
    </w:p>
    <w:p>
      <w:pPr>
        <w:spacing w:after="0" w:line="104"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In September 2019, the Company entered into a new lease for office and laboratory space at 201 Brookline Avenue in Boston, Massachusetts. As of December 31, 2020, the space was undergoing construction and the lease is expected to commence in 2022. The Company is not deemed to be the accounting owner of the construction project due to the nature of the work being performed and the Company’s lack of control over the project. In conjunction with executing the lease, the Company provided the landlord a letter of credit for $1.7 million. The letter of credit is collateralized with cash that is recorded as restricted cash in the accompanying balance sheet as of December 31, 2020. Upon delivery date notice of the lease, which is estimated to occur in the second half of 2021, the Company will be required to provide an additional letter of credit in the amount of $1.7 million.</w:t>
      </w:r>
    </w:p>
    <w:p>
      <w:pPr>
        <w:spacing w:after="0" w:line="113"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Upon commencement of the 201 Brookline Avenue lease, the Company will determine the appropriate classification of the lease, the amount of the associated lease liability and the amount of the right-of-use asset that will be recognized on the balance sheet. The lease has a non-cancelable term of ten years with an option to extend for up to two five-year periods. The fixed annual rent payable under the lease is $5.1 million, increasing by 3% annually from the rent commencement date. The Company is entitled to a tenant improvements allowance of up to $12.7 million.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9" w:name="page340"/>
    <w:bookmarkEnd w:id="33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820" w:hanging="366"/>
        <w:spacing w:after="0"/>
        <w:tabs>
          <w:tab w:leader="none" w:pos="82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(cont.)</w:t>
      </w:r>
    </w:p>
    <w:p>
      <w:pPr>
        <w:spacing w:after="0" w:line="189"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The Company’s rent payments for the lease at 100 Binney Street are classified as operating lease costs in the chart below. The lease is a net lease and therefore the non-lease components, such as common area maintenance, are paid separately from rent based on actual costs incurred; therefore, the non-lease components are not included in the right-of-use asset and liability and are reflected as an expense in the period incurred. The non-lease components are classified as variable costs in the chart below. As of December 31, 2020 and 2019, assets under the operating lease totaled $7.5 million and $8.4 million, respectively. The elements of lease cost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5"/>
          </w:tcPr>
          <w:p>
            <w:pPr>
              <w:jc w:val="right"/>
              <w:ind w:right="135"/>
              <w:spacing w:after="0"/>
              <w:rPr>
                <w:sz w:val="20"/>
                <w:szCs w:val="20"/>
                <w:color w:val="auto"/>
              </w:rPr>
            </w:pPr>
            <w:r>
              <w:rPr>
                <w:rFonts w:ascii="Arial" w:cs="Arial" w:eastAsia="Arial" w:hAnsi="Arial"/>
                <w:sz w:val="16"/>
                <w:szCs w:val="16"/>
                <w:b w:val="1"/>
                <w:bCs w:val="1"/>
                <w:color w:val="auto"/>
                <w:w w:val="94"/>
              </w:rPr>
              <w:t>Year Ended December 31,</w:t>
            </w:r>
          </w:p>
        </w:tc>
        <w:tc>
          <w:tcPr>
            <w:tcW w:w="0" w:type="dxa"/>
            <w:vAlign w:val="bottom"/>
          </w:tcPr>
          <w:p>
            <w:pPr>
              <w:spacing w:after="0"/>
              <w:rPr>
                <w:sz w:val="1"/>
                <w:szCs w:val="1"/>
                <w:color w:val="auto"/>
              </w:rPr>
            </w:pPr>
          </w:p>
        </w:tc>
      </w:tr>
      <w:tr>
        <w:trPr>
          <w:trHeight w:val="46"/>
        </w:trPr>
        <w:tc>
          <w:tcPr>
            <w:tcW w:w="5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760" w:type="dxa"/>
            <w:vAlign w:val="bottom"/>
            <w:gridSpan w:val="2"/>
          </w:tcPr>
          <w:p>
            <w:pPr>
              <w:spacing w:after="0"/>
              <w:rPr>
                <w:sz w:val="20"/>
                <w:szCs w:val="20"/>
                <w:color w:val="auto"/>
              </w:rPr>
            </w:pPr>
            <w:r>
              <w:rPr>
                <w:rFonts w:ascii="Arial" w:cs="Arial" w:eastAsia="Arial" w:hAnsi="Arial"/>
                <w:sz w:val="16"/>
                <w:szCs w:val="16"/>
                <w:b w:val="1"/>
                <w:bCs w:val="1"/>
                <w:color w:val="auto"/>
              </w:rPr>
              <w:t>Operating leases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73"/>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5"/>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47"/>
        </w:trPr>
        <w:tc>
          <w:tcPr>
            <w:tcW w:w="5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43"/>
        </w:trPr>
        <w:tc>
          <w:tcPr>
            <w:tcW w:w="5760" w:type="dxa"/>
            <w:vAlign w:val="bottom"/>
            <w:gridSpan w:val="2"/>
          </w:tcPr>
          <w:p>
            <w:pPr>
              <w:spacing w:after="0"/>
              <w:rPr>
                <w:sz w:val="20"/>
                <w:szCs w:val="20"/>
                <w:color w:val="auto"/>
              </w:rPr>
            </w:pPr>
            <w:r>
              <w:rPr>
                <w:rFonts w:ascii="Arial" w:cs="Arial" w:eastAsia="Arial" w:hAnsi="Arial"/>
                <w:sz w:val="18"/>
                <w:szCs w:val="18"/>
                <w:color w:val="auto"/>
              </w:rPr>
              <w:t>Short-term lease cost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0"/>
        </w:trPr>
        <w:tc>
          <w:tcPr>
            <w:tcW w:w="5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ind w:left="180"/>
              <w:spacing w:after="0"/>
              <w:rPr>
                <w:sz w:val="20"/>
                <w:szCs w:val="20"/>
                <w:color w:val="auto"/>
              </w:rPr>
            </w:pPr>
            <w:r>
              <w:rPr>
                <w:rFonts w:ascii="Arial" w:cs="Arial" w:eastAsia="Arial" w:hAnsi="Arial"/>
                <w:sz w:val="18"/>
                <w:szCs w:val="18"/>
                <w:color w:val="auto"/>
              </w:rPr>
              <w:t>Total operating lease costs</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760" w:type="dxa"/>
            <w:vAlign w:val="bottom"/>
            <w:gridSpan w:val="2"/>
            <w:vMerge w:val="continue"/>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2,625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45"/>
        </w:trPr>
        <w:tc>
          <w:tcPr>
            <w:tcW w:w="57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Other information</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6"/>
        </w:trPr>
        <w:tc>
          <w:tcPr>
            <w:tcW w:w="5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cash flows used for operating leases</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right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1,782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43"/>
        </w:trPr>
        <w:tc>
          <w:tcPr>
            <w:tcW w:w="576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 in years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0"/>
        </w:trPr>
        <w:tc>
          <w:tcPr>
            <w:tcW w:w="5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0"/>
        </w:trPr>
        <w:tc>
          <w:tcPr>
            <w:tcW w:w="57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8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60" w:right="679"/>
        <w:spacing w:after="0" w:line="277" w:lineRule="auto"/>
        <w:rPr>
          <w:sz w:val="20"/>
          <w:szCs w:val="20"/>
          <w:color w:val="auto"/>
        </w:rPr>
      </w:pPr>
      <w:r>
        <w:rPr>
          <w:rFonts w:ascii="Arial" w:cs="Arial" w:eastAsia="Arial" w:hAnsi="Arial"/>
          <w:sz w:val="18"/>
          <w:szCs w:val="18"/>
          <w:color w:val="auto"/>
        </w:rPr>
        <w:t>Future minimum lease payments under non-cancelable leases that have commenced as of December 31, 2020 are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Arial" w:cs="Arial" w:eastAsia="Arial" w:hAnsi="Arial"/>
                <w:sz w:val="16"/>
                <w:szCs w:val="16"/>
                <w:b w:val="1"/>
                <w:bCs w:val="1"/>
                <w:color w:val="auto"/>
                <w:w w:val="92"/>
              </w:rPr>
              <w:t>Maturity of Lease</w:t>
            </w:r>
          </w:p>
        </w:tc>
      </w:t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Liabilities</w:t>
            </w:r>
          </w:p>
        </w:tc>
      </w:tr>
      <w:tr>
        <w:trPr>
          <w:trHeight w:val="47"/>
        </w:trPr>
        <w:tc>
          <w:tcPr>
            <w:tcW w:w="6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1,836</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1,891</w:t>
            </w:r>
          </w:p>
        </w:tc>
      </w:tr>
      <w:tr>
        <w:trPr>
          <w:trHeight w:val="40"/>
        </w:trPr>
        <w:tc>
          <w:tcPr>
            <w:tcW w:w="6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1,948</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2,007</w:t>
            </w:r>
          </w:p>
        </w:tc>
      </w:tr>
      <w:tr>
        <w:trPr>
          <w:trHeight w:val="40"/>
        </w:trPr>
        <w:tc>
          <w:tcPr>
            <w:tcW w:w="6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2,067</w:t>
            </w:r>
          </w:p>
        </w:tc>
      </w:tr>
      <w:tr>
        <w:trPr>
          <w:trHeight w:val="257"/>
        </w:trPr>
        <w:tc>
          <w:tcPr>
            <w:tcW w:w="68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1,046</w:t>
            </w:r>
          </w:p>
        </w:tc>
      </w:tr>
      <w:tr>
        <w:trPr>
          <w:trHeight w:val="27"/>
        </w:trPr>
        <w:tc>
          <w:tcPr>
            <w:tcW w:w="6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7"/>
        </w:trPr>
        <w:tc>
          <w:tcPr>
            <w:tcW w:w="686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(2,911)</w:t>
            </w:r>
          </w:p>
        </w:tc>
      </w:tr>
      <w:tr>
        <w:trPr>
          <w:trHeight w:val="27"/>
        </w:trPr>
        <w:tc>
          <w:tcPr>
            <w:tcW w:w="6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7,884</w:t>
            </w:r>
          </w:p>
        </w:tc>
      </w:tr>
      <w:tr>
        <w:trPr>
          <w:trHeight w:val="20"/>
        </w:trPr>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hanging="366"/>
        <w:spacing w:after="0"/>
        <w:tabs>
          <w:tab w:leader="none" w:pos="82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Research Collaboration Agreement</w:t>
      </w:r>
    </w:p>
    <w:p>
      <w:pPr>
        <w:spacing w:after="0" w:line="154"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In September 2017, the Company entered into a Research Collaboration Agreement (the “</w:t>
      </w:r>
      <w:r>
        <w:rPr>
          <w:rFonts w:ascii="Arial" w:cs="Arial" w:eastAsia="Arial" w:hAnsi="Arial"/>
          <w:sz w:val="17"/>
          <w:szCs w:val="17"/>
          <w:b w:val="1"/>
          <w:bCs w:val="1"/>
          <w:color w:val="auto"/>
        </w:rPr>
        <w:t>HitGen</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with HitGen Ltd (“</w:t>
      </w:r>
      <w:r>
        <w:rPr>
          <w:rFonts w:ascii="Arial" w:cs="Arial" w:eastAsia="Arial" w:hAnsi="Arial"/>
          <w:sz w:val="17"/>
          <w:szCs w:val="17"/>
          <w:b w:val="1"/>
          <w:bCs w:val="1"/>
          <w:color w:val="auto"/>
        </w:rPr>
        <w:t>HitGen</w:t>
      </w:r>
      <w:r>
        <w:rPr>
          <w:rFonts w:ascii="Arial" w:cs="Arial" w:eastAsia="Arial" w:hAnsi="Arial"/>
          <w:sz w:val="17"/>
          <w:szCs w:val="17"/>
          <w:color w:val="auto"/>
        </w:rPr>
        <w:t>”). Under the terms of the HitGen Agreement, HitGen would use its</w:t>
      </w:r>
      <w:r>
        <w:rPr>
          <w:rFonts w:ascii="Arial" w:cs="Arial" w:eastAsia="Arial" w:hAnsi="Arial"/>
          <w:sz w:val="17"/>
          <w:szCs w:val="17"/>
          <w:b w:val="1"/>
          <w:bCs w:val="1"/>
          <w:color w:val="auto"/>
        </w:rPr>
        <w:t xml:space="preserve"> </w:t>
      </w:r>
      <w:r>
        <w:rPr>
          <w:rFonts w:ascii="Arial" w:cs="Arial" w:eastAsia="Arial" w:hAnsi="Arial"/>
          <w:sz w:val="17"/>
          <w:szCs w:val="17"/>
          <w:color w:val="auto"/>
        </w:rPr>
        <w:t>DNA-encoded library technology to screen up to three targets and deliver to the Company the structures of certain compounds that bind to the targets. The Company would provide certain materials containing each target for purposes of the screen. The Company could have been obligated to make certain milestone payments. The Company and HitGen have mutually agreed to terminate the HitGen Agreement in March 2021. No milestones were achieved or owed upon the termination of the agreement and the Company is under no obligation to make any payments upon termination of the HitGen Agreement.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0" w:name="page341"/>
    <w:bookmarkEnd w:id="34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820" w:hanging="366"/>
        <w:spacing w:after="0"/>
        <w:tabs>
          <w:tab w:leader="none" w:pos="82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(cont.)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40" w:lineRule="exact"/>
        <w:rPr>
          <w:sz w:val="20"/>
          <w:szCs w:val="20"/>
          <w:color w:val="auto"/>
        </w:rPr>
      </w:pPr>
    </w:p>
    <w:p>
      <w:pPr>
        <w:ind w:left="460" w:right="699" w:firstLine="432"/>
        <w:spacing w:after="0" w:line="281" w:lineRule="auto"/>
        <w:rPr>
          <w:sz w:val="20"/>
          <w:szCs w:val="20"/>
          <w:color w:val="auto"/>
        </w:rPr>
      </w:pPr>
      <w:r>
        <w:rPr>
          <w:rFonts w:ascii="Arial" w:cs="Arial" w:eastAsia="Arial" w:hAnsi="Arial"/>
          <w:sz w:val="17"/>
          <w:szCs w:val="17"/>
          <w:color w:val="auto"/>
        </w:rPr>
        <w:t>In March 2020, the Company entered into a License Agreement (the “</w:t>
      </w:r>
      <w:r>
        <w:rPr>
          <w:rFonts w:ascii="Arial" w:cs="Arial" w:eastAsia="Arial" w:hAnsi="Arial"/>
          <w:sz w:val="17"/>
          <w:szCs w:val="17"/>
          <w:b w:val="1"/>
          <w:bCs w:val="1"/>
          <w:color w:val="auto"/>
        </w:rPr>
        <w:t>Medivir Agreement</w:t>
      </w:r>
      <w:r>
        <w:rPr>
          <w:rFonts w:ascii="Arial" w:cs="Arial" w:eastAsia="Arial" w:hAnsi="Arial"/>
          <w:sz w:val="17"/>
          <w:szCs w:val="17"/>
          <w:color w:val="auto"/>
        </w:rPr>
        <w:t>”) with Medivir AB (“</w:t>
      </w:r>
      <w:r>
        <w:rPr>
          <w:rFonts w:ascii="Arial" w:cs="Arial" w:eastAsia="Arial" w:hAnsi="Arial"/>
          <w:sz w:val="17"/>
          <w:szCs w:val="17"/>
          <w:b w:val="1"/>
          <w:bCs w:val="1"/>
          <w:color w:val="auto"/>
        </w:rPr>
        <w:t>Medivir</w:t>
      </w:r>
      <w:r>
        <w:rPr>
          <w:rFonts w:ascii="Arial" w:cs="Arial" w:eastAsia="Arial" w:hAnsi="Arial"/>
          <w:sz w:val="17"/>
          <w:szCs w:val="17"/>
          <w:color w:val="auto"/>
        </w:rPr>
        <w:t>”), pursuant to which the Company obtained an exclusive license to all patents, know-how and other intellectual property associated with a preclinical-stage research program. Pursuant to the Medivir Agreement, the Company made an upfront payment of $0.4 million.</w:t>
      </w:r>
    </w:p>
    <w:p>
      <w:pPr>
        <w:spacing w:after="0" w:line="101"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Under the terms of the Medivir Agreement, the Company is obligated to pay Medivir in connection with development, regulatory and commercial activities. The Company has agreed to make certain milestone payments of $1.4 million in the aggregate for the first licensed product that achieves specified clinical milestones, plus $25.0 million for the first licensed product that achieves specified regulatory approval and sales milestones, in each case, in either of the first two specified genetic contexts and $0.7 million in the aggregate if that first licensed product achieves specified clinical milestones, plus $5.0 million if that first licensed product achieves specified regulatory and sales milestones for a third genetic context or the second licensed product achieves such specified development, regulatory and sales milestones in either of the first two specified genetic contexts. The Company has the right to reduce these milestone payments by a specified amount in the event the licensed product is not covered by Medivir’s patents or if payments are due to a third party for a license under such third party’s intellectual property rights. The Company is also obligated to pay Medivir a low single-digit royalty on net sales of any product covered by a licensed patent. The Medivir Agreement expires on the date of expiration of all royalty obligations. Either party may terminate the Medivir Agreement earlier upon an uncured material breach of the other party.</w:t>
      </w:r>
    </w:p>
    <w:p>
      <w:pPr>
        <w:spacing w:after="0" w:line="117"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Upfront fees paid pursuant to the Medivir License Agreement were recorded to research and development expense. No milestones have been achieved to date.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Guarantees</w:t>
      </w:r>
    </w:p>
    <w:p>
      <w:pPr>
        <w:spacing w:after="0" w:line="144"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The Company enters into certain agreements with other parties in the ordinary course of business that contain indemnification provisions. These typically include agreements with directors and officers, business partners, contractors, landlords and clinical sites.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Litigation</w:t>
      </w:r>
    </w:p>
    <w:p>
      <w:pPr>
        <w:spacing w:after="0" w:line="15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as of December 31, 2020, and no material legal proceedings are currently pending or threatened.</w:t>
      </w:r>
    </w:p>
    <w:p>
      <w:pPr>
        <w:spacing w:after="0" w:line="180" w:lineRule="exact"/>
        <w:rPr>
          <w:sz w:val="20"/>
          <w:szCs w:val="20"/>
          <w:color w:val="auto"/>
        </w:rPr>
      </w:pPr>
    </w:p>
    <w:p>
      <w:pPr>
        <w:ind w:left="820" w:hanging="366"/>
        <w:spacing w:after="0"/>
        <w:tabs>
          <w:tab w:leader="none" w:pos="82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162"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In March 2017, the Company executed a stock purchase agreement to sell 55,000,000 shares of redeemable convertible series A preferred stock (“</w:t>
      </w:r>
      <w:r>
        <w:rPr>
          <w:rFonts w:ascii="Arial" w:cs="Arial" w:eastAsia="Arial" w:hAnsi="Arial"/>
          <w:sz w:val="18"/>
          <w:szCs w:val="18"/>
          <w:b w:val="1"/>
          <w:bCs w:val="1"/>
          <w:color w:val="auto"/>
        </w:rPr>
        <w:t>Series A</w:t>
      </w:r>
      <w:r>
        <w:rPr>
          <w:rFonts w:ascii="Arial" w:cs="Arial" w:eastAsia="Arial" w:hAnsi="Arial"/>
          <w:sz w:val="18"/>
          <w:szCs w:val="18"/>
          <w:color w:val="auto"/>
        </w:rPr>
        <w:t>”). This agreement was subsequently amended in July 2017 to increase the authorized capital to 55,700,000 shares of Series A. The Series A stock purchase agreement was structured to close in three tranches, each contingent upon the achievement of certain specified milestones.</w:t>
      </w:r>
    </w:p>
    <w:p>
      <w:pPr>
        <w:spacing w:after="0" w:line="10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Pursuant to the initial closing of the Series A stock purchase agreement, the Company issued an aggregate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 18,700,000 shares of Series A convertible preferred stock for $1.00 per share, resulting in net proceeds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$14.0 million after deducting $4.7 million related to the settlement of the convertible notes and accrued interest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1" w:name="page342"/>
    <w:bookmarkEnd w:id="34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820" w:hanging="366"/>
        <w:spacing w:after="0"/>
        <w:tabs>
          <w:tab w:leader="none" w:pos="82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Stock </w:t>
      </w:r>
      <w:r>
        <w:rPr>
          <w:rFonts w:ascii="Arial" w:cs="Arial" w:eastAsia="Arial" w:hAnsi="Arial"/>
          <w:sz w:val="18"/>
          <w:szCs w:val="18"/>
          <w:color w:val="auto"/>
        </w:rPr>
        <w:t>(cont.)</w:t>
      </w:r>
    </w:p>
    <w:p>
      <w:pPr>
        <w:spacing w:after="0" w:line="189" w:lineRule="exact"/>
        <w:rPr>
          <w:sz w:val="20"/>
          <w:szCs w:val="20"/>
          <w:color w:val="auto"/>
        </w:rPr>
      </w:pPr>
    </w:p>
    <w:p>
      <w:pPr>
        <w:ind w:left="460" w:right="579"/>
        <w:spacing w:after="0" w:line="290" w:lineRule="auto"/>
        <w:rPr>
          <w:sz w:val="20"/>
          <w:szCs w:val="20"/>
          <w:color w:val="auto"/>
        </w:rPr>
      </w:pPr>
      <w:r>
        <w:rPr>
          <w:rFonts w:ascii="Arial" w:cs="Arial" w:eastAsia="Arial" w:hAnsi="Arial"/>
          <w:sz w:val="16"/>
          <w:szCs w:val="16"/>
          <w:color w:val="auto"/>
        </w:rPr>
        <w:t>were previously outstanding. During the year-ended December 31, 2018, the Company issued 26,000,000 additional shares of Series A preferred stock at a price of $1.00 per share upon the achievement of specified development milestones in connection with the second tranche of the Series A stock purchase agreement. Total proceeds from this issuance was $26.0 million. In January 2019, the Company issued 11,000,000 additional shares of Series A preferred stock at a price of $1.00 per share upon the achievement of specified development milestones in connection with the third tranche of the Series A stock purchase agreement. Total proceeds from this issuance was $11.0 million. The aggregate issuance costs associated with the issuance of all three tranches of Series A preferred stock was less than $0.1 million.</w:t>
      </w:r>
    </w:p>
    <w:p>
      <w:pPr>
        <w:spacing w:after="0" w:line="98"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In April 2020, the Company executed a stock purchase agreement to sell shares of redeemable convertible series B preferred stock (“</w:t>
      </w:r>
      <w:r>
        <w:rPr>
          <w:rFonts w:ascii="Arial" w:cs="Arial" w:eastAsia="Arial" w:hAnsi="Arial"/>
          <w:sz w:val="16"/>
          <w:szCs w:val="16"/>
          <w:b w:val="1"/>
          <w:bCs w:val="1"/>
          <w:color w:val="auto"/>
        </w:rPr>
        <w:t>Series B</w:t>
      </w:r>
      <w:r>
        <w:rPr>
          <w:rFonts w:ascii="Arial" w:cs="Arial" w:eastAsia="Arial" w:hAnsi="Arial"/>
          <w:sz w:val="16"/>
          <w:szCs w:val="16"/>
          <w:color w:val="auto"/>
        </w:rPr>
        <w:t>”). The Series B stock purchase agreement allows for the issuance of up to 45,372,051 shares. In April 2020, the Company issued 22,686,025 shares of Series B at a price of $1.32 per share. Proceeds from this issuance totaled $29.8 million, net of $0.2 million in issuance costs. In March 2021, the Company sold 22,686,026 additional shares of Series B redeemable convertible preferred stock at a price of $1.32 per share upon the achievement of specified development milestones in connection with the second tranche of the Series B stock purchase agreement. Proceeds from this issuance totaled $30.0 million. Total issuance costs associated with the second tranche of the Series B preferred stock was less than $0.1 million.</w:t>
      </w:r>
    </w:p>
    <w:p>
      <w:pPr>
        <w:spacing w:after="0" w:line="84" w:lineRule="exact"/>
        <w:rPr>
          <w:sz w:val="20"/>
          <w:szCs w:val="20"/>
          <w:color w:val="auto"/>
        </w:rPr>
      </w:pPr>
    </w:p>
    <w:p>
      <w:pPr>
        <w:ind w:left="460" w:right="659" w:firstLine="432"/>
        <w:spacing w:after="0" w:line="301" w:lineRule="auto"/>
        <w:rPr>
          <w:sz w:val="20"/>
          <w:szCs w:val="20"/>
          <w:color w:val="auto"/>
        </w:rPr>
      </w:pPr>
      <w:r>
        <w:rPr>
          <w:rFonts w:ascii="Arial" w:cs="Arial" w:eastAsia="Arial" w:hAnsi="Arial"/>
          <w:sz w:val="16"/>
          <w:szCs w:val="16"/>
          <w:color w:val="auto"/>
        </w:rPr>
        <w:t>In August 2020, the Company executed a stock purchase agreement to sell shares of redeemable convertible series B-1 preferred stock (“</w:t>
      </w:r>
      <w:r>
        <w:rPr>
          <w:rFonts w:ascii="Arial" w:cs="Arial" w:eastAsia="Arial" w:hAnsi="Arial"/>
          <w:sz w:val="16"/>
          <w:szCs w:val="16"/>
          <w:b w:val="1"/>
          <w:bCs w:val="1"/>
          <w:color w:val="auto"/>
        </w:rPr>
        <w:t>Series B-1</w:t>
      </w:r>
      <w:r>
        <w:rPr>
          <w:rFonts w:ascii="Arial" w:cs="Arial" w:eastAsia="Arial" w:hAnsi="Arial"/>
          <w:sz w:val="16"/>
          <w:szCs w:val="16"/>
          <w:color w:val="auto"/>
        </w:rPr>
        <w:t>”). The Series B-1 stock purchase agreement allows for the issuance of up to 27,152,255 shares. All 27,152,255 shares of Series B-1 were issued at a price of $1.89 per share in August 2020. Proceeds from this issuance was $51.1 million, net of $0.1 million in issuance costs.</w:t>
      </w:r>
    </w:p>
    <w:p>
      <w:pPr>
        <w:spacing w:after="0" w:line="90"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As of December 31, 2020 and 2019, redeemable convertible preferred stock consisted of the following (in thousands, except share amounts):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5"/>
          </w:tcPr>
          <w:p>
            <w:pPr>
              <w:jc w:val="right"/>
              <w:spacing w:after="0"/>
              <w:rPr>
                <w:sz w:val="20"/>
                <w:szCs w:val="20"/>
                <w:color w:val="auto"/>
              </w:rPr>
            </w:pPr>
            <w:r>
              <w:rPr>
                <w:rFonts w:ascii="Arial" w:cs="Arial" w:eastAsia="Arial" w:hAnsi="Arial"/>
                <w:sz w:val="16"/>
                <w:szCs w:val="16"/>
                <w:b w:val="1"/>
                <w:bCs w:val="1"/>
                <w:color w:val="auto"/>
                <w:w w:val="90"/>
              </w:rPr>
              <w:t>December 31, 2020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2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2"/>
              </w:rPr>
              <w:t>Common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Preferred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Stock</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Preferred</w:t>
            </w:r>
          </w:p>
        </w:tc>
        <w:tc>
          <w:tcPr>
            <w:tcW w:w="11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7"/>
              </w:rPr>
              <w:t>Stock Issued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Issuable</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Stock</w:t>
            </w:r>
          </w:p>
        </w:tc>
        <w:tc>
          <w:tcPr>
            <w:tcW w:w="11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1"/>
              </w:rPr>
              <w:t>and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Liquidation</w:t>
            </w:r>
          </w:p>
        </w:tc>
        <w:tc>
          <w:tcPr>
            <w:tcW w:w="12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Upon</w:t>
            </w: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Authorized</w:t>
            </w:r>
          </w:p>
        </w:tc>
        <w:tc>
          <w:tcPr>
            <w:tcW w:w="11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1"/>
              </w:rPr>
              <w:t>Outstanding</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Value</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Value</w:t>
            </w:r>
          </w:p>
        </w:tc>
        <w:tc>
          <w:tcPr>
            <w:tcW w:w="12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8"/>
              </w:rPr>
              <w:t>Conversion</w:t>
            </w:r>
          </w:p>
        </w:tc>
        <w:tc>
          <w:tcPr>
            <w:tcW w:w="0" w:type="dxa"/>
            <w:vAlign w:val="bottom"/>
          </w:tcPr>
          <w:p>
            <w:pPr>
              <w:spacing w:after="0"/>
              <w:rPr>
                <w:sz w:val="1"/>
                <w:szCs w:val="1"/>
                <w:color w:val="auto"/>
              </w:rPr>
            </w:pPr>
          </w:p>
        </w:tc>
      </w:tr>
      <w:tr>
        <w:trPr>
          <w:trHeight w:val="46"/>
        </w:trPr>
        <w:tc>
          <w:tcPr>
            <w:tcW w:w="2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86"/>
              </w:rPr>
              <w:t>55,700,000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0"/>
                <w:szCs w:val="20"/>
                <w:color w:val="auto"/>
              </w:rPr>
            </w:pPr>
            <w:r>
              <w:rPr>
                <w:rFonts w:ascii="Arial" w:cs="Arial" w:eastAsia="Arial" w:hAnsi="Arial"/>
                <w:sz w:val="18"/>
                <w:szCs w:val="18"/>
                <w:color w:val="auto"/>
              </w:rPr>
              <w:t>Series B</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45,372,051</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w w:val="90"/>
              </w:rPr>
              <w:t>22,686,025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29,761</w:t>
            </w:r>
          </w:p>
        </w:tc>
        <w:tc>
          <w:tcPr>
            <w:tcW w:w="1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22,686,025</w:t>
            </w:r>
          </w:p>
        </w:tc>
        <w:tc>
          <w:tcPr>
            <w:tcW w:w="0" w:type="dxa"/>
            <w:vAlign w:val="bottom"/>
          </w:tcPr>
          <w:p>
            <w:pPr>
              <w:spacing w:after="0"/>
              <w:rPr>
                <w:sz w:val="1"/>
                <w:szCs w:val="1"/>
                <w:color w:val="auto"/>
              </w:rPr>
            </w:pPr>
          </w:p>
        </w:tc>
      </w:tr>
      <w:tr>
        <w:trPr>
          <w:trHeight w:val="40"/>
        </w:trPr>
        <w:tc>
          <w:tcPr>
            <w:tcW w:w="2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B-1</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27,152,255</w:t>
            </w:r>
          </w:p>
        </w:tc>
        <w:tc>
          <w:tcPr>
            <w:tcW w:w="1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0"/>
              </w:rPr>
              <w:t>27,152,255</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51,083</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51,182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27,152,255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128,224,306</w:t>
            </w:r>
          </w:p>
        </w:tc>
        <w:tc>
          <w:tcPr>
            <w:tcW w:w="80" w:type="dxa"/>
            <w:vAlign w:val="bottom"/>
          </w:tcPr>
          <w:p>
            <w:pPr>
              <w:spacing w:after="0"/>
              <w:rPr>
                <w:sz w:val="19"/>
                <w:szCs w:val="19"/>
                <w:color w:val="auto"/>
              </w:rPr>
            </w:pPr>
          </w:p>
        </w:tc>
        <w:tc>
          <w:tcPr>
            <w:tcW w:w="10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87"/>
              </w:rPr>
              <w:t>105,538,280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136,544</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136,882</w:t>
            </w:r>
          </w:p>
        </w:tc>
        <w:tc>
          <w:tcPr>
            <w:tcW w:w="1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105,538,280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5"/>
          </w:tcPr>
          <w:p>
            <w:pPr>
              <w:jc w:val="right"/>
              <w:spacing w:after="0"/>
              <w:rPr>
                <w:sz w:val="20"/>
                <w:szCs w:val="20"/>
                <w:color w:val="auto"/>
              </w:rPr>
            </w:pPr>
            <w:r>
              <w:rPr>
                <w:rFonts w:ascii="Arial" w:cs="Arial" w:eastAsia="Arial" w:hAnsi="Arial"/>
                <w:sz w:val="16"/>
                <w:szCs w:val="16"/>
                <w:b w:val="1"/>
                <w:bCs w:val="1"/>
                <w:color w:val="auto"/>
                <w:w w:val="90"/>
              </w:rPr>
              <w:t>December 31, 2019</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2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20"/>
              <w:spacing w:after="0" w:line="182" w:lineRule="exact"/>
              <w:rPr>
                <w:sz w:val="20"/>
                <w:szCs w:val="20"/>
                <w:color w:val="auto"/>
              </w:rPr>
            </w:pPr>
            <w:r>
              <w:rPr>
                <w:rFonts w:ascii="Arial" w:cs="Arial" w:eastAsia="Arial" w:hAnsi="Arial"/>
                <w:sz w:val="16"/>
                <w:szCs w:val="16"/>
                <w:b w:val="1"/>
                <w:bCs w:val="1"/>
                <w:color w:val="auto"/>
                <w:w w:val="92"/>
              </w:rPr>
              <w:t>Preferred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2"/>
              </w:rPr>
              <w:t>Common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Preferred</w:t>
            </w:r>
          </w:p>
        </w:tc>
        <w:tc>
          <w:tcPr>
            <w:tcW w:w="11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7"/>
              </w:rPr>
              <w:t>Stock Issued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Stock Issuable</w:t>
            </w:r>
          </w:p>
        </w:tc>
        <w:tc>
          <w:tcPr>
            <w:tcW w:w="0" w:type="dxa"/>
            <w:vAlign w:val="bottom"/>
          </w:tcPr>
          <w:p>
            <w:pPr>
              <w:spacing w:after="0"/>
              <w:rPr>
                <w:sz w:val="1"/>
                <w:szCs w:val="1"/>
                <w:color w:val="auto"/>
              </w:rPr>
            </w:pPr>
          </w:p>
        </w:tc>
      </w:tr>
      <w:tr>
        <w:trPr>
          <w:trHeight w:val="202"/>
        </w:trPr>
        <w:tc>
          <w:tcPr>
            <w:tcW w:w="220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Stock</w:t>
            </w:r>
          </w:p>
        </w:tc>
        <w:tc>
          <w:tcPr>
            <w:tcW w:w="11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1"/>
              </w:rPr>
              <w:t>and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Liquidation</w:t>
            </w: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Upon</w:t>
            </w: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Authorized</w:t>
            </w:r>
          </w:p>
        </w:tc>
        <w:tc>
          <w:tcPr>
            <w:tcW w:w="11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1"/>
              </w:rPr>
              <w:t>Outstanding</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Value</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Value</w:t>
            </w:r>
          </w:p>
        </w:tc>
        <w:tc>
          <w:tcPr>
            <w:tcW w:w="12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8"/>
              </w:rPr>
              <w:t>Conversion</w:t>
            </w:r>
          </w:p>
        </w:tc>
        <w:tc>
          <w:tcPr>
            <w:tcW w:w="0" w:type="dxa"/>
            <w:vAlign w:val="bottom"/>
          </w:tcPr>
          <w:p>
            <w:pPr>
              <w:spacing w:after="0"/>
              <w:rPr>
                <w:sz w:val="1"/>
                <w:szCs w:val="1"/>
                <w:color w:val="auto"/>
              </w:rPr>
            </w:pPr>
          </w:p>
        </w:tc>
      </w:tr>
      <w:tr>
        <w:trPr>
          <w:trHeight w:val="47"/>
        </w:trPr>
        <w:tc>
          <w:tcPr>
            <w:tcW w:w="22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55,700,000</w:t>
            </w:r>
          </w:p>
        </w:tc>
        <w:tc>
          <w:tcPr>
            <w:tcW w:w="1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0"/>
              </w:rPr>
              <w:t>55,700,000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2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55,700,000</w:t>
            </w:r>
          </w:p>
        </w:tc>
        <w:tc>
          <w:tcPr>
            <w:tcW w:w="80" w:type="dxa"/>
            <w:vAlign w:val="bottom"/>
          </w:tcPr>
          <w:p>
            <w:pPr>
              <w:spacing w:after="0"/>
              <w:rPr>
                <w:sz w:val="19"/>
                <w:szCs w:val="19"/>
                <w:color w:val="auto"/>
              </w:rPr>
            </w:pPr>
          </w:p>
        </w:tc>
        <w:tc>
          <w:tcPr>
            <w:tcW w:w="10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w w:val="86"/>
              </w:rPr>
              <w:t>55,700,000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55,700</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55,700</w:t>
            </w:r>
          </w:p>
        </w:tc>
        <w:tc>
          <w:tcPr>
            <w:tcW w:w="1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rights, preferences and privileges of the Company’s redeemable convertible preferred stock are as follows: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Par Value Per Share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par value of all preferred stock is $0.001 per share.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2" w:name="page343"/>
    <w:bookmarkEnd w:id="34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820" w:hanging="366"/>
        <w:spacing w:after="0"/>
        <w:tabs>
          <w:tab w:leader="none" w:pos="82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Stock </w:t>
      </w:r>
      <w:r>
        <w:rPr>
          <w:rFonts w:ascii="Arial" w:cs="Arial" w:eastAsia="Arial" w:hAnsi="Arial"/>
          <w:sz w:val="18"/>
          <w:szCs w:val="18"/>
          <w:color w:val="auto"/>
        </w:rPr>
        <w:t>(cont.)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Future Tranche Right Feature</w:t>
      </w:r>
    </w:p>
    <w:p>
      <w:pPr>
        <w:spacing w:after="0" w:line="144" w:lineRule="exact"/>
        <w:rPr>
          <w:sz w:val="20"/>
          <w:szCs w:val="20"/>
          <w:color w:val="auto"/>
        </w:rPr>
      </w:pPr>
    </w:p>
    <w:p>
      <w:pPr>
        <w:ind w:left="460" w:right="699" w:firstLine="432"/>
        <w:spacing w:after="0" w:line="286" w:lineRule="auto"/>
        <w:rPr>
          <w:sz w:val="20"/>
          <w:szCs w:val="20"/>
          <w:color w:val="auto"/>
        </w:rPr>
      </w:pPr>
      <w:r>
        <w:rPr>
          <w:rFonts w:ascii="Arial" w:cs="Arial" w:eastAsia="Arial" w:hAnsi="Arial"/>
          <w:sz w:val="17"/>
          <w:szCs w:val="17"/>
          <w:color w:val="auto"/>
        </w:rPr>
        <w:t>The Company determined that the future tranche rights under the Series A and Series B preferred stock purchase agreements (the “</w:t>
      </w:r>
      <w:r>
        <w:rPr>
          <w:rFonts w:ascii="Arial" w:cs="Arial" w:eastAsia="Arial" w:hAnsi="Arial"/>
          <w:sz w:val="17"/>
          <w:szCs w:val="17"/>
          <w:b w:val="1"/>
          <w:bCs w:val="1"/>
          <w:color w:val="auto"/>
        </w:rPr>
        <w:t>future tranche rights</w:t>
      </w:r>
      <w:r>
        <w:rPr>
          <w:rFonts w:ascii="Arial" w:cs="Arial" w:eastAsia="Arial" w:hAnsi="Arial"/>
          <w:sz w:val="17"/>
          <w:szCs w:val="17"/>
          <w:color w:val="auto"/>
        </w:rPr>
        <w:t>”) did not meet the definition of freestanding financial instruments because, while separately exercisable, they were not legally detachable.</w:t>
      </w:r>
    </w:p>
    <w:p>
      <w:pPr>
        <w:spacing w:after="0" w:line="98"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The future tranche rights were evaluated for any beneficial conversion features or embedded derivatives, including the conversion option, that could require bifurcation and receive separate accounting treatment. The Company determined that the embedded future tranche obligations did not require bifurcation for accounting purposes as they did not meet the definition of a derivative.</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Voting Rights</w:t>
      </w:r>
    </w:p>
    <w:p>
      <w:pPr>
        <w:spacing w:after="0" w:line="158" w:lineRule="exact"/>
        <w:rPr>
          <w:sz w:val="20"/>
          <w:szCs w:val="20"/>
          <w:color w:val="auto"/>
        </w:rPr>
      </w:pPr>
    </w:p>
    <w:p>
      <w:pPr>
        <w:ind w:left="460" w:right="619" w:firstLine="432"/>
        <w:spacing w:after="0" w:line="301" w:lineRule="auto"/>
        <w:rPr>
          <w:sz w:val="20"/>
          <w:szCs w:val="20"/>
          <w:color w:val="auto"/>
        </w:rPr>
      </w:pPr>
      <w:r>
        <w:rPr>
          <w:rFonts w:ascii="Arial" w:cs="Arial" w:eastAsia="Arial" w:hAnsi="Arial"/>
          <w:sz w:val="16"/>
          <w:szCs w:val="16"/>
          <w:color w:val="auto"/>
        </w:rPr>
        <w:t>The holders of the convertible preferred stock are entitled to the number of votes equal to the number of shares of common stock into which each share of convertible preferred stock could be converted on the record date for the vote or consent of stockholders, except as otherwise required by law, and has voting rights and powers equal to the voting rights and powers of the holders of common stock voting as a single class.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Liquidation</w:t>
      </w:r>
    </w:p>
    <w:p>
      <w:pPr>
        <w:spacing w:after="0" w:line="144"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In the event of any liquidation event, deemed liquidation event, dissolution or winding up of the Company, the holders of preferred stock then outstanding shall receive a distribution prior to any distribution to the common holders, an amount equal to the greater of a) original issue price per share plus any noncumulative dividends declared but unpaid, or b) the amount per share that would have been owed had all preferred shares been converted into Common Stock immediately prior to the liquidation event. In the event that assets are insufficient to pay the full amount, distribution will be on a pro rata basis. After payment of all preferential amounts required to be paid to the preferred stockholders, the remaining assets of the Company available for distribution to stockholders shall be distributed among the holders of common stock on a pro rata basis.</w:t>
      </w:r>
    </w:p>
    <w:p>
      <w:pPr>
        <w:spacing w:after="0" w:line="98"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A deemed liquidation event is defined as either a merger or consolidation, or the sale, lease, transfer, exclusive license, or other disposition, in a single transaction or series of related transactions, of all or substantially all of the assets of the Company, unless the holders of a majority in voting power of the outstanding Preferred Stock elect otherwise by written notice sent to the Company at least ten days prior to the effective date of any such event.</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Conversion</w:t>
      </w:r>
    </w:p>
    <w:p>
      <w:pPr>
        <w:spacing w:after="0" w:line="158"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Each share of convertible preferred stock is convertible at the option of the holder into a specified number of shares of common stock based on a conversion ratio subject to adjustment under specified terms and conditions. The initial conversion price and conversion value of Series A convertible preferred stock is $1.00 per share. The initial conversion price and conversion value of Series B convertible preferred stock is $1.32 per share. The initial conversion price and conversion value of Series B-1 convertible preferred stock is $1.89 per share. Certain terms exist to protect the conversion rights of the holders of the convertible preferred stock in the event of the issuance of additional shares of common stock or a merger or reorganization of the Company.</w:t>
      </w:r>
    </w:p>
    <w:p>
      <w:pPr>
        <w:spacing w:after="0" w:line="85"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In the event of a firm commitment underwritten public offering of the Company’s common stock with aggregate proceeds of at least $60.0 million and the Company’s common stock is listed on Nasdaq, all shares of convertible preferred stock will automatically be converted into shares of common stock at the then effective conversion rate.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3" w:name="page344"/>
    <w:bookmarkEnd w:id="34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820" w:hanging="366"/>
        <w:spacing w:after="0"/>
        <w:tabs>
          <w:tab w:leader="none" w:pos="82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Stock </w:t>
      </w:r>
      <w:r>
        <w:rPr>
          <w:rFonts w:ascii="Arial" w:cs="Arial" w:eastAsia="Arial" w:hAnsi="Arial"/>
          <w:sz w:val="18"/>
          <w:szCs w:val="18"/>
          <w:color w:val="auto"/>
        </w:rPr>
        <w:t>(cont.)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Redemption</w:t>
      </w:r>
    </w:p>
    <w:p>
      <w:pPr>
        <w:spacing w:after="0" w:line="144" w:lineRule="exact"/>
        <w:rPr>
          <w:sz w:val="20"/>
          <w:szCs w:val="20"/>
          <w:color w:val="auto"/>
        </w:rPr>
      </w:pPr>
    </w:p>
    <w:p>
      <w:pPr>
        <w:ind w:left="460" w:right="539" w:firstLine="432"/>
        <w:spacing w:after="0" w:line="289" w:lineRule="auto"/>
        <w:rPr>
          <w:sz w:val="20"/>
          <w:szCs w:val="20"/>
          <w:color w:val="auto"/>
        </w:rPr>
      </w:pPr>
      <w:r>
        <w:rPr>
          <w:rFonts w:ascii="Arial" w:cs="Arial" w:eastAsia="Arial" w:hAnsi="Arial"/>
          <w:sz w:val="16"/>
          <w:szCs w:val="16"/>
          <w:color w:val="auto"/>
        </w:rPr>
        <w:t>On or after March 31, 2023, upon the vote or written consent of the holders of the Series A, Series B, and Series B-1 preferred shares then outstanding, each preferred share shall be redeemed, to the extent permitted under law, for the price equal to the original issue price per share plus any noncumulative dividends declared but unpaid in three annual installments commencing no later than 60 days after receipt by the Company. Distributions shall be made out of sufficient funds legally available. Upon and after the date of redemption of preferred shares and payment in full by the Company for each redeemed preferred share, all rights of the holder of such shares, except the right to receive the redemption price without interest upon surrender of the certificates, would cease and terminate. All preferred shares acquired by the Company through redemption would be cancelled and eliminated from the pool of preferred shares authorized for the Company to issue.</w:t>
      </w:r>
    </w:p>
    <w:p>
      <w:pPr>
        <w:spacing w:after="0" w:line="162" w:lineRule="exact"/>
        <w:rPr>
          <w:sz w:val="20"/>
          <w:szCs w:val="20"/>
          <w:color w:val="auto"/>
        </w:rPr>
      </w:pPr>
    </w:p>
    <w:p>
      <w:pPr>
        <w:ind w:left="900" w:hanging="446"/>
        <w:spacing w:after="0"/>
        <w:tabs>
          <w:tab w:leader="none" w:pos="90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 Company’s Certificate of Incorporation, as amended, authorizes the Company to issue shares of common stock with a par value of $0.001 per share. The holder of each share of common stock is entitled to one vote in respect of each share of stock held. In the event of any voluntary or involuntary liquidation, dissolution or winding up of the Company, after the payment of all preferential amounts required to be paid to the holders of shares of Convertible Preferred Stock, the remaining funds and assets available for distribution to the stockholders of the Company will be distributed among the holders of shares of common stock, pro rata based on the number of shares of common stock held by each such holder. The holders of Common Stock are also entitled to receive dividends whenever funds and assets are legally available and when declared by the Board of Directors, subject to the prior rights of holders of all classes of redeemable convertible preferred stock outstanding. No dividends have been declared as of December 31, 2020.</w:t>
      </w:r>
    </w:p>
    <w:p>
      <w:pPr>
        <w:spacing w:after="0" w:line="118" w:lineRule="exact"/>
        <w:rPr>
          <w:sz w:val="20"/>
          <w:szCs w:val="20"/>
          <w:color w:val="auto"/>
        </w:rPr>
      </w:pPr>
    </w:p>
    <w:p>
      <w:pPr>
        <w:jc w:val="both"/>
        <w:ind w:left="460" w:right="699" w:firstLine="432"/>
        <w:spacing w:after="0" w:line="311" w:lineRule="auto"/>
        <w:rPr>
          <w:sz w:val="20"/>
          <w:szCs w:val="20"/>
          <w:color w:val="auto"/>
        </w:rPr>
      </w:pPr>
      <w:r>
        <w:rPr>
          <w:rFonts w:ascii="Arial" w:cs="Arial" w:eastAsia="Arial" w:hAnsi="Arial"/>
          <w:sz w:val="16"/>
          <w:szCs w:val="16"/>
          <w:color w:val="auto"/>
        </w:rPr>
        <w:t>The Company increased the number of shares of common stock authorized by 2,800,000 to 80,800,000 during 2019 and by 85,200,000 to 166,000,000 during 2020. As of December 31, 2020 and 2019, there were 13,301,649 and 13,334,856 shares of common stock issued and outstanding, respectively.</w:t>
      </w:r>
    </w:p>
    <w:p>
      <w:pPr>
        <w:spacing w:after="0" w:line="145" w:lineRule="exact"/>
        <w:rPr>
          <w:sz w:val="20"/>
          <w:szCs w:val="20"/>
          <w:color w:val="auto"/>
        </w:rPr>
      </w:pPr>
    </w:p>
    <w:p>
      <w:pPr>
        <w:ind w:left="880" w:right="5959" w:hanging="426"/>
        <w:spacing w:after="0" w:line="547" w:lineRule="auto"/>
        <w:tabs>
          <w:tab w:leader="none" w:pos="888" w:val="left"/>
        </w:tabs>
        <w:numPr>
          <w:ilvl w:val="0"/>
          <w:numId w:val="32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Incentive Plans </w:t>
      </w:r>
      <w:r>
        <w:rPr>
          <w:rFonts w:ascii="Arial" w:cs="Arial" w:eastAsia="Arial" w:hAnsi="Arial"/>
          <w:sz w:val="15"/>
          <w:szCs w:val="15"/>
          <w:b w:val="1"/>
          <w:bCs w:val="1"/>
          <w:i w:val="1"/>
          <w:iCs w:val="1"/>
          <w:color w:val="auto"/>
        </w:rPr>
        <w:t>Founder and Advisor Awards</w:t>
      </w:r>
    </w:p>
    <w:p>
      <w:pPr>
        <w:spacing w:after="0" w:line="1" w:lineRule="exact"/>
        <w:rPr>
          <w:sz w:val="20"/>
          <w:szCs w:val="20"/>
          <w:color w:val="auto"/>
        </w:rPr>
      </w:pPr>
    </w:p>
    <w:p>
      <w:pPr>
        <w:ind w:left="460" w:right="519" w:firstLine="432"/>
        <w:spacing w:after="0" w:line="342" w:lineRule="auto"/>
        <w:rPr>
          <w:sz w:val="20"/>
          <w:szCs w:val="20"/>
          <w:color w:val="auto"/>
        </w:rPr>
      </w:pPr>
      <w:r>
        <w:rPr>
          <w:rFonts w:ascii="Arial" w:cs="Arial" w:eastAsia="Arial" w:hAnsi="Arial"/>
          <w:sz w:val="16"/>
          <w:szCs w:val="16"/>
          <w:color w:val="auto"/>
        </w:rPr>
        <w:t>During 2017, the Company issued 4,690,000 shares of restricted common stock outside of the Company’s 2017 Stock Option and Grant Plan to nonemployee founders and advisors (the “</w:t>
      </w:r>
      <w:r>
        <w:rPr>
          <w:rFonts w:ascii="Arial" w:cs="Arial" w:eastAsia="Arial" w:hAnsi="Arial"/>
          <w:sz w:val="16"/>
          <w:szCs w:val="16"/>
          <w:b w:val="1"/>
          <w:bCs w:val="1"/>
          <w:color w:val="auto"/>
        </w:rPr>
        <w:t>Founders and Advisors</w:t>
      </w:r>
      <w:r>
        <w:rPr>
          <w:rFonts w:ascii="Arial" w:cs="Arial" w:eastAsia="Arial" w:hAnsi="Arial"/>
          <w:sz w:val="16"/>
          <w:szCs w:val="16"/>
          <w:color w:val="auto"/>
        </w:rPr>
        <w:t>”).</w:t>
      </w:r>
    </w:p>
    <w:p>
      <w:pPr>
        <w:spacing w:after="0" w:line="56"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The following table summarizes the Company’s Founders and Advisors restricted common stock activity as of and for the years ended December 31, 2020 and 2019:</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56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Grant-Date</w:t>
            </w:r>
          </w:p>
        </w:tc>
      </w:tr>
      <w:tr>
        <w:trPr>
          <w:trHeight w:val="210"/>
        </w:trPr>
        <w:tc>
          <w:tcPr>
            <w:tcW w:w="56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6"/>
              </w:rPr>
              <w:t>Fair Value</w:t>
            </w:r>
          </w:p>
        </w:tc>
      </w:tr>
      <w:tr>
        <w:trPr>
          <w:trHeight w:val="46"/>
        </w:trPr>
        <w:tc>
          <w:tcPr>
            <w:tcW w:w="56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9"/>
              </w:rPr>
              <w:t>Unvested restricted common stock outstanding as of December 31, 2018</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2,221,875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20" w:type="dxa"/>
            <w:vAlign w:val="bottom"/>
          </w:tcPr>
          <w:p>
            <w:pPr>
              <w:spacing w:after="0"/>
              <w:rPr>
                <w:sz w:val="22"/>
                <w:szCs w:val="22"/>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Vested</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(987,496)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0.001</w:t>
            </w:r>
          </w:p>
        </w:tc>
        <w:tc>
          <w:tcPr>
            <w:tcW w:w="20" w:type="dxa"/>
            <w:vAlign w:val="bottom"/>
          </w:tcPr>
          <w:p>
            <w:pPr>
              <w:spacing w:after="0"/>
              <w:rPr>
                <w:sz w:val="19"/>
                <w:szCs w:val="19"/>
                <w:color w:val="auto"/>
              </w:rPr>
            </w:pP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(109,379)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20" w:type="dxa"/>
            <w:vAlign w:val="bottom"/>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w w:val="89"/>
              </w:rPr>
              <w:t>Unvested restricted common stock outstanding as of December 31, 2019</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1,125,000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0.001</w:t>
            </w:r>
          </w:p>
        </w:tc>
      </w:tr>
      <w:tr>
        <w:trPr>
          <w:trHeight w:val="41"/>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(950,000)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20" w:type="dxa"/>
            <w:vAlign w:val="bottom"/>
          </w:tcPr>
          <w:p>
            <w:pPr>
              <w:spacing w:after="0"/>
              <w:rPr>
                <w:sz w:val="22"/>
                <w:szCs w:val="22"/>
                <w:color w:val="auto"/>
              </w:rPr>
            </w:pPr>
          </w:p>
        </w:tc>
      </w:tr>
      <w:tr>
        <w:trPr>
          <w:trHeight w:val="256"/>
        </w:trPr>
        <w:tc>
          <w:tcPr>
            <w:tcW w:w="560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9"/>
              </w:rPr>
              <w:t>Unvested restricted common stock outstanding as of December 31, 2020</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175,000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20" w:type="dxa"/>
            <w:vAlign w:val="bottom"/>
          </w:tcPr>
          <w:p>
            <w:pPr>
              <w:spacing w:after="0"/>
              <w:rPr>
                <w:sz w:val="22"/>
                <w:szCs w:val="22"/>
                <w:color w:val="auto"/>
              </w:rPr>
            </w:pPr>
          </w:p>
        </w:tc>
      </w:tr>
      <w:tr>
        <w:trPr>
          <w:trHeight w:val="398"/>
        </w:trPr>
        <w:tc>
          <w:tcPr>
            <w:tcW w:w="560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F-44</w:t>
            </w:r>
          </w:p>
        </w:tc>
        <w:tc>
          <w:tcPr>
            <w:tcW w:w="100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344" w:name="page345"/>
    <w:bookmarkEnd w:id="34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900" w:hanging="446"/>
        <w:spacing w:after="0"/>
        <w:tabs>
          <w:tab w:leader="none" w:pos="90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Equity Incentive Plans </w:t>
      </w:r>
      <w:r>
        <w:rPr>
          <w:rFonts w:ascii="Arial" w:cs="Arial" w:eastAsia="Arial" w:hAnsi="Arial"/>
          <w:sz w:val="18"/>
          <w:szCs w:val="18"/>
          <w:color w:val="auto"/>
        </w:rPr>
        <w:t>(cont.)</w:t>
      </w:r>
    </w:p>
    <w:p>
      <w:pPr>
        <w:spacing w:after="0" w:line="189"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The shares are issued under the terms of the respective restricted common stock agreements and are subject to repurchase by the Company at the original purchase price per share upon the termination of the grantee’s service relationship with the Company. As the restrictions are released and the awards vest, the value is recorded as common stock and excess of par value is recorded as additional paid in capital on the accompanying balance sheet.</w:t>
      </w:r>
    </w:p>
    <w:p>
      <w:pPr>
        <w:spacing w:after="0" w:line="120" w:lineRule="exact"/>
        <w:rPr>
          <w:sz w:val="20"/>
          <w:szCs w:val="20"/>
          <w:color w:val="auto"/>
        </w:rPr>
      </w:pPr>
    </w:p>
    <w:p>
      <w:pPr>
        <w:ind w:left="460" w:right="579" w:firstLine="432"/>
        <w:spacing w:after="0" w:line="301" w:lineRule="auto"/>
        <w:rPr>
          <w:sz w:val="20"/>
          <w:szCs w:val="20"/>
          <w:color w:val="auto"/>
        </w:rPr>
      </w:pPr>
      <w:r>
        <w:rPr>
          <w:rFonts w:ascii="Arial" w:cs="Arial" w:eastAsia="Arial" w:hAnsi="Arial"/>
          <w:sz w:val="16"/>
          <w:szCs w:val="16"/>
          <w:color w:val="auto"/>
        </w:rPr>
        <w:t>As of December 31, 2020, the unrecognized compensation cost related to shares of unvested founder and advisor restricted stock awards (“</w:t>
      </w:r>
      <w:r>
        <w:rPr>
          <w:rFonts w:ascii="Arial" w:cs="Arial" w:eastAsia="Arial" w:hAnsi="Arial"/>
          <w:sz w:val="16"/>
          <w:szCs w:val="16"/>
          <w:b w:val="1"/>
          <w:bCs w:val="1"/>
          <w:color w:val="auto"/>
        </w:rPr>
        <w:t>RSAs</w:t>
      </w:r>
      <w:r>
        <w:rPr>
          <w:rFonts w:ascii="Arial" w:cs="Arial" w:eastAsia="Arial" w:hAnsi="Arial"/>
          <w:sz w:val="16"/>
          <w:szCs w:val="16"/>
          <w:color w:val="auto"/>
        </w:rPr>
        <w:t>”) expected to vest was less than $0.1 million, which is expected to be recognized over an estimated weighted-average amortization period of 0.22 years. The aggregate fair value of awards that vested during both years ended December 31, 2020 and 2019 was $0.5 million.</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2017 Stock Option and Grant Plan</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March 2017, the Company’s stockholders approved the 2017 Stock Option and Grant Plan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under which stock options, RSAs, unrestricted stock awards, restricted stock units, or any combination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 the forgoing may be granted to eligible employees, officers, directors, consultants, or other key persons who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provide services to the Company. Such issuances are subject to vesting, forfeiture and other restrictions as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deemed appropriate by the board of directors (“</w:t>
      </w:r>
      <w:r>
        <w:rPr>
          <w:rFonts w:ascii="Arial" w:cs="Arial" w:eastAsia="Arial" w:hAnsi="Arial"/>
          <w:sz w:val="16"/>
          <w:szCs w:val="16"/>
          <w:b w:val="1"/>
          <w:bCs w:val="1"/>
          <w:color w:val="auto"/>
        </w:rPr>
        <w:t>Board of Directors</w:t>
      </w:r>
      <w:r>
        <w:rPr>
          <w:rFonts w:ascii="Arial" w:cs="Arial" w:eastAsia="Arial" w:hAnsi="Arial"/>
          <w:sz w:val="16"/>
          <w:szCs w:val="16"/>
          <w:color w:val="auto"/>
        </w:rPr>
        <w:t>”). Upon approval, the maximum number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common stock shares reserved and available for issuance under the Plan was 10,000,000 shares. The Company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increased the number of shares available for grant under the plan by 6,700,000 million and 2,800,000 million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years ended December 31, 2020 and 2019, respectively. As of December 31, 2020, the maximum</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number of common stock shares reserved and available for issuance under the Plan was 30,600,000 shares. As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December 31, 2020, there were 11,783,597 shares available for future grant under the 2017 Plan.</w:t>
      </w:r>
    </w:p>
    <w:p>
      <w:pPr>
        <w:spacing w:after="0" w:line="143" w:lineRule="exact"/>
        <w:rPr>
          <w:sz w:val="20"/>
          <w:szCs w:val="20"/>
          <w:color w:val="auto"/>
        </w:rPr>
      </w:pPr>
    </w:p>
    <w:p>
      <w:pPr>
        <w:ind w:left="460" w:right="519" w:firstLine="432"/>
        <w:spacing w:after="0" w:line="289" w:lineRule="auto"/>
        <w:rPr>
          <w:sz w:val="20"/>
          <w:szCs w:val="20"/>
          <w:color w:val="auto"/>
        </w:rPr>
      </w:pPr>
      <w:r>
        <w:rPr>
          <w:rFonts w:ascii="Arial" w:cs="Arial" w:eastAsia="Arial" w:hAnsi="Arial"/>
          <w:sz w:val="16"/>
          <w:szCs w:val="16"/>
          <w:color w:val="auto"/>
        </w:rPr>
        <w:t>The terms of stock option award agreements and RSAs, including vesting requirements, are determined by the Board of Directors at the time of issuance. To date, options granted generally vest over a period of three or four years with 25% cliff vesting upon the first anniversary of the issuance date and monthly vesting thereafter. Vesting criteria for awards vary by grant as determined by the Board of Directors. Options and RSAs generally have a ten-year term from the date of grant but may be less in the event that the award is granted to a 10% shareholder. The exercise price of an award generally shall not be less than 100% of the estimated fair value of the shares on the date of grant, respectively, as determined by the Board of Directors. The exercise price of an award granted to a 10% shareholder shall not be less than 110% of the estimated fair value of the shares on the date of grant, respectively, as determined by the Board of Directors.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the RSA activity of the Company’s Plan as of and for the years ended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31, 2020 and 2019:</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Grant-Date</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9"/>
              </w:rPr>
              <w:t>Unvested restricted common stock outstanding as of December 31, 2018</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4,888,460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Vested</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(1,744,301)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(1,078,125)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w w:val="89"/>
              </w:rPr>
              <w:t>Unvested restricted common stock outstanding as of December 31, 2019</w:t>
            </w: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vMerge w:val="continue"/>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2,066,034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(1,370,089)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(115,077)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9"/>
              </w:rPr>
              <w:t>Unvested restricted common stock outstanding as of December 31, 2020</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580,868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5"/>
        </w:trPr>
        <w:tc>
          <w:tcPr>
            <w:tcW w:w="560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F-45</w:t>
            </w:r>
          </w:p>
        </w:tc>
        <w:tc>
          <w:tcPr>
            <w:tcW w:w="100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345" w:name="page346"/>
    <w:bookmarkEnd w:id="34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900" w:hanging="446"/>
        <w:spacing w:after="0"/>
        <w:tabs>
          <w:tab w:leader="none" w:pos="90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Equity Incentive Plans </w:t>
      </w:r>
      <w:r>
        <w:rPr>
          <w:rFonts w:ascii="Arial" w:cs="Arial" w:eastAsia="Arial" w:hAnsi="Arial"/>
          <w:sz w:val="18"/>
          <w:szCs w:val="18"/>
          <w:color w:val="auto"/>
        </w:rPr>
        <w:t>(cont.)</w:t>
      </w:r>
    </w:p>
    <w:p>
      <w:pPr>
        <w:spacing w:after="0" w:line="189" w:lineRule="exact"/>
        <w:rPr>
          <w:sz w:val="20"/>
          <w:szCs w:val="20"/>
          <w:color w:val="auto"/>
        </w:rPr>
      </w:pPr>
    </w:p>
    <w:p>
      <w:pPr>
        <w:ind w:left="460" w:right="599" w:firstLine="432"/>
        <w:spacing w:after="0" w:line="272" w:lineRule="auto"/>
        <w:rPr>
          <w:sz w:val="20"/>
          <w:szCs w:val="20"/>
          <w:color w:val="auto"/>
        </w:rPr>
      </w:pPr>
      <w:r>
        <w:rPr>
          <w:rFonts w:ascii="Arial" w:cs="Arial" w:eastAsia="Arial" w:hAnsi="Arial"/>
          <w:sz w:val="17"/>
          <w:szCs w:val="17"/>
          <w:color w:val="auto"/>
        </w:rPr>
        <w:t>RSAs represent an unsecured promise to grant at no cost a set number of shares of common stock upon vesting. RSA recipients are not entitled to cash dividends and have no voting rights during the vesting period. The RSAs are issued under the terms of the respective RSA agreements and are subject to repurchase upon the holder’s termination of their service relationship with the Company. The award restrictions are released as the awards vest. Upon vesting, the value is recorded as common stock and excess of par value as is recorded as additional paid in capital on the accompanying balance sheets. The common stock is subject to the Company’s right to repurchase at the original purchase price per share.</w:t>
      </w:r>
    </w:p>
    <w:p>
      <w:pPr>
        <w:spacing w:after="0" w:line="110" w:lineRule="exact"/>
        <w:rPr>
          <w:sz w:val="20"/>
          <w:szCs w:val="20"/>
          <w:color w:val="auto"/>
        </w:rPr>
      </w:pPr>
    </w:p>
    <w:p>
      <w:pPr>
        <w:ind w:left="460" w:right="899" w:firstLine="432"/>
        <w:spacing w:after="0" w:line="279" w:lineRule="auto"/>
        <w:rPr>
          <w:sz w:val="20"/>
          <w:szCs w:val="20"/>
          <w:color w:val="auto"/>
        </w:rPr>
      </w:pPr>
      <w:r>
        <w:rPr>
          <w:rFonts w:ascii="Arial" w:cs="Arial" w:eastAsia="Arial" w:hAnsi="Arial"/>
          <w:sz w:val="17"/>
          <w:szCs w:val="17"/>
          <w:color w:val="auto"/>
        </w:rPr>
        <w:t>As of December 31, 2020, the unrecognized compensation cost related to shares of unvested RSAs expected to vest was $0.2 million, which is expected to be recognized over an estimated weighted-average amortization period of 0.43 years. The aggregate fair value of RSAs that vested during the years ended December 31, 2020 and 2019 was $0.5 million and $0.6 million, respectively.</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Stock Options</w:t>
      </w:r>
    </w:p>
    <w:p>
      <w:pPr>
        <w:spacing w:after="0" w:line="144"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The following table summarizes the stock option activity of the Company’s 2017 Plan as of and for the years ended December 31, 2020 and 2019:</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3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Weighted</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37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Number of</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Average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c>
          <w:tcPr>
            <w:tcW w:w="200" w:type="dxa"/>
            <w:vAlign w:val="bottom"/>
          </w:tcPr>
          <w:p>
            <w:pPr>
              <w:spacing w:after="0"/>
              <w:rPr>
                <w:sz w:val="17"/>
                <w:szCs w:val="17"/>
                <w:color w:val="auto"/>
              </w:rPr>
            </w:pPr>
          </w:p>
        </w:tc>
        <w:tc>
          <w:tcPr>
            <w:tcW w:w="980" w:type="dxa"/>
            <w:vAlign w:val="bottom"/>
          </w:tcPr>
          <w:p>
            <w:pPr>
              <w:jc w:val="right"/>
              <w:ind w:right="132"/>
              <w:spacing w:after="0"/>
              <w:rPr>
                <w:sz w:val="20"/>
                <w:szCs w:val="20"/>
                <w:color w:val="auto"/>
              </w:rPr>
            </w:pPr>
            <w:r>
              <w:rPr>
                <w:rFonts w:ascii="Arial" w:cs="Arial" w:eastAsia="Arial" w:hAnsi="Arial"/>
                <w:sz w:val="16"/>
                <w:szCs w:val="16"/>
                <w:b w:val="1"/>
                <w:bCs w:val="1"/>
                <w:color w:val="auto"/>
                <w:w w:val="93"/>
              </w:rPr>
              <w:t>Aggregate</w:t>
            </w:r>
          </w:p>
        </w:tc>
      </w:tr>
      <w:tr>
        <w:trPr>
          <w:trHeight w:val="210"/>
        </w:trPr>
        <w:tc>
          <w:tcPr>
            <w:tcW w:w="37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Shares</w:t>
            </w: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w w:val="95"/>
              </w:rPr>
              <w:t>Exercise Price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7"/>
              </w:rPr>
              <w:t>Term</w:t>
            </w: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rPr>
              <w:t>Intrinsic Value</w:t>
            </w:r>
          </w:p>
        </w:tc>
      </w:tr>
      <w:tr>
        <w:trPr>
          <w:trHeight w:val="47"/>
        </w:trPr>
        <w:tc>
          <w:tcPr>
            <w:tcW w:w="37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gridSpan w:val="3"/>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17"/>
        </w:trPr>
        <w:tc>
          <w:tcPr>
            <w:tcW w:w="3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jc w:val="right"/>
              <w:ind w:right="575"/>
              <w:spacing w:after="0"/>
              <w:rPr>
                <w:sz w:val="20"/>
                <w:szCs w:val="20"/>
                <w:color w:val="auto"/>
              </w:rPr>
            </w:pPr>
            <w:r>
              <w:rPr>
                <w:rFonts w:ascii="Arial" w:cs="Arial" w:eastAsia="Arial" w:hAnsi="Arial"/>
                <w:sz w:val="16"/>
                <w:szCs w:val="16"/>
                <w:b w:val="1"/>
                <w:bCs w:val="1"/>
                <w:color w:val="auto"/>
              </w:rPr>
              <w:t>(in years)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47"/>
        </w:trPr>
        <w:tc>
          <w:tcPr>
            <w:tcW w:w="3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6"/>
              </w:rPr>
              <w:t>Options outstanding as of December 31, 2019</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6,902,873</w:t>
            </w: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420,140</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5,716,368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0.79</w:t>
            </w: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0"/>
        </w:trPr>
        <w:tc>
          <w:tcPr>
            <w:tcW w:w="3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(81,870)</w:t>
            </w: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0.48</w:t>
            </w:r>
          </w:p>
        </w:tc>
        <w:tc>
          <w:tcPr>
            <w:tcW w:w="9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57"/>
        </w:trPr>
        <w:tc>
          <w:tcPr>
            <w:tcW w:w="378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(586,009)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0.51</w:t>
            </w: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6"/>
              </w:rPr>
              <w:t>Options outstanding as of December 31, 2020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11,951,362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6,625,511</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w w:val="98"/>
              </w:rPr>
              <w:t>Options exercisable as of December 31, 2020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3,611,387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0.51</w:t>
            </w:r>
          </w:p>
        </w:tc>
        <w:tc>
          <w:tcPr>
            <w:tcW w:w="960" w:type="dxa"/>
            <w:vAlign w:val="bottom"/>
          </w:tcPr>
          <w:p>
            <w:pPr>
              <w:jc w:val="right"/>
              <w:spacing w:after="0"/>
              <w:rPr>
                <w:sz w:val="20"/>
                <w:szCs w:val="20"/>
                <w:color w:val="auto"/>
              </w:rPr>
            </w:pPr>
            <w:r>
              <w:rPr>
                <w:rFonts w:ascii="Arial" w:cs="Arial" w:eastAsia="Arial" w:hAnsi="Arial"/>
                <w:sz w:val="18"/>
                <w:szCs w:val="18"/>
                <w:color w:val="auto"/>
              </w:rPr>
              <w:t>7.65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2,466,634</w:t>
            </w:r>
          </w:p>
        </w:tc>
      </w:tr>
    </w:tbl>
    <w:p>
      <w:pPr>
        <w:spacing w:after="0" w:line="202"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The aggregate intrinsic value of options is calculated as the difference between the exercise price of the options and the fair value of the Company’s common stock for those options that had exercise prices lower than the fair value of the Company’s common stock. The total fair value of options vested during the years ended December 31, 2020 and 2019, was $0.9 million and $0.3 million, respectively.</w:t>
      </w:r>
    </w:p>
    <w:p>
      <w:pPr>
        <w:spacing w:after="0" w:line="104" w:lineRule="exact"/>
        <w:rPr>
          <w:sz w:val="20"/>
          <w:szCs w:val="20"/>
          <w:color w:val="auto"/>
        </w:rPr>
      </w:pPr>
    </w:p>
    <w:p>
      <w:pPr>
        <w:jc w:val="both"/>
        <w:ind w:left="460" w:right="559" w:firstLine="432"/>
        <w:spacing w:after="0" w:line="301" w:lineRule="auto"/>
        <w:rPr>
          <w:sz w:val="20"/>
          <w:szCs w:val="20"/>
          <w:color w:val="auto"/>
        </w:rPr>
      </w:pPr>
      <w:r>
        <w:rPr>
          <w:rFonts w:ascii="Arial" w:cs="Arial" w:eastAsia="Arial" w:hAnsi="Arial"/>
          <w:sz w:val="16"/>
          <w:szCs w:val="16"/>
          <w:color w:val="auto"/>
        </w:rPr>
        <w:t>The total intrinsic values of options exercised totaled less than $0.1 million for the year ended December 31, 2020. There were no options exercised for the year ended December 31, 2019. The weighted-average grant date fair value per share of stock options granted was $0.49 and $0.34 for years ending December 31, 2020 and 2019, respectively. Substantially all options outstanding as of December 31, 2020 are expected to vest.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6" w:name="page347"/>
    <w:bookmarkEnd w:id="34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900" w:hanging="446"/>
        <w:spacing w:after="0"/>
        <w:tabs>
          <w:tab w:leader="none" w:pos="90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Equity Incentive Plans </w:t>
      </w:r>
      <w:r>
        <w:rPr>
          <w:rFonts w:ascii="Arial" w:cs="Arial" w:eastAsia="Arial" w:hAnsi="Arial"/>
          <w:sz w:val="18"/>
          <w:szCs w:val="18"/>
          <w:color w:val="auto"/>
        </w:rPr>
        <w:t>(cont.)</w:t>
      </w:r>
    </w:p>
    <w:p>
      <w:pPr>
        <w:spacing w:after="0" w:line="229"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Option Valuation</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weighted average assumptions used to estimate the grant date fair value of the stock options using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Black-Scholes option pricing model were as follows: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31"/>
        </w:trPr>
        <w:tc>
          <w:tcPr>
            <w:tcW w:w="5620" w:type="dxa"/>
            <w:vAlign w:val="bottom"/>
          </w:tcPr>
          <w:p>
            <w:pPr>
              <w:spacing w:after="0"/>
              <w:rPr>
                <w:sz w:val="20"/>
                <w:szCs w:val="20"/>
                <w:color w:val="auto"/>
              </w:rPr>
            </w:pPr>
          </w:p>
        </w:tc>
        <w:tc>
          <w:tcPr>
            <w:tcW w:w="1140" w:type="dxa"/>
            <w:vAlign w:val="bottom"/>
            <w:gridSpan w:val="2"/>
          </w:tcPr>
          <w:p>
            <w:pPr>
              <w:jc w:val="right"/>
              <w:ind w:right="31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24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2019</w:t>
            </w:r>
          </w:p>
        </w:tc>
      </w:tr>
      <w:tr>
        <w:trPr>
          <w:trHeight w:val="26"/>
        </w:trPr>
        <w:tc>
          <w:tcPr>
            <w:tcW w:w="56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option life (in years)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6.1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6.1</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Expected volatility</w:t>
            </w: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 72%</w:t>
            </w: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700" w:type="dxa"/>
            <w:vAlign w:val="bottom"/>
          </w:tcPr>
          <w:p>
            <w:pPr>
              <w:ind w:left="20"/>
              <w:spacing w:after="0"/>
              <w:rPr>
                <w:sz w:val="20"/>
                <w:szCs w:val="20"/>
                <w:color w:val="auto"/>
              </w:rPr>
            </w:pPr>
            <w:r>
              <w:rPr>
                <w:rFonts w:ascii="Arial" w:cs="Arial" w:eastAsia="Arial" w:hAnsi="Arial"/>
                <w:sz w:val="18"/>
                <w:szCs w:val="18"/>
                <w:color w:val="auto"/>
              </w:rPr>
              <w:t>– 75%</w:t>
            </w:r>
          </w:p>
        </w:tc>
      </w:tr>
      <w:tr>
        <w:trPr>
          <w:trHeight w:val="40"/>
        </w:trPr>
        <w:tc>
          <w:tcPr>
            <w:tcW w:w="5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6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1.4%</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2.6%</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58" w:lineRule="exact"/>
        <w:rPr>
          <w:sz w:val="20"/>
          <w:szCs w:val="20"/>
          <w:color w:val="auto"/>
        </w:rPr>
      </w:pPr>
    </w:p>
    <w:p>
      <w:pPr>
        <w:jc w:val="both"/>
        <w:ind w:left="460" w:right="919" w:firstLine="432"/>
        <w:spacing w:after="0" w:line="311" w:lineRule="auto"/>
        <w:rPr>
          <w:sz w:val="20"/>
          <w:szCs w:val="20"/>
          <w:color w:val="auto"/>
        </w:rPr>
      </w:pPr>
      <w:r>
        <w:rPr>
          <w:rFonts w:ascii="Arial" w:cs="Arial" w:eastAsia="Arial" w:hAnsi="Arial"/>
          <w:sz w:val="16"/>
          <w:szCs w:val="16"/>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500" w:type="dxa"/>
            <w:vAlign w:val="bottom"/>
            <w:gridSpan w:val="6"/>
          </w:tcPr>
          <w:p>
            <w:pPr>
              <w:jc w:val="right"/>
              <w:ind w:right="250"/>
              <w:spacing w:after="0"/>
              <w:rPr>
                <w:sz w:val="20"/>
                <w:szCs w:val="20"/>
                <w:color w:val="auto"/>
              </w:rPr>
            </w:pPr>
            <w:r>
              <w:rPr>
                <w:rFonts w:ascii="Arial" w:cs="Arial" w:eastAsia="Arial" w:hAnsi="Arial"/>
                <w:sz w:val="16"/>
                <w:szCs w:val="16"/>
                <w:b w:val="1"/>
                <w:bCs w:val="1"/>
                <w:color w:val="auto"/>
              </w:rPr>
              <w:t>Year Ended December 31,</w:t>
            </w:r>
          </w:p>
        </w:tc>
      </w:tr>
      <w:tr>
        <w:trPr>
          <w:trHeight w:val="47"/>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20"/>
                <w:szCs w:val="20"/>
                <w:color w:val="auto"/>
              </w:rPr>
            </w:pPr>
          </w:p>
        </w:tc>
      </w:tr>
      <w:tr>
        <w:trPr>
          <w:trHeight w:val="46"/>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4"/>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17"/>
        </w:trPr>
        <w:tc>
          <w:tcPr>
            <w:tcW w:w="5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4"/>
          </w:tcPr>
          <w:p>
            <w:pPr>
              <w:jc w:val="right"/>
              <w:ind w:right="320"/>
              <w:spacing w:after="0"/>
              <w:rPr>
                <w:sz w:val="20"/>
                <w:szCs w:val="20"/>
                <w:color w:val="auto"/>
              </w:rPr>
            </w:pPr>
            <w:r>
              <w:rPr>
                <w:rFonts w:ascii="Arial" w:cs="Arial" w:eastAsia="Arial" w:hAnsi="Arial"/>
                <w:sz w:val="16"/>
                <w:szCs w:val="16"/>
                <w:b w:val="1"/>
                <w:bCs w:val="1"/>
                <w:color w:val="auto"/>
                <w:w w:val="88"/>
              </w:rPr>
              <w:t>(in thousands)</w:t>
            </w:r>
          </w:p>
        </w:tc>
        <w:tc>
          <w:tcPr>
            <w:tcW w:w="44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1,003</w:t>
            </w:r>
          </w:p>
        </w:tc>
        <w:tc>
          <w:tcPr>
            <w:tcW w:w="860" w:type="dxa"/>
            <w:vAlign w:val="bottom"/>
            <w:tcBorders>
              <w:bottom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761</w:t>
            </w: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877</w:t>
            </w: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1,764</w:t>
            </w:r>
          </w:p>
        </w:tc>
        <w:tc>
          <w:tcPr>
            <w:tcW w:w="860" w:type="dxa"/>
            <w:vAlign w:val="bottom"/>
            <w:tcBorders>
              <w:bottom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1,694</w:t>
            </w:r>
          </w:p>
        </w:tc>
      </w:tr>
      <w:tr>
        <w:trPr>
          <w:trHeight w:val="20"/>
        </w:trPr>
        <w:tc>
          <w:tcPr>
            <w:tcW w:w="5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bl>
    <w:p>
      <w:pPr>
        <w:spacing w:after="0" w:line="161" w:lineRule="exact"/>
        <w:rPr>
          <w:sz w:val="20"/>
          <w:szCs w:val="20"/>
          <w:color w:val="auto"/>
        </w:rPr>
      </w:pPr>
    </w:p>
    <w:p>
      <w:pPr>
        <w:ind w:left="460" w:right="739" w:firstLine="432"/>
        <w:spacing w:after="0" w:line="263" w:lineRule="auto"/>
        <w:rPr>
          <w:sz w:val="20"/>
          <w:szCs w:val="20"/>
          <w:color w:val="auto"/>
        </w:rPr>
      </w:pPr>
      <w:r>
        <w:rPr>
          <w:rFonts w:ascii="Arial" w:cs="Arial" w:eastAsia="Arial" w:hAnsi="Arial"/>
          <w:sz w:val="18"/>
          <w:szCs w:val="18"/>
          <w:color w:val="auto"/>
        </w:rPr>
        <w:t>As of December 31, 2020, there was approximately $3.3 million of unrecognized stock-based compensation expense, which is expected to be recognized over a weighted-average period of approximately 2.84 years.</w:t>
      </w:r>
    </w:p>
    <w:p>
      <w:pPr>
        <w:spacing w:after="0" w:line="180" w:lineRule="exact"/>
        <w:rPr>
          <w:sz w:val="20"/>
          <w:szCs w:val="20"/>
          <w:color w:val="auto"/>
        </w:rPr>
      </w:pPr>
    </w:p>
    <w:p>
      <w:pPr>
        <w:ind w:left="900" w:hanging="446"/>
        <w:spacing w:after="0"/>
        <w:tabs>
          <w:tab w:leader="none" w:pos="90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jc w:val="both"/>
        <w:ind w:left="460" w:right="599" w:firstLine="432"/>
        <w:spacing w:after="0" w:line="286" w:lineRule="auto"/>
        <w:rPr>
          <w:sz w:val="20"/>
          <w:szCs w:val="20"/>
          <w:color w:val="auto"/>
        </w:rPr>
      </w:pPr>
      <w:r>
        <w:rPr>
          <w:rFonts w:ascii="Arial" w:cs="Arial" w:eastAsia="Arial" w:hAnsi="Arial"/>
          <w:sz w:val="17"/>
          <w:szCs w:val="17"/>
          <w:color w:val="auto"/>
        </w:rPr>
        <w:t>During the years ended December 31, 2020 and 2019, the Company recorded no tax provision or benefit due to the losses incurred and the need for a full valuation allowance against its deferred tax assets. All of the Company’s operating losses since inception have been generated in the United States.</w:t>
      </w:r>
    </w:p>
    <w:p>
      <w:pPr>
        <w:spacing w:after="0" w:line="98"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2540" w:type="dxa"/>
            <w:vAlign w:val="bottom"/>
            <w:gridSpan w:val="5"/>
          </w:tcPr>
          <w:p>
            <w:pPr>
              <w:jc w:val="right"/>
              <w:ind w:right="360"/>
              <w:spacing w:after="0"/>
              <w:rPr>
                <w:sz w:val="20"/>
                <w:szCs w:val="20"/>
                <w:color w:val="auto"/>
              </w:rPr>
            </w:pPr>
            <w:r>
              <w:rPr>
                <w:rFonts w:ascii="Arial" w:cs="Arial" w:eastAsia="Arial" w:hAnsi="Arial"/>
                <w:sz w:val="16"/>
                <w:szCs w:val="16"/>
                <w:b w:val="1"/>
                <w:bCs w:val="1"/>
                <w:color w:val="auto"/>
              </w:rPr>
              <w:t>Year Ended December 31,</w:t>
            </w:r>
          </w:p>
        </w:tc>
      </w:tr>
      <w:tr>
        <w:trPr>
          <w:trHeight w:val="47"/>
        </w:trPr>
        <w:tc>
          <w:tcPr>
            <w:tcW w:w="55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5560" w:type="dxa"/>
            <w:vAlign w:val="bottom"/>
          </w:tcPr>
          <w:p>
            <w:pPr>
              <w:spacing w:after="0"/>
              <w:rPr>
                <w:sz w:val="20"/>
                <w:szCs w:val="20"/>
                <w:color w:val="auto"/>
              </w:rPr>
            </w:pPr>
          </w:p>
        </w:tc>
        <w:tc>
          <w:tcPr>
            <w:tcW w:w="1000" w:type="dxa"/>
            <w:vAlign w:val="bottom"/>
          </w:tcPr>
          <w:p>
            <w:pPr>
              <w:jc w:val="right"/>
              <w:ind w:right="152"/>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ind w:right="231"/>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20"/>
                <w:szCs w:val="20"/>
                <w:color w:val="auto"/>
              </w:rPr>
            </w:pPr>
          </w:p>
        </w:tc>
      </w:tr>
      <w:tr>
        <w:trPr>
          <w:trHeight w:val="47"/>
        </w:trPr>
        <w:tc>
          <w:tcPr>
            <w:tcW w:w="55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at U.S. federal statutory rate</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r>
      <w:tr>
        <w:trPr>
          <w:trHeight w:val="40"/>
        </w:trPr>
        <w:tc>
          <w:tcPr>
            <w:tcW w:w="5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and state research and development tax credits</w:t>
            </w: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Nondeductible/nontaxable permanent items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41"/>
        </w:trPr>
        <w:tc>
          <w:tcPr>
            <w:tcW w:w="5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r>
      <w:tr>
        <w:trPr>
          <w:trHeight w:val="256"/>
        </w:trPr>
        <w:tc>
          <w:tcPr>
            <w:tcW w:w="55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r>
      <w:tr>
        <w:trPr>
          <w:trHeight w:val="27"/>
        </w:trPr>
        <w:tc>
          <w:tcPr>
            <w:tcW w:w="55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26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391"/>
        </w:trPr>
        <w:tc>
          <w:tcPr>
            <w:tcW w:w="556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F-47</w:t>
            </w: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347" w:name="page348"/>
    <w:bookmarkEnd w:id="34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900" w:hanging="446"/>
        <w:spacing w:after="0"/>
        <w:tabs>
          <w:tab w:leader="none" w:pos="90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(cont.)</w:t>
      </w:r>
    </w:p>
    <w:p>
      <w:pPr>
        <w:spacing w:after="0" w:line="189"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The tax effects of temporary differences that give rise to significant components of the deferred tax assets and liabilities are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3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jc w:val="right"/>
              <w:ind w:right="340"/>
              <w:spacing w:after="0"/>
              <w:rPr>
                <w:sz w:val="20"/>
                <w:szCs w:val="20"/>
                <w:color w:val="auto"/>
              </w:rPr>
            </w:pPr>
            <w:r>
              <w:rPr>
                <w:rFonts w:ascii="Arial" w:cs="Arial" w:eastAsia="Arial" w:hAnsi="Arial"/>
                <w:sz w:val="16"/>
                <w:szCs w:val="16"/>
                <w:b w:val="1"/>
                <w:bCs w:val="1"/>
                <w:color w:val="auto"/>
                <w:w w:val="97"/>
              </w:rPr>
              <w:t>Year Ended December 31,</w:t>
            </w:r>
          </w:p>
        </w:tc>
        <w:tc>
          <w:tcPr>
            <w:tcW w:w="0" w:type="dxa"/>
            <w:vAlign w:val="bottom"/>
          </w:tcPr>
          <w:p>
            <w:pPr>
              <w:spacing w:after="0"/>
              <w:rPr>
                <w:sz w:val="1"/>
                <w:szCs w:val="1"/>
                <w:color w:val="auto"/>
              </w:rPr>
            </w:pPr>
          </w:p>
        </w:tc>
      </w:tr>
      <w:tr>
        <w:trPr>
          <w:trHeight w:val="47"/>
        </w:trPr>
        <w:tc>
          <w:tcPr>
            <w:tcW w:w="1320" w:type="dxa"/>
            <w:vAlign w:val="bottom"/>
          </w:tcPr>
          <w:p>
            <w:pPr>
              <w:spacing w:after="0"/>
              <w:rPr>
                <w:sz w:val="4"/>
                <w:szCs w:val="4"/>
                <w:color w:val="auto"/>
              </w:rPr>
            </w:pPr>
          </w:p>
        </w:tc>
        <w:tc>
          <w:tcPr>
            <w:tcW w:w="42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3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1320" w:type="dxa"/>
            <w:vAlign w:val="bottom"/>
          </w:tcPr>
          <w:p>
            <w:pPr>
              <w:spacing w:after="0"/>
              <w:rPr>
                <w:sz w:val="4"/>
                <w:szCs w:val="4"/>
                <w:color w:val="auto"/>
              </w:rPr>
            </w:pPr>
          </w:p>
        </w:tc>
        <w:tc>
          <w:tcPr>
            <w:tcW w:w="42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gridSpan w:val="6"/>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3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46"/>
        </w:trPr>
        <w:tc>
          <w:tcPr>
            <w:tcW w:w="1320" w:type="dxa"/>
            <w:vAlign w:val="bottom"/>
          </w:tcPr>
          <w:p>
            <w:pPr>
              <w:spacing w:after="0"/>
              <w:rPr>
                <w:sz w:val="4"/>
                <w:szCs w:val="4"/>
                <w:color w:val="auto"/>
              </w:rPr>
            </w:pPr>
          </w:p>
        </w:tc>
        <w:tc>
          <w:tcPr>
            <w:tcW w:w="4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Net operating loss carryforwards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1"/>
              <w:spacing w:after="0"/>
              <w:rPr>
                <w:sz w:val="20"/>
                <w:szCs w:val="20"/>
                <w:color w:val="auto"/>
              </w:rPr>
            </w:pPr>
            <w:r>
              <w:rPr>
                <w:rFonts w:ascii="Arial" w:cs="Arial" w:eastAsia="Arial" w:hAnsi="Arial"/>
                <w:sz w:val="18"/>
                <w:szCs w:val="18"/>
                <w:color w:val="auto"/>
              </w:rPr>
              <w:t>11,085</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3,958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13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 carryforwards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5,213</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liability</w:t>
            </w:r>
          </w:p>
        </w:tc>
        <w:tc>
          <w:tcPr>
            <w:tcW w:w="220" w:type="dxa"/>
            <w:vAlign w:val="bottom"/>
          </w:tcPr>
          <w:p>
            <w:pPr>
              <w:spacing w:after="0"/>
              <w:rPr>
                <w:sz w:val="21"/>
                <w:szCs w:val="21"/>
                <w:color w:val="auto"/>
              </w:rPr>
            </w:pPr>
          </w:p>
        </w:tc>
        <w:tc>
          <w:tcPr>
            <w:tcW w:w="1020" w:type="dxa"/>
            <w:vAlign w:val="bottom"/>
            <w:gridSpan w:val="2"/>
          </w:tcPr>
          <w:p>
            <w:pPr>
              <w:jc w:val="right"/>
              <w:ind w:right="161"/>
              <w:spacing w:after="0"/>
              <w:rPr>
                <w:sz w:val="20"/>
                <w:szCs w:val="20"/>
                <w:color w:val="auto"/>
              </w:rPr>
            </w:pPr>
            <w:r>
              <w:rPr>
                <w:rFonts w:ascii="Arial" w:cs="Arial" w:eastAsia="Arial" w:hAnsi="Arial"/>
                <w:sz w:val="18"/>
                <w:szCs w:val="18"/>
                <w:color w:val="auto"/>
              </w:rPr>
              <w:t>2,154</w:t>
            </w: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2,373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13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11,891</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8,948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Accruals and reserves</w:t>
            </w:r>
          </w:p>
        </w:tc>
        <w:tc>
          <w:tcPr>
            <w:tcW w:w="220" w:type="dxa"/>
            <w:vAlign w:val="bottom"/>
          </w:tcPr>
          <w:p>
            <w:pPr>
              <w:spacing w:after="0"/>
              <w:rPr>
                <w:sz w:val="21"/>
                <w:szCs w:val="21"/>
                <w:color w:val="auto"/>
              </w:rPr>
            </w:pPr>
          </w:p>
        </w:tc>
        <w:tc>
          <w:tcPr>
            <w:tcW w:w="1020" w:type="dxa"/>
            <w:vAlign w:val="bottom"/>
            <w:gridSpan w:val="2"/>
          </w:tcPr>
          <w:p>
            <w:pPr>
              <w:jc w:val="right"/>
              <w:ind w:right="161"/>
              <w:spacing w:after="0"/>
              <w:rPr>
                <w:sz w:val="20"/>
                <w:szCs w:val="20"/>
                <w:color w:val="auto"/>
              </w:rPr>
            </w:pPr>
            <w:r>
              <w:rPr>
                <w:rFonts w:ascii="Arial" w:cs="Arial" w:eastAsia="Arial" w:hAnsi="Arial"/>
                <w:sz w:val="18"/>
                <w:szCs w:val="18"/>
                <w:color w:val="auto"/>
              </w:rPr>
              <w:t>648</w:t>
            </w: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13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Capitalized research costs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2,506</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020" w:type="dxa"/>
            <w:vAlign w:val="bottom"/>
            <w:gridSpan w:val="2"/>
          </w:tcPr>
          <w:p>
            <w:pPr>
              <w:jc w:val="right"/>
              <w:ind w:right="161"/>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13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gross deferred tax assets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33,585</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18,886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21"/>
                <w:szCs w:val="21"/>
                <w:color w:val="auto"/>
              </w:rPr>
            </w:pP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(30,945)</w:t>
            </w:r>
          </w:p>
        </w:tc>
        <w:tc>
          <w:tcPr>
            <w:tcW w:w="28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(15,906)</w:t>
            </w:r>
          </w:p>
        </w:tc>
        <w:tc>
          <w:tcPr>
            <w:tcW w:w="0" w:type="dxa"/>
            <w:vAlign w:val="bottom"/>
          </w:tcPr>
          <w:p>
            <w:pPr>
              <w:spacing w:after="0"/>
              <w:rPr>
                <w:sz w:val="1"/>
                <w:szCs w:val="1"/>
                <w:color w:val="auto"/>
              </w:rPr>
            </w:pPr>
          </w:p>
        </w:tc>
      </w:tr>
      <w:tr>
        <w:trPr>
          <w:trHeight w:val="40"/>
        </w:trPr>
        <w:tc>
          <w:tcPr>
            <w:tcW w:w="13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2,640</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13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(597)</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57"/>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Right-of-use asset</w:t>
            </w:r>
          </w:p>
        </w:tc>
        <w:tc>
          <w:tcPr>
            <w:tcW w:w="220" w:type="dxa"/>
            <w:vAlign w:val="bottom"/>
          </w:tcPr>
          <w:p>
            <w:pPr>
              <w:spacing w:after="0"/>
              <w:rPr>
                <w:sz w:val="22"/>
                <w:szCs w:val="22"/>
                <w:color w:val="auto"/>
              </w:rPr>
            </w:pP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(2,043)</w:t>
            </w:r>
          </w:p>
        </w:tc>
        <w:tc>
          <w:tcPr>
            <w:tcW w:w="280" w:type="dxa"/>
            <w:vAlign w:val="bottom"/>
          </w:tcPr>
          <w:p>
            <w:pPr>
              <w:spacing w:after="0"/>
              <w:rPr>
                <w:sz w:val="22"/>
                <w:szCs w:val="22"/>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7"/>
        </w:trPr>
        <w:tc>
          <w:tcPr>
            <w:tcW w:w="132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gross 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line="182" w:lineRule="exact"/>
              <w:rPr>
                <w:sz w:val="20"/>
                <w:szCs w:val="20"/>
                <w:color w:val="auto"/>
              </w:rPr>
            </w:pPr>
            <w:r>
              <w:rPr>
                <w:rFonts w:ascii="Arial" w:cs="Arial" w:eastAsia="Arial" w:hAnsi="Arial"/>
                <w:sz w:val="18"/>
                <w:szCs w:val="18"/>
                <w:color w:val="auto"/>
              </w:rPr>
              <w:t>Net deferred taxes</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gridSpan w:val="2"/>
            <w:vMerge w:val="continue"/>
          </w:tcPr>
          <w:p>
            <w:pPr>
              <w:spacing w:after="0"/>
              <w:rPr>
                <w:sz w:val="15"/>
                <w:szCs w:val="15"/>
                <w:color w:val="auto"/>
              </w:rPr>
            </w:pPr>
          </w:p>
        </w:tc>
        <w:tc>
          <w:tcPr>
            <w:tcW w:w="220" w:type="dxa"/>
            <w:vAlign w:val="bottom"/>
          </w:tcPr>
          <w:p>
            <w:pPr>
              <w:jc w:val="right"/>
              <w:ind w:right="30"/>
              <w:spacing w:after="0" w:line="169"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1"/>
              <w:spacing w:after="0" w:line="169" w:lineRule="exact"/>
              <w:rPr>
                <w:sz w:val="20"/>
                <w:szCs w:val="20"/>
                <w:color w:val="auto"/>
              </w:rPr>
            </w:pPr>
            <w:r>
              <w:rPr>
                <w:rFonts w:ascii="Arial" w:cs="Arial" w:eastAsia="Arial" w:hAnsi="Arial"/>
                <w:sz w:val="18"/>
                <w:szCs w:val="18"/>
                <w:color w:val="auto"/>
              </w:rPr>
              <w:t>—</w:t>
            </w:r>
          </w:p>
        </w:tc>
        <w:tc>
          <w:tcPr>
            <w:tcW w:w="280" w:type="dxa"/>
            <w:vAlign w:val="bottom"/>
          </w:tcPr>
          <w:p>
            <w:pPr>
              <w:jc w:val="right"/>
              <w:ind w:right="127"/>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60"/>
              <w:spacing w:after="0" w:line="16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1320" w:type="dxa"/>
            <w:vAlign w:val="bottom"/>
            <w:tcBorders>
              <w:top w:val="single" w:sz="8" w:color="auto"/>
            </w:tcBorders>
          </w:tcPr>
          <w:p>
            <w:pPr>
              <w:spacing w:after="0"/>
              <w:rPr>
                <w:sz w:val="5"/>
                <w:szCs w:val="5"/>
                <w:color w:val="auto"/>
              </w:rPr>
            </w:pPr>
          </w:p>
        </w:tc>
        <w:tc>
          <w:tcPr>
            <w:tcW w:w="42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60" w:right="619" w:firstLine="432"/>
        <w:spacing w:after="0" w:line="271" w:lineRule="auto"/>
        <w:rPr>
          <w:sz w:val="20"/>
          <w:szCs w:val="20"/>
          <w:color w:val="auto"/>
        </w:rPr>
      </w:pPr>
      <w:r>
        <w:rPr>
          <w:rFonts w:ascii="Arial" w:cs="Arial" w:eastAsia="Arial" w:hAnsi="Arial"/>
          <w:sz w:val="17"/>
          <w:szCs w:val="17"/>
          <w:color w:val="auto"/>
        </w:rPr>
        <w:t>As of December 31, 2020, the Company had U.S. federal and state net operating loss (“</w:t>
      </w:r>
      <w:r>
        <w:rPr>
          <w:rFonts w:ascii="Arial" w:cs="Arial" w:eastAsia="Arial" w:hAnsi="Arial"/>
          <w:sz w:val="17"/>
          <w:szCs w:val="17"/>
          <w:b w:val="1"/>
          <w:bCs w:val="1"/>
          <w:color w:val="auto"/>
        </w:rPr>
        <w:t>NOL</w:t>
      </w:r>
      <w:r>
        <w:rPr>
          <w:rFonts w:ascii="Arial" w:cs="Arial" w:eastAsia="Arial" w:hAnsi="Arial"/>
          <w:sz w:val="17"/>
          <w:szCs w:val="17"/>
          <w:color w:val="auto"/>
        </w:rPr>
        <w:t>”) carryforwards of $41.0 million and $39.1 million, respectively, which may be available to offset future taxable income. The federal NOLs include $3.3 million which expire at various dates beginning in 2035 and $40.5 million which carry forward indefinitely. The state NOLs expire at various dates beginning in 2035. As of December 31, 2020, the Company also had U.S. federal and state research and development tax credit carryforwards of $3.4 million and $2.2 million, respectively, which may be available to offset future tax liabilities and begin to expire in 2034 and 2030, respectively. During the year ended December 31, 2020, deferred tax assets, before valuation allowance, increased by approximately $15.0 million mainly due to the operating loss incurred by the Company during that period.</w:t>
      </w:r>
    </w:p>
    <w:p>
      <w:pPr>
        <w:spacing w:after="0" w:line="97"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Utilization of the U.S. federal and state net operating loss carryforwards and research and development tax credit carryforwards may be subject to a substantial annual limitation under Section 382 of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results from transactions increasing the ownership of certain stockholders or public groups in the stock of a corporation by more than 50% over a three-year period. The Company has performed an analysis of ownership changes through August 17, 2020 and determined that on February 6, 2017 and August 17, 2020 ownership changes had occurred. Based on this analysis, the Company’s ability to use its pre-change tax attributes to offset federal and state taxable income are subject to annual limitations and a portion of the attributes generated prior to February 6, 2017 will expire unutilized, which could potentially result in an increased future tax liability. The Company has adjusted its deferred tax assets and valuation allowance balance for the affected tax attribute carryforwards to reflect the expiration of the attributes.</w:t>
      </w:r>
    </w:p>
    <w:p>
      <w:pPr>
        <w:spacing w:after="0" w:line="106"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ASC 740 requires a valuation allowance to reduce the deferred tax assets reported, if based on the weight of the evidence, it is more likely than not that some portion or all of the deferred tax assets will not be realized. 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8" w:name="page349"/>
    <w:bookmarkEnd w:id="34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900" w:hanging="446"/>
        <w:spacing w:after="0"/>
        <w:tabs>
          <w:tab w:leader="none" w:pos="90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(cont.)</w:t>
      </w:r>
    </w:p>
    <w:p>
      <w:pPr>
        <w:spacing w:after="0" w:line="189" w:lineRule="exact"/>
        <w:rPr>
          <w:sz w:val="20"/>
          <w:szCs w:val="20"/>
          <w:color w:val="auto"/>
        </w:rPr>
      </w:pPr>
    </w:p>
    <w:p>
      <w:pPr>
        <w:ind w:left="460" w:right="499"/>
        <w:spacing w:after="0" w:line="296" w:lineRule="auto"/>
        <w:rPr>
          <w:sz w:val="20"/>
          <w:szCs w:val="20"/>
          <w:color w:val="auto"/>
        </w:rPr>
      </w:pPr>
      <w:r>
        <w:rPr>
          <w:rFonts w:ascii="Arial" w:cs="Arial" w:eastAsia="Arial" w:hAnsi="Arial"/>
          <w:sz w:val="16"/>
          <w:szCs w:val="16"/>
          <w:color w:val="auto"/>
        </w:rPr>
        <w:t>concluded that it is more likely than not that the Company will not realize the benefits of the deferred tax assets. Accordingly, a full valuation allowance has been established against the net deferred tax assets as of December 31, 2020 and 2019. Management reevaluates the positive and negative evidence at each reporting period. The Company had a net increase in the valuation allowance of $15.0 million during 2020 related primarily to the increase in net operating loss carryforwards and research and development tax credit carryforwards, as follows: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right"/>
              <w:ind w:right="252"/>
              <w:spacing w:after="0"/>
              <w:rPr>
                <w:sz w:val="20"/>
                <w:szCs w:val="20"/>
                <w:color w:val="auto"/>
              </w:rPr>
            </w:pPr>
            <w:r>
              <w:rPr>
                <w:rFonts w:ascii="Arial" w:cs="Arial" w:eastAsia="Arial" w:hAnsi="Arial"/>
                <w:sz w:val="16"/>
                <w:szCs w:val="16"/>
                <w:b w:val="1"/>
                <w:bCs w:val="1"/>
                <w:color w:val="auto"/>
                <w:w w:val="97"/>
              </w:rPr>
              <w:t>Year Ended December 31,</w:t>
            </w:r>
          </w:p>
        </w:tc>
      </w:tr>
      <w:tr>
        <w:trPr>
          <w:trHeight w:val="46"/>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5"/>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gridSpan w:val="5"/>
          </w:tcPr>
          <w:p>
            <w:pPr>
              <w:spacing w:after="0"/>
              <w:rPr>
                <w:sz w:val="4"/>
                <w:szCs w:val="4"/>
                <w:color w:val="auto"/>
              </w:rPr>
            </w:pPr>
          </w:p>
        </w:tc>
      </w:tr>
      <w:tr>
        <w:trPr>
          <w:trHeight w:val="217"/>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right"/>
              <w:ind w:right="672"/>
              <w:spacing w:after="0"/>
              <w:rPr>
                <w:sz w:val="20"/>
                <w:szCs w:val="20"/>
                <w:color w:val="auto"/>
              </w:rPr>
            </w:pPr>
            <w:r>
              <w:rPr>
                <w:rFonts w:ascii="Arial" w:cs="Arial" w:eastAsia="Arial" w:hAnsi="Arial"/>
                <w:sz w:val="16"/>
                <w:szCs w:val="16"/>
                <w:b w:val="1"/>
                <w:bCs w:val="1"/>
                <w:color w:val="auto"/>
              </w:rPr>
              <w:t>(in thousands)</w:t>
            </w:r>
          </w:p>
        </w:tc>
      </w:tr>
      <w:tr>
        <w:trPr>
          <w:trHeight w:val="47"/>
        </w:trPr>
        <w:tc>
          <w:tcPr>
            <w:tcW w:w="5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 as of beginning of year</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15,906</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10,559</w:t>
            </w: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Increases recorded to income tax provision</w:t>
            </w:r>
          </w:p>
        </w:tc>
        <w:tc>
          <w:tcPr>
            <w:tcW w:w="22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15,039</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5,347</w:t>
            </w: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as of end of year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30,945</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right="779" w:firstLine="432"/>
        <w:spacing w:after="0" w:line="272" w:lineRule="auto"/>
        <w:rPr>
          <w:sz w:val="20"/>
          <w:szCs w:val="20"/>
          <w:color w:val="auto"/>
        </w:rPr>
      </w:pPr>
      <w:r>
        <w:rPr>
          <w:rFonts w:ascii="Arial" w:cs="Arial" w:eastAsia="Arial" w:hAnsi="Arial"/>
          <w:sz w:val="17"/>
          <w:szCs w:val="17"/>
          <w:color w:val="auto"/>
        </w:rPr>
        <w:t>The Coronavirus Aid, Relief, and Economic Security (CARES) Act was enacted on March 27, 2020. Among the business provisions, the CARES Act provided for various payroll tax incentives, changes to net operating loss carryback and carryforward rules, business interest expense limitation increases, and bonus depreciation on qualified improvement property. Additionally, the Consolidated Appropriations Act of 2021 was signed on December 27, 2020 which provided additional COVID relief provisions for businesses. The Company has evaluated the impact of both Acts and has determined that any impact is not material to its financial statements.</w:t>
      </w:r>
    </w:p>
    <w:p>
      <w:pPr>
        <w:spacing w:after="0" w:line="96"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As of December 31, 2020 and 2019, the Company had not recorded any amounts for unrecognized tax benefits. The Company’s policy is to record interest and penalties related to income taxes as part of its income tax provision. As of December 31, 2020 and 2019, the Company had no accrued interest or penalties related to uncertain tax positions and no amounts had been recognized in the Company’s consolidated statements of operations and comprehensive loss.</w:t>
      </w:r>
    </w:p>
    <w:p>
      <w:pPr>
        <w:spacing w:after="0" w:line="120"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The Company files income tax returns in the U.S. federal and Massachusetts jurisdictions, as prescribed by tax laws. In the normal course of business, the Company is subject to examination by federal and state jurisdictions, where applicable. The statute of limitations for federal and state tax authorities is generally closed for years prior to December 31, 2017, although carryforward attributes that were generated prior to 2017 may still be subject to change upon examination if they are utilized to offset taxable income in subsequent tax years. There are currently no federal or state income tax audits in progress.</w:t>
      </w:r>
    </w:p>
    <w:p>
      <w:pPr>
        <w:spacing w:after="0" w:line="160" w:lineRule="exact"/>
        <w:rPr>
          <w:sz w:val="20"/>
          <w:szCs w:val="20"/>
          <w:color w:val="auto"/>
        </w:rPr>
      </w:pPr>
    </w:p>
    <w:p>
      <w:pPr>
        <w:ind w:left="900" w:hanging="446"/>
        <w:spacing w:after="0"/>
        <w:tabs>
          <w:tab w:leader="none" w:pos="90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61"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7"/>
          <w:szCs w:val="17"/>
          <w:color w:val="auto"/>
        </w:rPr>
        <w:t>Basic and diluted net loss per share attributable to common stockholders was calculated as follows:</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7"/>
          </w:tcPr>
          <w:p>
            <w:pPr>
              <w:jc w:val="right"/>
              <w:ind w:right="460"/>
              <w:spacing w:after="0"/>
              <w:rPr>
                <w:sz w:val="20"/>
                <w:szCs w:val="20"/>
                <w:color w:val="auto"/>
              </w:rPr>
            </w:pPr>
            <w:r>
              <w:rPr>
                <w:rFonts w:ascii="Arial" w:cs="Arial" w:eastAsia="Arial" w:hAnsi="Arial"/>
                <w:sz w:val="16"/>
                <w:szCs w:val="16"/>
                <w:b w:val="1"/>
                <w:bCs w:val="1"/>
                <w:color w:val="auto"/>
              </w:rPr>
              <w:t>Year Ended December 31,</w:t>
            </w:r>
          </w:p>
        </w:tc>
      </w:tr>
      <w:tr>
        <w:trPr>
          <w:trHeight w:val="47"/>
        </w:trPr>
        <w:tc>
          <w:tcPr>
            <w:tcW w:w="5400" w:type="dxa"/>
            <w:vAlign w:val="bottom"/>
          </w:tcPr>
          <w:p>
            <w:pPr>
              <w:spacing w:after="0"/>
              <w:rPr>
                <w:sz w:val="4"/>
                <w:szCs w:val="4"/>
                <w:color w:val="auto"/>
              </w:rPr>
            </w:pPr>
          </w:p>
        </w:tc>
        <w:tc>
          <w:tcPr>
            <w:tcW w:w="2700" w:type="dxa"/>
            <w:vAlign w:val="bottom"/>
            <w:tcBorders>
              <w:bottom w:val="single" w:sz="8" w:color="auto"/>
            </w:tcBorders>
            <w:gridSpan w:val="8"/>
          </w:tcPr>
          <w:p>
            <w:pPr>
              <w:spacing w:after="0"/>
              <w:rPr>
                <w:sz w:val="4"/>
                <w:szCs w:val="4"/>
                <w:color w:val="auto"/>
              </w:rPr>
            </w:pPr>
          </w:p>
        </w:tc>
      </w:tr>
      <w:tr>
        <w:trPr>
          <w:trHeight w:val="217"/>
        </w:trPr>
        <w:tc>
          <w:tcPr>
            <w:tcW w:w="5400" w:type="dxa"/>
            <w:vAlign w:val="bottom"/>
          </w:tcPr>
          <w:p>
            <w:pPr>
              <w:spacing w:after="0"/>
              <w:rPr>
                <w:sz w:val="18"/>
                <w:szCs w:val="18"/>
                <w:color w:val="auto"/>
              </w:rPr>
            </w:pPr>
          </w:p>
        </w:tc>
        <w:tc>
          <w:tcPr>
            <w:tcW w:w="2700" w:type="dxa"/>
            <w:vAlign w:val="bottom"/>
            <w:gridSpan w:val="8"/>
          </w:tcPr>
          <w:p>
            <w:pPr>
              <w:jc w:val="right"/>
              <w:ind w:right="80"/>
              <w:spacing w:after="0"/>
              <w:rPr>
                <w:sz w:val="20"/>
                <w:szCs w:val="20"/>
                <w:color w:val="auto"/>
              </w:rPr>
            </w:pPr>
            <w:r>
              <w:rPr>
                <w:rFonts w:ascii="Arial" w:cs="Arial" w:eastAsia="Arial" w:hAnsi="Arial"/>
                <w:sz w:val="16"/>
                <w:szCs w:val="16"/>
                <w:b w:val="1"/>
                <w:bCs w:val="1"/>
                <w:color w:val="auto"/>
                <w:w w:val="91"/>
              </w:rPr>
              <w:t>(in thousands, except per share data)</w:t>
            </w:r>
          </w:p>
        </w:tc>
      </w:tr>
      <w:tr>
        <w:trPr>
          <w:trHeight w:val="46"/>
        </w:trPr>
        <w:tc>
          <w:tcPr>
            <w:tcW w:w="54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0"/>
        </w:trPr>
        <w:tc>
          <w:tcPr>
            <w:tcW w:w="5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7"/>
        </w:trPr>
        <w:tc>
          <w:tcPr>
            <w:tcW w:w="54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6"/>
        </w:trPr>
        <w:tc>
          <w:tcPr>
            <w:tcW w:w="54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(51,972)</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(14,095)</w:t>
            </w:r>
          </w:p>
        </w:tc>
      </w:tr>
      <w:tr>
        <w:trPr>
          <w:trHeight w:val="27"/>
        </w:trPr>
        <w:tc>
          <w:tcPr>
            <w:tcW w:w="5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attributable to common stockholders – basic and 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(51,972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(14,095</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r>
      <w:tr>
        <w:trPr>
          <w:trHeight w:val="236"/>
        </w:trPr>
        <w:tc>
          <w:tcPr>
            <w:tcW w:w="5400" w:type="dxa"/>
            <w:vAlign w:val="bottom"/>
          </w:tcPr>
          <w:p>
            <w:pPr>
              <w:spacing w:after="0"/>
              <w:rPr>
                <w:sz w:val="20"/>
                <w:szCs w:val="20"/>
                <w:color w:val="auto"/>
              </w:rPr>
            </w:pPr>
            <w:r>
              <w:rPr>
                <w:rFonts w:ascii="Arial" w:cs="Arial" w:eastAsia="Arial" w:hAnsi="Arial"/>
                <w:sz w:val="18"/>
                <w:szCs w:val="18"/>
                <w:color w:val="auto"/>
              </w:rPr>
              <w:t>Denominator:</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0"/>
        </w:trPr>
        <w:tc>
          <w:tcPr>
            <w:tcW w:w="5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Weighted-average common stock outstanding – basic and diluted</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3"/>
              </w:rPr>
              <w:t>11,461,011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8,985,710</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182"/>
        </w:trPr>
        <w:tc>
          <w:tcPr>
            <w:tcW w:w="5400" w:type="dxa"/>
            <w:vAlign w:val="bottom"/>
          </w:tcPr>
          <w:p>
            <w:pPr>
              <w:ind w:left="180"/>
              <w:spacing w:after="0" w:line="182" w:lineRule="exact"/>
              <w:rPr>
                <w:sz w:val="20"/>
                <w:szCs w:val="20"/>
                <w:color w:val="auto"/>
              </w:rPr>
            </w:pPr>
            <w:r>
              <w:rPr>
                <w:rFonts w:ascii="Arial" w:cs="Arial" w:eastAsia="Arial" w:hAnsi="Arial"/>
                <w:sz w:val="18"/>
                <w:szCs w:val="18"/>
                <w:color w:val="auto"/>
                <w:w w:val="96"/>
              </w:rPr>
              <w:t>Net loss per share attributable to common stockholders – basic and</w:t>
            </w: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44"/>
        </w:trPr>
        <w:tc>
          <w:tcPr>
            <w:tcW w:w="5400" w:type="dxa"/>
            <w:vAlign w:val="bottom"/>
          </w:tcPr>
          <w:p>
            <w:pPr>
              <w:ind w:left="36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(1.57)</w:t>
            </w:r>
          </w:p>
        </w:tc>
      </w:tr>
      <w:tr>
        <w:trPr>
          <w:trHeight w:val="27"/>
        </w:trPr>
        <w:tc>
          <w:tcPr>
            <w:tcW w:w="5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161"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The Company’s potential dilutive securities, which include convertible preferred stock, common stock options and unvested restricted common stock,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9" w:name="page350"/>
    <w:bookmarkEnd w:id="34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900" w:hanging="446"/>
        <w:spacing w:after="0"/>
        <w:tabs>
          <w:tab w:leader="none" w:pos="90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Loss Per Share </w:t>
      </w:r>
      <w:r>
        <w:rPr>
          <w:rFonts w:ascii="Arial" w:cs="Arial" w:eastAsia="Arial" w:hAnsi="Arial"/>
          <w:sz w:val="18"/>
          <w:szCs w:val="18"/>
          <w:color w:val="auto"/>
        </w:rPr>
        <w:t>(cont.)</w:t>
      </w:r>
    </w:p>
    <w:p>
      <w:pPr>
        <w:spacing w:after="0" w:line="189" w:lineRule="exact"/>
        <w:rPr>
          <w:sz w:val="20"/>
          <w:szCs w:val="20"/>
          <w:color w:val="auto"/>
        </w:rPr>
      </w:pPr>
    </w:p>
    <w:p>
      <w:pPr>
        <w:ind w:left="460" w:right="539"/>
        <w:spacing w:after="0" w:line="286" w:lineRule="auto"/>
        <w:rPr>
          <w:sz w:val="20"/>
          <w:szCs w:val="20"/>
          <w:color w:val="auto"/>
        </w:rPr>
      </w:pPr>
      <w:r>
        <w:rPr>
          <w:rFonts w:ascii="Arial" w:cs="Arial" w:eastAsia="Arial" w:hAnsi="Arial"/>
          <w:sz w:val="17"/>
          <w:szCs w:val="17"/>
          <w:color w:val="auto"/>
        </w:rPr>
        <w:t>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500" w:type="dxa"/>
            <w:vAlign w:val="bottom"/>
            <w:gridSpan w:val="3"/>
          </w:tcPr>
          <w:p>
            <w:pPr>
              <w:jc w:val="right"/>
              <w:ind w:right="252"/>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140" w:type="dxa"/>
            <w:vAlign w:val="bottom"/>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26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 (as converted to common stock)</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105,538,281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Stock options to purchase common stock</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11,951,362</w:t>
            </w:r>
          </w:p>
        </w:tc>
        <w:tc>
          <w:tcPr>
            <w:tcW w:w="1260" w:type="dxa"/>
            <w:vAlign w:val="bottom"/>
          </w:tcPr>
          <w:p>
            <w:pPr>
              <w:jc w:val="right"/>
              <w:spacing w:after="0"/>
              <w:rPr>
                <w:sz w:val="20"/>
                <w:szCs w:val="20"/>
                <w:color w:val="auto"/>
              </w:rPr>
            </w:pPr>
            <w:r>
              <w:rPr>
                <w:rFonts w:ascii="Arial" w:cs="Arial" w:eastAsia="Arial" w:hAnsi="Arial"/>
                <w:sz w:val="18"/>
                <w:szCs w:val="18"/>
                <w:color w:val="auto"/>
              </w:rPr>
              <w:t>6,902,873</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755,868</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3,028,540</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118,245,511</w:t>
            </w:r>
          </w:p>
        </w:tc>
        <w:tc>
          <w:tcPr>
            <w:tcW w:w="1260" w:type="dxa"/>
            <w:vAlign w:val="bottom"/>
          </w:tcPr>
          <w:p>
            <w:pPr>
              <w:jc w:val="right"/>
              <w:spacing w:after="0"/>
              <w:rPr>
                <w:sz w:val="20"/>
                <w:szCs w:val="20"/>
                <w:color w:val="auto"/>
              </w:rPr>
            </w:pPr>
            <w:r>
              <w:rPr>
                <w:rFonts w:ascii="Arial" w:cs="Arial" w:eastAsia="Arial" w:hAnsi="Arial"/>
                <w:sz w:val="18"/>
                <w:szCs w:val="18"/>
                <w:color w:val="auto"/>
              </w:rPr>
              <w:t>65,631,413</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00" w:hanging="446"/>
        <w:spacing w:after="0"/>
        <w:tabs>
          <w:tab w:leader="none" w:pos="90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Grants of Stock Options under 2017 Plan</w:t>
      </w:r>
    </w:p>
    <w:p>
      <w:pPr>
        <w:spacing w:after="0" w:line="158"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In January 2021, the Company granted options for the purchase of 6,805,312 common shares, at an exercise price of $1.19 per share, to officers, employees, and consultants of the Company. The aggregate grant-date fair value of these option grants was $8.8 million, which is expected to be recognized as share-based compensation expense over a weighted-average period of 3.8 years.</w:t>
      </w:r>
    </w:p>
    <w:p>
      <w:pPr>
        <w:spacing w:after="0" w:line="119"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In March 2021, the Company granted options for the purchase of 1,010,000 common shares, at an exercise price of $2.57 per share, to directors, employees, and consultants of the Company. The aggregate grant-date fair value of these option grants was $1.7 million, which is expected to be recognized as share-based compensation expense over a weighted-average period of 3.8 years.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Issuance of Redeemable Convertible Series B Preferred Stock Tranche</w:t>
      </w:r>
    </w:p>
    <w:p>
      <w:pPr>
        <w:spacing w:after="0" w:line="144" w:lineRule="exact"/>
        <w:rPr>
          <w:sz w:val="20"/>
          <w:szCs w:val="20"/>
          <w:color w:val="auto"/>
        </w:rPr>
      </w:pPr>
    </w:p>
    <w:p>
      <w:pPr>
        <w:ind w:left="460" w:right="739" w:firstLine="432"/>
        <w:spacing w:after="0" w:line="273" w:lineRule="auto"/>
        <w:rPr>
          <w:sz w:val="20"/>
          <w:szCs w:val="20"/>
          <w:color w:val="auto"/>
        </w:rPr>
      </w:pPr>
      <w:r>
        <w:rPr>
          <w:rFonts w:ascii="Arial" w:cs="Arial" w:eastAsia="Arial" w:hAnsi="Arial"/>
          <w:sz w:val="17"/>
          <w:szCs w:val="17"/>
          <w:color w:val="auto"/>
        </w:rPr>
        <w:t>In March 2021, the Company sold 22,686,026 additional shares of Series B redeemable convertible preferred stock at a price of $1.32 per share upon the achievement of specified development milestones in connection with the second tranche of the Series B stock purchase agreement. Each of the tranches under the Series B stock purchase agreement maintain the same rights and features. Gross proceeds from this issuance totaled $30.0 million. Total issuance costs associated with the second tranche of the Series B preferred stock was less than $0.1 million.</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Waiver of Preferred Stock Redemption Rights</w:t>
      </w:r>
    </w:p>
    <w:p>
      <w:pPr>
        <w:spacing w:after="0" w:line="158"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In April 2021, the holders of the Series A, Series B and Series B-1 redeemable preferred stock irrevocably waived their right to redeem any shares of Preferred Stock until March 31, 2023.</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Gilead Collaboration</w:t>
      </w:r>
    </w:p>
    <w:p>
      <w:pPr>
        <w:spacing w:after="0" w:line="158"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In April 2021, Gilead licensed its second target under the Amended Gilead Agreement and is required to pay the Company a $11.0 million license fee.</w:t>
      </w:r>
    </w:p>
    <w:p>
      <w:pPr>
        <w:spacing w:after="0" w:line="89"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In connection with the preparation of the consolidated financial statements, the Company evaluated the events subsequent to the balance sheet date of December 31, 2020 through April 12, 2021, the date the consolidated financial statements were available for issuance, and determined that all material transactions have been recorded and disclosed.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Events Subsequent to Original Issuance of Consolidated Financial Statements (unaudited)</w:t>
      </w:r>
    </w:p>
    <w:p>
      <w:pPr>
        <w:spacing w:after="0" w:line="162" w:lineRule="exact"/>
        <w:rPr>
          <w:sz w:val="20"/>
          <w:szCs w:val="20"/>
          <w:color w:val="auto"/>
        </w:rPr>
      </w:pPr>
    </w:p>
    <w:p>
      <w:pPr>
        <w:ind w:left="460" w:right="1079" w:firstLine="432"/>
        <w:spacing w:after="0" w:line="277" w:lineRule="auto"/>
        <w:rPr>
          <w:sz w:val="20"/>
          <w:szCs w:val="20"/>
          <w:color w:val="auto"/>
        </w:rPr>
      </w:pPr>
      <w:r>
        <w:rPr>
          <w:rFonts w:ascii="Arial" w:cs="Arial" w:eastAsia="Arial" w:hAnsi="Arial"/>
          <w:sz w:val="18"/>
          <w:szCs w:val="18"/>
          <w:color w:val="auto"/>
        </w:rPr>
        <w:t>The Company evaluated subsequent events through April 19, 2021, the date of filing of this proxy statement/prospectus.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0" w:name="page351"/>
    <w:bookmarkEnd w:id="35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900" w:hanging="446"/>
        <w:spacing w:after="0"/>
        <w:tabs>
          <w:tab w:leader="none" w:pos="90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(cont.)</w:t>
      </w:r>
    </w:p>
    <w:p>
      <w:pPr>
        <w:spacing w:after="0" w:line="229"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Merger with BCTG Acquisition Corporation</w:t>
      </w:r>
    </w:p>
    <w:p>
      <w:pPr>
        <w:spacing w:after="0" w:line="140" w:lineRule="exact"/>
        <w:rPr>
          <w:sz w:val="20"/>
          <w:szCs w:val="20"/>
          <w:color w:val="auto"/>
        </w:rPr>
      </w:pPr>
    </w:p>
    <w:p>
      <w:pPr>
        <w:ind w:left="460" w:right="559" w:firstLine="432"/>
        <w:spacing w:after="0" w:line="287" w:lineRule="auto"/>
        <w:rPr>
          <w:sz w:val="20"/>
          <w:szCs w:val="20"/>
          <w:color w:val="auto"/>
        </w:rPr>
      </w:pPr>
      <w:r>
        <w:rPr>
          <w:rFonts w:ascii="Arial" w:cs="Arial" w:eastAsia="Arial" w:hAnsi="Arial"/>
          <w:sz w:val="16"/>
          <w:szCs w:val="16"/>
          <w:color w:val="auto"/>
        </w:rPr>
        <w:t>On April 13, 2021, the Company and BCTG Acquisition Corp. (“</w:t>
      </w:r>
      <w:r>
        <w:rPr>
          <w:rFonts w:ascii="Arial" w:cs="Arial" w:eastAsia="Arial" w:hAnsi="Arial"/>
          <w:sz w:val="16"/>
          <w:szCs w:val="16"/>
          <w:b w:val="1"/>
          <w:bCs w:val="1"/>
          <w:color w:val="auto"/>
        </w:rPr>
        <w:t>BCTG</w:t>
      </w:r>
      <w:r>
        <w:rPr>
          <w:rFonts w:ascii="Arial" w:cs="Arial" w:eastAsia="Arial" w:hAnsi="Arial"/>
          <w:sz w:val="16"/>
          <w:szCs w:val="16"/>
          <w:color w:val="auto"/>
        </w:rPr>
        <w:t>”) signed a definitive merger agreement, which will result in BCTG acquiring 100% of the Company’s issued and outstanding equity securities. The proposed merger will be accounted for as a “reverse recapitalization” in accordance with U.S. GAAP. Under the reverse recapitalization model, the Business Combination will be treated as Tango issuing equity for the net assets of BCTG, with no goodwill or intangible assets recorded. Under this method of accounting, BCTG will be treated as the “acquired” company for financial reporting purposes. This determination is primarily based on the fact that subsequent to the merger, the Company’s stockholders are expected to have a majority of the voting power of the combined company, the Company will comprise all of the ongoing operations of the combined entity, the Company will comprise a majority of the governing body of the combined company, and the Company’s senior management will comprise all of the senior management of the combined company. As a result of the proposed merger, BCTG will be renamed Tango Therapeutics, Inc. The boards of directors of both BCTG and Tango have approved the proposed merger transaction.</w:t>
      </w:r>
    </w:p>
    <w:p>
      <w:pPr>
        <w:spacing w:after="0" w:line="104"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BCTG is expected to receive net proceeds of approximately $156.9 million upon the closing of the proposed merger transaction, assuming no redemptions are affected by stockholders of BCTG, and will operate under the current Tango management team upon the closing of the proposed merger. In connection with the proposed merger, BCTG has entered into agreements with existing and new investors to subscribe for and purchase an aggregate of 18.6 million shares of its common stock (the “</w:t>
      </w:r>
      <w:r>
        <w:rPr>
          <w:rFonts w:ascii="Arial" w:cs="Arial" w:eastAsia="Arial" w:hAnsi="Arial"/>
          <w:sz w:val="17"/>
          <w:szCs w:val="17"/>
          <w:b w:val="1"/>
          <w:bCs w:val="1"/>
          <w:color w:val="auto"/>
        </w:rPr>
        <w:t>PIPE Financing</w:t>
      </w:r>
      <w:r>
        <w:rPr>
          <w:rFonts w:ascii="Arial" w:cs="Arial" w:eastAsia="Arial" w:hAnsi="Arial"/>
          <w:sz w:val="17"/>
          <w:szCs w:val="17"/>
          <w:color w:val="auto"/>
        </w:rPr>
        <w:t>”) that will result in net proceeds of an additional $179.7 million upon the closing of the PIPE Financing. The closing of the proposed merger is a precondition to the PIPE Financing.</w:t>
      </w:r>
    </w:p>
    <w:p>
      <w:pPr>
        <w:spacing w:after="0" w:line="106"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Subject to the terms of the merger agreement, at the effective time of the merger (the “</w:t>
      </w:r>
      <w:r>
        <w:rPr>
          <w:rFonts w:ascii="Arial" w:cs="Arial" w:eastAsia="Arial" w:hAnsi="Arial"/>
          <w:sz w:val="17"/>
          <w:szCs w:val="17"/>
          <w:b w:val="1"/>
          <w:bCs w:val="1"/>
          <w:color w:val="auto"/>
        </w:rPr>
        <w:t>Effective Time</w:t>
      </w:r>
      <w:r>
        <w:rPr>
          <w:rFonts w:ascii="Arial" w:cs="Arial" w:eastAsia="Arial" w:hAnsi="Arial"/>
          <w:sz w:val="17"/>
          <w:szCs w:val="17"/>
          <w:color w:val="auto"/>
        </w:rPr>
        <w:t>”), each share of the Company’s redeemable convertible preferred stock “</w:t>
      </w:r>
      <w:r>
        <w:rPr>
          <w:rFonts w:ascii="Arial" w:cs="Arial" w:eastAsia="Arial" w:hAnsi="Arial"/>
          <w:sz w:val="17"/>
          <w:szCs w:val="17"/>
          <w:b w:val="1"/>
          <w:bCs w:val="1"/>
          <w:color w:val="auto"/>
        </w:rPr>
        <w:t>Preferred Stock</w:t>
      </w:r>
      <w:r>
        <w:rPr>
          <w:rFonts w:ascii="Arial" w:cs="Arial" w:eastAsia="Arial" w:hAnsi="Arial"/>
          <w:sz w:val="17"/>
          <w:szCs w:val="17"/>
          <w:color w:val="auto"/>
        </w:rPr>
        <w:t>” issued and outstanding immediately prior to the Effective Time shall be converted into a share of the Company’s common stock. At the Effective Time, each option to purchase the Company’s common stock shall become an option, respectively, to purchase shares of common stock of the surviving entity, subject to adjustment in accordance with the exchange ratio. Completion of the PIPE Financing and proposed merger transactions is subject to approval of BCTG stockholders and the satisfaction or waiver of certain other customary closing conditions. The approval from BCTG stockholders is expected in mid-2021.</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1" w:name="page352"/>
    <w:bookmarkEnd w:id="35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Annex A</w:t>
      </w:r>
    </w:p>
    <w:p>
      <w:pPr>
        <w:spacing w:after="0" w:line="162" w:lineRule="exact"/>
        <w:rPr>
          <w:sz w:val="20"/>
          <w:szCs w:val="20"/>
          <w:color w:val="auto"/>
        </w:rPr>
      </w:pPr>
    </w:p>
    <w:p>
      <w:pPr>
        <w:jc w:val="right"/>
        <w:ind w:right="459"/>
        <w:spacing w:after="0"/>
        <w:rPr>
          <w:sz w:val="20"/>
          <w:szCs w:val="20"/>
          <w:color w:val="auto"/>
        </w:rPr>
      </w:pPr>
      <w:r>
        <w:rPr>
          <w:rFonts w:ascii="Arial" w:cs="Arial" w:eastAsia="Arial" w:hAnsi="Arial"/>
          <w:sz w:val="18"/>
          <w:szCs w:val="18"/>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MERGER SUB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April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2554605</wp:posOffset>
            </wp:positionV>
            <wp:extent cx="51435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2" w:name="page353"/>
    <w:bookmarkEnd w:id="35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6140" w:type="dxa"/>
            <w:vAlign w:val="bottom"/>
          </w:tcPr>
          <w:p>
            <w:pPr>
              <w:ind w:left="190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364"/>
        </w:trPr>
        <w:tc>
          <w:tcPr>
            <w:tcW w:w="11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2"/>
              </w:rPr>
              <w:t>Annex A</w:t>
            </w:r>
          </w:p>
        </w:tc>
      </w:tr>
      <w:tr>
        <w:trPr>
          <w:trHeight w:val="210"/>
        </w:trPr>
        <w:tc>
          <w:tcPr>
            <w:tcW w:w="11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7"/>
              </w:rPr>
              <w:t>Page No.</w:t>
            </w:r>
          </w:p>
        </w:tc>
      </w:tr>
      <w:tr>
        <w:trPr>
          <w:trHeight w:val="47"/>
        </w:trPr>
        <w:tc>
          <w:tcPr>
            <w:tcW w:w="7320" w:type="dxa"/>
            <w:vAlign w:val="bottom"/>
            <w:tcBorders>
              <w:bottom w:val="single" w:sz="8" w:color="CCEEFF"/>
            </w:tcBorders>
            <w:gridSpan w:val="2"/>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43"/>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ARTICLE I THE MERGER</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r>
      <w:tr>
        <w:trPr>
          <w:trHeight w:val="283"/>
        </w:trPr>
        <w:tc>
          <w:tcPr>
            <w:tcW w:w="11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3"/>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1.1</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The Merger</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rPr>
              <w:t>Section 1.2</w:t>
            </w:r>
          </w:p>
        </w:tc>
        <w:tc>
          <w:tcPr>
            <w:tcW w:w="6140" w:type="dxa"/>
            <w:vAlign w:val="bottom"/>
          </w:tcPr>
          <w:p>
            <w:pPr>
              <w:ind w:left="120"/>
              <w:spacing w:after="0"/>
              <w:rPr>
                <w:sz w:val="20"/>
                <w:szCs w:val="20"/>
                <w:color w:val="auto"/>
              </w:rPr>
            </w:pPr>
            <w:r>
              <w:rPr>
                <w:rFonts w:ascii="Arial" w:cs="Arial" w:eastAsia="Arial" w:hAnsi="Arial"/>
                <w:sz w:val="18"/>
                <w:szCs w:val="18"/>
                <w:color w:val="auto"/>
              </w:rPr>
              <w:t>Closing</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A-2</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1.3</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Effective Time</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rPr>
              <w:t>Section 1.4</w:t>
            </w:r>
          </w:p>
        </w:tc>
        <w:tc>
          <w:tcPr>
            <w:tcW w:w="6140" w:type="dxa"/>
            <w:vAlign w:val="bottom"/>
          </w:tcPr>
          <w:p>
            <w:pPr>
              <w:ind w:left="120"/>
              <w:spacing w:after="0"/>
              <w:rPr>
                <w:sz w:val="20"/>
                <w:szCs w:val="20"/>
                <w:color w:val="auto"/>
              </w:rPr>
            </w:pPr>
            <w:r>
              <w:rPr>
                <w:rFonts w:ascii="Arial" w:cs="Arial" w:eastAsia="Arial" w:hAnsi="Arial"/>
                <w:sz w:val="18"/>
                <w:szCs w:val="18"/>
                <w:color w:val="auto"/>
              </w:rPr>
              <w:t>Effects of the Merger</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A-2</w:t>
            </w:r>
          </w:p>
        </w:tc>
      </w:tr>
      <w:tr>
        <w:trPr>
          <w:trHeight w:val="41"/>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1.5</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Certificate of Incorporation and Bylaws of the Surviving Corporation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rPr>
              <w:t>Section 1.6</w:t>
            </w:r>
          </w:p>
        </w:tc>
        <w:tc>
          <w:tcPr>
            <w:tcW w:w="6140" w:type="dxa"/>
            <w:vAlign w:val="bottom"/>
          </w:tcPr>
          <w:p>
            <w:pPr>
              <w:ind w:left="120"/>
              <w:spacing w:after="0"/>
              <w:rPr>
                <w:sz w:val="20"/>
                <w:szCs w:val="20"/>
                <w:color w:val="auto"/>
              </w:rPr>
            </w:pPr>
            <w:r>
              <w:rPr>
                <w:rFonts w:ascii="Arial" w:cs="Arial" w:eastAsia="Arial" w:hAnsi="Arial"/>
                <w:sz w:val="18"/>
                <w:szCs w:val="18"/>
                <w:color w:val="auto"/>
              </w:rPr>
              <w:t>Post-Closing Board of Directors and Officers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A-2</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1.7</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Directors and Officers of the Surviving Corporation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rPr>
              <w:t>Section 1.8</w:t>
            </w:r>
          </w:p>
        </w:tc>
        <w:tc>
          <w:tcPr>
            <w:tcW w:w="6140" w:type="dxa"/>
            <w:vAlign w:val="bottom"/>
          </w:tcPr>
          <w:p>
            <w:pPr>
              <w:ind w:left="120"/>
              <w:spacing w:after="0"/>
              <w:rPr>
                <w:sz w:val="20"/>
                <w:szCs w:val="20"/>
                <w:color w:val="auto"/>
              </w:rPr>
            </w:pPr>
            <w:r>
              <w:rPr>
                <w:rFonts w:ascii="Arial" w:cs="Arial" w:eastAsia="Arial" w:hAnsi="Arial"/>
                <w:sz w:val="18"/>
                <w:szCs w:val="18"/>
                <w:color w:val="auto"/>
              </w:rPr>
              <w:t>Preferred Stock Conversion</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A-3</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1.9</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 Further Ownership Rights in Company Common Stock</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1.10</w:t>
            </w:r>
          </w:p>
        </w:tc>
        <w:tc>
          <w:tcPr>
            <w:tcW w:w="6140" w:type="dxa"/>
            <w:vAlign w:val="bottom"/>
          </w:tcPr>
          <w:p>
            <w:pPr>
              <w:ind w:left="120"/>
              <w:spacing w:after="0"/>
              <w:rPr>
                <w:sz w:val="20"/>
                <w:szCs w:val="20"/>
                <w:color w:val="auto"/>
              </w:rPr>
            </w:pPr>
            <w:r>
              <w:rPr>
                <w:rFonts w:ascii="Arial" w:cs="Arial" w:eastAsia="Arial" w:hAnsi="Arial"/>
                <w:sz w:val="18"/>
                <w:szCs w:val="18"/>
                <w:color w:val="auto"/>
              </w:rPr>
              <w:t>Rights Not Transferable</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A-3</w:t>
            </w:r>
          </w:p>
        </w:tc>
      </w:tr>
      <w:tr>
        <w:trPr>
          <w:trHeight w:val="41"/>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Section 1.11</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Taking of Necessary Action; Further Action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1.12</w:t>
            </w:r>
          </w:p>
        </w:tc>
        <w:tc>
          <w:tcPr>
            <w:tcW w:w="6140" w:type="dxa"/>
            <w:vAlign w:val="bottom"/>
          </w:tcPr>
          <w:p>
            <w:pPr>
              <w:ind w:left="120"/>
              <w:spacing w:after="0"/>
              <w:rPr>
                <w:sz w:val="20"/>
                <w:szCs w:val="20"/>
                <w:color w:val="auto"/>
              </w:rPr>
            </w:pPr>
            <w:r>
              <w:rPr>
                <w:rFonts w:ascii="Arial" w:cs="Arial" w:eastAsia="Arial" w:hAnsi="Arial"/>
                <w:sz w:val="18"/>
                <w:szCs w:val="18"/>
                <w:color w:val="auto"/>
              </w:rPr>
              <w:t>Section 368 Reorganization Matters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A-3</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Section 1.13</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Withholding</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1.14</w:t>
            </w:r>
          </w:p>
        </w:tc>
        <w:tc>
          <w:tcPr>
            <w:tcW w:w="6140" w:type="dxa"/>
            <w:vAlign w:val="bottom"/>
          </w:tcPr>
          <w:p>
            <w:pPr>
              <w:ind w:left="120"/>
              <w:spacing w:after="0"/>
              <w:rPr>
                <w:sz w:val="20"/>
                <w:szCs w:val="20"/>
                <w:color w:val="auto"/>
              </w:rPr>
            </w:pPr>
            <w:r>
              <w:rPr>
                <w:rFonts w:ascii="Arial" w:cs="Arial" w:eastAsia="Arial" w:hAnsi="Arial"/>
                <w:sz w:val="18"/>
                <w:szCs w:val="18"/>
                <w:color w:val="auto"/>
              </w:rPr>
              <w:t>Dissenting Shares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A-4</w:t>
            </w:r>
          </w:p>
        </w:tc>
      </w:tr>
      <w:tr>
        <w:trPr>
          <w:trHeight w:val="40"/>
        </w:trPr>
        <w:tc>
          <w:tcPr>
            <w:tcW w:w="7320" w:type="dxa"/>
            <w:vAlign w:val="bottom"/>
            <w:gridSpan w:val="2"/>
          </w:tcPr>
          <w:p>
            <w:pPr>
              <w:spacing w:after="0"/>
              <w:rPr>
                <w:sz w:val="3"/>
                <w:szCs w:val="3"/>
                <w:color w:val="auto"/>
              </w:rPr>
            </w:pPr>
          </w:p>
        </w:tc>
        <w:tc>
          <w:tcPr>
            <w:tcW w:w="780" w:type="dxa"/>
            <w:vAlign w:val="bottom"/>
          </w:tcPr>
          <w:p>
            <w:pPr>
              <w:spacing w:after="0"/>
              <w:rPr>
                <w:sz w:val="3"/>
                <w:szCs w:val="3"/>
                <w:color w:val="auto"/>
              </w:rPr>
            </w:pPr>
          </w:p>
        </w:tc>
      </w:tr>
      <w:tr>
        <w:trPr>
          <w:trHeight w:val="284"/>
        </w:trPr>
        <w:tc>
          <w:tcPr>
            <w:tcW w:w="7320" w:type="dxa"/>
            <w:vAlign w:val="bottom"/>
            <w:gridSpan w:val="2"/>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7320" w:type="dxa"/>
            <w:vAlign w:val="bottom"/>
            <w:gridSpan w:val="2"/>
          </w:tcPr>
          <w:p>
            <w:pPr>
              <w:spacing w:after="0"/>
              <w:rPr>
                <w:sz w:val="20"/>
                <w:szCs w:val="20"/>
                <w:color w:val="auto"/>
              </w:rPr>
            </w:pPr>
            <w:r>
              <w:rPr>
                <w:rFonts w:ascii="Arial" w:cs="Arial" w:eastAsia="Arial" w:hAnsi="Arial"/>
                <w:sz w:val="18"/>
                <w:szCs w:val="18"/>
                <w:color w:val="auto"/>
              </w:rPr>
              <w:t>ARTICLE II MERGER CONSIDERATION</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A-4</w:t>
            </w:r>
          </w:p>
        </w:tc>
      </w:tr>
      <w:tr>
        <w:trPr>
          <w:trHeight w:val="41"/>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83"/>
        </w:trPr>
        <w:tc>
          <w:tcPr>
            <w:tcW w:w="1180" w:type="dxa"/>
            <w:vAlign w:val="bottom"/>
            <w:shd w:val="clear" w:color="auto" w:fill="CCEEFF"/>
          </w:tcPr>
          <w:p>
            <w:pPr>
              <w:spacing w:after="0"/>
              <w:rPr>
                <w:sz w:val="24"/>
                <w:szCs w:val="24"/>
                <w:color w:val="auto"/>
              </w:rPr>
            </w:pPr>
          </w:p>
        </w:tc>
        <w:tc>
          <w:tcPr>
            <w:tcW w:w="6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rPr>
              <w:t>Section 2.1</w:t>
            </w:r>
          </w:p>
        </w:tc>
        <w:tc>
          <w:tcPr>
            <w:tcW w:w="6140" w:type="dxa"/>
            <w:vAlign w:val="bottom"/>
          </w:tcPr>
          <w:p>
            <w:pPr>
              <w:ind w:left="120"/>
              <w:spacing w:after="0"/>
              <w:rPr>
                <w:sz w:val="20"/>
                <w:szCs w:val="20"/>
                <w:color w:val="auto"/>
              </w:rPr>
            </w:pPr>
            <w:r>
              <w:rPr>
                <w:rFonts w:ascii="Arial" w:cs="Arial" w:eastAsia="Arial" w:hAnsi="Arial"/>
                <w:sz w:val="18"/>
                <w:szCs w:val="18"/>
                <w:color w:val="auto"/>
              </w:rPr>
              <w:t>Conversion of Company Common Stock</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A-4</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2.2</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 on Capital Stock of the Company</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rPr>
              <w:t>Section 2.3</w:t>
            </w:r>
          </w:p>
        </w:tc>
        <w:tc>
          <w:tcPr>
            <w:tcW w:w="6140" w:type="dxa"/>
            <w:vAlign w:val="bottom"/>
          </w:tcPr>
          <w:p>
            <w:pPr>
              <w:ind w:left="120"/>
              <w:spacing w:after="0"/>
              <w:rPr>
                <w:sz w:val="20"/>
                <w:szCs w:val="20"/>
                <w:color w:val="auto"/>
              </w:rPr>
            </w:pPr>
            <w:r>
              <w:rPr>
                <w:rFonts w:ascii="Arial" w:cs="Arial" w:eastAsia="Arial" w:hAnsi="Arial"/>
                <w:sz w:val="18"/>
                <w:szCs w:val="18"/>
                <w:color w:val="auto"/>
              </w:rPr>
              <w:t>Company Options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A-5</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2.4</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Capital Stock of Merger Sub</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rPr>
              <w:t>Section 2.5</w:t>
            </w:r>
          </w:p>
        </w:tc>
        <w:tc>
          <w:tcPr>
            <w:tcW w:w="6140" w:type="dxa"/>
            <w:vAlign w:val="bottom"/>
          </w:tcPr>
          <w:p>
            <w:pPr>
              <w:ind w:left="120"/>
              <w:spacing w:after="0"/>
              <w:rPr>
                <w:sz w:val="20"/>
                <w:szCs w:val="20"/>
                <w:color w:val="auto"/>
              </w:rPr>
            </w:pPr>
            <w:r>
              <w:rPr>
                <w:rFonts w:ascii="Arial" w:cs="Arial" w:eastAsia="Arial" w:hAnsi="Arial"/>
                <w:sz w:val="18"/>
                <w:szCs w:val="18"/>
                <w:color w:val="auto"/>
              </w:rPr>
              <w:t>Issuance of the Merger Consideration</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A-5</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2.6</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 Liability</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A-6</w:t>
            </w:r>
          </w:p>
        </w:tc>
      </w:tr>
      <w:tr>
        <w:trPr>
          <w:trHeight w:val="283"/>
        </w:trPr>
        <w:tc>
          <w:tcPr>
            <w:tcW w:w="732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r>
      <w:tr>
        <w:trPr>
          <w:trHeight w:val="264"/>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ARTICLE III REPRESENTATIONS AND WARRANTIES OF THE COMPANY</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A-6</w:t>
            </w:r>
          </w:p>
        </w:tc>
      </w:tr>
      <w:tr>
        <w:trPr>
          <w:trHeight w:val="283"/>
        </w:trPr>
        <w:tc>
          <w:tcPr>
            <w:tcW w:w="11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3"/>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3.1</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Organization, Qualification and Standing</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A-6</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rPr>
              <w:t>Section 3.2</w:t>
            </w:r>
          </w:p>
        </w:tc>
        <w:tc>
          <w:tcPr>
            <w:tcW w:w="6140" w:type="dxa"/>
            <w:vAlign w:val="bottom"/>
          </w:tcPr>
          <w:p>
            <w:pPr>
              <w:ind w:left="120"/>
              <w:spacing w:after="0"/>
              <w:rPr>
                <w:sz w:val="20"/>
                <w:szCs w:val="20"/>
                <w:color w:val="auto"/>
              </w:rPr>
            </w:pPr>
            <w:r>
              <w:rPr>
                <w:rFonts w:ascii="Arial" w:cs="Arial" w:eastAsia="Arial" w:hAnsi="Arial"/>
                <w:sz w:val="18"/>
                <w:szCs w:val="18"/>
                <w:color w:val="auto"/>
              </w:rPr>
              <w:t>Authority; Enforceability</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A-7</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3.3</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Consents; Required Approvals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A-7</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rPr>
              <w:t>Section 3.4</w:t>
            </w:r>
          </w:p>
        </w:tc>
        <w:tc>
          <w:tcPr>
            <w:tcW w:w="6140" w:type="dxa"/>
            <w:vAlign w:val="bottom"/>
          </w:tcPr>
          <w:p>
            <w:pPr>
              <w:ind w:left="120"/>
              <w:spacing w:after="0"/>
              <w:rPr>
                <w:sz w:val="20"/>
                <w:szCs w:val="20"/>
                <w:color w:val="auto"/>
              </w:rPr>
            </w:pPr>
            <w:r>
              <w:rPr>
                <w:rFonts w:ascii="Arial" w:cs="Arial" w:eastAsia="Arial" w:hAnsi="Arial"/>
                <w:sz w:val="18"/>
                <w:szCs w:val="18"/>
                <w:color w:val="auto"/>
              </w:rPr>
              <w:t>Non-contravention</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A-7</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3.5</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Capitalization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A-7</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rPr>
              <w:t>Section 3.6</w:t>
            </w:r>
          </w:p>
        </w:tc>
        <w:tc>
          <w:tcPr>
            <w:tcW w:w="6140" w:type="dxa"/>
            <w:vAlign w:val="bottom"/>
          </w:tcPr>
          <w:p>
            <w:pPr>
              <w:ind w:left="120"/>
              <w:spacing w:after="0"/>
              <w:rPr>
                <w:sz w:val="20"/>
                <w:szCs w:val="20"/>
                <w:color w:val="auto"/>
              </w:rPr>
            </w:pPr>
            <w:r>
              <w:rPr>
                <w:rFonts w:ascii="Arial" w:cs="Arial" w:eastAsia="Arial" w:hAnsi="Arial"/>
                <w:sz w:val="18"/>
                <w:szCs w:val="18"/>
                <w:color w:val="auto"/>
              </w:rPr>
              <w:t>Bankruptcy</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A-8</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3.7</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Financial Statements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A-8</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rPr>
              <w:t>Section 3.8</w:t>
            </w:r>
          </w:p>
        </w:tc>
        <w:tc>
          <w:tcPr>
            <w:tcW w:w="6140" w:type="dxa"/>
            <w:vAlign w:val="bottom"/>
          </w:tcPr>
          <w:p>
            <w:pPr>
              <w:ind w:left="120"/>
              <w:spacing w:after="0"/>
              <w:rPr>
                <w:sz w:val="20"/>
                <w:szCs w:val="20"/>
                <w:color w:val="auto"/>
              </w:rPr>
            </w:pPr>
            <w:r>
              <w:rPr>
                <w:rFonts w:ascii="Arial" w:cs="Arial" w:eastAsia="Arial" w:hAnsi="Arial"/>
                <w:sz w:val="18"/>
                <w:szCs w:val="18"/>
                <w:color w:val="auto"/>
              </w:rPr>
              <w:t>Liabilities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A-9</w:t>
            </w:r>
          </w:p>
        </w:tc>
      </w:tr>
      <w:tr>
        <w:trPr>
          <w:trHeight w:val="41"/>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3.9</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Internal Accounting Controls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A-9</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3.10</w:t>
            </w:r>
          </w:p>
        </w:tc>
        <w:tc>
          <w:tcPr>
            <w:tcW w:w="6140" w:type="dxa"/>
            <w:vAlign w:val="bottom"/>
          </w:tcPr>
          <w:p>
            <w:pPr>
              <w:ind w:left="120"/>
              <w:spacing w:after="0"/>
              <w:rPr>
                <w:sz w:val="20"/>
                <w:szCs w:val="20"/>
                <w:color w:val="auto"/>
              </w:rPr>
            </w:pPr>
            <w:r>
              <w:rPr>
                <w:rFonts w:ascii="Arial" w:cs="Arial" w:eastAsia="Arial" w:hAnsi="Arial"/>
                <w:sz w:val="18"/>
                <w:szCs w:val="18"/>
                <w:color w:val="auto"/>
              </w:rPr>
              <w:t>Absence of Certain Developments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A-9</w:t>
            </w:r>
          </w:p>
        </w:tc>
      </w:tr>
      <w:tr>
        <w:trPr>
          <w:trHeight w:val="41"/>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Section 3.11</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A-9</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3.12</w:t>
            </w:r>
          </w:p>
        </w:tc>
        <w:tc>
          <w:tcPr>
            <w:tcW w:w="6140" w:type="dxa"/>
            <w:vAlign w:val="bottom"/>
          </w:tcPr>
          <w:p>
            <w:pPr>
              <w:ind w:left="120"/>
              <w:spacing w:after="0"/>
              <w:rPr>
                <w:sz w:val="20"/>
                <w:szCs w:val="20"/>
                <w:color w:val="auto"/>
              </w:rPr>
            </w:pPr>
            <w:r>
              <w:rPr>
                <w:rFonts w:ascii="Arial" w:cs="Arial" w:eastAsia="Arial" w:hAnsi="Arial"/>
                <w:sz w:val="18"/>
                <w:szCs w:val="18"/>
                <w:color w:val="auto"/>
              </w:rPr>
              <w:t>Compliance with Law</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A-9</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Section 3.13</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Title to Properties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A-10</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3.14</w:t>
            </w:r>
          </w:p>
        </w:tc>
        <w:tc>
          <w:tcPr>
            <w:tcW w:w="6140" w:type="dxa"/>
            <w:vAlign w:val="bottom"/>
          </w:tcPr>
          <w:p>
            <w:pPr>
              <w:ind w:left="120"/>
              <w:spacing w:after="0"/>
              <w:rPr>
                <w:sz w:val="20"/>
                <w:szCs w:val="20"/>
                <w:color w:val="auto"/>
              </w:rPr>
            </w:pPr>
            <w:r>
              <w:rPr>
                <w:rFonts w:ascii="Arial" w:cs="Arial" w:eastAsia="Arial" w:hAnsi="Arial"/>
                <w:sz w:val="18"/>
                <w:szCs w:val="18"/>
                <w:color w:val="auto"/>
              </w:rPr>
              <w:t>International Trade Matters; Anti-Bribery Compliance</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A-10</w:t>
            </w:r>
          </w:p>
        </w:tc>
      </w:tr>
      <w:tr>
        <w:trPr>
          <w:trHeight w:val="41"/>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Section 3.15</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Tax Matters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A-11</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3.16</w:t>
            </w:r>
          </w:p>
        </w:tc>
        <w:tc>
          <w:tcPr>
            <w:tcW w:w="6140" w:type="dxa"/>
            <w:vAlign w:val="bottom"/>
          </w:tcPr>
          <w:p>
            <w:pPr>
              <w:ind w:left="120"/>
              <w:spacing w:after="0"/>
              <w:rPr>
                <w:sz w:val="20"/>
                <w:szCs w:val="20"/>
                <w:color w:val="auto"/>
              </w:rPr>
            </w:pPr>
            <w:r>
              <w:rPr>
                <w:rFonts w:ascii="Arial" w:cs="Arial" w:eastAsia="Arial" w:hAnsi="Arial"/>
                <w:sz w:val="18"/>
                <w:szCs w:val="18"/>
                <w:color w:val="auto"/>
              </w:rPr>
              <w:t>Intellectual Property</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A-12</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Section 3.17</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Insurance</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A-15</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3.18</w:t>
            </w:r>
          </w:p>
        </w:tc>
        <w:tc>
          <w:tcPr>
            <w:tcW w:w="614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A-16</w:t>
            </w:r>
          </w:p>
        </w:tc>
      </w:tr>
      <w:tr>
        <w:trPr>
          <w:trHeight w:val="41"/>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Section 3.19</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Bank Accounts; Powers of Attorney</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A-16</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3.20</w:t>
            </w:r>
          </w:p>
        </w:tc>
        <w:tc>
          <w:tcPr>
            <w:tcW w:w="6140" w:type="dxa"/>
            <w:vAlign w:val="bottom"/>
          </w:tcPr>
          <w:p>
            <w:pPr>
              <w:ind w:left="120"/>
              <w:spacing w:after="0"/>
              <w:rPr>
                <w:sz w:val="20"/>
                <w:szCs w:val="20"/>
                <w:color w:val="auto"/>
              </w:rPr>
            </w:pPr>
            <w:r>
              <w:rPr>
                <w:rFonts w:ascii="Arial" w:cs="Arial" w:eastAsia="Arial" w:hAnsi="Arial"/>
                <w:sz w:val="18"/>
                <w:szCs w:val="18"/>
                <w:color w:val="auto"/>
              </w:rPr>
              <w:t>Material Vendors</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A-16</w:t>
            </w:r>
          </w:p>
        </w:tc>
      </w:tr>
      <w:tr>
        <w:trPr>
          <w:trHeight w:val="41"/>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Section 3.21</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Labor Matters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A-16</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3.22</w:t>
            </w:r>
          </w:p>
        </w:tc>
        <w:tc>
          <w:tcPr>
            <w:tcW w:w="6140" w:type="dxa"/>
            <w:vAlign w:val="bottom"/>
          </w:tcPr>
          <w:p>
            <w:pPr>
              <w:ind w:left="120"/>
              <w:spacing w:after="0"/>
              <w:rPr>
                <w:sz w:val="20"/>
                <w:szCs w:val="20"/>
                <w:color w:val="auto"/>
              </w:rPr>
            </w:pPr>
            <w:r>
              <w:rPr>
                <w:rFonts w:ascii="Arial" w:cs="Arial" w:eastAsia="Arial" w:hAnsi="Arial"/>
                <w:sz w:val="18"/>
                <w:szCs w:val="18"/>
                <w:color w:val="auto"/>
              </w:rPr>
              <w:t>Employee Benefits</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A-17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73" w:gutter="0" w:footer="0" w:header="0"/>
        </w:sectPr>
      </w:pPr>
    </w:p>
    <w:bookmarkStart w:id="353" w:name="page354"/>
    <w:bookmarkEnd w:id="35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18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2"/>
              </w:rPr>
              <w:t>Annex A</w:t>
            </w:r>
          </w:p>
        </w:tc>
      </w:tr>
      <w:tr>
        <w:trPr>
          <w:trHeight w:val="210"/>
        </w:trPr>
        <w:tc>
          <w:tcPr>
            <w:tcW w:w="11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7"/>
              </w:rPr>
              <w:t>Page No.</w:t>
            </w:r>
          </w:p>
        </w:tc>
      </w:tr>
      <w:tr>
        <w:trPr>
          <w:trHeight w:val="46"/>
        </w:trPr>
        <w:tc>
          <w:tcPr>
            <w:tcW w:w="1180" w:type="dxa"/>
            <w:vAlign w:val="bottom"/>
            <w:tcBorders>
              <w:bottom w:val="single" w:sz="8" w:color="CCEEFF"/>
            </w:tcBorders>
          </w:tcPr>
          <w:p>
            <w:pPr>
              <w:spacing w:after="0"/>
              <w:rPr>
                <w:sz w:val="4"/>
                <w:szCs w:val="4"/>
                <w:color w:val="auto"/>
              </w:rPr>
            </w:pPr>
          </w:p>
        </w:tc>
        <w:tc>
          <w:tcPr>
            <w:tcW w:w="614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43"/>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Section 3.23</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Related Party Transactions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A-19</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3.24</w:t>
            </w:r>
          </w:p>
        </w:tc>
        <w:tc>
          <w:tcPr>
            <w:tcW w:w="6140" w:type="dxa"/>
            <w:vAlign w:val="bottom"/>
          </w:tcPr>
          <w:p>
            <w:pPr>
              <w:ind w:left="120"/>
              <w:spacing w:after="0"/>
              <w:rPr>
                <w:sz w:val="20"/>
                <w:szCs w:val="20"/>
                <w:color w:val="auto"/>
              </w:rPr>
            </w:pPr>
            <w:r>
              <w:rPr>
                <w:rFonts w:ascii="Arial" w:cs="Arial" w:eastAsia="Arial" w:hAnsi="Arial"/>
                <w:sz w:val="18"/>
                <w:szCs w:val="18"/>
                <w:color w:val="auto"/>
              </w:rPr>
              <w:t>Material Contracts</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A-19</w:t>
            </w:r>
          </w:p>
        </w:tc>
      </w:tr>
      <w:tr>
        <w:trPr>
          <w:trHeight w:val="41"/>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Section 3.25</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Compliance with Privacy Laws, Privacy Policies and Certain Contracts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A-20</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3.26</w:t>
            </w:r>
          </w:p>
        </w:tc>
        <w:tc>
          <w:tcPr>
            <w:tcW w:w="6140" w:type="dxa"/>
            <w:vAlign w:val="bottom"/>
          </w:tcPr>
          <w:p>
            <w:pPr>
              <w:ind w:left="120"/>
              <w:spacing w:after="0"/>
              <w:rPr>
                <w:sz w:val="20"/>
                <w:szCs w:val="20"/>
                <w:color w:val="auto"/>
              </w:rPr>
            </w:pPr>
            <w:r>
              <w:rPr>
                <w:rFonts w:ascii="Arial" w:cs="Arial" w:eastAsia="Arial" w:hAnsi="Arial"/>
                <w:sz w:val="18"/>
                <w:szCs w:val="18"/>
                <w:color w:val="auto"/>
              </w:rPr>
              <w:t>Compliance with Health Care Laws and Certain Contracts</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A-21</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Section 3.27</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SEC Matters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A-22</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3.28</w:t>
            </w:r>
          </w:p>
        </w:tc>
        <w:tc>
          <w:tcPr>
            <w:tcW w:w="6140" w:type="dxa"/>
            <w:vAlign w:val="bottom"/>
          </w:tcPr>
          <w:p>
            <w:pPr>
              <w:ind w:left="120"/>
              <w:spacing w:after="0"/>
              <w:rPr>
                <w:sz w:val="20"/>
                <w:szCs w:val="20"/>
                <w:color w:val="auto"/>
              </w:rPr>
            </w:pPr>
            <w:r>
              <w:rPr>
                <w:rFonts w:ascii="Arial" w:cs="Arial" w:eastAsia="Arial" w:hAnsi="Arial"/>
                <w:sz w:val="18"/>
                <w:szCs w:val="18"/>
                <w:color w:val="auto"/>
              </w:rPr>
              <w:t>Brokers and Other Advisors</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A-22</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Section 3.29</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Disclaimer of Other Representations and Warranties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A-22</w:t>
            </w:r>
          </w:p>
        </w:tc>
      </w:tr>
      <w:tr>
        <w:trPr>
          <w:trHeight w:val="283"/>
        </w:trPr>
        <w:tc>
          <w:tcPr>
            <w:tcW w:w="732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r>
      <w:tr>
        <w:trPr>
          <w:trHeight w:val="263"/>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ARTICLE IV REPRESENTATIONS AND WARRANTIES OF PARENT AND MERGER SUB</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A-22</w:t>
            </w:r>
          </w:p>
        </w:tc>
      </w:tr>
      <w:tr>
        <w:trPr>
          <w:trHeight w:val="283"/>
        </w:trPr>
        <w:tc>
          <w:tcPr>
            <w:tcW w:w="11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3"/>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4.1</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Organization, Qualification and Standing</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A-22</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rPr>
              <w:t>Section 4.2</w:t>
            </w:r>
          </w:p>
        </w:tc>
        <w:tc>
          <w:tcPr>
            <w:tcW w:w="6140" w:type="dxa"/>
            <w:vAlign w:val="bottom"/>
          </w:tcPr>
          <w:p>
            <w:pPr>
              <w:ind w:left="120"/>
              <w:spacing w:after="0"/>
              <w:rPr>
                <w:sz w:val="20"/>
                <w:szCs w:val="20"/>
                <w:color w:val="auto"/>
              </w:rPr>
            </w:pPr>
            <w:r>
              <w:rPr>
                <w:rFonts w:ascii="Arial" w:cs="Arial" w:eastAsia="Arial" w:hAnsi="Arial"/>
                <w:sz w:val="18"/>
                <w:szCs w:val="18"/>
                <w:color w:val="auto"/>
              </w:rPr>
              <w:t>Authority; Enforceability</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A-22</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4.3</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Non-contravention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A-23</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rPr>
              <w:t>Section 4.4</w:t>
            </w:r>
          </w:p>
        </w:tc>
        <w:tc>
          <w:tcPr>
            <w:tcW w:w="6140" w:type="dxa"/>
            <w:vAlign w:val="bottom"/>
          </w:tcPr>
          <w:p>
            <w:pPr>
              <w:ind w:left="120"/>
              <w:spacing w:after="0"/>
              <w:rPr>
                <w:sz w:val="20"/>
                <w:szCs w:val="20"/>
                <w:color w:val="auto"/>
              </w:rPr>
            </w:pPr>
            <w:r>
              <w:rPr>
                <w:rFonts w:ascii="Arial" w:cs="Arial" w:eastAsia="Arial" w:hAnsi="Arial"/>
                <w:sz w:val="18"/>
                <w:szCs w:val="18"/>
                <w:color w:val="auto"/>
              </w:rPr>
              <w:t>Brokers and Other Advisors</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A-23</w:t>
            </w:r>
          </w:p>
        </w:tc>
      </w:tr>
      <w:tr>
        <w:trPr>
          <w:trHeight w:val="41"/>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4.5</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Capitalization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A-23</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rPr>
              <w:t>Section 4.6</w:t>
            </w:r>
          </w:p>
        </w:tc>
        <w:tc>
          <w:tcPr>
            <w:tcW w:w="6140" w:type="dxa"/>
            <w:vAlign w:val="bottom"/>
          </w:tcPr>
          <w:p>
            <w:pPr>
              <w:ind w:left="120"/>
              <w:spacing w:after="0"/>
              <w:rPr>
                <w:sz w:val="20"/>
                <w:szCs w:val="20"/>
                <w:color w:val="auto"/>
              </w:rPr>
            </w:pPr>
            <w:r>
              <w:rPr>
                <w:rFonts w:ascii="Arial" w:cs="Arial" w:eastAsia="Arial" w:hAnsi="Arial"/>
                <w:sz w:val="18"/>
                <w:szCs w:val="18"/>
                <w:color w:val="auto"/>
              </w:rPr>
              <w:t>Issuance of Shares</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A-23</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4.7</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Consents; Required Approvals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A-23</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rPr>
              <w:t>Section 4.8</w:t>
            </w:r>
          </w:p>
        </w:tc>
        <w:tc>
          <w:tcPr>
            <w:tcW w:w="6140" w:type="dxa"/>
            <w:vAlign w:val="bottom"/>
          </w:tcPr>
          <w:p>
            <w:pPr>
              <w:ind w:left="120"/>
              <w:spacing w:after="0"/>
              <w:rPr>
                <w:sz w:val="20"/>
                <w:szCs w:val="20"/>
                <w:color w:val="auto"/>
              </w:rPr>
            </w:pPr>
            <w:r>
              <w:rPr>
                <w:rFonts w:ascii="Arial" w:cs="Arial" w:eastAsia="Arial" w:hAnsi="Arial"/>
                <w:sz w:val="18"/>
                <w:szCs w:val="18"/>
                <w:color w:val="auto"/>
              </w:rPr>
              <w:t>Trust Account</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A-24</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4.9</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Employees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A-24</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4.10</w:t>
            </w:r>
          </w:p>
        </w:tc>
        <w:tc>
          <w:tcPr>
            <w:tcW w:w="6140" w:type="dxa"/>
            <w:vAlign w:val="bottom"/>
          </w:tcPr>
          <w:p>
            <w:pPr>
              <w:ind w:left="120"/>
              <w:spacing w:after="0"/>
              <w:rPr>
                <w:sz w:val="20"/>
                <w:szCs w:val="20"/>
                <w:color w:val="auto"/>
              </w:rPr>
            </w:pPr>
            <w:r>
              <w:rPr>
                <w:rFonts w:ascii="Arial" w:cs="Arial" w:eastAsia="Arial" w:hAnsi="Arial"/>
                <w:sz w:val="18"/>
                <w:szCs w:val="18"/>
                <w:color w:val="auto"/>
              </w:rPr>
              <w:t>Tax Matters</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A-24</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Section 4.11</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Listing</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A-25</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4.12</w:t>
            </w:r>
          </w:p>
        </w:tc>
        <w:tc>
          <w:tcPr>
            <w:tcW w:w="6140" w:type="dxa"/>
            <w:vAlign w:val="bottom"/>
          </w:tcPr>
          <w:p>
            <w:pPr>
              <w:ind w:left="120"/>
              <w:spacing w:after="0"/>
              <w:rPr>
                <w:sz w:val="20"/>
                <w:szCs w:val="20"/>
                <w:color w:val="auto"/>
              </w:rPr>
            </w:pPr>
            <w:r>
              <w:rPr>
                <w:rFonts w:ascii="Arial" w:cs="Arial" w:eastAsia="Arial" w:hAnsi="Arial"/>
                <w:sz w:val="18"/>
                <w:szCs w:val="18"/>
                <w:color w:val="auto"/>
              </w:rPr>
              <w:t>Reporting Company</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A-25</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Section 4.13</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Undisclosed Liabilities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A-25</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4.14</w:t>
            </w:r>
          </w:p>
        </w:tc>
        <w:tc>
          <w:tcPr>
            <w:tcW w:w="6140" w:type="dxa"/>
            <w:vAlign w:val="bottom"/>
          </w:tcPr>
          <w:p>
            <w:pPr>
              <w:ind w:left="120"/>
              <w:spacing w:after="0"/>
              <w:rPr>
                <w:sz w:val="20"/>
                <w:szCs w:val="20"/>
                <w:color w:val="auto"/>
              </w:rPr>
            </w:pPr>
            <w:r>
              <w:rPr>
                <w:rFonts w:ascii="Arial" w:cs="Arial" w:eastAsia="Arial" w:hAnsi="Arial"/>
                <w:sz w:val="18"/>
                <w:szCs w:val="18"/>
                <w:color w:val="auto"/>
              </w:rPr>
              <w:t>Parent SEC Documents and Parent Financial Statements</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A-26</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Section 4.15</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Business Activities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A-27</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4.16</w:t>
            </w:r>
          </w:p>
        </w:tc>
        <w:tc>
          <w:tcPr>
            <w:tcW w:w="6140" w:type="dxa"/>
            <w:vAlign w:val="bottom"/>
          </w:tcPr>
          <w:p>
            <w:pPr>
              <w:ind w:left="120"/>
              <w:spacing w:after="0"/>
              <w:rPr>
                <w:sz w:val="20"/>
                <w:szCs w:val="20"/>
                <w:color w:val="auto"/>
              </w:rPr>
            </w:pPr>
            <w:r>
              <w:rPr>
                <w:rFonts w:ascii="Arial" w:cs="Arial" w:eastAsia="Arial" w:hAnsi="Arial"/>
                <w:sz w:val="18"/>
                <w:szCs w:val="18"/>
                <w:color w:val="auto"/>
              </w:rPr>
              <w:t>Parent Contracts</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A-27</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Section 4.17</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PIPE Financing</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A-27</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4.18</w:t>
            </w:r>
          </w:p>
        </w:tc>
        <w:tc>
          <w:tcPr>
            <w:tcW w:w="614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A-28</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Section 4.19</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Independent Investigation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A-28</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4.20</w:t>
            </w:r>
          </w:p>
        </w:tc>
        <w:tc>
          <w:tcPr>
            <w:tcW w:w="6140" w:type="dxa"/>
            <w:vAlign w:val="bottom"/>
          </w:tcPr>
          <w:p>
            <w:pPr>
              <w:ind w:left="120"/>
              <w:spacing w:after="0"/>
              <w:rPr>
                <w:sz w:val="20"/>
                <w:szCs w:val="20"/>
                <w:color w:val="auto"/>
              </w:rPr>
            </w:pPr>
            <w:r>
              <w:rPr>
                <w:rFonts w:ascii="Arial" w:cs="Arial" w:eastAsia="Arial" w:hAnsi="Arial"/>
                <w:sz w:val="18"/>
                <w:szCs w:val="18"/>
                <w:color w:val="auto"/>
              </w:rPr>
              <w:t>Information Supplied</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A-28</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Section 4.21</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Investment Company</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A-28</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4.22</w:t>
            </w:r>
          </w:p>
        </w:tc>
        <w:tc>
          <w:tcPr>
            <w:tcW w:w="6140" w:type="dxa"/>
            <w:vAlign w:val="bottom"/>
          </w:tcPr>
          <w:p>
            <w:pPr>
              <w:ind w:left="120"/>
              <w:spacing w:after="0"/>
              <w:rPr>
                <w:sz w:val="20"/>
                <w:szCs w:val="20"/>
                <w:color w:val="auto"/>
              </w:rPr>
            </w:pPr>
            <w:r>
              <w:rPr>
                <w:rFonts w:ascii="Arial" w:cs="Arial" w:eastAsia="Arial" w:hAnsi="Arial"/>
                <w:sz w:val="18"/>
                <w:szCs w:val="18"/>
                <w:color w:val="auto"/>
              </w:rPr>
              <w:t>Lockup</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A-28</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Section 4.23</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Insider Letter Agreement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A-28</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4.24</w:t>
            </w:r>
          </w:p>
        </w:tc>
        <w:tc>
          <w:tcPr>
            <w:tcW w:w="6140" w:type="dxa"/>
            <w:vAlign w:val="bottom"/>
          </w:tcPr>
          <w:p>
            <w:pPr>
              <w:ind w:left="120"/>
              <w:spacing w:after="0"/>
              <w:rPr>
                <w:sz w:val="20"/>
                <w:szCs w:val="20"/>
                <w:color w:val="auto"/>
              </w:rPr>
            </w:pPr>
            <w:r>
              <w:rPr>
                <w:rFonts w:ascii="Arial" w:cs="Arial" w:eastAsia="Arial" w:hAnsi="Arial"/>
                <w:sz w:val="18"/>
                <w:szCs w:val="18"/>
                <w:color w:val="auto"/>
              </w:rPr>
              <w:t>Board Approval</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A-28</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Section 4.25</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Vote Required</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A-29</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4.26</w:t>
            </w:r>
          </w:p>
        </w:tc>
        <w:tc>
          <w:tcPr>
            <w:tcW w:w="6140" w:type="dxa"/>
            <w:vAlign w:val="bottom"/>
          </w:tcPr>
          <w:p>
            <w:pPr>
              <w:ind w:left="120"/>
              <w:spacing w:after="0"/>
              <w:rPr>
                <w:sz w:val="20"/>
                <w:szCs w:val="20"/>
                <w:color w:val="auto"/>
              </w:rPr>
            </w:pPr>
            <w:r>
              <w:rPr>
                <w:rFonts w:ascii="Arial" w:cs="Arial" w:eastAsia="Arial" w:hAnsi="Arial"/>
                <w:sz w:val="18"/>
                <w:szCs w:val="18"/>
                <w:color w:val="auto"/>
              </w:rPr>
              <w:t>Disclaimer of Other Representations and Warranties</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A-29</w:t>
            </w:r>
          </w:p>
        </w:tc>
      </w:tr>
      <w:tr>
        <w:trPr>
          <w:trHeight w:val="40"/>
        </w:trPr>
        <w:tc>
          <w:tcPr>
            <w:tcW w:w="7320" w:type="dxa"/>
            <w:vAlign w:val="bottom"/>
            <w:gridSpan w:val="2"/>
          </w:tcPr>
          <w:p>
            <w:pPr>
              <w:spacing w:after="0"/>
              <w:rPr>
                <w:sz w:val="3"/>
                <w:szCs w:val="3"/>
                <w:color w:val="auto"/>
              </w:rPr>
            </w:pPr>
          </w:p>
        </w:tc>
        <w:tc>
          <w:tcPr>
            <w:tcW w:w="780" w:type="dxa"/>
            <w:vAlign w:val="bottom"/>
          </w:tcPr>
          <w:p>
            <w:pPr>
              <w:spacing w:after="0"/>
              <w:rPr>
                <w:sz w:val="3"/>
                <w:szCs w:val="3"/>
                <w:color w:val="auto"/>
              </w:rPr>
            </w:pPr>
          </w:p>
        </w:tc>
      </w:tr>
      <w:tr>
        <w:trPr>
          <w:trHeight w:val="284"/>
        </w:trPr>
        <w:tc>
          <w:tcPr>
            <w:tcW w:w="7320" w:type="dxa"/>
            <w:vAlign w:val="bottom"/>
            <w:gridSpan w:val="2"/>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7320" w:type="dxa"/>
            <w:vAlign w:val="bottom"/>
            <w:gridSpan w:val="2"/>
          </w:tcPr>
          <w:p>
            <w:pPr>
              <w:spacing w:after="0"/>
              <w:rPr>
                <w:sz w:val="20"/>
                <w:szCs w:val="20"/>
                <w:color w:val="auto"/>
              </w:rPr>
            </w:pPr>
            <w:r>
              <w:rPr>
                <w:rFonts w:ascii="Arial" w:cs="Arial" w:eastAsia="Arial" w:hAnsi="Arial"/>
                <w:sz w:val="18"/>
                <w:szCs w:val="18"/>
                <w:color w:val="auto"/>
              </w:rPr>
              <w:t>ARTICLE V COVENANTS AND AGREEMENTS OF THE COMPANY</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A-29</w:t>
            </w:r>
          </w:p>
        </w:tc>
      </w:tr>
      <w:tr>
        <w:trPr>
          <w:trHeight w:val="41"/>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83"/>
        </w:trPr>
        <w:tc>
          <w:tcPr>
            <w:tcW w:w="1180" w:type="dxa"/>
            <w:vAlign w:val="bottom"/>
            <w:shd w:val="clear" w:color="auto" w:fill="CCEEFF"/>
          </w:tcPr>
          <w:p>
            <w:pPr>
              <w:spacing w:after="0"/>
              <w:rPr>
                <w:sz w:val="24"/>
                <w:szCs w:val="24"/>
                <w:color w:val="auto"/>
              </w:rPr>
            </w:pPr>
          </w:p>
        </w:tc>
        <w:tc>
          <w:tcPr>
            <w:tcW w:w="6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rPr>
              <w:t>Section 5.1</w:t>
            </w:r>
          </w:p>
        </w:tc>
        <w:tc>
          <w:tcPr>
            <w:tcW w:w="6140" w:type="dxa"/>
            <w:vAlign w:val="bottom"/>
          </w:tcPr>
          <w:p>
            <w:pPr>
              <w:ind w:left="120"/>
              <w:spacing w:after="0"/>
              <w:rPr>
                <w:sz w:val="20"/>
                <w:szCs w:val="20"/>
                <w:color w:val="auto"/>
              </w:rPr>
            </w:pPr>
            <w:r>
              <w:rPr>
                <w:rFonts w:ascii="Arial" w:cs="Arial" w:eastAsia="Arial" w:hAnsi="Arial"/>
                <w:sz w:val="18"/>
                <w:szCs w:val="18"/>
                <w:color w:val="auto"/>
              </w:rPr>
              <w:t>Conduct of Business of the Company</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A-29</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5.2</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Access to Information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A-31</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rPr>
              <w:t>Section 5.3</w:t>
            </w:r>
          </w:p>
        </w:tc>
        <w:tc>
          <w:tcPr>
            <w:tcW w:w="6140" w:type="dxa"/>
            <w:vAlign w:val="bottom"/>
          </w:tcPr>
          <w:p>
            <w:pPr>
              <w:ind w:left="120"/>
              <w:spacing w:after="0"/>
              <w:rPr>
                <w:sz w:val="20"/>
                <w:szCs w:val="20"/>
                <w:color w:val="auto"/>
              </w:rPr>
            </w:pPr>
            <w:r>
              <w:rPr>
                <w:rFonts w:ascii="Arial" w:cs="Arial" w:eastAsia="Arial" w:hAnsi="Arial"/>
                <w:sz w:val="18"/>
                <w:szCs w:val="18"/>
                <w:color w:val="auto"/>
              </w:rPr>
              <w:t>Additional Financial Information</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A-31</w:t>
            </w:r>
          </w:p>
        </w:tc>
      </w:tr>
      <w:tr>
        <w:trPr>
          <w:trHeight w:val="41"/>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5.4</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Lock-Up</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A-31</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rPr>
              <w:t>Section 5.5</w:t>
            </w:r>
          </w:p>
        </w:tc>
        <w:tc>
          <w:tcPr>
            <w:tcW w:w="6140" w:type="dxa"/>
            <w:vAlign w:val="bottom"/>
          </w:tcPr>
          <w:p>
            <w:pPr>
              <w:ind w:left="120"/>
              <w:spacing w:after="0"/>
              <w:rPr>
                <w:sz w:val="20"/>
                <w:szCs w:val="20"/>
                <w:color w:val="auto"/>
              </w:rPr>
            </w:pPr>
            <w:r>
              <w:rPr>
                <w:rFonts w:ascii="Arial" w:cs="Arial" w:eastAsia="Arial" w:hAnsi="Arial"/>
                <w:sz w:val="18"/>
                <w:szCs w:val="18"/>
                <w:color w:val="auto"/>
              </w:rPr>
              <w:t>Notice of Changes</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A-31</w:t>
            </w:r>
          </w:p>
        </w:tc>
      </w:tr>
      <w:tr>
        <w:trPr>
          <w:trHeight w:val="41"/>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5.6</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D&amp;O Insurance; Indemnification of Officers and Directors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A-32</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rPr>
              <w:t>Section 5.7</w:t>
            </w:r>
          </w:p>
        </w:tc>
        <w:tc>
          <w:tcPr>
            <w:tcW w:w="6140" w:type="dxa"/>
            <w:vAlign w:val="bottom"/>
          </w:tcPr>
          <w:p>
            <w:pPr>
              <w:ind w:left="120"/>
              <w:spacing w:after="0"/>
              <w:rPr>
                <w:sz w:val="20"/>
                <w:szCs w:val="20"/>
                <w:color w:val="auto"/>
              </w:rPr>
            </w:pPr>
            <w:r>
              <w:rPr>
                <w:rFonts w:ascii="Arial" w:cs="Arial" w:eastAsia="Arial" w:hAnsi="Arial"/>
                <w:sz w:val="18"/>
                <w:szCs w:val="18"/>
                <w:color w:val="auto"/>
              </w:rPr>
              <w:t>Tax Matters</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A-32</w:t>
            </w:r>
          </w:p>
        </w:tc>
      </w:tr>
      <w:tr>
        <w:trPr>
          <w:trHeight w:val="40"/>
        </w:trPr>
        <w:tc>
          <w:tcPr>
            <w:tcW w:w="7320" w:type="dxa"/>
            <w:vAlign w:val="bottom"/>
            <w:gridSpan w:val="2"/>
          </w:tcPr>
          <w:p>
            <w:pPr>
              <w:spacing w:after="0"/>
              <w:rPr>
                <w:sz w:val="3"/>
                <w:szCs w:val="3"/>
                <w:color w:val="auto"/>
              </w:rPr>
            </w:pPr>
          </w:p>
        </w:tc>
        <w:tc>
          <w:tcPr>
            <w:tcW w:w="780" w:type="dxa"/>
            <w:vAlign w:val="bottom"/>
          </w:tcPr>
          <w:p>
            <w:pPr>
              <w:spacing w:after="0"/>
              <w:rPr>
                <w:sz w:val="3"/>
                <w:szCs w:val="3"/>
                <w:color w:val="auto"/>
              </w:rPr>
            </w:pPr>
          </w:p>
        </w:tc>
      </w:tr>
      <w:tr>
        <w:trPr>
          <w:trHeight w:val="284"/>
        </w:trPr>
        <w:tc>
          <w:tcPr>
            <w:tcW w:w="7320" w:type="dxa"/>
            <w:vAlign w:val="bottom"/>
            <w:gridSpan w:val="2"/>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7320" w:type="dxa"/>
            <w:vAlign w:val="bottom"/>
            <w:gridSpan w:val="2"/>
          </w:tcPr>
          <w:p>
            <w:pPr>
              <w:spacing w:after="0"/>
              <w:rPr>
                <w:sz w:val="20"/>
                <w:szCs w:val="20"/>
                <w:color w:val="auto"/>
              </w:rPr>
            </w:pPr>
            <w:r>
              <w:rPr>
                <w:rFonts w:ascii="Arial" w:cs="Arial" w:eastAsia="Arial" w:hAnsi="Arial"/>
                <w:sz w:val="18"/>
                <w:szCs w:val="18"/>
                <w:color w:val="auto"/>
              </w:rPr>
              <w:t>ARTICLE VI COVENANTS OF PARENT AND MERGER SUB</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A-32</w:t>
            </w:r>
          </w:p>
        </w:tc>
      </w:tr>
      <w:tr>
        <w:trPr>
          <w:trHeight w:val="41"/>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84"/>
        </w:trPr>
        <w:tc>
          <w:tcPr>
            <w:tcW w:w="1180" w:type="dxa"/>
            <w:vAlign w:val="bottom"/>
            <w:shd w:val="clear" w:color="auto" w:fill="CCEEFF"/>
          </w:tcPr>
          <w:p>
            <w:pPr>
              <w:spacing w:after="0"/>
              <w:rPr>
                <w:sz w:val="24"/>
                <w:szCs w:val="24"/>
                <w:color w:val="auto"/>
              </w:rPr>
            </w:pPr>
          </w:p>
        </w:tc>
        <w:tc>
          <w:tcPr>
            <w:tcW w:w="6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rPr>
              <w:t>Section 6.1</w:t>
            </w:r>
          </w:p>
        </w:tc>
        <w:tc>
          <w:tcPr>
            <w:tcW w:w="6140" w:type="dxa"/>
            <w:vAlign w:val="bottom"/>
          </w:tcPr>
          <w:p>
            <w:pPr>
              <w:ind w:left="120"/>
              <w:spacing w:after="0"/>
              <w:rPr>
                <w:sz w:val="20"/>
                <w:szCs w:val="20"/>
                <w:color w:val="auto"/>
              </w:rPr>
            </w:pPr>
            <w:r>
              <w:rPr>
                <w:rFonts w:ascii="Arial" w:cs="Arial" w:eastAsia="Arial" w:hAnsi="Arial"/>
                <w:sz w:val="18"/>
                <w:szCs w:val="18"/>
                <w:color w:val="auto"/>
              </w:rPr>
              <w:t>Operations of Parent Prior to the Closing</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A-32</w:t>
            </w:r>
          </w:p>
        </w:tc>
      </w:tr>
      <w:tr>
        <w:trPr>
          <w:trHeight w:val="41"/>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6.2</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Listing</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A-34</w:t>
            </w: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color w:val="auto"/>
              </w:rPr>
              <w:t>Section 6.3</w:t>
            </w:r>
          </w:p>
        </w:tc>
        <w:tc>
          <w:tcPr>
            <w:tcW w:w="6140" w:type="dxa"/>
            <w:vAlign w:val="bottom"/>
          </w:tcPr>
          <w:p>
            <w:pPr>
              <w:ind w:left="120"/>
              <w:spacing w:after="0"/>
              <w:rPr>
                <w:sz w:val="20"/>
                <w:szCs w:val="20"/>
                <w:color w:val="auto"/>
              </w:rPr>
            </w:pPr>
            <w:r>
              <w:rPr>
                <w:rFonts w:ascii="Arial" w:cs="Arial" w:eastAsia="Arial" w:hAnsi="Arial"/>
                <w:sz w:val="18"/>
                <w:szCs w:val="18"/>
                <w:color w:val="auto"/>
              </w:rPr>
              <w:t>Trust Account</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A-34</w:t>
            </w:r>
          </w:p>
        </w:tc>
      </w:tr>
      <w:tr>
        <w:trPr>
          <w:trHeight w:val="40"/>
        </w:trPr>
        <w:tc>
          <w:tcPr>
            <w:tcW w:w="1180" w:type="dxa"/>
            <w:vAlign w:val="bottom"/>
          </w:tcPr>
          <w:p>
            <w:pPr>
              <w:spacing w:after="0"/>
              <w:rPr>
                <w:sz w:val="3"/>
                <w:szCs w:val="3"/>
                <w:color w:val="auto"/>
              </w:rPr>
            </w:pPr>
          </w:p>
        </w:tc>
        <w:tc>
          <w:tcPr>
            <w:tcW w:w="61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43"/>
        </w:trPr>
        <w:tc>
          <w:tcPr>
            <w:tcW w:w="1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6.4</w:t>
            </w:r>
          </w:p>
        </w:tc>
        <w:tc>
          <w:tcPr>
            <w:tcW w:w="6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Insider Letter Agreement</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A-34</w:t>
            </w:r>
          </w:p>
        </w:tc>
      </w:tr>
      <w:tr>
        <w:trPr>
          <w:trHeight w:val="41"/>
        </w:trPr>
        <w:tc>
          <w:tcPr>
            <w:tcW w:w="1180" w:type="dxa"/>
            <w:vAlign w:val="bottom"/>
            <w:shd w:val="clear" w:color="auto" w:fill="CCEEFF"/>
          </w:tcPr>
          <w:p>
            <w:pPr>
              <w:spacing w:after="0"/>
              <w:rPr>
                <w:sz w:val="3"/>
                <w:szCs w:val="3"/>
                <w:color w:val="auto"/>
              </w:rPr>
            </w:pPr>
          </w:p>
        </w:tc>
        <w:tc>
          <w:tcPr>
            <w:tcW w:w="6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sectPr>
      </w:pPr>
    </w:p>
    <w:bookmarkStart w:id="354" w:name="page355"/>
    <w:bookmarkEnd w:id="35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2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2"/>
              </w:rPr>
              <w:t>Annex A</w:t>
            </w:r>
          </w:p>
        </w:tc>
      </w:tr>
      <w:tr>
        <w:trPr>
          <w:trHeight w:val="210"/>
        </w:trPr>
        <w:tc>
          <w:tcPr>
            <w:tcW w:w="12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7"/>
              </w:rPr>
              <w:t>Page No.</w:t>
            </w:r>
          </w:p>
        </w:tc>
      </w:tr>
      <w:tr>
        <w:trPr>
          <w:trHeight w:val="46"/>
        </w:trPr>
        <w:tc>
          <w:tcPr>
            <w:tcW w:w="1220" w:type="dxa"/>
            <w:vAlign w:val="bottom"/>
            <w:tcBorders>
              <w:bottom w:val="single" w:sz="8" w:color="CCEEFF"/>
            </w:tcBorders>
          </w:tcPr>
          <w:p>
            <w:pPr>
              <w:spacing w:after="0"/>
              <w:rPr>
                <w:sz w:val="4"/>
                <w:szCs w:val="4"/>
                <w:color w:val="auto"/>
              </w:rPr>
            </w:pPr>
          </w:p>
        </w:tc>
        <w:tc>
          <w:tcPr>
            <w:tcW w:w="6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44"/>
        </w:trPr>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6.5</w:t>
            </w:r>
          </w:p>
        </w:tc>
        <w:tc>
          <w:tcPr>
            <w:tcW w:w="6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Parent Public Filings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A-34</w:t>
            </w:r>
          </w:p>
        </w:tc>
      </w:tr>
      <w:tr>
        <w:trPr>
          <w:trHeight w:val="243"/>
        </w:trPr>
        <w:tc>
          <w:tcPr>
            <w:tcW w:w="1220" w:type="dxa"/>
            <w:vAlign w:val="bottom"/>
          </w:tcPr>
          <w:p>
            <w:pPr>
              <w:ind w:left="180"/>
              <w:spacing w:after="0"/>
              <w:rPr>
                <w:sz w:val="20"/>
                <w:szCs w:val="20"/>
                <w:color w:val="auto"/>
              </w:rPr>
            </w:pPr>
            <w:r>
              <w:rPr>
                <w:rFonts w:ascii="Arial" w:cs="Arial" w:eastAsia="Arial" w:hAnsi="Arial"/>
                <w:sz w:val="18"/>
                <w:szCs w:val="18"/>
                <w:color w:val="auto"/>
              </w:rPr>
              <w:t>Section 6.6</w:t>
            </w:r>
          </w:p>
        </w:tc>
        <w:tc>
          <w:tcPr>
            <w:tcW w:w="6100" w:type="dxa"/>
            <w:vAlign w:val="bottom"/>
          </w:tcPr>
          <w:p>
            <w:pPr>
              <w:ind w:left="80"/>
              <w:spacing w:after="0"/>
              <w:rPr>
                <w:sz w:val="20"/>
                <w:szCs w:val="20"/>
                <w:color w:val="auto"/>
              </w:rPr>
            </w:pPr>
            <w:r>
              <w:rPr>
                <w:rFonts w:ascii="Arial" w:cs="Arial" w:eastAsia="Arial" w:hAnsi="Arial"/>
                <w:sz w:val="18"/>
                <w:szCs w:val="18"/>
                <w:color w:val="auto"/>
              </w:rPr>
              <w:t>Section 16 Matters</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A-34</w:t>
            </w:r>
          </w:p>
        </w:tc>
      </w:tr>
      <w:tr>
        <w:trPr>
          <w:trHeight w:val="41"/>
        </w:trPr>
        <w:tc>
          <w:tcPr>
            <w:tcW w:w="1220" w:type="dxa"/>
            <w:vAlign w:val="bottom"/>
          </w:tcPr>
          <w:p>
            <w:pPr>
              <w:spacing w:after="0"/>
              <w:rPr>
                <w:sz w:val="3"/>
                <w:szCs w:val="3"/>
                <w:color w:val="auto"/>
              </w:rPr>
            </w:pPr>
          </w:p>
        </w:tc>
        <w:tc>
          <w:tcPr>
            <w:tcW w:w="61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6.7</w:t>
            </w:r>
          </w:p>
        </w:tc>
        <w:tc>
          <w:tcPr>
            <w:tcW w:w="6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Notice of Changes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A-34</w:t>
            </w:r>
          </w:p>
        </w:tc>
      </w:tr>
      <w:tr>
        <w:trPr>
          <w:trHeight w:val="243"/>
        </w:trPr>
        <w:tc>
          <w:tcPr>
            <w:tcW w:w="1220" w:type="dxa"/>
            <w:vAlign w:val="bottom"/>
          </w:tcPr>
          <w:p>
            <w:pPr>
              <w:ind w:left="180"/>
              <w:spacing w:after="0"/>
              <w:rPr>
                <w:sz w:val="20"/>
                <w:szCs w:val="20"/>
                <w:color w:val="auto"/>
              </w:rPr>
            </w:pPr>
            <w:r>
              <w:rPr>
                <w:rFonts w:ascii="Arial" w:cs="Arial" w:eastAsia="Arial" w:hAnsi="Arial"/>
                <w:sz w:val="18"/>
                <w:szCs w:val="18"/>
                <w:color w:val="auto"/>
              </w:rPr>
              <w:t>Section 6.8</w:t>
            </w:r>
          </w:p>
        </w:tc>
        <w:tc>
          <w:tcPr>
            <w:tcW w:w="6100" w:type="dxa"/>
            <w:vAlign w:val="bottom"/>
          </w:tcPr>
          <w:p>
            <w:pPr>
              <w:ind w:left="80"/>
              <w:spacing w:after="0"/>
              <w:rPr>
                <w:sz w:val="20"/>
                <w:szCs w:val="20"/>
                <w:color w:val="auto"/>
              </w:rPr>
            </w:pPr>
            <w:r>
              <w:rPr>
                <w:rFonts w:ascii="Arial" w:cs="Arial" w:eastAsia="Arial" w:hAnsi="Arial"/>
                <w:sz w:val="18"/>
                <w:szCs w:val="18"/>
                <w:color w:val="auto"/>
              </w:rPr>
              <w:t>Adoption of Equity Incentive Plan</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A-34</w:t>
            </w:r>
          </w:p>
        </w:tc>
      </w:tr>
      <w:tr>
        <w:trPr>
          <w:trHeight w:val="40"/>
        </w:trPr>
        <w:tc>
          <w:tcPr>
            <w:tcW w:w="7320" w:type="dxa"/>
            <w:vAlign w:val="bottom"/>
            <w:gridSpan w:val="2"/>
          </w:tcPr>
          <w:p>
            <w:pPr>
              <w:spacing w:after="0"/>
              <w:rPr>
                <w:sz w:val="3"/>
                <w:szCs w:val="3"/>
                <w:color w:val="auto"/>
              </w:rPr>
            </w:pPr>
          </w:p>
        </w:tc>
        <w:tc>
          <w:tcPr>
            <w:tcW w:w="780" w:type="dxa"/>
            <w:vAlign w:val="bottom"/>
          </w:tcPr>
          <w:p>
            <w:pPr>
              <w:spacing w:after="0"/>
              <w:rPr>
                <w:sz w:val="3"/>
                <w:szCs w:val="3"/>
                <w:color w:val="auto"/>
              </w:rPr>
            </w:pPr>
          </w:p>
        </w:tc>
      </w:tr>
      <w:tr>
        <w:trPr>
          <w:trHeight w:val="283"/>
        </w:trPr>
        <w:tc>
          <w:tcPr>
            <w:tcW w:w="7320" w:type="dxa"/>
            <w:vAlign w:val="bottom"/>
            <w:gridSpan w:val="2"/>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7320" w:type="dxa"/>
            <w:vAlign w:val="bottom"/>
            <w:gridSpan w:val="2"/>
          </w:tcPr>
          <w:p>
            <w:pPr>
              <w:spacing w:after="0"/>
              <w:rPr>
                <w:sz w:val="20"/>
                <w:szCs w:val="20"/>
                <w:color w:val="auto"/>
              </w:rPr>
            </w:pPr>
            <w:r>
              <w:rPr>
                <w:rFonts w:ascii="Arial" w:cs="Arial" w:eastAsia="Arial" w:hAnsi="Arial"/>
                <w:sz w:val="18"/>
                <w:szCs w:val="18"/>
                <w:color w:val="auto"/>
              </w:rPr>
              <w:t>ARTICLE VII ACTIONS PRIOR TO THE CLOSING</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A-35</w:t>
            </w:r>
          </w:p>
        </w:tc>
      </w:tr>
      <w:tr>
        <w:trPr>
          <w:trHeight w:val="40"/>
        </w:trPr>
        <w:tc>
          <w:tcPr>
            <w:tcW w:w="1220" w:type="dxa"/>
            <w:vAlign w:val="bottom"/>
          </w:tcPr>
          <w:p>
            <w:pPr>
              <w:spacing w:after="0"/>
              <w:rPr>
                <w:sz w:val="3"/>
                <w:szCs w:val="3"/>
                <w:color w:val="auto"/>
              </w:rPr>
            </w:pPr>
          </w:p>
        </w:tc>
        <w:tc>
          <w:tcPr>
            <w:tcW w:w="61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84"/>
        </w:trPr>
        <w:tc>
          <w:tcPr>
            <w:tcW w:w="1220" w:type="dxa"/>
            <w:vAlign w:val="bottom"/>
            <w:shd w:val="clear" w:color="auto" w:fill="CCEEFF"/>
          </w:tcPr>
          <w:p>
            <w:pPr>
              <w:spacing w:after="0"/>
              <w:rPr>
                <w:sz w:val="24"/>
                <w:szCs w:val="24"/>
                <w:color w:val="auto"/>
              </w:rPr>
            </w:pPr>
          </w:p>
        </w:tc>
        <w:tc>
          <w:tcPr>
            <w:tcW w:w="6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1220" w:type="dxa"/>
            <w:vAlign w:val="bottom"/>
          </w:tcPr>
          <w:p>
            <w:pPr>
              <w:ind w:left="180"/>
              <w:spacing w:after="0"/>
              <w:rPr>
                <w:sz w:val="20"/>
                <w:szCs w:val="20"/>
                <w:color w:val="auto"/>
              </w:rPr>
            </w:pPr>
            <w:r>
              <w:rPr>
                <w:rFonts w:ascii="Arial" w:cs="Arial" w:eastAsia="Arial" w:hAnsi="Arial"/>
                <w:sz w:val="18"/>
                <w:szCs w:val="18"/>
                <w:color w:val="auto"/>
              </w:rPr>
              <w:t>Section 7.1</w:t>
            </w:r>
          </w:p>
        </w:tc>
        <w:tc>
          <w:tcPr>
            <w:tcW w:w="6100" w:type="dxa"/>
            <w:vAlign w:val="bottom"/>
          </w:tcPr>
          <w:p>
            <w:pPr>
              <w:ind w:left="80"/>
              <w:spacing w:after="0"/>
              <w:rPr>
                <w:sz w:val="20"/>
                <w:szCs w:val="20"/>
                <w:color w:val="auto"/>
              </w:rPr>
            </w:pPr>
            <w:r>
              <w:rPr>
                <w:rFonts w:ascii="Arial" w:cs="Arial" w:eastAsia="Arial" w:hAnsi="Arial"/>
                <w:sz w:val="18"/>
                <w:szCs w:val="18"/>
                <w:color w:val="auto"/>
              </w:rPr>
              <w:t>No Shop</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A-35</w:t>
            </w:r>
          </w:p>
        </w:tc>
      </w:tr>
      <w:tr>
        <w:trPr>
          <w:trHeight w:val="41"/>
        </w:trPr>
        <w:tc>
          <w:tcPr>
            <w:tcW w:w="1220" w:type="dxa"/>
            <w:vAlign w:val="bottom"/>
          </w:tcPr>
          <w:p>
            <w:pPr>
              <w:spacing w:after="0"/>
              <w:rPr>
                <w:sz w:val="3"/>
                <w:szCs w:val="3"/>
                <w:color w:val="auto"/>
              </w:rPr>
            </w:pPr>
          </w:p>
        </w:tc>
        <w:tc>
          <w:tcPr>
            <w:tcW w:w="61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7.2</w:t>
            </w:r>
          </w:p>
        </w:tc>
        <w:tc>
          <w:tcPr>
            <w:tcW w:w="6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Efforts to Consummate the Transactions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A-35</w:t>
            </w:r>
          </w:p>
        </w:tc>
      </w:tr>
      <w:tr>
        <w:trPr>
          <w:trHeight w:val="243"/>
        </w:trPr>
        <w:tc>
          <w:tcPr>
            <w:tcW w:w="1220" w:type="dxa"/>
            <w:vAlign w:val="bottom"/>
          </w:tcPr>
          <w:p>
            <w:pPr>
              <w:ind w:left="180"/>
              <w:spacing w:after="0"/>
              <w:rPr>
                <w:sz w:val="20"/>
                <w:szCs w:val="20"/>
                <w:color w:val="auto"/>
              </w:rPr>
            </w:pPr>
            <w:r>
              <w:rPr>
                <w:rFonts w:ascii="Arial" w:cs="Arial" w:eastAsia="Arial" w:hAnsi="Arial"/>
                <w:sz w:val="18"/>
                <w:szCs w:val="18"/>
                <w:color w:val="auto"/>
              </w:rPr>
              <w:t>Section 7.3</w:t>
            </w:r>
          </w:p>
        </w:tc>
        <w:tc>
          <w:tcPr>
            <w:tcW w:w="6100" w:type="dxa"/>
            <w:vAlign w:val="bottom"/>
          </w:tcPr>
          <w:p>
            <w:pPr>
              <w:ind w:left="80"/>
              <w:spacing w:after="0"/>
              <w:rPr>
                <w:sz w:val="20"/>
                <w:szCs w:val="20"/>
                <w:color w:val="auto"/>
              </w:rPr>
            </w:pPr>
            <w:r>
              <w:rPr>
                <w:rFonts w:ascii="Arial" w:cs="Arial" w:eastAsia="Arial" w:hAnsi="Arial"/>
                <w:sz w:val="18"/>
                <w:szCs w:val="18"/>
                <w:color w:val="auto"/>
              </w:rPr>
              <w:t>PIPE Financing</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A-36</w:t>
            </w:r>
          </w:p>
        </w:tc>
      </w:tr>
      <w:tr>
        <w:trPr>
          <w:trHeight w:val="40"/>
        </w:trPr>
        <w:tc>
          <w:tcPr>
            <w:tcW w:w="1220" w:type="dxa"/>
            <w:vAlign w:val="bottom"/>
          </w:tcPr>
          <w:p>
            <w:pPr>
              <w:spacing w:after="0"/>
              <w:rPr>
                <w:sz w:val="3"/>
                <w:szCs w:val="3"/>
                <w:color w:val="auto"/>
              </w:rPr>
            </w:pPr>
          </w:p>
        </w:tc>
        <w:tc>
          <w:tcPr>
            <w:tcW w:w="61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7.4</w:t>
            </w:r>
          </w:p>
        </w:tc>
        <w:tc>
          <w:tcPr>
            <w:tcW w:w="6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Cooperation with Proxy Statement; Other Filings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A-36</w:t>
            </w:r>
          </w:p>
        </w:tc>
      </w:tr>
      <w:tr>
        <w:trPr>
          <w:trHeight w:val="243"/>
        </w:trPr>
        <w:tc>
          <w:tcPr>
            <w:tcW w:w="1220" w:type="dxa"/>
            <w:vAlign w:val="bottom"/>
          </w:tcPr>
          <w:p>
            <w:pPr>
              <w:ind w:left="180"/>
              <w:spacing w:after="0"/>
              <w:rPr>
                <w:sz w:val="20"/>
                <w:szCs w:val="20"/>
                <w:color w:val="auto"/>
              </w:rPr>
            </w:pPr>
            <w:r>
              <w:rPr>
                <w:rFonts w:ascii="Arial" w:cs="Arial" w:eastAsia="Arial" w:hAnsi="Arial"/>
                <w:sz w:val="18"/>
                <w:szCs w:val="18"/>
                <w:color w:val="auto"/>
              </w:rPr>
              <w:t>Section 7.5</w:t>
            </w:r>
          </w:p>
        </w:tc>
        <w:tc>
          <w:tcPr>
            <w:tcW w:w="6100" w:type="dxa"/>
            <w:vAlign w:val="bottom"/>
          </w:tcPr>
          <w:p>
            <w:pPr>
              <w:ind w:left="80"/>
              <w:spacing w:after="0"/>
              <w:rPr>
                <w:sz w:val="20"/>
                <w:szCs w:val="20"/>
                <w:color w:val="auto"/>
              </w:rPr>
            </w:pPr>
            <w:r>
              <w:rPr>
                <w:rFonts w:ascii="Arial" w:cs="Arial" w:eastAsia="Arial" w:hAnsi="Arial"/>
                <w:sz w:val="18"/>
                <w:szCs w:val="18"/>
                <w:color w:val="auto"/>
              </w:rPr>
              <w:t>Stockholder Vote; Recommendation of Parent’s Board of Directors</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A-38</w:t>
            </w:r>
          </w:p>
        </w:tc>
      </w:tr>
      <w:tr>
        <w:trPr>
          <w:trHeight w:val="40"/>
        </w:trPr>
        <w:tc>
          <w:tcPr>
            <w:tcW w:w="1220" w:type="dxa"/>
            <w:vAlign w:val="bottom"/>
          </w:tcPr>
          <w:p>
            <w:pPr>
              <w:spacing w:after="0"/>
              <w:rPr>
                <w:sz w:val="3"/>
                <w:szCs w:val="3"/>
                <w:color w:val="auto"/>
              </w:rPr>
            </w:pPr>
          </w:p>
        </w:tc>
        <w:tc>
          <w:tcPr>
            <w:tcW w:w="61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7.6</w:t>
            </w:r>
          </w:p>
        </w:tc>
        <w:tc>
          <w:tcPr>
            <w:tcW w:w="6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Parent Stockholders’ Meeting</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A-38</w:t>
            </w:r>
          </w:p>
        </w:tc>
      </w:tr>
      <w:tr>
        <w:trPr>
          <w:trHeight w:val="243"/>
        </w:trPr>
        <w:tc>
          <w:tcPr>
            <w:tcW w:w="1220" w:type="dxa"/>
            <w:vAlign w:val="bottom"/>
          </w:tcPr>
          <w:p>
            <w:pPr>
              <w:ind w:left="180"/>
              <w:spacing w:after="0"/>
              <w:rPr>
                <w:sz w:val="20"/>
                <w:szCs w:val="20"/>
                <w:color w:val="auto"/>
              </w:rPr>
            </w:pPr>
            <w:r>
              <w:rPr>
                <w:rFonts w:ascii="Arial" w:cs="Arial" w:eastAsia="Arial" w:hAnsi="Arial"/>
                <w:sz w:val="18"/>
                <w:szCs w:val="18"/>
                <w:color w:val="auto"/>
              </w:rPr>
              <w:t>Section 7.7</w:t>
            </w:r>
          </w:p>
        </w:tc>
        <w:tc>
          <w:tcPr>
            <w:tcW w:w="6100" w:type="dxa"/>
            <w:vAlign w:val="bottom"/>
          </w:tcPr>
          <w:p>
            <w:pPr>
              <w:ind w:left="80"/>
              <w:spacing w:after="0"/>
              <w:rPr>
                <w:sz w:val="20"/>
                <w:szCs w:val="20"/>
                <w:color w:val="auto"/>
              </w:rPr>
            </w:pPr>
            <w:r>
              <w:rPr>
                <w:rFonts w:ascii="Arial" w:cs="Arial" w:eastAsia="Arial" w:hAnsi="Arial"/>
                <w:sz w:val="18"/>
                <w:szCs w:val="18"/>
                <w:color w:val="auto"/>
              </w:rPr>
              <w:t>Form 8-K; Press Releases</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A-38</w:t>
            </w:r>
          </w:p>
        </w:tc>
      </w:tr>
      <w:tr>
        <w:trPr>
          <w:trHeight w:val="41"/>
        </w:trPr>
        <w:tc>
          <w:tcPr>
            <w:tcW w:w="1220" w:type="dxa"/>
            <w:vAlign w:val="bottom"/>
          </w:tcPr>
          <w:p>
            <w:pPr>
              <w:spacing w:after="0"/>
              <w:rPr>
                <w:sz w:val="3"/>
                <w:szCs w:val="3"/>
                <w:color w:val="auto"/>
              </w:rPr>
            </w:pPr>
          </w:p>
        </w:tc>
        <w:tc>
          <w:tcPr>
            <w:tcW w:w="61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7.8</w:t>
            </w:r>
          </w:p>
        </w:tc>
        <w:tc>
          <w:tcPr>
            <w:tcW w:w="6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Fees and Expenses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A-38</w:t>
            </w:r>
          </w:p>
        </w:tc>
      </w:tr>
      <w:tr>
        <w:trPr>
          <w:trHeight w:val="243"/>
        </w:trPr>
        <w:tc>
          <w:tcPr>
            <w:tcW w:w="1220" w:type="dxa"/>
            <w:vAlign w:val="bottom"/>
          </w:tcPr>
          <w:p>
            <w:pPr>
              <w:ind w:left="180"/>
              <w:spacing w:after="0"/>
              <w:rPr>
                <w:sz w:val="20"/>
                <w:szCs w:val="20"/>
                <w:color w:val="auto"/>
              </w:rPr>
            </w:pPr>
            <w:r>
              <w:rPr>
                <w:rFonts w:ascii="Arial" w:cs="Arial" w:eastAsia="Arial" w:hAnsi="Arial"/>
                <w:sz w:val="18"/>
                <w:szCs w:val="18"/>
                <w:color w:val="auto"/>
              </w:rPr>
              <w:t>Section 7.9</w:t>
            </w:r>
          </w:p>
        </w:tc>
        <w:tc>
          <w:tcPr>
            <w:tcW w:w="6100" w:type="dxa"/>
            <w:vAlign w:val="bottom"/>
          </w:tcPr>
          <w:p>
            <w:pPr>
              <w:ind w:left="80"/>
              <w:spacing w:after="0"/>
              <w:rPr>
                <w:sz w:val="20"/>
                <w:szCs w:val="20"/>
                <w:color w:val="auto"/>
              </w:rPr>
            </w:pPr>
            <w:r>
              <w:rPr>
                <w:rFonts w:ascii="Arial" w:cs="Arial" w:eastAsia="Arial" w:hAnsi="Arial"/>
                <w:sz w:val="18"/>
                <w:szCs w:val="18"/>
                <w:color w:val="auto"/>
              </w:rPr>
              <w:t>Section 368 Reorganization</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A-39</w:t>
            </w:r>
          </w:p>
        </w:tc>
      </w:tr>
      <w:tr>
        <w:trPr>
          <w:trHeight w:val="40"/>
        </w:trPr>
        <w:tc>
          <w:tcPr>
            <w:tcW w:w="1220" w:type="dxa"/>
            <w:vAlign w:val="bottom"/>
          </w:tcPr>
          <w:p>
            <w:pPr>
              <w:spacing w:after="0"/>
              <w:rPr>
                <w:sz w:val="3"/>
                <w:szCs w:val="3"/>
                <w:color w:val="auto"/>
              </w:rPr>
            </w:pPr>
          </w:p>
        </w:tc>
        <w:tc>
          <w:tcPr>
            <w:tcW w:w="61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7.10</w:t>
            </w:r>
          </w:p>
        </w:tc>
        <w:tc>
          <w:tcPr>
            <w:tcW w:w="6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Stockholder Litigation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A-39</w:t>
            </w:r>
          </w:p>
        </w:tc>
      </w:tr>
      <w:tr>
        <w:trPr>
          <w:trHeight w:val="283"/>
        </w:trPr>
        <w:tc>
          <w:tcPr>
            <w:tcW w:w="732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r>
      <w:tr>
        <w:trPr>
          <w:trHeight w:val="264"/>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ARTICLE VIII CONDITIONS PRECEDENT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A-39</w:t>
            </w:r>
          </w:p>
        </w:tc>
      </w:tr>
      <w:tr>
        <w:trPr>
          <w:trHeight w:val="283"/>
        </w:trPr>
        <w:tc>
          <w:tcPr>
            <w:tcW w:w="12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3"/>
        </w:trPr>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8.1</w:t>
            </w:r>
          </w:p>
        </w:tc>
        <w:tc>
          <w:tcPr>
            <w:tcW w:w="6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Conditions to Each Party’s Obligation to Effect the Merger</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A-39</w:t>
            </w:r>
          </w:p>
        </w:tc>
      </w:tr>
      <w:tr>
        <w:trPr>
          <w:trHeight w:val="243"/>
        </w:trPr>
        <w:tc>
          <w:tcPr>
            <w:tcW w:w="1220" w:type="dxa"/>
            <w:vAlign w:val="bottom"/>
          </w:tcPr>
          <w:p>
            <w:pPr>
              <w:ind w:left="180"/>
              <w:spacing w:after="0"/>
              <w:rPr>
                <w:sz w:val="20"/>
                <w:szCs w:val="20"/>
                <w:color w:val="auto"/>
              </w:rPr>
            </w:pPr>
            <w:r>
              <w:rPr>
                <w:rFonts w:ascii="Arial" w:cs="Arial" w:eastAsia="Arial" w:hAnsi="Arial"/>
                <w:sz w:val="18"/>
                <w:szCs w:val="18"/>
                <w:color w:val="auto"/>
              </w:rPr>
              <w:t>Section 8.2</w:t>
            </w:r>
          </w:p>
        </w:tc>
        <w:tc>
          <w:tcPr>
            <w:tcW w:w="6100" w:type="dxa"/>
            <w:vAlign w:val="bottom"/>
          </w:tcPr>
          <w:p>
            <w:pPr>
              <w:ind w:left="80"/>
              <w:spacing w:after="0"/>
              <w:rPr>
                <w:sz w:val="20"/>
                <w:szCs w:val="20"/>
                <w:color w:val="auto"/>
              </w:rPr>
            </w:pPr>
            <w:r>
              <w:rPr>
                <w:rFonts w:ascii="Arial" w:cs="Arial" w:eastAsia="Arial" w:hAnsi="Arial"/>
                <w:sz w:val="18"/>
                <w:szCs w:val="18"/>
                <w:color w:val="auto"/>
              </w:rPr>
              <w:t>Conditions to Obligations of Parent and Merger Sub</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A-39</w:t>
            </w:r>
          </w:p>
        </w:tc>
      </w:tr>
      <w:tr>
        <w:trPr>
          <w:trHeight w:val="40"/>
        </w:trPr>
        <w:tc>
          <w:tcPr>
            <w:tcW w:w="1220" w:type="dxa"/>
            <w:vAlign w:val="bottom"/>
          </w:tcPr>
          <w:p>
            <w:pPr>
              <w:spacing w:after="0"/>
              <w:rPr>
                <w:sz w:val="3"/>
                <w:szCs w:val="3"/>
                <w:color w:val="auto"/>
              </w:rPr>
            </w:pPr>
          </w:p>
        </w:tc>
        <w:tc>
          <w:tcPr>
            <w:tcW w:w="61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8.3</w:t>
            </w:r>
          </w:p>
        </w:tc>
        <w:tc>
          <w:tcPr>
            <w:tcW w:w="6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Conditions to Obligation of the Company</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A-40</w:t>
            </w:r>
          </w:p>
        </w:tc>
      </w:tr>
      <w:tr>
        <w:trPr>
          <w:trHeight w:val="283"/>
        </w:trPr>
        <w:tc>
          <w:tcPr>
            <w:tcW w:w="732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r>
      <w:tr>
        <w:trPr>
          <w:trHeight w:val="263"/>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ARTICLE IX TERMINATION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A-41</w:t>
            </w:r>
          </w:p>
        </w:tc>
      </w:tr>
      <w:tr>
        <w:trPr>
          <w:trHeight w:val="284"/>
        </w:trPr>
        <w:tc>
          <w:tcPr>
            <w:tcW w:w="12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3"/>
        </w:trPr>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9.1</w:t>
            </w:r>
          </w:p>
        </w:tc>
        <w:tc>
          <w:tcPr>
            <w:tcW w:w="6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Termination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A-41</w:t>
            </w:r>
          </w:p>
        </w:tc>
      </w:tr>
      <w:tr>
        <w:trPr>
          <w:trHeight w:val="243"/>
        </w:trPr>
        <w:tc>
          <w:tcPr>
            <w:tcW w:w="1220" w:type="dxa"/>
            <w:vAlign w:val="bottom"/>
          </w:tcPr>
          <w:p>
            <w:pPr>
              <w:ind w:left="180"/>
              <w:spacing w:after="0"/>
              <w:rPr>
                <w:sz w:val="20"/>
                <w:szCs w:val="20"/>
                <w:color w:val="auto"/>
              </w:rPr>
            </w:pPr>
            <w:r>
              <w:rPr>
                <w:rFonts w:ascii="Arial" w:cs="Arial" w:eastAsia="Arial" w:hAnsi="Arial"/>
                <w:sz w:val="18"/>
                <w:szCs w:val="18"/>
                <w:color w:val="auto"/>
              </w:rPr>
              <w:t>Section 9.2</w:t>
            </w:r>
          </w:p>
        </w:tc>
        <w:tc>
          <w:tcPr>
            <w:tcW w:w="6100" w:type="dxa"/>
            <w:vAlign w:val="bottom"/>
          </w:tcPr>
          <w:p>
            <w:pPr>
              <w:ind w:left="80"/>
              <w:spacing w:after="0"/>
              <w:rPr>
                <w:sz w:val="20"/>
                <w:szCs w:val="20"/>
                <w:color w:val="auto"/>
              </w:rPr>
            </w:pPr>
            <w:r>
              <w:rPr>
                <w:rFonts w:ascii="Arial" w:cs="Arial" w:eastAsia="Arial" w:hAnsi="Arial"/>
                <w:sz w:val="18"/>
                <w:szCs w:val="18"/>
                <w:color w:val="auto"/>
              </w:rPr>
              <w:t>Effect of Termination</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A-42</w:t>
            </w:r>
          </w:p>
        </w:tc>
      </w:tr>
      <w:tr>
        <w:trPr>
          <w:trHeight w:val="40"/>
        </w:trPr>
        <w:tc>
          <w:tcPr>
            <w:tcW w:w="7320" w:type="dxa"/>
            <w:vAlign w:val="bottom"/>
            <w:gridSpan w:val="2"/>
          </w:tcPr>
          <w:p>
            <w:pPr>
              <w:spacing w:after="0"/>
              <w:rPr>
                <w:sz w:val="3"/>
                <w:szCs w:val="3"/>
                <w:color w:val="auto"/>
              </w:rPr>
            </w:pPr>
          </w:p>
        </w:tc>
        <w:tc>
          <w:tcPr>
            <w:tcW w:w="780" w:type="dxa"/>
            <w:vAlign w:val="bottom"/>
          </w:tcPr>
          <w:p>
            <w:pPr>
              <w:spacing w:after="0"/>
              <w:rPr>
                <w:sz w:val="3"/>
                <w:szCs w:val="3"/>
                <w:color w:val="auto"/>
              </w:rPr>
            </w:pPr>
          </w:p>
        </w:tc>
      </w:tr>
      <w:tr>
        <w:trPr>
          <w:trHeight w:val="284"/>
        </w:trPr>
        <w:tc>
          <w:tcPr>
            <w:tcW w:w="7320" w:type="dxa"/>
            <w:vAlign w:val="bottom"/>
            <w:gridSpan w:val="2"/>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732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A-43</w:t>
            </w:r>
          </w:p>
        </w:tc>
      </w:tr>
      <w:tr>
        <w:trPr>
          <w:trHeight w:val="40"/>
        </w:trPr>
        <w:tc>
          <w:tcPr>
            <w:tcW w:w="1220" w:type="dxa"/>
            <w:vAlign w:val="bottom"/>
          </w:tcPr>
          <w:p>
            <w:pPr>
              <w:spacing w:after="0"/>
              <w:rPr>
                <w:sz w:val="3"/>
                <w:szCs w:val="3"/>
                <w:color w:val="auto"/>
              </w:rPr>
            </w:pPr>
          </w:p>
        </w:tc>
        <w:tc>
          <w:tcPr>
            <w:tcW w:w="61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83"/>
        </w:trPr>
        <w:tc>
          <w:tcPr>
            <w:tcW w:w="1220" w:type="dxa"/>
            <w:vAlign w:val="bottom"/>
            <w:shd w:val="clear" w:color="auto" w:fill="CCEEFF"/>
          </w:tcPr>
          <w:p>
            <w:pPr>
              <w:spacing w:after="0"/>
              <w:rPr>
                <w:sz w:val="24"/>
                <w:szCs w:val="24"/>
                <w:color w:val="auto"/>
              </w:rPr>
            </w:pPr>
          </w:p>
        </w:tc>
        <w:tc>
          <w:tcPr>
            <w:tcW w:w="6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1220" w:type="dxa"/>
            <w:vAlign w:val="bottom"/>
          </w:tcPr>
          <w:p>
            <w:pPr>
              <w:ind w:left="180"/>
              <w:spacing w:after="0"/>
              <w:rPr>
                <w:sz w:val="20"/>
                <w:szCs w:val="20"/>
                <w:color w:val="auto"/>
              </w:rPr>
            </w:pPr>
            <w:r>
              <w:rPr>
                <w:rFonts w:ascii="Arial" w:cs="Arial" w:eastAsia="Arial" w:hAnsi="Arial"/>
                <w:sz w:val="18"/>
                <w:szCs w:val="18"/>
                <w:color w:val="auto"/>
              </w:rPr>
              <w:t>Section 10.1</w:t>
            </w:r>
          </w:p>
        </w:tc>
        <w:tc>
          <w:tcPr>
            <w:tcW w:w="6100" w:type="dxa"/>
            <w:vAlign w:val="bottom"/>
          </w:tcPr>
          <w:p>
            <w:pPr>
              <w:ind w:left="80"/>
              <w:spacing w:after="0"/>
              <w:rPr>
                <w:sz w:val="20"/>
                <w:szCs w:val="20"/>
                <w:color w:val="auto"/>
              </w:rPr>
            </w:pPr>
            <w:r>
              <w:rPr>
                <w:rFonts w:ascii="Arial" w:cs="Arial" w:eastAsia="Arial" w:hAnsi="Arial"/>
                <w:sz w:val="18"/>
                <w:szCs w:val="18"/>
                <w:color w:val="auto"/>
              </w:rPr>
              <w:t>Amendment or Supplement</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A-43</w:t>
            </w:r>
          </w:p>
        </w:tc>
      </w:tr>
      <w:tr>
        <w:trPr>
          <w:trHeight w:val="40"/>
        </w:trPr>
        <w:tc>
          <w:tcPr>
            <w:tcW w:w="1220" w:type="dxa"/>
            <w:vAlign w:val="bottom"/>
          </w:tcPr>
          <w:p>
            <w:pPr>
              <w:spacing w:after="0"/>
              <w:rPr>
                <w:sz w:val="3"/>
                <w:szCs w:val="3"/>
                <w:color w:val="auto"/>
              </w:rPr>
            </w:pPr>
          </w:p>
        </w:tc>
        <w:tc>
          <w:tcPr>
            <w:tcW w:w="61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10.2</w:t>
            </w:r>
          </w:p>
        </w:tc>
        <w:tc>
          <w:tcPr>
            <w:tcW w:w="6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Extension of Time, Waiver, Etc</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A-43</w:t>
            </w:r>
          </w:p>
        </w:tc>
      </w:tr>
      <w:tr>
        <w:trPr>
          <w:trHeight w:val="243"/>
        </w:trPr>
        <w:tc>
          <w:tcPr>
            <w:tcW w:w="1220" w:type="dxa"/>
            <w:vAlign w:val="bottom"/>
          </w:tcPr>
          <w:p>
            <w:pPr>
              <w:ind w:left="180"/>
              <w:spacing w:after="0"/>
              <w:rPr>
                <w:sz w:val="20"/>
                <w:szCs w:val="20"/>
                <w:color w:val="auto"/>
              </w:rPr>
            </w:pPr>
            <w:r>
              <w:rPr>
                <w:rFonts w:ascii="Arial" w:cs="Arial" w:eastAsia="Arial" w:hAnsi="Arial"/>
                <w:sz w:val="18"/>
                <w:szCs w:val="18"/>
                <w:color w:val="auto"/>
              </w:rPr>
              <w:t>Section 10.3</w:t>
            </w:r>
          </w:p>
        </w:tc>
        <w:tc>
          <w:tcPr>
            <w:tcW w:w="6100" w:type="dxa"/>
            <w:vAlign w:val="bottom"/>
          </w:tcPr>
          <w:p>
            <w:pPr>
              <w:ind w:left="80"/>
              <w:spacing w:after="0"/>
              <w:rPr>
                <w:sz w:val="20"/>
                <w:szCs w:val="20"/>
                <w:color w:val="auto"/>
              </w:rPr>
            </w:pPr>
            <w:r>
              <w:rPr>
                <w:rFonts w:ascii="Arial" w:cs="Arial" w:eastAsia="Arial" w:hAnsi="Arial"/>
                <w:sz w:val="18"/>
                <w:szCs w:val="18"/>
                <w:color w:val="auto"/>
              </w:rPr>
              <w:t>Assignment</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A-43</w:t>
            </w:r>
          </w:p>
        </w:tc>
      </w:tr>
      <w:tr>
        <w:trPr>
          <w:trHeight w:val="40"/>
        </w:trPr>
        <w:tc>
          <w:tcPr>
            <w:tcW w:w="1220" w:type="dxa"/>
            <w:vAlign w:val="bottom"/>
          </w:tcPr>
          <w:p>
            <w:pPr>
              <w:spacing w:after="0"/>
              <w:rPr>
                <w:sz w:val="3"/>
                <w:szCs w:val="3"/>
                <w:color w:val="auto"/>
              </w:rPr>
            </w:pPr>
          </w:p>
        </w:tc>
        <w:tc>
          <w:tcPr>
            <w:tcW w:w="61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10.4</w:t>
            </w:r>
          </w:p>
        </w:tc>
        <w:tc>
          <w:tcPr>
            <w:tcW w:w="6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Counterparts; Facsimile; Electronic Transmission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A-43</w:t>
            </w:r>
          </w:p>
        </w:tc>
      </w:tr>
      <w:tr>
        <w:trPr>
          <w:trHeight w:val="243"/>
        </w:trPr>
        <w:tc>
          <w:tcPr>
            <w:tcW w:w="1220" w:type="dxa"/>
            <w:vAlign w:val="bottom"/>
          </w:tcPr>
          <w:p>
            <w:pPr>
              <w:ind w:left="180"/>
              <w:spacing w:after="0"/>
              <w:rPr>
                <w:sz w:val="20"/>
                <w:szCs w:val="20"/>
                <w:color w:val="auto"/>
              </w:rPr>
            </w:pPr>
            <w:r>
              <w:rPr>
                <w:rFonts w:ascii="Arial" w:cs="Arial" w:eastAsia="Arial" w:hAnsi="Arial"/>
                <w:sz w:val="18"/>
                <w:szCs w:val="18"/>
                <w:color w:val="auto"/>
              </w:rPr>
              <w:t>Section 10.5</w:t>
            </w:r>
          </w:p>
        </w:tc>
        <w:tc>
          <w:tcPr>
            <w:tcW w:w="6100" w:type="dxa"/>
            <w:vAlign w:val="bottom"/>
          </w:tcPr>
          <w:p>
            <w:pPr>
              <w:ind w:left="80"/>
              <w:spacing w:after="0"/>
              <w:rPr>
                <w:sz w:val="20"/>
                <w:szCs w:val="20"/>
                <w:color w:val="auto"/>
              </w:rPr>
            </w:pPr>
            <w:r>
              <w:rPr>
                <w:rFonts w:ascii="Arial" w:cs="Arial" w:eastAsia="Arial" w:hAnsi="Arial"/>
                <w:sz w:val="18"/>
                <w:szCs w:val="18"/>
                <w:color w:val="auto"/>
              </w:rPr>
              <w:t>Entire Agreement; No Third-Party Beneficiaries</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A-43</w:t>
            </w:r>
          </w:p>
        </w:tc>
      </w:tr>
      <w:tr>
        <w:trPr>
          <w:trHeight w:val="40"/>
        </w:trPr>
        <w:tc>
          <w:tcPr>
            <w:tcW w:w="1220" w:type="dxa"/>
            <w:vAlign w:val="bottom"/>
          </w:tcPr>
          <w:p>
            <w:pPr>
              <w:spacing w:after="0"/>
              <w:rPr>
                <w:sz w:val="3"/>
                <w:szCs w:val="3"/>
                <w:color w:val="auto"/>
              </w:rPr>
            </w:pPr>
          </w:p>
        </w:tc>
        <w:tc>
          <w:tcPr>
            <w:tcW w:w="61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10.6</w:t>
            </w:r>
          </w:p>
        </w:tc>
        <w:tc>
          <w:tcPr>
            <w:tcW w:w="6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Governing Law</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A-43</w:t>
            </w:r>
          </w:p>
        </w:tc>
      </w:tr>
      <w:tr>
        <w:trPr>
          <w:trHeight w:val="243"/>
        </w:trPr>
        <w:tc>
          <w:tcPr>
            <w:tcW w:w="1220" w:type="dxa"/>
            <w:vAlign w:val="bottom"/>
          </w:tcPr>
          <w:p>
            <w:pPr>
              <w:ind w:left="180"/>
              <w:spacing w:after="0"/>
              <w:rPr>
                <w:sz w:val="20"/>
                <w:szCs w:val="20"/>
                <w:color w:val="auto"/>
              </w:rPr>
            </w:pPr>
            <w:r>
              <w:rPr>
                <w:rFonts w:ascii="Arial" w:cs="Arial" w:eastAsia="Arial" w:hAnsi="Arial"/>
                <w:sz w:val="18"/>
                <w:szCs w:val="18"/>
                <w:color w:val="auto"/>
              </w:rPr>
              <w:t>Section 10.7</w:t>
            </w:r>
          </w:p>
        </w:tc>
        <w:tc>
          <w:tcPr>
            <w:tcW w:w="6100" w:type="dxa"/>
            <w:vAlign w:val="bottom"/>
          </w:tcPr>
          <w:p>
            <w:pPr>
              <w:ind w:left="80"/>
              <w:spacing w:after="0"/>
              <w:rPr>
                <w:sz w:val="20"/>
                <w:szCs w:val="20"/>
                <w:color w:val="auto"/>
              </w:rPr>
            </w:pPr>
            <w:r>
              <w:rPr>
                <w:rFonts w:ascii="Arial" w:cs="Arial" w:eastAsia="Arial" w:hAnsi="Arial"/>
                <w:sz w:val="18"/>
                <w:szCs w:val="18"/>
                <w:color w:val="auto"/>
              </w:rPr>
              <w:t>Specific Enforcement</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A-43</w:t>
            </w:r>
          </w:p>
        </w:tc>
      </w:tr>
      <w:tr>
        <w:trPr>
          <w:trHeight w:val="41"/>
        </w:trPr>
        <w:tc>
          <w:tcPr>
            <w:tcW w:w="1220" w:type="dxa"/>
            <w:vAlign w:val="bottom"/>
          </w:tcPr>
          <w:p>
            <w:pPr>
              <w:spacing w:after="0"/>
              <w:rPr>
                <w:sz w:val="3"/>
                <w:szCs w:val="3"/>
                <w:color w:val="auto"/>
              </w:rPr>
            </w:pPr>
          </w:p>
        </w:tc>
        <w:tc>
          <w:tcPr>
            <w:tcW w:w="61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10.8</w:t>
            </w:r>
          </w:p>
        </w:tc>
        <w:tc>
          <w:tcPr>
            <w:tcW w:w="6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Consent to Jurisdiction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A-44</w:t>
            </w:r>
          </w:p>
        </w:tc>
      </w:tr>
      <w:tr>
        <w:trPr>
          <w:trHeight w:val="243"/>
        </w:trPr>
        <w:tc>
          <w:tcPr>
            <w:tcW w:w="1220" w:type="dxa"/>
            <w:vAlign w:val="bottom"/>
          </w:tcPr>
          <w:p>
            <w:pPr>
              <w:ind w:left="180"/>
              <w:spacing w:after="0"/>
              <w:rPr>
                <w:sz w:val="20"/>
                <w:szCs w:val="20"/>
                <w:color w:val="auto"/>
              </w:rPr>
            </w:pPr>
            <w:r>
              <w:rPr>
                <w:rFonts w:ascii="Arial" w:cs="Arial" w:eastAsia="Arial" w:hAnsi="Arial"/>
                <w:sz w:val="18"/>
                <w:szCs w:val="18"/>
                <w:color w:val="auto"/>
              </w:rPr>
              <w:t>Section 10.9</w:t>
            </w:r>
          </w:p>
        </w:tc>
        <w:tc>
          <w:tcPr>
            <w:tcW w:w="6100" w:type="dxa"/>
            <w:vAlign w:val="bottom"/>
          </w:tcPr>
          <w:p>
            <w:pPr>
              <w:ind w:left="80"/>
              <w:spacing w:after="0"/>
              <w:rPr>
                <w:sz w:val="20"/>
                <w:szCs w:val="20"/>
                <w:color w:val="auto"/>
              </w:rPr>
            </w:pPr>
            <w:r>
              <w:rPr>
                <w:rFonts w:ascii="Arial" w:cs="Arial" w:eastAsia="Arial" w:hAnsi="Arial"/>
                <w:sz w:val="18"/>
                <w:szCs w:val="18"/>
                <w:color w:val="auto"/>
              </w:rPr>
              <w:t>Waiver of Jury Trial</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A-44</w:t>
            </w:r>
          </w:p>
        </w:tc>
      </w:tr>
      <w:tr>
        <w:trPr>
          <w:trHeight w:val="40"/>
        </w:trPr>
        <w:tc>
          <w:tcPr>
            <w:tcW w:w="1220" w:type="dxa"/>
            <w:vAlign w:val="bottom"/>
          </w:tcPr>
          <w:p>
            <w:pPr>
              <w:spacing w:after="0"/>
              <w:rPr>
                <w:sz w:val="3"/>
                <w:szCs w:val="3"/>
                <w:color w:val="auto"/>
              </w:rPr>
            </w:pPr>
          </w:p>
        </w:tc>
        <w:tc>
          <w:tcPr>
            <w:tcW w:w="61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Section 10.10</w:t>
            </w:r>
          </w:p>
        </w:tc>
        <w:tc>
          <w:tcPr>
            <w:tcW w:w="6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Notices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A-44</w:t>
            </w:r>
          </w:p>
        </w:tc>
      </w:tr>
      <w:tr>
        <w:trPr>
          <w:trHeight w:val="243"/>
        </w:trPr>
        <w:tc>
          <w:tcPr>
            <w:tcW w:w="1220" w:type="dxa"/>
            <w:vAlign w:val="bottom"/>
          </w:tcPr>
          <w:p>
            <w:pPr>
              <w:ind w:left="180"/>
              <w:spacing w:after="0"/>
              <w:rPr>
                <w:sz w:val="20"/>
                <w:szCs w:val="20"/>
                <w:color w:val="auto"/>
              </w:rPr>
            </w:pPr>
            <w:r>
              <w:rPr>
                <w:rFonts w:ascii="Arial" w:cs="Arial" w:eastAsia="Arial" w:hAnsi="Arial"/>
                <w:sz w:val="18"/>
                <w:szCs w:val="18"/>
                <w:color w:val="auto"/>
                <w:w w:val="92"/>
              </w:rPr>
              <w:t>Section 10.11</w:t>
            </w:r>
          </w:p>
        </w:tc>
        <w:tc>
          <w:tcPr>
            <w:tcW w:w="610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A-45</w:t>
            </w:r>
          </w:p>
        </w:tc>
      </w:tr>
      <w:tr>
        <w:trPr>
          <w:trHeight w:val="41"/>
        </w:trPr>
        <w:tc>
          <w:tcPr>
            <w:tcW w:w="1220" w:type="dxa"/>
            <w:vAlign w:val="bottom"/>
          </w:tcPr>
          <w:p>
            <w:pPr>
              <w:spacing w:after="0"/>
              <w:rPr>
                <w:sz w:val="3"/>
                <w:szCs w:val="3"/>
                <w:color w:val="auto"/>
              </w:rPr>
            </w:pPr>
          </w:p>
        </w:tc>
        <w:tc>
          <w:tcPr>
            <w:tcW w:w="61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Section 10.12</w:t>
            </w:r>
          </w:p>
        </w:tc>
        <w:tc>
          <w:tcPr>
            <w:tcW w:w="6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Remedies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A-45</w:t>
            </w:r>
          </w:p>
        </w:tc>
      </w:tr>
      <w:tr>
        <w:trPr>
          <w:trHeight w:val="243"/>
        </w:trPr>
        <w:tc>
          <w:tcPr>
            <w:tcW w:w="1220" w:type="dxa"/>
            <w:vAlign w:val="bottom"/>
          </w:tcPr>
          <w:p>
            <w:pPr>
              <w:ind w:left="180"/>
              <w:spacing w:after="0"/>
              <w:rPr>
                <w:sz w:val="20"/>
                <w:szCs w:val="20"/>
                <w:color w:val="auto"/>
              </w:rPr>
            </w:pPr>
            <w:r>
              <w:rPr>
                <w:rFonts w:ascii="Arial" w:cs="Arial" w:eastAsia="Arial" w:hAnsi="Arial"/>
                <w:sz w:val="18"/>
                <w:szCs w:val="18"/>
                <w:color w:val="auto"/>
                <w:w w:val="92"/>
              </w:rPr>
              <w:t>Section 10.13</w:t>
            </w:r>
          </w:p>
        </w:tc>
        <w:tc>
          <w:tcPr>
            <w:tcW w:w="6100" w:type="dxa"/>
            <w:vAlign w:val="bottom"/>
          </w:tcPr>
          <w:p>
            <w:pPr>
              <w:ind w:left="80"/>
              <w:spacing w:after="0"/>
              <w:rPr>
                <w:sz w:val="20"/>
                <w:szCs w:val="20"/>
                <w:color w:val="auto"/>
              </w:rPr>
            </w:pPr>
            <w:r>
              <w:rPr>
                <w:rFonts w:ascii="Arial" w:cs="Arial" w:eastAsia="Arial" w:hAnsi="Arial"/>
                <w:sz w:val="18"/>
                <w:szCs w:val="18"/>
                <w:color w:val="auto"/>
              </w:rPr>
              <w:t>Waiver</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A-45</w:t>
            </w:r>
          </w:p>
        </w:tc>
      </w:tr>
      <w:tr>
        <w:trPr>
          <w:trHeight w:val="41"/>
        </w:trPr>
        <w:tc>
          <w:tcPr>
            <w:tcW w:w="1220" w:type="dxa"/>
            <w:vAlign w:val="bottom"/>
          </w:tcPr>
          <w:p>
            <w:pPr>
              <w:spacing w:after="0"/>
              <w:rPr>
                <w:sz w:val="3"/>
                <w:szCs w:val="3"/>
                <w:color w:val="auto"/>
              </w:rPr>
            </w:pPr>
          </w:p>
        </w:tc>
        <w:tc>
          <w:tcPr>
            <w:tcW w:w="61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Section 10.14</w:t>
            </w:r>
          </w:p>
        </w:tc>
        <w:tc>
          <w:tcPr>
            <w:tcW w:w="6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Definitions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A-45</w:t>
            </w:r>
          </w:p>
        </w:tc>
      </w:tr>
      <w:tr>
        <w:trPr>
          <w:trHeight w:val="243"/>
        </w:trPr>
        <w:tc>
          <w:tcPr>
            <w:tcW w:w="1220" w:type="dxa"/>
            <w:vAlign w:val="bottom"/>
          </w:tcPr>
          <w:p>
            <w:pPr>
              <w:ind w:left="180"/>
              <w:spacing w:after="0"/>
              <w:rPr>
                <w:sz w:val="20"/>
                <w:szCs w:val="20"/>
                <w:color w:val="auto"/>
              </w:rPr>
            </w:pPr>
            <w:r>
              <w:rPr>
                <w:rFonts w:ascii="Arial" w:cs="Arial" w:eastAsia="Arial" w:hAnsi="Arial"/>
                <w:sz w:val="18"/>
                <w:szCs w:val="18"/>
                <w:color w:val="auto"/>
                <w:w w:val="92"/>
              </w:rPr>
              <w:t>Section 10.15</w:t>
            </w:r>
          </w:p>
        </w:tc>
        <w:tc>
          <w:tcPr>
            <w:tcW w:w="6100" w:type="dxa"/>
            <w:vAlign w:val="bottom"/>
          </w:tcPr>
          <w:p>
            <w:pPr>
              <w:ind w:left="80"/>
              <w:spacing w:after="0"/>
              <w:rPr>
                <w:sz w:val="20"/>
                <w:szCs w:val="20"/>
                <w:color w:val="auto"/>
              </w:rPr>
            </w:pPr>
            <w:r>
              <w:rPr>
                <w:rFonts w:ascii="Arial" w:cs="Arial" w:eastAsia="Arial" w:hAnsi="Arial"/>
                <w:sz w:val="18"/>
                <w:szCs w:val="18"/>
                <w:color w:val="auto"/>
              </w:rPr>
              <w:t>Interpretation</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A-52</w:t>
            </w:r>
          </w:p>
        </w:tc>
      </w:tr>
      <w:tr>
        <w:trPr>
          <w:trHeight w:val="40"/>
        </w:trPr>
        <w:tc>
          <w:tcPr>
            <w:tcW w:w="1220" w:type="dxa"/>
            <w:vAlign w:val="bottom"/>
          </w:tcPr>
          <w:p>
            <w:pPr>
              <w:spacing w:after="0"/>
              <w:rPr>
                <w:sz w:val="3"/>
                <w:szCs w:val="3"/>
                <w:color w:val="auto"/>
              </w:rPr>
            </w:pPr>
          </w:p>
        </w:tc>
        <w:tc>
          <w:tcPr>
            <w:tcW w:w="61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Section 10.16</w:t>
            </w:r>
          </w:p>
        </w:tc>
        <w:tc>
          <w:tcPr>
            <w:tcW w:w="6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Publicity</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A-53</w:t>
            </w:r>
          </w:p>
        </w:tc>
      </w:tr>
      <w:tr>
        <w:trPr>
          <w:trHeight w:val="243"/>
        </w:trPr>
        <w:tc>
          <w:tcPr>
            <w:tcW w:w="1220" w:type="dxa"/>
            <w:vAlign w:val="bottom"/>
          </w:tcPr>
          <w:p>
            <w:pPr>
              <w:ind w:left="180"/>
              <w:spacing w:after="0"/>
              <w:rPr>
                <w:sz w:val="20"/>
                <w:szCs w:val="20"/>
                <w:color w:val="auto"/>
              </w:rPr>
            </w:pPr>
            <w:r>
              <w:rPr>
                <w:rFonts w:ascii="Arial" w:cs="Arial" w:eastAsia="Arial" w:hAnsi="Arial"/>
                <w:sz w:val="18"/>
                <w:szCs w:val="18"/>
                <w:color w:val="auto"/>
                <w:w w:val="92"/>
              </w:rPr>
              <w:t>Section 10.17</w:t>
            </w:r>
          </w:p>
        </w:tc>
        <w:tc>
          <w:tcPr>
            <w:tcW w:w="6100" w:type="dxa"/>
            <w:vAlign w:val="bottom"/>
          </w:tcPr>
          <w:p>
            <w:pPr>
              <w:ind w:left="80"/>
              <w:spacing w:after="0"/>
              <w:rPr>
                <w:sz w:val="20"/>
                <w:szCs w:val="20"/>
                <w:color w:val="auto"/>
              </w:rPr>
            </w:pPr>
            <w:r>
              <w:rPr>
                <w:rFonts w:ascii="Arial" w:cs="Arial" w:eastAsia="Arial" w:hAnsi="Arial"/>
                <w:sz w:val="18"/>
                <w:szCs w:val="18"/>
                <w:color w:val="auto"/>
              </w:rPr>
              <w:t>Nonsurvival of Representations</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A-53</w:t>
            </w:r>
          </w:p>
        </w:tc>
      </w:tr>
      <w:tr>
        <w:trPr>
          <w:trHeight w:val="41"/>
        </w:trPr>
        <w:tc>
          <w:tcPr>
            <w:tcW w:w="1220" w:type="dxa"/>
            <w:vAlign w:val="bottom"/>
          </w:tcPr>
          <w:p>
            <w:pPr>
              <w:spacing w:after="0"/>
              <w:rPr>
                <w:sz w:val="3"/>
                <w:szCs w:val="3"/>
                <w:color w:val="auto"/>
              </w:rPr>
            </w:pPr>
          </w:p>
        </w:tc>
        <w:tc>
          <w:tcPr>
            <w:tcW w:w="61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43"/>
        </w:trPr>
        <w:tc>
          <w:tcPr>
            <w:tcW w:w="12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Section 10.18</w:t>
            </w:r>
          </w:p>
        </w:tc>
        <w:tc>
          <w:tcPr>
            <w:tcW w:w="6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Non-Recourse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A-53</w:t>
            </w:r>
          </w:p>
        </w:tc>
      </w:tr>
      <w:tr>
        <w:trPr>
          <w:trHeight w:val="41"/>
        </w:trPr>
        <w:tc>
          <w:tcPr>
            <w:tcW w:w="1220" w:type="dxa"/>
            <w:vAlign w:val="bottom"/>
            <w:shd w:val="clear" w:color="auto" w:fill="CCEEFF"/>
          </w:tcPr>
          <w:p>
            <w:pPr>
              <w:spacing w:after="0"/>
              <w:rPr>
                <w:sz w:val="3"/>
                <w:szCs w:val="3"/>
                <w:color w:val="auto"/>
              </w:rPr>
            </w:pPr>
          </w:p>
        </w:tc>
        <w:tc>
          <w:tcPr>
            <w:tcW w:w="6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889" w:gutter="0" w:footer="0" w:header="0"/>
        </w:sectPr>
      </w:pPr>
    </w:p>
    <w:bookmarkStart w:id="355" w:name="page356"/>
    <w:bookmarkEnd w:id="35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137160</wp:posOffset>
            </wp:positionV>
            <wp:extent cx="5143500" cy="1797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9" w:lineRule="exact"/>
        <w:rPr>
          <w:sz w:val="20"/>
          <w:szCs w:val="20"/>
          <w:color w:val="auto"/>
        </w:rPr>
      </w:pPr>
    </w:p>
    <w:p>
      <w:pPr>
        <w:ind w:left="460" w:right="3979"/>
        <w:spacing w:after="0" w:line="328" w:lineRule="auto"/>
        <w:rPr>
          <w:sz w:val="20"/>
          <w:szCs w:val="20"/>
          <w:color w:val="auto"/>
        </w:rPr>
      </w:pPr>
      <w:r>
        <w:rPr>
          <w:rFonts w:ascii="Arial" w:cs="Arial" w:eastAsia="Arial" w:hAnsi="Arial"/>
          <w:sz w:val="18"/>
          <w:szCs w:val="18"/>
          <w:color w:val="auto"/>
        </w:rPr>
        <w:t>Exhibit A Form of Company Stockholder Support Agreement Exhibit B Form of Sponsor Support Agreement Exhibit C Form of Certificate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-186055</wp:posOffset>
            </wp:positionV>
            <wp:extent cx="5143500" cy="1797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ind w:left="460"/>
        <w:spacing w:after="0"/>
        <w:tabs>
          <w:tab w:leader="none" w:pos="132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right="2079"/>
        <w:spacing w:after="0" w:line="328" w:lineRule="auto"/>
        <w:rPr>
          <w:sz w:val="20"/>
          <w:szCs w:val="20"/>
          <w:color w:val="auto"/>
        </w:rPr>
      </w:pPr>
      <w:r>
        <w:rPr>
          <w:rFonts w:ascii="Arial" w:cs="Arial" w:eastAsia="Arial" w:hAnsi="Arial"/>
          <w:sz w:val="18"/>
          <w:szCs w:val="18"/>
          <w:color w:val="auto"/>
        </w:rPr>
        <w:t>Exhibit E Form of Second Amended and Restated Certificate of Incorporation of Parent Exhibit F Form of Amended and Restated Bylaws of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-6350</wp:posOffset>
            </wp:positionV>
            <wp:extent cx="5143500" cy="17970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ind w:left="460" w:right="3099"/>
        <w:spacing w:after="0" w:line="328" w:lineRule="auto"/>
        <w:rPr>
          <w:sz w:val="20"/>
          <w:szCs w:val="20"/>
          <w:color w:val="auto"/>
        </w:rPr>
      </w:pPr>
      <w:r>
        <w:rPr>
          <w:rFonts w:ascii="Arial" w:cs="Arial" w:eastAsia="Arial" w:hAnsi="Arial"/>
          <w:sz w:val="18"/>
          <w:szCs w:val="18"/>
          <w:color w:val="auto"/>
        </w:rPr>
        <w:t>Exhibit G Form of Amended and Restated Registration Rights Agreement Exhibit H Form of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-6350</wp:posOffset>
            </wp:positionV>
            <wp:extent cx="5143500" cy="1797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ind w:left="460"/>
        <w:spacing w:after="0"/>
        <w:tabs>
          <w:tab w:leader="none" w:pos="1320" w:val="left"/>
        </w:tabs>
        <w:rPr>
          <w:sz w:val="20"/>
          <w:szCs w:val="20"/>
          <w:color w:val="auto"/>
        </w:rPr>
      </w:pPr>
      <w:r>
        <w:rPr>
          <w:rFonts w:ascii="Arial" w:cs="Arial" w:eastAsia="Arial" w:hAnsi="Arial"/>
          <w:sz w:val="18"/>
          <w:szCs w:val="18"/>
          <w:color w:val="auto"/>
        </w:rPr>
        <w:t>Exhibit I</w:t>
      </w:r>
      <w:r>
        <w:rPr>
          <w:sz w:val="20"/>
          <w:szCs w:val="20"/>
          <w:color w:val="auto"/>
        </w:rPr>
        <w:tab/>
      </w:r>
      <w:r>
        <w:rPr>
          <w:rFonts w:ascii="Arial" w:cs="Arial" w:eastAsia="Arial" w:hAnsi="Arial"/>
          <w:sz w:val="16"/>
          <w:szCs w:val="16"/>
          <w:color w:val="auto"/>
        </w:rPr>
        <w:t>Form of Employee Stock Purchase Plan</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SCHEDULES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Disclosure Schedules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1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Schedule 1.7</w:t>
            </w:r>
          </w:p>
        </w:tc>
        <w:tc>
          <w:tcPr>
            <w:tcW w:w="6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Directors and Officers of the Surviving Corporation</w:t>
            </w:r>
          </w:p>
        </w:tc>
      </w:tr>
      <w:tr>
        <w:trPr>
          <w:trHeight w:val="243"/>
        </w:trPr>
        <w:tc>
          <w:tcPr>
            <w:tcW w:w="1380" w:type="dxa"/>
            <w:vAlign w:val="bottom"/>
          </w:tcPr>
          <w:p>
            <w:pPr>
              <w:spacing w:after="0"/>
              <w:rPr>
                <w:sz w:val="20"/>
                <w:szCs w:val="20"/>
                <w:color w:val="auto"/>
              </w:rPr>
            </w:pPr>
            <w:r>
              <w:rPr>
                <w:rFonts w:ascii="Arial" w:cs="Arial" w:eastAsia="Arial" w:hAnsi="Arial"/>
                <w:sz w:val="18"/>
                <w:szCs w:val="18"/>
                <w:color w:val="auto"/>
              </w:rPr>
              <w:t>Schedule 2.1</w:t>
            </w:r>
          </w:p>
        </w:tc>
        <w:tc>
          <w:tcPr>
            <w:tcW w:w="6720" w:type="dxa"/>
            <w:vAlign w:val="bottom"/>
          </w:tcPr>
          <w:p>
            <w:pPr>
              <w:ind w:left="80"/>
              <w:spacing w:after="0"/>
              <w:rPr>
                <w:sz w:val="20"/>
                <w:szCs w:val="20"/>
                <w:color w:val="auto"/>
              </w:rPr>
            </w:pPr>
            <w:r>
              <w:rPr>
                <w:rFonts w:ascii="Arial" w:cs="Arial" w:eastAsia="Arial" w:hAnsi="Arial"/>
                <w:sz w:val="18"/>
                <w:szCs w:val="18"/>
                <w:color w:val="auto"/>
              </w:rPr>
              <w:t>Equityholder Allocation Schedule</w:t>
            </w:r>
          </w:p>
        </w:tc>
      </w:tr>
      <w:tr>
        <w:trPr>
          <w:trHeight w:val="40"/>
        </w:trPr>
        <w:tc>
          <w:tcPr>
            <w:tcW w:w="1380" w:type="dxa"/>
            <w:vAlign w:val="bottom"/>
          </w:tcPr>
          <w:p>
            <w:pPr>
              <w:spacing w:after="0"/>
              <w:rPr>
                <w:sz w:val="3"/>
                <w:szCs w:val="3"/>
                <w:color w:val="auto"/>
              </w:rPr>
            </w:pPr>
          </w:p>
        </w:tc>
        <w:tc>
          <w:tcPr>
            <w:tcW w:w="6720" w:type="dxa"/>
            <w:vAlign w:val="bottom"/>
          </w:tcPr>
          <w:p>
            <w:pPr>
              <w:spacing w:after="0"/>
              <w:rPr>
                <w:sz w:val="3"/>
                <w:szCs w:val="3"/>
                <w:color w:val="auto"/>
              </w:rPr>
            </w:pPr>
          </w:p>
        </w:tc>
      </w:tr>
      <w:tr>
        <w:trPr>
          <w:trHeight w:val="264"/>
        </w:trPr>
        <w:tc>
          <w:tcPr>
            <w:tcW w:w="1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Schedule 5.1</w:t>
            </w:r>
          </w:p>
        </w:tc>
        <w:tc>
          <w:tcPr>
            <w:tcW w:w="6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Conduct of Business of the Company</w:t>
            </w:r>
          </w:p>
        </w:tc>
      </w:tr>
      <w:tr>
        <w:trPr>
          <w:trHeight w:val="243"/>
        </w:trPr>
        <w:tc>
          <w:tcPr>
            <w:tcW w:w="1380" w:type="dxa"/>
            <w:vAlign w:val="bottom"/>
          </w:tcPr>
          <w:p>
            <w:pPr>
              <w:spacing w:after="0"/>
              <w:rPr>
                <w:sz w:val="20"/>
                <w:szCs w:val="20"/>
                <w:color w:val="auto"/>
              </w:rPr>
            </w:pPr>
            <w:r>
              <w:rPr>
                <w:rFonts w:ascii="Arial" w:cs="Arial" w:eastAsia="Arial" w:hAnsi="Arial"/>
                <w:sz w:val="18"/>
                <w:szCs w:val="18"/>
                <w:color w:val="auto"/>
              </w:rPr>
              <w:t>Schedule 6.1(b)</w:t>
            </w:r>
          </w:p>
        </w:tc>
        <w:tc>
          <w:tcPr>
            <w:tcW w:w="6720" w:type="dxa"/>
            <w:vAlign w:val="bottom"/>
          </w:tcPr>
          <w:p>
            <w:pPr>
              <w:ind w:left="80"/>
              <w:spacing w:after="0"/>
              <w:rPr>
                <w:sz w:val="20"/>
                <w:szCs w:val="20"/>
                <w:color w:val="auto"/>
              </w:rPr>
            </w:pPr>
            <w:r>
              <w:rPr>
                <w:rFonts w:ascii="Arial" w:cs="Arial" w:eastAsia="Arial" w:hAnsi="Arial"/>
                <w:sz w:val="18"/>
                <w:szCs w:val="18"/>
                <w:color w:val="auto"/>
              </w:rPr>
              <w:t>Required Consents for Conduct of Business of Parent</w:t>
            </w:r>
          </w:p>
        </w:tc>
      </w:tr>
      <w:tr>
        <w:trPr>
          <w:trHeight w:val="41"/>
        </w:trPr>
        <w:tc>
          <w:tcPr>
            <w:tcW w:w="1380" w:type="dxa"/>
            <w:vAlign w:val="bottom"/>
          </w:tcPr>
          <w:p>
            <w:pPr>
              <w:spacing w:after="0"/>
              <w:rPr>
                <w:sz w:val="3"/>
                <w:szCs w:val="3"/>
                <w:color w:val="auto"/>
              </w:rPr>
            </w:pPr>
          </w:p>
        </w:tc>
        <w:tc>
          <w:tcPr>
            <w:tcW w:w="6720" w:type="dxa"/>
            <w:vAlign w:val="bottom"/>
          </w:tcPr>
          <w:p>
            <w:pPr>
              <w:spacing w:after="0"/>
              <w:rPr>
                <w:sz w:val="3"/>
                <w:szCs w:val="3"/>
                <w:color w:val="auto"/>
              </w:rPr>
            </w:pPr>
          </w:p>
        </w:tc>
      </w:tr>
      <w:tr>
        <w:trPr>
          <w:trHeight w:val="263"/>
        </w:trPr>
        <w:tc>
          <w:tcPr>
            <w:tcW w:w="1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Schedule 7.2(e)</w:t>
            </w:r>
          </w:p>
        </w:tc>
        <w:tc>
          <w:tcPr>
            <w:tcW w:w="6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Required Consents</w:t>
            </w:r>
          </w:p>
        </w:tc>
      </w:tr>
      <w:tr>
        <w:trPr>
          <w:trHeight w:val="243"/>
        </w:trPr>
        <w:tc>
          <w:tcPr>
            <w:tcW w:w="1380" w:type="dxa"/>
            <w:vAlign w:val="bottom"/>
          </w:tcPr>
          <w:p>
            <w:pPr>
              <w:spacing w:after="0"/>
              <w:rPr>
                <w:sz w:val="20"/>
                <w:szCs w:val="20"/>
                <w:color w:val="auto"/>
              </w:rPr>
            </w:pPr>
            <w:r>
              <w:rPr>
                <w:rFonts w:ascii="Arial" w:cs="Arial" w:eastAsia="Arial" w:hAnsi="Arial"/>
                <w:sz w:val="18"/>
                <w:szCs w:val="18"/>
                <w:color w:val="auto"/>
              </w:rPr>
              <w:t>Schedule 8.2(g)</w:t>
            </w:r>
          </w:p>
        </w:tc>
        <w:tc>
          <w:tcPr>
            <w:tcW w:w="6720" w:type="dxa"/>
            <w:vAlign w:val="bottom"/>
          </w:tcPr>
          <w:p>
            <w:pPr>
              <w:ind w:left="80"/>
              <w:spacing w:after="0"/>
              <w:rPr>
                <w:sz w:val="20"/>
                <w:szCs w:val="20"/>
                <w:color w:val="auto"/>
              </w:rPr>
            </w:pPr>
            <w:r>
              <w:rPr>
                <w:rFonts w:ascii="Arial" w:cs="Arial" w:eastAsia="Arial" w:hAnsi="Arial"/>
                <w:sz w:val="18"/>
                <w:szCs w:val="18"/>
                <w:color w:val="auto"/>
              </w:rPr>
              <w:t>List of Key Stockholders</w:t>
            </w:r>
          </w:p>
        </w:tc>
      </w:tr>
      <w:tr>
        <w:trPr>
          <w:trHeight w:val="40"/>
        </w:trPr>
        <w:tc>
          <w:tcPr>
            <w:tcW w:w="1380" w:type="dxa"/>
            <w:vAlign w:val="bottom"/>
          </w:tcPr>
          <w:p>
            <w:pPr>
              <w:spacing w:after="0"/>
              <w:rPr>
                <w:sz w:val="3"/>
                <w:szCs w:val="3"/>
                <w:color w:val="auto"/>
              </w:rPr>
            </w:pPr>
          </w:p>
        </w:tc>
        <w:tc>
          <w:tcPr>
            <w:tcW w:w="6720" w:type="dxa"/>
            <w:vAlign w:val="bottom"/>
          </w:tcPr>
          <w:p>
            <w:pPr>
              <w:spacing w:after="0"/>
              <w:rPr>
                <w:sz w:val="3"/>
                <w:szCs w:val="3"/>
                <w:color w:val="auto"/>
              </w:rPr>
            </w:pPr>
          </w:p>
        </w:tc>
      </w:tr>
      <w:tr>
        <w:trPr>
          <w:trHeight w:val="263"/>
        </w:trPr>
        <w:tc>
          <w:tcPr>
            <w:tcW w:w="1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Schedule 8.2(j)</w:t>
            </w:r>
          </w:p>
        </w:tc>
        <w:tc>
          <w:tcPr>
            <w:tcW w:w="6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Third Party Consents</w:t>
            </w:r>
          </w:p>
        </w:tc>
      </w:tr>
      <w:tr>
        <w:trPr>
          <w:trHeight w:val="243"/>
        </w:trPr>
        <w:tc>
          <w:tcPr>
            <w:tcW w:w="1380" w:type="dxa"/>
            <w:vAlign w:val="bottom"/>
          </w:tcPr>
          <w:p>
            <w:pPr>
              <w:spacing w:after="0"/>
              <w:rPr>
                <w:sz w:val="20"/>
                <w:szCs w:val="20"/>
                <w:color w:val="auto"/>
              </w:rPr>
            </w:pPr>
            <w:r>
              <w:rPr>
                <w:rFonts w:ascii="Arial" w:cs="Arial" w:eastAsia="Arial" w:hAnsi="Arial"/>
                <w:sz w:val="18"/>
                <w:szCs w:val="18"/>
                <w:color w:val="auto"/>
                <w:w w:val="92"/>
              </w:rPr>
              <w:t>Schedule 10.14(a)</w:t>
            </w:r>
          </w:p>
        </w:tc>
        <w:tc>
          <w:tcPr>
            <w:tcW w:w="6720" w:type="dxa"/>
            <w:vAlign w:val="bottom"/>
          </w:tcPr>
          <w:p>
            <w:pPr>
              <w:ind w:left="80"/>
              <w:spacing w:after="0"/>
              <w:rPr>
                <w:sz w:val="20"/>
                <w:szCs w:val="20"/>
                <w:color w:val="auto"/>
              </w:rPr>
            </w:pPr>
            <w:r>
              <w:rPr>
                <w:rFonts w:ascii="Arial" w:cs="Arial" w:eastAsia="Arial" w:hAnsi="Arial"/>
                <w:sz w:val="18"/>
                <w:szCs w:val="18"/>
                <w:color w:val="auto"/>
              </w:rPr>
              <w:t>BCTG Insiders</w:t>
            </w:r>
          </w:p>
        </w:tc>
      </w:tr>
      <w:tr>
        <w:trPr>
          <w:trHeight w:val="40"/>
        </w:trPr>
        <w:tc>
          <w:tcPr>
            <w:tcW w:w="1380" w:type="dxa"/>
            <w:vAlign w:val="bottom"/>
          </w:tcPr>
          <w:p>
            <w:pPr>
              <w:spacing w:after="0"/>
              <w:rPr>
                <w:sz w:val="3"/>
                <w:szCs w:val="3"/>
                <w:color w:val="auto"/>
              </w:rPr>
            </w:pPr>
          </w:p>
        </w:tc>
        <w:tc>
          <w:tcPr>
            <w:tcW w:w="6720" w:type="dxa"/>
            <w:vAlign w:val="bottom"/>
          </w:tcPr>
          <w:p>
            <w:pPr>
              <w:spacing w:after="0"/>
              <w:rPr>
                <w:sz w:val="3"/>
                <w:szCs w:val="3"/>
                <w:color w:val="auto"/>
              </w:rPr>
            </w:pPr>
          </w:p>
        </w:tc>
      </w:tr>
      <w:tr>
        <w:trPr>
          <w:trHeight w:val="263"/>
        </w:trPr>
        <w:tc>
          <w:tcPr>
            <w:tcW w:w="1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Schedule 10.14(b)</w:t>
            </w:r>
          </w:p>
        </w:tc>
        <w:tc>
          <w:tcPr>
            <w:tcW w:w="6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Persons Having Knowledge</w:t>
            </w:r>
          </w:p>
        </w:tc>
      </w:tr>
      <w:tr>
        <w:trPr>
          <w:trHeight w:val="392"/>
        </w:trPr>
        <w:tc>
          <w:tcPr>
            <w:tcW w:w="138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ind w:left="2240"/>
              <w:spacing w:after="0"/>
              <w:rPr>
                <w:sz w:val="20"/>
                <w:szCs w:val="20"/>
                <w:color w:val="auto"/>
              </w:rPr>
            </w:pPr>
            <w:r>
              <w:rPr>
                <w:rFonts w:ascii="Arial" w:cs="Arial" w:eastAsia="Arial" w:hAnsi="Arial"/>
                <w:sz w:val="18"/>
                <w:szCs w:val="18"/>
                <w:color w:val="auto"/>
              </w:rPr>
              <w:t>Annex A-iv</w:t>
            </w:r>
          </w:p>
        </w:tc>
      </w:tr>
    </w:tbl>
    <w:p>
      <w:pPr>
        <w:sectPr>
          <w:pgSz w:w="11900" w:h="16838" w:orient="portrait"/>
          <w:cols w:equalWidth="0" w:num="1">
            <w:col w:w="9019"/>
          </w:cols>
          <w:pgMar w:left="1440" w:top="274" w:right="1440" w:bottom="1440" w:gutter="0" w:footer="0" w:header="0"/>
        </w:sectPr>
      </w:pPr>
    </w:p>
    <w:bookmarkStart w:id="356" w:name="page357"/>
    <w:bookmarkEnd w:id="35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April 13, 2021, is entered into by and among BCTG Acquisition Corp.,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BCTG Merger Sub Inc., a Delaware corporation and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and Tango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Parent, Merger Sub and the Company are sometimes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or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xml:space="preserve">”. Certain terms used in this Agreement are used as defined in </w:t>
      </w:r>
      <w:r>
        <w:rPr>
          <w:rFonts w:ascii="Arial" w:cs="Arial" w:eastAsia="Arial" w:hAnsi="Arial"/>
          <w:sz w:val="18"/>
          <w:szCs w:val="18"/>
          <w:u w:val="single" w:color="auto"/>
          <w:color w:val="auto"/>
        </w:rPr>
        <w:t>Section 10.14</w:t>
      </w:r>
      <w:r>
        <w:rPr>
          <w:rFonts w:ascii="Arial" w:cs="Arial" w:eastAsia="Arial" w:hAnsi="Arial"/>
          <w:sz w:val="18"/>
          <w:szCs w:val="18"/>
          <w:color w:val="auto"/>
        </w:rPr>
        <w: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w:t>
      </w:r>
    </w:p>
    <w:p>
      <w:pPr>
        <w:spacing w:after="0" w:line="158" w:lineRule="exact"/>
        <w:rPr>
          <w:sz w:val="20"/>
          <w:szCs w:val="20"/>
          <w:color w:val="auto"/>
        </w:rPr>
      </w:pPr>
    </w:p>
    <w:p>
      <w:pPr>
        <w:ind w:left="460" w:right="1079" w:firstLine="432"/>
        <w:spacing w:after="0" w:line="263" w:lineRule="auto"/>
        <w:rPr>
          <w:sz w:val="20"/>
          <w:szCs w:val="20"/>
          <w:color w:val="auto"/>
        </w:rPr>
      </w:pPr>
      <w:r>
        <w:rPr>
          <w:rFonts w:ascii="Arial" w:cs="Arial" w:eastAsia="Arial" w:hAnsi="Arial"/>
          <w:sz w:val="18"/>
          <w:szCs w:val="18"/>
          <w:color w:val="auto"/>
        </w:rPr>
        <w:t>WHEREAS, Parent is a blank check company formed for the sole purpose of entering into a share exchange, asset acquisition, share purchase, recapitalization, reorganization or other similar business combination with one or more businesses or entities;</w:t>
      </w:r>
    </w:p>
    <w:p>
      <w:pPr>
        <w:spacing w:after="0" w:line="103"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WHEREAS, Parent, Merger Sub and the Company intend to effect a merger of Merger Sub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in accordance with this Agreement and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16"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WHEREAS, it is intended, for U.S. federal income Tax purposes, that the Merger will be treated as qualifying as a “reorganization” within the meaning of Section 368(a) of the Code (the “</w:t>
      </w:r>
      <w:r>
        <w:rPr>
          <w:rFonts w:ascii="Arial" w:cs="Arial" w:eastAsia="Arial" w:hAnsi="Arial"/>
          <w:sz w:val="18"/>
          <w:szCs w:val="18"/>
          <w:u w:val="single" w:color="auto"/>
          <w:color w:val="auto"/>
        </w:rPr>
        <w:t>Intended Tax</w:t>
      </w:r>
      <w:r>
        <w:rPr>
          <w:rFonts w:ascii="Arial" w:cs="Arial" w:eastAsia="Arial" w:hAnsi="Arial"/>
          <w:sz w:val="18"/>
          <w:szCs w:val="18"/>
          <w:color w:val="auto"/>
        </w:rPr>
        <w:t xml:space="preserve"> </w:t>
      </w:r>
      <w:r>
        <w:rPr>
          <w:rFonts w:ascii="Arial" w:cs="Arial" w:eastAsia="Arial" w:hAnsi="Arial"/>
          <w:sz w:val="18"/>
          <w:szCs w:val="18"/>
          <w:u w:val="single" w:color="auto"/>
          <w:color w:val="auto"/>
        </w:rPr>
        <w:t>Treatment</w:t>
      </w:r>
      <w:r>
        <w:rPr>
          <w:rFonts w:ascii="Arial" w:cs="Arial" w:eastAsia="Arial" w:hAnsi="Arial"/>
          <w:sz w:val="18"/>
          <w:szCs w:val="18"/>
          <w:color w:val="auto"/>
        </w:rPr>
        <w:t>”). By executing this Agreement, the Parties hereby adopt this Agreement as a “plan of reorganization” within the meaning of Treasury Regulations Sections 1.368-2(g) and 1.368-3, and intend to file the statement required by Treasury Regulations Section 1.368-3(a);</w:t>
      </w:r>
    </w:p>
    <w:p>
      <w:pPr>
        <w:spacing w:after="0" w:line="120"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WHEREAS, it is anticipated that, prior to the consummation of the Merger, all shares of Company Preferred Stock will be converted into shares of Company Common Stock;</w:t>
      </w:r>
    </w:p>
    <w:p>
      <w:pPr>
        <w:spacing w:after="0" w:line="89"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WHEREAS, upon consummation of the Merger, Merger Sub will cease to exist, the Company will become a wholly owned subsidiary of Parent and the outstanding (i) shares of the Company’s common stock, par value $0.001 per share (the “</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and (ii) Company Options will be converted into the right to receive the consideration described in this Agreement;</w:t>
      </w:r>
    </w:p>
    <w:p>
      <w:pPr>
        <w:spacing w:after="0" w:line="119"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WHEREAS, in connection with the Transactions, Parent will enter into subscription agreements (each, as amended or modified from time to time, a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with the Parent Investors providing for aggregate investments in Parent of Parent Common Stock in a private placement of an amount not to exceed $186,100,000 (the “</w:t>
      </w:r>
      <w:r>
        <w:rPr>
          <w:rFonts w:ascii="Arial" w:cs="Arial" w:eastAsia="Arial" w:hAnsi="Arial"/>
          <w:sz w:val="18"/>
          <w:szCs w:val="18"/>
          <w:u w:val="single" w:color="auto"/>
          <w:color w:val="auto"/>
        </w:rPr>
        <w:t>PIPE Financing</w:t>
      </w:r>
      <w:r>
        <w:rPr>
          <w:rFonts w:ascii="Arial" w:cs="Arial" w:eastAsia="Arial" w:hAnsi="Arial"/>
          <w:sz w:val="18"/>
          <w:szCs w:val="18"/>
          <w:color w:val="auto"/>
        </w:rPr>
        <w:t>”);</w:t>
      </w:r>
    </w:p>
    <w:p>
      <w:pPr>
        <w:spacing w:after="0" w:line="119" w:lineRule="exact"/>
        <w:rPr>
          <w:sz w:val="20"/>
          <w:szCs w:val="20"/>
          <w:color w:val="auto"/>
        </w:rPr>
      </w:pPr>
    </w:p>
    <w:p>
      <w:pPr>
        <w:ind w:left="460" w:right="559" w:firstLine="432"/>
        <w:spacing w:after="0" w:line="342" w:lineRule="auto"/>
        <w:rPr>
          <w:sz w:val="20"/>
          <w:szCs w:val="20"/>
          <w:color w:val="auto"/>
        </w:rPr>
      </w:pPr>
      <w:r>
        <w:rPr>
          <w:rFonts w:ascii="Arial" w:cs="Arial" w:eastAsia="Arial" w:hAnsi="Arial"/>
          <w:sz w:val="16"/>
          <w:szCs w:val="16"/>
          <w:color w:val="auto"/>
        </w:rPr>
        <w:t>WHEREAS, the Board of Directors of the Company has determined that this Agreement, the Merger and the Transactions are fair and advisable to, and in the best interests of the Company and the Stockholders;</w:t>
      </w:r>
    </w:p>
    <w:p>
      <w:pPr>
        <w:spacing w:after="0" w:line="43" w:lineRule="exact"/>
        <w:rPr>
          <w:sz w:val="20"/>
          <w:szCs w:val="20"/>
          <w:color w:val="auto"/>
        </w:rPr>
      </w:pPr>
    </w:p>
    <w:p>
      <w:pPr>
        <w:ind w:left="460" w:right="539" w:firstLine="432"/>
        <w:spacing w:after="0" w:line="308" w:lineRule="auto"/>
        <w:rPr>
          <w:sz w:val="20"/>
          <w:szCs w:val="20"/>
          <w:color w:val="auto"/>
        </w:rPr>
      </w:pPr>
      <w:r>
        <w:rPr>
          <w:rFonts w:ascii="Arial" w:cs="Arial" w:eastAsia="Arial" w:hAnsi="Arial"/>
          <w:sz w:val="17"/>
          <w:szCs w:val="17"/>
          <w:color w:val="auto"/>
        </w:rPr>
        <w:t>WHEREAS, the Board of Directors of the Parent has determined that this Agreement, the Merger and the Transactions are fair and advisable to, and in the best interests of Parent and its stockholders;</w:t>
      </w:r>
    </w:p>
    <w:p>
      <w:pPr>
        <w:spacing w:after="0" w:line="79" w:lineRule="exact"/>
        <w:rPr>
          <w:sz w:val="20"/>
          <w:szCs w:val="20"/>
          <w:color w:val="auto"/>
        </w:rPr>
      </w:pPr>
    </w:p>
    <w:p>
      <w:pPr>
        <w:jc w:val="both"/>
        <w:ind w:left="460" w:right="499" w:firstLine="432"/>
        <w:spacing w:after="0" w:line="286" w:lineRule="auto"/>
        <w:rPr>
          <w:sz w:val="20"/>
          <w:szCs w:val="20"/>
          <w:color w:val="auto"/>
        </w:rPr>
      </w:pPr>
      <w:r>
        <w:rPr>
          <w:rFonts w:ascii="Arial" w:cs="Arial" w:eastAsia="Arial" w:hAnsi="Arial"/>
          <w:sz w:val="17"/>
          <w:szCs w:val="17"/>
          <w:color w:val="auto"/>
        </w:rPr>
        <w:t>WHEREAS, the Board of Directors of the Parent has approved the Merger and adopted this Agreement as the sole stockholder of Merger Sub and has determined to recommend that the stockholders of the Parent adopt, authorize and approve this Agreement, the Merger and the Transactions;</w:t>
      </w:r>
    </w:p>
    <w:p>
      <w:pPr>
        <w:spacing w:after="0" w:line="98"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WHEREAS, in conjunction with, inter alia, obtaining approval from the stockholders of Parent for the Merger and the Transactions, Parent shall provide an opportunity to its Parent Public Stockholders who purchased Parent Common Stock in the IPO to have their shares redeemed for the consideration, on the terms and subject to the conditions and limitations, set forth in the Prospectus and the Certificate of Incorporation of Parent;</w:t>
      </w:r>
    </w:p>
    <w:p>
      <w:pPr>
        <w:spacing w:after="0" w:line="107" w:lineRule="exact"/>
        <w:rPr>
          <w:sz w:val="20"/>
          <w:szCs w:val="20"/>
          <w:color w:val="auto"/>
        </w:rPr>
      </w:pPr>
    </w:p>
    <w:p>
      <w:pPr>
        <w:ind w:left="460" w:right="679" w:firstLine="432"/>
        <w:spacing w:after="0" w:line="257" w:lineRule="auto"/>
        <w:rPr>
          <w:sz w:val="20"/>
          <w:szCs w:val="20"/>
          <w:color w:val="auto"/>
        </w:rPr>
      </w:pPr>
      <w:r>
        <w:rPr>
          <w:rFonts w:ascii="Arial" w:cs="Arial" w:eastAsia="Arial" w:hAnsi="Arial"/>
          <w:sz w:val="18"/>
          <w:szCs w:val="18"/>
          <w:color w:val="auto"/>
        </w:rPr>
        <w:t xml:space="preserve">WHEREAS, contemporaneously with the execution and delivery of this Agreement, in connection with the Transactions, Parent and the Requisite Common Vote are entering into Company Stockholder support agreements, dated as of the date hereof,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providing that, among other things, such persons will vote their Company Shares in favor of this Agreement, Merger and the other Transactions; and</w:t>
      </w:r>
    </w:p>
    <w:p>
      <w:pPr>
        <w:spacing w:after="0" w:line="120" w:lineRule="exact"/>
        <w:rPr>
          <w:sz w:val="20"/>
          <w:szCs w:val="20"/>
          <w:color w:val="auto"/>
        </w:rPr>
      </w:pPr>
    </w:p>
    <w:p>
      <w:pPr>
        <w:ind w:left="460" w:right="659" w:firstLine="432"/>
        <w:spacing w:after="0" w:line="296" w:lineRule="auto"/>
        <w:rPr>
          <w:sz w:val="20"/>
          <w:szCs w:val="20"/>
          <w:color w:val="auto"/>
        </w:rPr>
      </w:pPr>
      <w:r>
        <w:rPr>
          <w:rFonts w:ascii="Arial" w:cs="Arial" w:eastAsia="Arial" w:hAnsi="Arial"/>
          <w:sz w:val="16"/>
          <w:szCs w:val="16"/>
          <w:color w:val="auto"/>
        </w:rPr>
        <w:t>WHEREAS, contemporaneously with the execution and delivery of this Agreement, in connection with the Transactions, the Company and BCTG Holdings, LLC (the “</w:t>
      </w:r>
      <w:r>
        <w:rPr>
          <w:rFonts w:ascii="Arial" w:cs="Arial" w:eastAsia="Arial" w:hAnsi="Arial"/>
          <w:sz w:val="16"/>
          <w:szCs w:val="16"/>
          <w:u w:val="single" w:color="auto"/>
          <w:color w:val="auto"/>
        </w:rPr>
        <w:t>Sponsor</w:t>
      </w:r>
      <w:r>
        <w:rPr>
          <w:rFonts w:ascii="Arial" w:cs="Arial" w:eastAsia="Arial" w:hAnsi="Arial"/>
          <w:sz w:val="16"/>
          <w:szCs w:val="16"/>
          <w:color w:val="auto"/>
        </w:rPr>
        <w:t>”) are entering into Sponsor Support Agreement, dated as of the date hereof (the “</w:t>
      </w:r>
      <w:r>
        <w:rPr>
          <w:rFonts w:ascii="Arial" w:cs="Arial" w:eastAsia="Arial" w:hAnsi="Arial"/>
          <w:sz w:val="16"/>
          <w:szCs w:val="16"/>
          <w:u w:val="single" w:color="auto"/>
          <w:color w:val="auto"/>
        </w:rPr>
        <w:t>Sponsor Support Agreement</w:t>
      </w:r>
      <w:r>
        <w:rPr>
          <w:rFonts w:ascii="Arial" w:cs="Arial" w:eastAsia="Arial" w:hAnsi="Arial"/>
          <w:sz w:val="16"/>
          <w:szCs w:val="16"/>
          <w:color w:val="auto"/>
        </w:rPr>
        <w:t xml:space="preserve">”),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providing that, among other things, the Sponsor pursuant to the Sponsor Support Agreement will vote its shares of Parent Common Stock in favor of this Agreement and the Transactions.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7" w:name="page358"/>
    <w:bookmarkEnd w:id="35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999" w:firstLine="432"/>
        <w:spacing w:after="0" w:line="263" w:lineRule="auto"/>
        <w:rPr>
          <w:sz w:val="20"/>
          <w:szCs w:val="20"/>
          <w:color w:val="auto"/>
        </w:rPr>
      </w:pPr>
      <w:r>
        <w:rPr>
          <w:rFonts w:ascii="Arial" w:cs="Arial" w:eastAsia="Arial" w:hAnsi="Arial"/>
          <w:sz w:val="18"/>
          <w:szCs w:val="18"/>
          <w:color w:val="auto"/>
        </w:rPr>
        <w:t>NOW, THEREFORE, in consideration of the premises, covenants, agreements, representations and warranties set forth herein, and for other good and valuable consideration, the Parties to this Agreement, intending to be legally bound, agree as follows: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MERGER</w:t>
      </w:r>
    </w:p>
    <w:p>
      <w:pPr>
        <w:spacing w:after="0" w:line="144" w:lineRule="exact"/>
        <w:rPr>
          <w:sz w:val="20"/>
          <w:szCs w:val="20"/>
          <w:color w:val="auto"/>
        </w:rPr>
      </w:pPr>
    </w:p>
    <w:p>
      <w:pPr>
        <w:jc w:val="both"/>
        <w:ind w:left="460" w:right="579" w:firstLine="432"/>
        <w:spacing w:after="0" w:line="291"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The Merger</w:t>
      </w:r>
      <w:r>
        <w:rPr>
          <w:rFonts w:ascii="Arial" w:cs="Arial" w:eastAsia="Arial" w:hAnsi="Arial"/>
          <w:sz w:val="16"/>
          <w:szCs w:val="16"/>
          <w:color w:val="auto"/>
        </w:rPr>
        <w:t>. Upon the terms and subject to the conditions set forth in this Agreement, and in accordance with the DGCL, at the Effective Time, (a) Merger Sub shall be merged with and into the Company,</w:t>
      </w:r>
    </w:p>
    <w:p>
      <w:pPr>
        <w:ind w:left="700" w:hanging="246"/>
        <w:spacing w:after="0"/>
        <w:tabs>
          <w:tab w:leader="none" w:pos="70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the separate corporate existence of Merger Sub shall thereupon cease, and the Company shall be the</w:t>
      </w:r>
    </w:p>
    <w:p>
      <w:pPr>
        <w:spacing w:after="0" w:line="20" w:lineRule="exact"/>
        <w:rPr>
          <w:rFonts w:ascii="Arial" w:cs="Arial" w:eastAsia="Arial" w:hAnsi="Arial"/>
          <w:sz w:val="17"/>
          <w:szCs w:val="17"/>
          <w:color w:val="auto"/>
        </w:rPr>
      </w:pPr>
    </w:p>
    <w:p>
      <w:pPr>
        <w:ind w:left="460" w:right="859"/>
        <w:spacing w:after="0" w:line="260" w:lineRule="auto"/>
        <w:rPr>
          <w:rFonts w:ascii="Arial" w:cs="Arial" w:eastAsia="Arial" w:hAnsi="Arial"/>
          <w:sz w:val="17"/>
          <w:szCs w:val="17"/>
          <w:color w:val="auto"/>
        </w:rPr>
      </w:pPr>
      <w:r>
        <w:rPr>
          <w:rFonts w:ascii="Arial" w:cs="Arial" w:eastAsia="Arial" w:hAnsi="Arial"/>
          <w:sz w:val="18"/>
          <w:szCs w:val="18"/>
          <w:color w:val="auto"/>
        </w:rPr>
        <w:t>surviving corporation in the Merger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and (c) the Surviving Corporation shall become a wholly-owned Subsidiary of Parent.</w:t>
      </w:r>
    </w:p>
    <w:p>
      <w:pPr>
        <w:spacing w:after="0" w:line="118" w:lineRule="exact"/>
        <w:rPr>
          <w:sz w:val="20"/>
          <w:szCs w:val="20"/>
          <w:color w:val="auto"/>
        </w:rPr>
      </w:pPr>
    </w:p>
    <w:p>
      <w:pPr>
        <w:ind w:left="460" w:right="479" w:firstLine="432"/>
        <w:spacing w:after="0" w:line="250"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Closing</w:t>
      </w:r>
      <w:r>
        <w:rPr>
          <w:rFonts w:ascii="Arial" w:cs="Arial" w:eastAsia="Arial" w:hAnsi="Arial"/>
          <w:sz w:val="18"/>
          <w:szCs w:val="18"/>
          <w:color w:val="auto"/>
        </w:rPr>
        <w:t>. The closing of the Merger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as promptly as practicable, but in no event later than the third (3</w:t>
      </w:r>
      <w:r>
        <w:rPr>
          <w:rFonts w:ascii="Arial" w:cs="Arial" w:eastAsia="Arial" w:hAnsi="Arial"/>
          <w:sz w:val="20"/>
          <w:szCs w:val="20"/>
          <w:color w:val="auto"/>
          <w:vertAlign w:val="superscript"/>
        </w:rPr>
        <w:t>rd</w:t>
      </w:r>
      <w:r>
        <w:rPr>
          <w:rFonts w:ascii="Arial" w:cs="Arial" w:eastAsia="Arial" w:hAnsi="Arial"/>
          <w:sz w:val="18"/>
          <w:szCs w:val="18"/>
          <w:color w:val="auto"/>
        </w:rPr>
        <w:t xml:space="preserve">) Business Day following the satisfaction or waiver (to the extent permitted by applicable Law and the Organizational Documents of Parent) of the conditions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(other than those conditions that by their nature are to be satisfied at the Closing, but subject to the satisfaction or waiver of such conditions at such time), unless another time or date, or both, are agreed in writing by the Company and Parent. The date on which the Closing is held is herein referred to as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The Closing will take place remotely via exchange of documents and signature pages via electronic transmission.</w:t>
      </w:r>
    </w:p>
    <w:p>
      <w:pPr>
        <w:spacing w:after="0" w:line="128"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Subject to the provisions of this Agreement, at the Closing, the Company shall file a certificate of merger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with the Secretary of State of the State of Delaware, executed in accordance with the relevant provisions of the DGCL (the “</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The Merger shall become effective upon the filing of the Certificate of Merger or at such later time as is agreed to by the Parties and specified in the Certificate of Merger (the time at which the Merger becomes effective is herein referred to as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Effects of the Merger</w:t>
      </w:r>
      <w:r>
        <w:rPr>
          <w:rFonts w:ascii="Arial" w:cs="Arial" w:eastAsia="Arial" w:hAnsi="Arial"/>
          <w:sz w:val="17"/>
          <w:szCs w:val="17"/>
          <w:color w:val="auto"/>
        </w:rPr>
        <w:t>. The Merger shall have the effects set forth herein and in the DGCL.</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Section 1.5 Certificate of Incorporation and Bylaws of the Surviving Corporation.</w:t>
      </w:r>
    </w:p>
    <w:p>
      <w:pPr>
        <w:spacing w:after="0" w:line="158" w:lineRule="exact"/>
        <w:rPr>
          <w:sz w:val="20"/>
          <w:szCs w:val="20"/>
          <w:color w:val="auto"/>
        </w:rPr>
      </w:pPr>
    </w:p>
    <w:p>
      <w:pPr>
        <w:ind w:left="460" w:right="499" w:firstLine="858"/>
        <w:spacing w:after="0" w:line="257" w:lineRule="auto"/>
        <w:tabs>
          <w:tab w:leader="none" w:pos="1569" w:val="left"/>
        </w:tabs>
        <w:numPr>
          <w:ilvl w:val="0"/>
          <w:numId w:val="341"/>
        </w:numPr>
        <w:rPr>
          <w:rFonts w:ascii="Arial" w:cs="Arial" w:eastAsia="Arial" w:hAnsi="Arial"/>
          <w:sz w:val="18"/>
          <w:szCs w:val="18"/>
          <w:color w:val="auto"/>
        </w:rPr>
      </w:pPr>
      <w:r>
        <w:rPr>
          <w:rFonts w:ascii="Arial" w:cs="Arial" w:eastAsia="Arial" w:hAnsi="Arial"/>
          <w:sz w:val="18"/>
          <w:szCs w:val="18"/>
          <w:color w:val="auto"/>
        </w:rPr>
        <w:t>From and after the Effective Time and until further amended in accordance with applicable Law, the Certificate of Incorporation of the Surviving Corporation shall be amended to be identical to the Certificate of Incorporation of Merger Sub as in effect immediately prior to the Effective Time; provided, that such Certificate of Incorporation shall be amended to reflect that the name of the Surviving Corporation shall be “Tango Therapeutics, Inc.”</w:t>
      </w:r>
    </w:p>
    <w:p>
      <w:pPr>
        <w:spacing w:after="0" w:line="106" w:lineRule="exact"/>
        <w:rPr>
          <w:rFonts w:ascii="Arial" w:cs="Arial" w:eastAsia="Arial" w:hAnsi="Arial"/>
          <w:sz w:val="18"/>
          <w:szCs w:val="18"/>
          <w:color w:val="auto"/>
        </w:rPr>
      </w:pPr>
    </w:p>
    <w:p>
      <w:pPr>
        <w:ind w:left="460" w:right="499" w:firstLine="858"/>
        <w:spacing w:after="0" w:line="263" w:lineRule="auto"/>
        <w:tabs>
          <w:tab w:leader="none" w:pos="1579" w:val="left"/>
        </w:tabs>
        <w:numPr>
          <w:ilvl w:val="0"/>
          <w:numId w:val="341"/>
        </w:numPr>
        <w:rPr>
          <w:rFonts w:ascii="Arial" w:cs="Arial" w:eastAsia="Arial" w:hAnsi="Arial"/>
          <w:sz w:val="18"/>
          <w:szCs w:val="18"/>
          <w:color w:val="auto"/>
        </w:rPr>
      </w:pPr>
      <w:r>
        <w:rPr>
          <w:rFonts w:ascii="Arial" w:cs="Arial" w:eastAsia="Arial" w:hAnsi="Arial"/>
          <w:sz w:val="18"/>
          <w:szCs w:val="18"/>
          <w:color w:val="auto"/>
        </w:rPr>
        <w:t>From and after the Effective Time and until further amended in accordance with applicable Law, the bylaws of the Surviving Corporation shall be amended to be identical to the bylaws of Merger Sub as in effect immediately prior to the Effective Time.</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Post-Closing Board of Directors and Officers</w:t>
      </w:r>
      <w:r>
        <w:rPr>
          <w:rFonts w:ascii="Arial" w:cs="Arial" w:eastAsia="Arial" w:hAnsi="Arial"/>
          <w:sz w:val="18"/>
          <w:szCs w:val="18"/>
          <w:color w:val="auto"/>
        </w:rPr>
        <w:t>.</w:t>
      </w:r>
    </w:p>
    <w:p>
      <w:pPr>
        <w:spacing w:after="0" w:line="158" w:lineRule="exact"/>
        <w:rPr>
          <w:sz w:val="20"/>
          <w:szCs w:val="20"/>
          <w:color w:val="auto"/>
        </w:rPr>
      </w:pPr>
    </w:p>
    <w:p>
      <w:pPr>
        <w:ind w:left="460" w:right="499" w:firstLine="858"/>
        <w:spacing w:after="0" w:line="254" w:lineRule="auto"/>
        <w:tabs>
          <w:tab w:leader="none" w:pos="1569"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Immediately after the Closing, the initial slate of directors of Parent’s board of directors after the Closing (the “</w:t>
      </w:r>
      <w:r>
        <w:rPr>
          <w:rFonts w:ascii="Arial" w:cs="Arial" w:eastAsia="Arial" w:hAnsi="Arial"/>
          <w:sz w:val="18"/>
          <w:szCs w:val="18"/>
          <w:u w:val="single" w:color="auto"/>
          <w:color w:val="auto"/>
        </w:rPr>
        <w:t>Post-Closing Board of Directors</w:t>
      </w:r>
      <w:r>
        <w:rPr>
          <w:rFonts w:ascii="Arial" w:cs="Arial" w:eastAsia="Arial" w:hAnsi="Arial"/>
          <w:sz w:val="18"/>
          <w:szCs w:val="18"/>
          <w:color w:val="auto"/>
        </w:rPr>
        <w:t>”) will consist of nine (9) directors, who shall be the same individuals serving as directors of the Company immediately prior to the Effective Time. At least a majority of the Post-Closing Board of Directors shall qualify as independent directors under the Securities Act and the Nasdaq rules. If, at or after the Effective Time, a vacancy shall exist on the Post-Closing Board of Directors, such vacancy shall be filled in the manner provided in the Parent Organizational Documents as in effect as of the Closing and applicable Law.</w:t>
      </w:r>
    </w:p>
    <w:p>
      <w:pPr>
        <w:spacing w:after="0" w:line="113" w:lineRule="exact"/>
        <w:rPr>
          <w:rFonts w:ascii="Arial" w:cs="Arial" w:eastAsia="Arial" w:hAnsi="Arial"/>
          <w:sz w:val="18"/>
          <w:szCs w:val="18"/>
          <w:color w:val="auto"/>
        </w:rPr>
      </w:pPr>
    </w:p>
    <w:p>
      <w:pPr>
        <w:ind w:left="460" w:right="659" w:firstLine="858"/>
        <w:spacing w:after="0" w:line="286" w:lineRule="auto"/>
        <w:tabs>
          <w:tab w:leader="none" w:pos="1579" w:val="left"/>
        </w:tabs>
        <w:numPr>
          <w:ilvl w:val="0"/>
          <w:numId w:val="342"/>
        </w:numPr>
        <w:rPr>
          <w:rFonts w:ascii="Arial" w:cs="Arial" w:eastAsia="Arial" w:hAnsi="Arial"/>
          <w:sz w:val="17"/>
          <w:szCs w:val="17"/>
          <w:color w:val="auto"/>
        </w:rPr>
      </w:pPr>
      <w:r>
        <w:rPr>
          <w:rFonts w:ascii="Arial" w:cs="Arial" w:eastAsia="Arial" w:hAnsi="Arial"/>
          <w:sz w:val="17"/>
          <w:szCs w:val="17"/>
          <w:color w:val="auto"/>
        </w:rPr>
        <w:t>Parent shall take all action necessary, including causing the executive officers of Parent to resign, so that the individuals serving as executive officers of Parent immediately after the Closing will be the same individuals (in the same offices) as those of the Company immediately prior to the Closing.</w:t>
      </w:r>
    </w:p>
    <w:p>
      <w:pPr>
        <w:spacing w:after="0" w:line="97" w:lineRule="exact"/>
        <w:rPr>
          <w:rFonts w:ascii="Arial" w:cs="Arial" w:eastAsia="Arial" w:hAnsi="Arial"/>
          <w:sz w:val="17"/>
          <w:szCs w:val="17"/>
          <w:color w:val="auto"/>
        </w:rPr>
      </w:pPr>
    </w:p>
    <w:p>
      <w:pPr>
        <w:ind w:left="460" w:right="499" w:firstLine="858"/>
        <w:spacing w:after="0" w:line="286" w:lineRule="auto"/>
        <w:tabs>
          <w:tab w:leader="none" w:pos="1569" w:val="left"/>
        </w:tabs>
        <w:numPr>
          <w:ilvl w:val="0"/>
          <w:numId w:val="342"/>
        </w:numPr>
        <w:rPr>
          <w:rFonts w:ascii="Arial" w:cs="Arial" w:eastAsia="Arial" w:hAnsi="Arial"/>
          <w:sz w:val="17"/>
          <w:szCs w:val="17"/>
          <w:color w:val="auto"/>
        </w:rPr>
      </w:pPr>
      <w:r>
        <w:rPr>
          <w:rFonts w:ascii="Arial" w:cs="Arial" w:eastAsia="Arial" w:hAnsi="Arial"/>
          <w:sz w:val="17"/>
          <w:szCs w:val="17"/>
          <w:color w:val="auto"/>
        </w:rPr>
        <w:t xml:space="preserve">Prior to the Closing, the Parent’s board of directors shall review the Amended and Restated Bylaws of Parent in the form set forth in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Parent Amended and Restated Bylaws</w:t>
      </w:r>
      <w:r>
        <w:rPr>
          <w:rFonts w:ascii="Arial" w:cs="Arial" w:eastAsia="Arial" w:hAnsi="Arial"/>
          <w:sz w:val="17"/>
          <w:szCs w:val="17"/>
          <w:color w:val="auto"/>
        </w:rPr>
        <w:t>”), and thereafter shall adopt the Parent Amended and Restated Bylaws, with effect from the Closing.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8" w:name="page359"/>
    <w:bookmarkEnd w:id="35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Directors and Officers of the Surviving Corporation</w:t>
      </w:r>
      <w:r>
        <w:rPr>
          <w:rFonts w:ascii="Arial" w:cs="Arial" w:eastAsia="Arial" w:hAnsi="Arial"/>
          <w:sz w:val="17"/>
          <w:szCs w:val="17"/>
          <w:color w:val="auto"/>
        </w:rPr>
        <w:t xml:space="preserve">. From and after the Effective Time, the directors and the officers of the Surviving Corporation shall be those persons set forth on </w:t>
      </w:r>
      <w:r>
        <w:rPr>
          <w:rFonts w:ascii="Arial" w:cs="Arial" w:eastAsia="Arial" w:hAnsi="Arial"/>
          <w:sz w:val="17"/>
          <w:szCs w:val="17"/>
          <w:u w:val="single" w:color="auto"/>
          <w:color w:val="auto"/>
        </w:rPr>
        <w:t>Schedule 1.7</w:t>
      </w:r>
      <w:r>
        <w:rPr>
          <w:rFonts w:ascii="Arial" w:cs="Arial" w:eastAsia="Arial" w:hAnsi="Arial"/>
          <w:sz w:val="17"/>
          <w:szCs w:val="17"/>
          <w:color w:val="auto"/>
        </w:rPr>
        <w:t xml:space="preserve"> (or such other Persons as designated by the Company prior to the Closing). The directors and officers of the Surviving Corporation shall hold office for the term specified in, and subject to the provisions contained in, the Surviving Corporation’s Organizational Documents and applicable Law.</w:t>
      </w:r>
    </w:p>
    <w:p>
      <w:pPr>
        <w:spacing w:after="0" w:line="109"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Preferred Stock Conversion</w:t>
      </w:r>
      <w:r>
        <w:rPr>
          <w:rFonts w:ascii="Arial" w:cs="Arial" w:eastAsia="Arial" w:hAnsi="Arial"/>
          <w:sz w:val="18"/>
          <w:szCs w:val="18"/>
          <w:color w:val="auto"/>
        </w:rPr>
        <w:t>. The Company shall take all actions necessary to cause each share of Company Preferred Stock that is issued and outstanding immediately prior to the Effective Time to be automatically converted immediately prior to the Effective Time into a number of shares of Company Common Stock at the then-effective conversion rate as calculated pursuant to and in accordance with the Company’s Organizational Documents (the “</w:t>
      </w:r>
      <w:r>
        <w:rPr>
          <w:rFonts w:ascii="Arial" w:cs="Arial" w:eastAsia="Arial" w:hAnsi="Arial"/>
          <w:sz w:val="18"/>
          <w:szCs w:val="18"/>
          <w:u w:val="single" w:color="auto"/>
          <w:color w:val="auto"/>
        </w:rPr>
        <w:t>Company Preferred Stock Conversion</w:t>
      </w:r>
      <w:r>
        <w:rPr>
          <w:rFonts w:ascii="Arial" w:cs="Arial" w:eastAsia="Arial" w:hAnsi="Arial"/>
          <w:sz w:val="18"/>
          <w:szCs w:val="18"/>
          <w:color w:val="auto"/>
        </w:rPr>
        <w:t>”). All of the shares of Company Preferred Stock converted into shares of Company Common Stock shall be canceled, shall no longer be outstanding and shall cease to exist and no payment or distribution shall be made with respect thereto, and each holder of shares of Company Preferred Stock shall thereafter cease to have any rights with respect to such securities.</w:t>
      </w:r>
    </w:p>
    <w:p>
      <w:pPr>
        <w:spacing w:after="0" w:line="129"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No Further Ownership Rights in Company Common Stock</w:t>
      </w:r>
      <w:r>
        <w:rPr>
          <w:rFonts w:ascii="Arial" w:cs="Arial" w:eastAsia="Arial" w:hAnsi="Arial"/>
          <w:sz w:val="18"/>
          <w:szCs w:val="18"/>
          <w:color w:val="auto"/>
        </w:rPr>
        <w:t>. At the Effective Time, the stock transfer books of the Company shall be closed and thereafter there shall be no further registration of transfers of shares of Company Common Stock on the records of the Company.</w:t>
      </w:r>
    </w:p>
    <w:p>
      <w:pPr>
        <w:spacing w:after="0" w:line="103" w:lineRule="exact"/>
        <w:rPr>
          <w:sz w:val="20"/>
          <w:szCs w:val="20"/>
          <w:color w:val="auto"/>
        </w:rPr>
      </w:pPr>
    </w:p>
    <w:p>
      <w:pPr>
        <w:ind w:left="460" w:right="659" w:firstLine="432"/>
        <w:spacing w:after="0" w:line="275" w:lineRule="auto"/>
        <w:rPr>
          <w:sz w:val="20"/>
          <w:szCs w:val="20"/>
          <w:color w:val="auto"/>
        </w:rPr>
      </w:pPr>
      <w:r>
        <w:rPr>
          <w:rFonts w:ascii="Arial" w:cs="Arial" w:eastAsia="Arial" w:hAnsi="Arial"/>
          <w:sz w:val="17"/>
          <w:szCs w:val="17"/>
          <w:color w:val="auto"/>
        </w:rPr>
        <w:t xml:space="preserve">Section 1.10 </w:t>
      </w:r>
      <w:r>
        <w:rPr>
          <w:rFonts w:ascii="Arial" w:cs="Arial" w:eastAsia="Arial" w:hAnsi="Arial"/>
          <w:sz w:val="17"/>
          <w:szCs w:val="17"/>
          <w:u w:val="single" w:color="auto"/>
          <w:color w:val="auto"/>
        </w:rPr>
        <w:t>Rights Not Transferable</w:t>
      </w:r>
      <w:r>
        <w:rPr>
          <w:rFonts w:ascii="Arial" w:cs="Arial" w:eastAsia="Arial" w:hAnsi="Arial"/>
          <w:sz w:val="17"/>
          <w:szCs w:val="17"/>
          <w:color w:val="auto"/>
        </w:rPr>
        <w:t>. The rights of the Stockholders as of immediately prior to the Effective Time are personal to each such holder and shall not be assignable or otherwise transferable for any reason (except (i) in the case of an entity, by operation of Law or (ii) in the case of a natural person, by will or the Laws of descent and distribution). Any attempted transfer of such right by any holder thereof (otherwise than as permitted by the immediately preceding sentence) shall be null and void.</w:t>
      </w:r>
    </w:p>
    <w:p>
      <w:pPr>
        <w:spacing w:after="0" w:line="109"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Taking of Necessary Action; Further Action</w:t>
      </w:r>
      <w:r>
        <w:rPr>
          <w:rFonts w:ascii="Arial" w:cs="Arial" w:eastAsia="Arial" w:hAnsi="Arial"/>
          <w:sz w:val="17"/>
          <w:szCs w:val="17"/>
          <w:color w:val="auto"/>
        </w:rPr>
        <w:t xml:space="preserve">. Parent, Merger Sub and the Company, respectively, shall each use its respective best efforts to take all such action as may be necessary or appropriate to effectuate the Merger under the DGCL at the time specified in </w:t>
      </w:r>
      <w:r>
        <w:rPr>
          <w:rFonts w:ascii="Arial" w:cs="Arial" w:eastAsia="Arial" w:hAnsi="Arial"/>
          <w:sz w:val="17"/>
          <w:szCs w:val="17"/>
          <w:u w:val="single" w:color="auto"/>
          <w:color w:val="auto"/>
        </w:rPr>
        <w:t>Section 1.3</w:t>
      </w:r>
      <w:r>
        <w:rPr>
          <w:rFonts w:ascii="Arial" w:cs="Arial" w:eastAsia="Arial" w:hAnsi="Arial"/>
          <w:sz w:val="17"/>
          <w:szCs w:val="17"/>
          <w:color w:val="auto"/>
        </w:rPr>
        <w:t>. If, at any time after the Effective Time, any further action is necessary or desirable to carry out the purposes of this Agreement and to vest the Surviving Corporation with full right, title and possession to all properties, rights, privileges, immunities, powers and franchises of either of the constituent corporations, the officers of Parent and the Surviving Corporation are fully authorized in the name of each constituent corporation or otherwise to take, and shall take, all such lawful and necessary action.</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Section 368 Reorganization Matters</w:t>
      </w:r>
      <w:r>
        <w:rPr>
          <w:rFonts w:ascii="Arial" w:cs="Arial" w:eastAsia="Arial" w:hAnsi="Arial"/>
          <w:sz w:val="18"/>
          <w:szCs w:val="18"/>
          <w:color w:val="auto"/>
        </w:rPr>
        <w:t>.</w:t>
      </w:r>
    </w:p>
    <w:p>
      <w:pPr>
        <w:spacing w:after="0" w:line="144" w:lineRule="exact"/>
        <w:rPr>
          <w:sz w:val="20"/>
          <w:szCs w:val="20"/>
          <w:color w:val="auto"/>
        </w:rPr>
      </w:pPr>
    </w:p>
    <w:p>
      <w:pPr>
        <w:ind w:left="460" w:right="579" w:firstLine="858"/>
        <w:spacing w:after="0" w:line="287" w:lineRule="auto"/>
        <w:tabs>
          <w:tab w:leader="none" w:pos="1569" w:val="left"/>
        </w:tabs>
        <w:numPr>
          <w:ilvl w:val="0"/>
          <w:numId w:val="343"/>
        </w:numPr>
        <w:rPr>
          <w:rFonts w:ascii="Arial" w:cs="Arial" w:eastAsia="Arial" w:hAnsi="Arial"/>
          <w:sz w:val="16"/>
          <w:szCs w:val="16"/>
          <w:color w:val="auto"/>
        </w:rPr>
      </w:pPr>
      <w:r>
        <w:rPr>
          <w:rFonts w:ascii="Arial" w:cs="Arial" w:eastAsia="Arial" w:hAnsi="Arial"/>
          <w:sz w:val="16"/>
          <w:szCs w:val="16"/>
          <w:color w:val="auto"/>
        </w:rPr>
        <w:t>The Parties intend that, for United States federal, and applicable state and local, income tax purposes, the Merger will qualify as a “reorganization” within the meaning of Section 368(a) of the Code and the Treasury Regulations promulgated thereunder to which each of Parent and the Company are to be parties under Section 368(b) of the Code and the Treasury Regulations and this Agreement is intended to be, and is adopted as, a plan of reorganization for purposes of Sections 354, 361 and the 368 of the Code and within the meaning of Treasury Regulations Section 1.368-2(g). Each of Parent, Merger Sub, and the Company shall cooperate and use its respective reasonable best efforts to cause the Merger to qualify for the Intended Tax Treatment, and none of Parent, Merger Sub or the Company knows of any fact or circumstance (without conducting independent inquiry or diligence of the other relevant party) or has taken or will take any action (or fail to take any action), if such action (or failure to act), whether before or after the Effective Time, would be reasonably expected to prevent or impede the Merger from qualifying for the Intended Tax Treatment.</w:t>
      </w:r>
    </w:p>
    <w:p>
      <w:pPr>
        <w:spacing w:after="0" w:line="104" w:lineRule="exact"/>
        <w:rPr>
          <w:rFonts w:ascii="Arial" w:cs="Arial" w:eastAsia="Arial" w:hAnsi="Arial"/>
          <w:sz w:val="16"/>
          <w:szCs w:val="16"/>
          <w:color w:val="auto"/>
        </w:rPr>
      </w:pPr>
    </w:p>
    <w:p>
      <w:pPr>
        <w:ind w:left="460" w:right="479" w:firstLine="858"/>
        <w:spacing w:after="0" w:line="287" w:lineRule="auto"/>
        <w:tabs>
          <w:tab w:leader="none" w:pos="1579" w:val="left"/>
        </w:tabs>
        <w:numPr>
          <w:ilvl w:val="0"/>
          <w:numId w:val="343"/>
        </w:numPr>
        <w:rPr>
          <w:rFonts w:ascii="Arial" w:cs="Arial" w:eastAsia="Arial" w:hAnsi="Arial"/>
          <w:sz w:val="16"/>
          <w:szCs w:val="16"/>
          <w:color w:val="auto"/>
        </w:rPr>
      </w:pPr>
      <w:r>
        <w:rPr>
          <w:rFonts w:ascii="Arial" w:cs="Arial" w:eastAsia="Arial" w:hAnsi="Arial"/>
          <w:sz w:val="16"/>
          <w:szCs w:val="16"/>
          <w:color w:val="auto"/>
        </w:rPr>
        <w:t>Each of Parent, Merger Sub, the Company and their respective Affiliates shall report the Merger as a reorganization within the meaning of Section 368(a) of the Code, including filing all Tax Returns consistent with the Intended Tax Treatment (and attaching the statement described in Treasury Regulations Section 1.368-3(a) on or with its Tax Return for the taxable year of the Merger), and shall take no position or action inconsistent with the Intended Tax Treatment (whether in audits, Tax Returns or otherwise), unless otherwise required by a Governmental Authority as a result of a “determination” within the meaning of Section 1313(a) of the Code. The Parties shall cooperate with each other and their respective counsel to document and support the Tax treatment of the Merger as a “reorganization” within the meaning of Section 368(a) of the Code, including, upon reasonable request, providing factual support letters. Each Party shall promptly notify the other Party in writing if, before the Closing Date, such Party knows or has reason to believe that the Merger may not qualify for the Intended Tax Treatment (and whether the terms of this Agreement could be reasonably amended in order to facilitate the Merger qualifying for the Intended Tax Treatment).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9" w:name="page360"/>
    <w:bookmarkEnd w:id="35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firstLine="432"/>
        <w:spacing w:after="0" w:line="287" w:lineRule="auto"/>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u w:val="single" w:color="auto"/>
          <w:color w:val="auto"/>
        </w:rPr>
        <w:t>Withholding</w:t>
      </w:r>
      <w:r>
        <w:rPr>
          <w:rFonts w:ascii="Arial" w:cs="Arial" w:eastAsia="Arial" w:hAnsi="Arial"/>
          <w:sz w:val="16"/>
          <w:szCs w:val="16"/>
          <w:color w:val="auto"/>
        </w:rPr>
        <w:t>. Parent and the Surviving Corporation shall be entitled to deduct and withhold from the consideration otherwise payable to any Person pursuant to this Agreement such amounts as are required to be deducted or withheld with respect to the making of such payment under the Code, or under any provision of state, local or foreign Tax Law, provided, however, that in the event that Parent or the Surviving Corporation, as applicable, determines that it is so required to deduct or withhold any such amounts (except in the case of any compensatory payments made to employees subject to wage withholding), Parent or the Surviving Corporation, as applicable, shall provide at least five Business Days’ prior written notice thereof to the Company, including a reasonably detailed explanation therefor, and shall reasonably cooperate with the Company in responding to any requests for information or clarification made by the Company in respect thereof. To the extent that amounts are so deducted and withheld and paid over to the appropriate taxing authorities in accordance with applicable Law, such amounts shall be treated for all purposes under this Agreement as having been paid to the Person in respect of which such deduction and withholding was made.</w:t>
      </w:r>
    </w:p>
    <w:p>
      <w:pPr>
        <w:spacing w:after="0" w:line="100"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 xml:space="preserve">Section 1.14 </w:t>
      </w:r>
      <w:r>
        <w:rPr>
          <w:rFonts w:ascii="Arial" w:cs="Arial" w:eastAsia="Arial" w:hAnsi="Arial"/>
          <w:sz w:val="16"/>
          <w:szCs w:val="16"/>
          <w:u w:val="single" w:color="auto"/>
          <w:color w:val="auto"/>
        </w:rPr>
        <w:t>Dissenting Shares</w:t>
      </w:r>
      <w:r>
        <w:rPr>
          <w:rFonts w:ascii="Arial" w:cs="Arial" w:eastAsia="Arial" w:hAnsi="Arial"/>
          <w:sz w:val="16"/>
          <w:szCs w:val="16"/>
          <w:color w:val="auto"/>
        </w:rPr>
        <w:t>. Notwithstanding any provision of this Agreement to the contrary, shares of Company Common Stock issued and outstanding immediately prior to the Effective Time and held by a holder who has not voted in favor of adoption of this Agreement or consented thereto in writing and who is entitled to demand and has properly exercised appraisal rights of such shares in accordance with Section 262 of the DGCL (such shares of Company Common Stock being referred to collectively as the “</w:t>
      </w:r>
      <w:r>
        <w:rPr>
          <w:rFonts w:ascii="Arial" w:cs="Arial" w:eastAsia="Arial" w:hAnsi="Arial"/>
          <w:sz w:val="16"/>
          <w:szCs w:val="16"/>
          <w:u w:val="single" w:color="auto"/>
          <w:color w:val="auto"/>
        </w:rPr>
        <w:t>Dissenting Shares</w:t>
      </w:r>
      <w:r>
        <w:rPr>
          <w:rFonts w:ascii="Arial" w:cs="Arial" w:eastAsia="Arial" w:hAnsi="Arial"/>
          <w:sz w:val="16"/>
          <w:szCs w:val="16"/>
          <w:color w:val="auto"/>
        </w:rPr>
        <w:t xml:space="preserve">” until such time as such holder fails to perfect or otherwise waives, withdraws, or loses such holder’s appraisal rights under the DGCL with respect to such shares) shall not be converted into a right to receive a portion of the aggregate Merger Consideration, but instead shall be entitled to only such rights as are granted by Section 262 of the DGCL;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after the Effective Time, such holder fails to perfect, waives, withdraws, or loses such holder’s right to appraisal pursuant to Section 262 of the DGCL, or if a court of competent jurisdiction shall determine that such holder is not entitled to the relief provided by Section 262 of the DGCL, such shares of Company Common Stock shall be treated as if they had been converted as of the Effective Time into the right to receive the aggregate Merger Consideration in accordance with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without interest thereon, upon transfer of such shares. The Company shall provide Parent prompt written notice of any demands received by the Company for appraisal of shares of Company Common Stock, any waiver or withdrawal of any such demand, and any other demand, notice, or instrument delivered to the Company prior to the Effective Time that relates to such demand. Except with the prior written consent of Parent (which consent shall not be unreasonably conditioned, withheld, delayed or denied), the Company shall not make any payment with respect to, or settle, or offer to settle, any such demands.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MERGER CONSIDERATION</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Conversion of Company Common Stock</w:t>
      </w:r>
      <w:r>
        <w:rPr>
          <w:rFonts w:ascii="Arial" w:cs="Arial" w:eastAsia="Arial" w:hAnsi="Arial"/>
          <w:sz w:val="18"/>
          <w:szCs w:val="18"/>
          <w:color w:val="auto"/>
        </w:rPr>
        <w:t>.</w:t>
      </w:r>
    </w:p>
    <w:p>
      <w:pPr>
        <w:spacing w:after="0" w:line="158" w:lineRule="exact"/>
        <w:rPr>
          <w:sz w:val="20"/>
          <w:szCs w:val="20"/>
          <w:color w:val="auto"/>
        </w:rPr>
      </w:pPr>
    </w:p>
    <w:p>
      <w:pPr>
        <w:ind w:left="460" w:right="459" w:firstLine="858"/>
        <w:spacing w:after="0" w:line="286" w:lineRule="auto"/>
        <w:tabs>
          <w:tab w:leader="none" w:pos="1569" w:val="left"/>
        </w:tabs>
        <w:numPr>
          <w:ilvl w:val="0"/>
          <w:numId w:val="344"/>
        </w:numPr>
        <w:rPr>
          <w:rFonts w:ascii="Arial" w:cs="Arial" w:eastAsia="Arial" w:hAnsi="Arial"/>
          <w:sz w:val="16"/>
          <w:szCs w:val="16"/>
          <w:color w:val="auto"/>
        </w:rPr>
      </w:pPr>
      <w:r>
        <w:rPr>
          <w:rFonts w:ascii="Arial" w:cs="Arial" w:eastAsia="Arial" w:hAnsi="Arial"/>
          <w:sz w:val="16"/>
          <w:szCs w:val="16"/>
          <w:color w:val="auto"/>
        </w:rPr>
        <w:t xml:space="preserve">At the Effective Time (after giving effect to the consummation of the Company Preferred Stock Conversion), by virtue of the Merger and without any action on the part of any holder of Company Common Stock, each share of Company Common Stock issued and outstanding immediately prior to the Effective Time (other than (i) any shares of Company Common Stock subject to Company Options (which shall be respectively subject to </w:t>
      </w:r>
      <w:r>
        <w:rPr>
          <w:rFonts w:ascii="Arial" w:cs="Arial" w:eastAsia="Arial" w:hAnsi="Arial"/>
          <w:sz w:val="16"/>
          <w:szCs w:val="16"/>
          <w:u w:val="single" w:color="auto"/>
          <w:color w:val="auto"/>
        </w:rPr>
        <w:t>Section 2.3</w:t>
      </w:r>
      <w:r>
        <w:rPr>
          <w:rFonts w:ascii="Arial" w:cs="Arial" w:eastAsia="Arial" w:hAnsi="Arial"/>
          <w:sz w:val="16"/>
          <w:szCs w:val="16"/>
          <w:color w:val="auto"/>
        </w:rPr>
        <w:t>), (ii) any shares of Company Common Stock held in the treasury of the Company, which treasury shares shall be canceled as part of the Merger and shall not constitute “</w:t>
      </w:r>
      <w:r>
        <w:rPr>
          <w:rFonts w:ascii="Arial" w:cs="Arial" w:eastAsia="Arial" w:hAnsi="Arial"/>
          <w:sz w:val="16"/>
          <w:szCs w:val="16"/>
          <w:u w:val="single" w:color="auto"/>
          <w:color w:val="auto"/>
        </w:rPr>
        <w:t>Company Capital Stock</w:t>
      </w:r>
      <w:r>
        <w:rPr>
          <w:rFonts w:ascii="Arial" w:cs="Arial" w:eastAsia="Arial" w:hAnsi="Arial"/>
          <w:sz w:val="16"/>
          <w:szCs w:val="16"/>
          <w:color w:val="auto"/>
        </w:rPr>
        <w:t>” hereunder, and (iii) any Dissenting Shares), shall be canceled and converted into the right to receive a number of shares of Parent Common Stock equal to the Exchange Ratio. If any shares of Company Common Stock issued and outstanding immediately prior to the Effective Time are shares of Company Restricted Stock, then the shares of Parent Common Stock issued in exchange for such Company Restricted Stock pursuant to the immediately preceding sentence shall to the same extent be unvested and subject to the same repurchase option or risk of forfeiture as in effect immediately prior to the Effective Time, and the certificates and/or book entries representing such shares of Parent Common Stock shall accordingly be marked with appropriate legends.</w:t>
      </w:r>
    </w:p>
    <w:p>
      <w:pPr>
        <w:spacing w:after="0" w:line="106" w:lineRule="exact"/>
        <w:rPr>
          <w:rFonts w:ascii="Arial" w:cs="Arial" w:eastAsia="Arial" w:hAnsi="Arial"/>
          <w:sz w:val="16"/>
          <w:szCs w:val="16"/>
          <w:color w:val="auto"/>
        </w:rPr>
      </w:pPr>
    </w:p>
    <w:p>
      <w:pPr>
        <w:ind w:left="460" w:right="619" w:firstLine="858"/>
        <w:spacing w:after="0" w:line="255" w:lineRule="auto"/>
        <w:tabs>
          <w:tab w:leader="none" w:pos="1579"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Two Business Days prior to the anticipated Closing Date (by 8:00PM Eastern Time), the Company shall deliver to Parent a schedule setting forth each Stockholder and Optionholder as of the Closing, such Stockholder’s or Optionholder’s respective percentage of the Merger Consideration and corresponding number of shares of Parent Common Stock (or options to purchase Parent Common Stock) to be issued at the Closing to each such Stockholder or Optionholder (the “</w:t>
      </w:r>
      <w:r>
        <w:rPr>
          <w:rFonts w:ascii="Arial" w:cs="Arial" w:eastAsia="Arial" w:hAnsi="Arial"/>
          <w:sz w:val="18"/>
          <w:szCs w:val="18"/>
          <w:u w:val="single" w:color="auto"/>
          <w:color w:val="auto"/>
        </w:rPr>
        <w:t>Equityholder Allocation</w:t>
      </w:r>
      <w:r>
        <w:rPr>
          <w:rFonts w:ascii="Arial" w:cs="Arial" w:eastAsia="Arial" w:hAnsi="Arial"/>
          <w:sz w:val="18"/>
          <w:szCs w:val="18"/>
          <w:color w:val="auto"/>
        </w:rPr>
        <w:t xml:space="preserve"> Schedule”). If there is any change to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0" w:name="page361"/>
    <w:bookmarkEnd w:id="36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spacing w:after="0" w:line="286" w:lineRule="auto"/>
        <w:rPr>
          <w:sz w:val="20"/>
          <w:szCs w:val="20"/>
          <w:color w:val="auto"/>
        </w:rPr>
      </w:pPr>
      <w:r>
        <w:rPr>
          <w:rFonts w:ascii="Arial" w:cs="Arial" w:eastAsia="Arial" w:hAnsi="Arial"/>
          <w:sz w:val="17"/>
          <w:szCs w:val="17"/>
          <w:color w:val="auto"/>
        </w:rPr>
        <w:t>Equityholder Allocation Schedule between the time of such delivery and the Closing, the Company shall promptly deliver an updated Equityholder Allocation Schedule to Parent. Schedule 2.1 sets forth a non-binding example of the Equityholder Allocation Schedule assuming the inputs set forth therein.</w:t>
      </w:r>
    </w:p>
    <w:p>
      <w:pPr>
        <w:spacing w:after="0" w:line="98"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Effect on Capital Stock of the Company</w:t>
      </w:r>
      <w:r>
        <w:rPr>
          <w:rFonts w:ascii="Arial" w:cs="Arial" w:eastAsia="Arial" w:hAnsi="Arial"/>
          <w:sz w:val="18"/>
          <w:szCs w:val="18"/>
          <w:color w:val="auto"/>
        </w:rPr>
        <w:t>. Upon the terms and subject to the conditions of this Agreement, at the Effective Time, by virtue of the Merger and without any further action on the part of Parent, Merger Sub or the Company, any shares of Company Common Stock then held by the Company (or held in the Company’s treasury) shall be canceled and retired and shall cease to exist, and no consideration shall be delivered in exchange therefor.</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Company Options</w:t>
      </w:r>
      <w:r>
        <w:rPr>
          <w:rFonts w:ascii="Arial" w:cs="Arial" w:eastAsia="Arial" w:hAnsi="Arial"/>
          <w:sz w:val="18"/>
          <w:szCs w:val="18"/>
          <w:color w:val="auto"/>
        </w:rPr>
        <w:t>.</w:t>
      </w:r>
    </w:p>
    <w:p>
      <w:pPr>
        <w:spacing w:after="0" w:line="144" w:lineRule="exact"/>
        <w:rPr>
          <w:sz w:val="20"/>
          <w:szCs w:val="20"/>
          <w:color w:val="auto"/>
        </w:rPr>
      </w:pPr>
    </w:p>
    <w:p>
      <w:pPr>
        <w:ind w:left="460" w:right="499" w:firstLine="858"/>
        <w:spacing w:after="0" w:line="287" w:lineRule="auto"/>
        <w:tabs>
          <w:tab w:leader="none" w:pos="1569" w:val="left"/>
        </w:tabs>
        <w:numPr>
          <w:ilvl w:val="0"/>
          <w:numId w:val="345"/>
        </w:numPr>
        <w:rPr>
          <w:rFonts w:ascii="Arial" w:cs="Arial" w:eastAsia="Arial" w:hAnsi="Arial"/>
          <w:sz w:val="16"/>
          <w:szCs w:val="16"/>
          <w:color w:val="auto"/>
        </w:rPr>
      </w:pPr>
      <w:r>
        <w:rPr>
          <w:rFonts w:ascii="Arial" w:cs="Arial" w:eastAsia="Arial" w:hAnsi="Arial"/>
          <w:sz w:val="16"/>
          <w:szCs w:val="16"/>
          <w:color w:val="auto"/>
        </w:rPr>
        <w:t>As of the Effective Time, each Company Option that is then outstanding shall be converted into an option relating to shares of Parent Common Stock upon substantially the same terms and conditions as are in effect with respect to such option immediately prior to the Effective Time, including with respect to vesting and termination-related provisions (each, a “</w:t>
      </w:r>
      <w:r>
        <w:rPr>
          <w:rFonts w:ascii="Arial" w:cs="Arial" w:eastAsia="Arial" w:hAnsi="Arial"/>
          <w:sz w:val="16"/>
          <w:szCs w:val="16"/>
          <w:u w:val="single" w:color="auto"/>
          <w:color w:val="auto"/>
        </w:rPr>
        <w:t>Parent Option</w:t>
      </w:r>
      <w:r>
        <w:rPr>
          <w:rFonts w:ascii="Arial" w:cs="Arial" w:eastAsia="Arial" w:hAnsi="Arial"/>
          <w:sz w:val="16"/>
          <w:szCs w:val="16"/>
          <w:color w:val="auto"/>
        </w:rPr>
        <w:t xml:space="preserve">”) except that (a) such Parent Option shall relate to that whole number of shares of Parent Common Stock (rounded down to the nearest whole share) equal to the number of shares of Company Common Stock (subject to such Company Option),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Exchange Ratio, and (b) the exercise price per share for each such Parent Option shall be equal to the exercise price per share of such Company Option in effect immediately prior to the Effective Time,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the Exchange Ratio (the exercise price per share, as so determined, being rounded up to the nearest full cent);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conversion of the Company Options will be made in a manner consistent with Treasury Regulation Section 1.424-1, such that such conversion will not constitute a “modification” of such Company Options for purposes of Section 409A or Section 424 of the Code.</w:t>
      </w:r>
    </w:p>
    <w:p>
      <w:pPr>
        <w:spacing w:after="0" w:line="100" w:lineRule="exact"/>
        <w:rPr>
          <w:rFonts w:ascii="Arial" w:cs="Arial" w:eastAsia="Arial" w:hAnsi="Arial"/>
          <w:sz w:val="16"/>
          <w:szCs w:val="16"/>
          <w:color w:val="auto"/>
        </w:rPr>
      </w:pPr>
    </w:p>
    <w:p>
      <w:pPr>
        <w:ind w:left="460" w:right="459" w:firstLine="858"/>
        <w:spacing w:after="0" w:line="259" w:lineRule="auto"/>
        <w:tabs>
          <w:tab w:leader="none" w:pos="1579"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xml:space="preserve">The Company shall take all necessary actions to effect the treatment of Company Options pursuant to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in accordance with the Company Stock Plan and the applicable award agreements and to ensure that no Parent Option may be exercised prior to the effective date of an applicable Form S-8 (or other applicable form, including Form S-3) of Parent.</w:t>
      </w:r>
    </w:p>
    <w:p>
      <w:pPr>
        <w:spacing w:after="0" w:line="119" w:lineRule="exact"/>
        <w:rPr>
          <w:sz w:val="20"/>
          <w:szCs w:val="20"/>
          <w:color w:val="auto"/>
        </w:rPr>
      </w:pPr>
    </w:p>
    <w:p>
      <w:pPr>
        <w:ind w:left="460" w:right="559" w:firstLine="432"/>
        <w:spacing w:after="0" w:line="291"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Capital Stock of Merger Sub</w:t>
      </w:r>
      <w:r>
        <w:rPr>
          <w:rFonts w:ascii="Arial" w:cs="Arial" w:eastAsia="Arial" w:hAnsi="Arial"/>
          <w:sz w:val="16"/>
          <w:szCs w:val="16"/>
          <w:i w:val="1"/>
          <w:iCs w:val="1"/>
          <w:color w:val="auto"/>
        </w:rPr>
        <w:t>.</w:t>
      </w:r>
      <w:r>
        <w:rPr>
          <w:rFonts w:ascii="Arial" w:cs="Arial" w:eastAsia="Arial" w:hAnsi="Arial"/>
          <w:sz w:val="16"/>
          <w:szCs w:val="16"/>
          <w:color w:val="auto"/>
        </w:rPr>
        <w:t xml:space="preserve"> Each share of capital stock of Merger Sub that is issued and outstanding immediately prior to the Effective Time will, by virtue of the Merger and without further action on the part of Parent, be converted into and become one share of common stock of the Surviving Corporation (and the shares of Surviving Corporation into which the shares of Merger Sub capital stock are so converted shall be the only shares of the Surviving Corporation’s capital stock that are issued and outstanding immediately after the Effective Time). Each certificate evidencing ownership of shares of Merger Sub common stock will, as of the Effective Time, evidence ownership of such share of common stock of the Surviving Corporation.</w:t>
      </w:r>
    </w:p>
    <w:p>
      <w:pPr>
        <w:spacing w:after="0" w:line="8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Issuance of the Merger Consideration</w:t>
      </w:r>
      <w:r>
        <w:rPr>
          <w:rFonts w:ascii="Arial" w:cs="Arial" w:eastAsia="Arial" w:hAnsi="Arial"/>
          <w:sz w:val="18"/>
          <w:szCs w:val="18"/>
          <w:color w:val="auto"/>
        </w:rPr>
        <w:t>.</w:t>
      </w:r>
    </w:p>
    <w:p>
      <w:pPr>
        <w:spacing w:after="0" w:line="158" w:lineRule="exact"/>
        <w:rPr>
          <w:sz w:val="20"/>
          <w:szCs w:val="20"/>
          <w:color w:val="auto"/>
        </w:rPr>
      </w:pPr>
    </w:p>
    <w:p>
      <w:pPr>
        <w:ind w:left="460" w:right="579" w:firstLine="858"/>
        <w:spacing w:after="0" w:line="296" w:lineRule="auto"/>
        <w:tabs>
          <w:tab w:leader="none" w:pos="1568" w:val="left"/>
        </w:tabs>
        <w:numPr>
          <w:ilvl w:val="0"/>
          <w:numId w:val="346"/>
        </w:numPr>
        <w:rPr>
          <w:rFonts w:ascii="Arial" w:cs="Arial" w:eastAsia="Arial" w:hAnsi="Arial"/>
          <w:sz w:val="16"/>
          <w:szCs w:val="16"/>
          <w:color w:val="auto"/>
        </w:rPr>
      </w:pPr>
      <w:r>
        <w:rPr>
          <w:rFonts w:ascii="Arial" w:cs="Arial" w:eastAsia="Arial" w:hAnsi="Arial"/>
          <w:sz w:val="16"/>
          <w:szCs w:val="16"/>
          <w:i w:val="1"/>
          <w:iCs w:val="1"/>
          <w:color w:val="auto"/>
        </w:rPr>
        <w:t>No Issuance of Fractional Shares</w:t>
      </w:r>
      <w:r>
        <w:rPr>
          <w:rFonts w:ascii="Arial" w:cs="Arial" w:eastAsia="Arial" w:hAnsi="Arial"/>
          <w:sz w:val="16"/>
          <w:szCs w:val="16"/>
          <w:color w:val="auto"/>
        </w:rPr>
        <w:t>. No certificates or scrip representing fractional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Parent Common Stock will be issued pursuant to the Merger, and instead any such fractional share that would otherwise be issued will be rounded to the nearest whole share, with a Stockholder’s portion of the Merger Consideration that would result in a fractional share of 0.50 or greater rounding up and a Stockholder’s portion of the Merger Consideration that would result in a fractional share of less than 0.50 rounding down.</w:t>
      </w:r>
    </w:p>
    <w:p>
      <w:pPr>
        <w:spacing w:after="0" w:line="93" w:lineRule="exact"/>
        <w:rPr>
          <w:rFonts w:ascii="Arial" w:cs="Arial" w:eastAsia="Arial" w:hAnsi="Arial"/>
          <w:sz w:val="16"/>
          <w:szCs w:val="16"/>
          <w:color w:val="auto"/>
        </w:rPr>
      </w:pPr>
    </w:p>
    <w:p>
      <w:pPr>
        <w:ind w:left="460" w:right="499" w:firstLine="858"/>
        <w:spacing w:after="0" w:line="271" w:lineRule="auto"/>
        <w:tabs>
          <w:tab w:leader="none" w:pos="1579" w:val="left"/>
        </w:tabs>
        <w:numPr>
          <w:ilvl w:val="0"/>
          <w:numId w:val="346"/>
        </w:numPr>
        <w:rPr>
          <w:rFonts w:ascii="Arial" w:cs="Arial" w:eastAsia="Arial" w:hAnsi="Arial"/>
          <w:sz w:val="17"/>
          <w:szCs w:val="17"/>
          <w:color w:val="auto"/>
        </w:rPr>
      </w:pPr>
      <w:r>
        <w:rPr>
          <w:rFonts w:ascii="Arial" w:cs="Arial" w:eastAsia="Arial" w:hAnsi="Arial"/>
          <w:sz w:val="17"/>
          <w:szCs w:val="17"/>
          <w:i w:val="1"/>
          <w:iCs w:val="1"/>
          <w:color w:val="auto"/>
        </w:rPr>
        <w:t>Exchange Fund</w:t>
      </w:r>
      <w:r>
        <w:rPr>
          <w:rFonts w:ascii="Arial" w:cs="Arial" w:eastAsia="Arial" w:hAnsi="Arial"/>
          <w:sz w:val="17"/>
          <w:szCs w:val="17"/>
          <w:color w:val="auto"/>
        </w:rPr>
        <w:t>. On the Closing Date, Parent shall deposit, or shall cause to be deposited,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Continental Stock Transfer &amp; Trust Company (“Continental”) for the benefit of the Stockholders, for exchange in accordance with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the number of shares of Parent Common Stock sufficient to deliver the aggregate Merger Consideration payable pursuant to this Agreement (such shares of Parent Common Stock, the “</w:t>
      </w:r>
      <w:r>
        <w:rPr>
          <w:rFonts w:ascii="Arial" w:cs="Arial" w:eastAsia="Arial" w:hAnsi="Arial"/>
          <w:sz w:val="17"/>
          <w:szCs w:val="17"/>
          <w:u w:val="single" w:color="auto"/>
          <w:color w:val="auto"/>
        </w:rPr>
        <w:t>Exchange Fund</w:t>
      </w:r>
      <w:r>
        <w:rPr>
          <w:rFonts w:ascii="Arial" w:cs="Arial" w:eastAsia="Arial" w:hAnsi="Arial"/>
          <w:sz w:val="17"/>
          <w:szCs w:val="17"/>
          <w:color w:val="auto"/>
        </w:rPr>
        <w:t>”). Parent shall cause Continental, pursuant to irrevocable instructions, to pay the Merger Consideration out of the Exchange Fund in accordance with the Equityholder Allocation Schedule and the other applicable provisions contained in this Agreement. The Exchange Fund shall not be used for any other purpose other than as contemplated by this Agreement.</w:t>
      </w:r>
    </w:p>
    <w:p>
      <w:pPr>
        <w:spacing w:after="0" w:line="97" w:lineRule="exact"/>
        <w:rPr>
          <w:rFonts w:ascii="Arial" w:cs="Arial" w:eastAsia="Arial" w:hAnsi="Arial"/>
          <w:sz w:val="17"/>
          <w:szCs w:val="17"/>
          <w:color w:val="auto"/>
        </w:rPr>
      </w:pPr>
    </w:p>
    <w:p>
      <w:pPr>
        <w:ind w:left="460" w:right="659" w:firstLine="858"/>
        <w:spacing w:after="0" w:line="257" w:lineRule="auto"/>
        <w:tabs>
          <w:tab w:leader="none" w:pos="1568" w:val="left"/>
        </w:tabs>
        <w:numPr>
          <w:ilvl w:val="0"/>
          <w:numId w:val="346"/>
        </w:numPr>
        <w:rPr>
          <w:rFonts w:ascii="Arial" w:cs="Arial" w:eastAsia="Arial" w:hAnsi="Arial"/>
          <w:sz w:val="18"/>
          <w:szCs w:val="18"/>
          <w:color w:val="auto"/>
        </w:rPr>
      </w:pPr>
      <w:r>
        <w:rPr>
          <w:rFonts w:ascii="Arial" w:cs="Arial" w:eastAsia="Arial" w:hAnsi="Arial"/>
          <w:sz w:val="18"/>
          <w:szCs w:val="18"/>
          <w:i w:val="1"/>
          <w:iCs w:val="1"/>
          <w:color w:val="auto"/>
        </w:rPr>
        <w:t>Exchange Procedures</w:t>
      </w:r>
      <w:r>
        <w:rPr>
          <w:rFonts w:ascii="Arial" w:cs="Arial" w:eastAsia="Arial" w:hAnsi="Arial"/>
          <w:sz w:val="18"/>
          <w:szCs w:val="18"/>
          <w:color w:val="auto"/>
        </w:rPr>
        <w:t>. As soon as practicable following the Effective Time, and in any event</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two Business Days following the Effective Time (but in no event prior to the Effective Time), Parent shall cause Continental to deliver to each Stockholder, as of immediately prior to the Effective Time, represented by certificate or book-entry, a letter of transmittal and instructions for use in exchanging such Stockholder’s shares of Company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1" w:name="page362"/>
    <w:bookmarkEnd w:id="36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79"/>
        <w:spacing w:after="0" w:line="311" w:lineRule="auto"/>
        <w:rPr>
          <w:sz w:val="20"/>
          <w:szCs w:val="20"/>
          <w:color w:val="auto"/>
        </w:rPr>
      </w:pPr>
      <w:r>
        <w:rPr>
          <w:rFonts w:ascii="Arial" w:cs="Arial" w:eastAsia="Arial" w:hAnsi="Arial"/>
          <w:sz w:val="16"/>
          <w:szCs w:val="16"/>
          <w:color w:val="auto"/>
        </w:rPr>
        <w:t>Common Stock for such Stockholder’s applicable portion of the Merger Consideration from the Exchange Fund, and promptly following receipt of a Stockholder’s properly executed letter of transmittal, deliver such Stockholder’s applicable portion of the Merger Consideration to such Stockholder.</w:t>
      </w:r>
    </w:p>
    <w:p>
      <w:pPr>
        <w:spacing w:after="0" w:line="81" w:lineRule="exact"/>
        <w:rPr>
          <w:sz w:val="20"/>
          <w:szCs w:val="20"/>
          <w:color w:val="auto"/>
        </w:rPr>
      </w:pPr>
    </w:p>
    <w:p>
      <w:pPr>
        <w:ind w:left="460" w:right="599" w:firstLine="858"/>
        <w:spacing w:after="0" w:line="259" w:lineRule="auto"/>
        <w:tabs>
          <w:tab w:leader="none" w:pos="1579" w:val="left"/>
        </w:tabs>
        <w:numPr>
          <w:ilvl w:val="0"/>
          <w:numId w:val="347"/>
        </w:numPr>
        <w:rPr>
          <w:rFonts w:ascii="Arial" w:cs="Arial" w:eastAsia="Arial" w:hAnsi="Arial"/>
          <w:sz w:val="18"/>
          <w:szCs w:val="18"/>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The Merger Consideration shall be adjusted to reflect appropriately the effect of</w:t>
      </w:r>
      <w:r>
        <w:rPr>
          <w:rFonts w:ascii="Arial" w:cs="Arial" w:eastAsia="Arial" w:hAnsi="Arial"/>
          <w:sz w:val="18"/>
          <w:szCs w:val="18"/>
          <w:i w:val="1"/>
          <w:iCs w:val="1"/>
          <w:color w:val="auto"/>
        </w:rPr>
        <w:t xml:space="preserve"> </w:t>
      </w:r>
      <w:r>
        <w:rPr>
          <w:rFonts w:ascii="Arial" w:cs="Arial" w:eastAsia="Arial" w:hAnsi="Arial"/>
          <w:sz w:val="18"/>
          <w:szCs w:val="18"/>
          <w:color w:val="auto"/>
        </w:rPr>
        <w:t>any stock split, reverse stock split, stock dividend, recapitalization, reclassification, combination, exchange of shares or other like change with respect to shares of Parent Common Stock occurring prior to the date the Merger Consideration is issued.</w:t>
      </w:r>
    </w:p>
    <w:p>
      <w:pPr>
        <w:spacing w:after="0" w:line="119" w:lineRule="exact"/>
        <w:rPr>
          <w:rFonts w:ascii="Arial" w:cs="Arial" w:eastAsia="Arial" w:hAnsi="Arial"/>
          <w:sz w:val="18"/>
          <w:szCs w:val="18"/>
          <w:color w:val="auto"/>
        </w:rPr>
      </w:pPr>
    </w:p>
    <w:p>
      <w:pPr>
        <w:ind w:left="460" w:right="519" w:firstLine="858"/>
        <w:spacing w:after="0" w:line="254" w:lineRule="auto"/>
        <w:tabs>
          <w:tab w:leader="none" w:pos="1568" w:val="left"/>
        </w:tabs>
        <w:numPr>
          <w:ilvl w:val="0"/>
          <w:numId w:val="347"/>
        </w:numPr>
        <w:rPr>
          <w:rFonts w:ascii="Arial" w:cs="Arial" w:eastAsia="Arial" w:hAnsi="Arial"/>
          <w:sz w:val="18"/>
          <w:szCs w:val="18"/>
          <w:color w:val="auto"/>
        </w:rPr>
      </w:pPr>
      <w:r>
        <w:rPr>
          <w:rFonts w:ascii="Arial" w:cs="Arial" w:eastAsia="Arial" w:hAnsi="Arial"/>
          <w:sz w:val="18"/>
          <w:szCs w:val="18"/>
          <w:i w:val="1"/>
          <w:iCs w:val="1"/>
          <w:color w:val="auto"/>
        </w:rPr>
        <w:t>Termination of Exchange Fund</w:t>
      </w:r>
      <w:r>
        <w:rPr>
          <w:rFonts w:ascii="Arial" w:cs="Arial" w:eastAsia="Arial" w:hAnsi="Arial"/>
          <w:sz w:val="18"/>
          <w:szCs w:val="18"/>
          <w:color w:val="auto"/>
        </w:rPr>
        <w:t>. Any portion of the Exchange Fund relating to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Consideration that remains undistributed to the Stockholders for one year after the Effective Time shall be delivered to Parent, upon demand, and any Stockholders who have not theretofore complied with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shall thereafter look only to Parent for their portion of the Merger Consideration. Any portion of the Exchange Fund remaining unclaimed by Stockholders as of a date which is immediately prior to such time as such amounts would otherwise escheat to or become property of any Governmental Authority shall, to the extent permitted by applicable Law, become the property of Parent free and clear of any claims or interest of any person previously entitled thereto.</w:t>
      </w:r>
    </w:p>
    <w:p>
      <w:pPr>
        <w:spacing w:after="0" w:line="111" w:lineRule="exact"/>
        <w:rPr>
          <w:sz w:val="20"/>
          <w:szCs w:val="20"/>
          <w:color w:val="auto"/>
        </w:rPr>
      </w:pPr>
    </w:p>
    <w:p>
      <w:pPr>
        <w:ind w:left="460" w:right="459" w:firstLine="432"/>
        <w:spacing w:after="0" w:line="255"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No Liability</w:t>
      </w:r>
      <w:r>
        <w:rPr>
          <w:rFonts w:ascii="Arial" w:cs="Arial" w:eastAsia="Arial" w:hAnsi="Arial"/>
          <w:sz w:val="18"/>
          <w:szCs w:val="18"/>
          <w:color w:val="auto"/>
        </w:rPr>
        <w:t>. The Parties agree that Parent shall be entitled to rely conclusively on information set forth in the Equityholder Allocation Schedule and any amounts delivered by Parent to an applicable Stockholder in accordance with the Equityholder Allocation Schedule shall be deemed for all purposes to have been delivered to the applicable Stockholder in full satisfaction of the obligations of Parent under this Agreement and Parent shall not be responsible or liable for the calculations or the determinations regarding such calculations set forth therein.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THE COMPANY</w:t>
      </w:r>
    </w:p>
    <w:p>
      <w:pPr>
        <w:spacing w:after="0" w:line="158"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 xml:space="preserve">Except as set forth in Disclosure Schedule (which qualifies (a) the correspondingly numbered representation, warranty or covenant specified therein and (b) such other representations, warranties or covenants where its relevance as an exception to (or disclosure for purposes of) such other representation, warranty or covenant is reasonably apparent on its face or cross-referenced), the Company represents and warrants to Parent as hereafter set forth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that each of the following representations and warranties are true, correct and complete as of the date of this Agreement and as of the Closing Date (except for representations and warranties that are made as of a specific date, which are made only as of such date):</w:t>
      </w:r>
    </w:p>
    <w:p>
      <w:pPr>
        <w:spacing w:after="0" w:line="8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Organization, Qualification and Standing</w:t>
      </w:r>
      <w:r>
        <w:rPr>
          <w:rFonts w:ascii="Arial" w:cs="Arial" w:eastAsia="Arial" w:hAnsi="Arial"/>
          <w:sz w:val="18"/>
          <w:szCs w:val="18"/>
          <w:color w:val="auto"/>
        </w:rPr>
        <w:t>.</w:t>
      </w:r>
    </w:p>
    <w:p>
      <w:pPr>
        <w:spacing w:after="0" w:line="158" w:lineRule="exact"/>
        <w:rPr>
          <w:sz w:val="20"/>
          <w:szCs w:val="20"/>
          <w:color w:val="auto"/>
        </w:rPr>
      </w:pPr>
    </w:p>
    <w:p>
      <w:pPr>
        <w:ind w:left="460" w:right="579" w:firstLine="858"/>
        <w:spacing w:after="0" w:line="253" w:lineRule="auto"/>
        <w:tabs>
          <w:tab w:leader="none" w:pos="1569"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Company is duly incorporated, validly existing and in good standing under the Laws of the State of Delaware, has all requisite power and authority to own, lease and operate its Assets and to conduct its business as presently conducted, and is duly qualified to transact business and in good standing in each jurisdiction in which the conduct of its business or the nature of its properties requires such registration, qualification or authorization, except where the failure to so qualify or to be in good standing would not reasonably be expected, individually or in the aggregate, to result in a Company Material Adverse Effect. The Organizational Documents of the Company, true, complete and correct copies of which have been made available to Parent, are in full force and effect. The Company is not in violation of its Organizational Documents.</w:t>
      </w:r>
    </w:p>
    <w:p>
      <w:pPr>
        <w:spacing w:after="0" w:line="128" w:lineRule="exact"/>
        <w:rPr>
          <w:rFonts w:ascii="Arial" w:cs="Arial" w:eastAsia="Arial" w:hAnsi="Arial"/>
          <w:sz w:val="18"/>
          <w:szCs w:val="18"/>
          <w:color w:val="auto"/>
        </w:rPr>
      </w:pPr>
    </w:p>
    <w:p>
      <w:pPr>
        <w:ind w:left="460" w:right="459" w:firstLine="858"/>
        <w:spacing w:after="0" w:line="287" w:lineRule="auto"/>
        <w:tabs>
          <w:tab w:leader="none" w:pos="1579" w:val="left"/>
        </w:tabs>
        <w:numPr>
          <w:ilvl w:val="0"/>
          <w:numId w:val="348"/>
        </w:numPr>
        <w:rPr>
          <w:rFonts w:ascii="Arial" w:cs="Arial" w:eastAsia="Arial" w:hAnsi="Arial"/>
          <w:sz w:val="16"/>
          <w:szCs w:val="16"/>
          <w:color w:val="auto"/>
        </w:rPr>
      </w:pPr>
      <w:r>
        <w:rPr>
          <w:rFonts w:ascii="Arial" w:cs="Arial" w:eastAsia="Arial" w:hAnsi="Arial"/>
          <w:sz w:val="16"/>
          <w:szCs w:val="16"/>
          <w:u w:val="single" w:color="auto"/>
          <w:color w:val="auto"/>
        </w:rPr>
        <w:t>Schedule 3.1</w:t>
      </w:r>
      <w:r>
        <w:rPr>
          <w:rFonts w:ascii="Arial" w:cs="Arial" w:eastAsia="Arial" w:hAnsi="Arial"/>
          <w:sz w:val="16"/>
          <w:szCs w:val="16"/>
          <w:color w:val="auto"/>
        </w:rPr>
        <w:t xml:space="preserve"> sets forth a true, complete and correct list of each Subsidiary of the Company, and except as set forth on </w:t>
      </w:r>
      <w:r>
        <w:rPr>
          <w:rFonts w:ascii="Arial" w:cs="Arial" w:eastAsia="Arial" w:hAnsi="Arial"/>
          <w:sz w:val="16"/>
          <w:szCs w:val="16"/>
          <w:u w:val="single" w:color="auto"/>
          <w:color w:val="auto"/>
        </w:rPr>
        <w:t>Schedule 3.1</w:t>
      </w:r>
      <w:r>
        <w:rPr>
          <w:rFonts w:ascii="Arial" w:cs="Arial" w:eastAsia="Arial" w:hAnsi="Arial"/>
          <w:sz w:val="16"/>
          <w:szCs w:val="16"/>
          <w:color w:val="auto"/>
        </w:rPr>
        <w:t xml:space="preserve">, the Company does not directly or indirectly own, or hold any rights to acquire, any capital stock or any other securities or interests in any other Person. Each Subsidiary of the Company has been duly incorporated or formed and, except as set forth on </w:t>
      </w:r>
      <w:r>
        <w:rPr>
          <w:rFonts w:ascii="Arial" w:cs="Arial" w:eastAsia="Arial" w:hAnsi="Arial"/>
          <w:sz w:val="16"/>
          <w:szCs w:val="16"/>
          <w:u w:val="single" w:color="auto"/>
          <w:color w:val="auto"/>
        </w:rPr>
        <w:t>Schedule 3.1</w:t>
      </w:r>
      <w:r>
        <w:rPr>
          <w:rFonts w:ascii="Arial" w:cs="Arial" w:eastAsia="Arial" w:hAnsi="Arial"/>
          <w:sz w:val="16"/>
          <w:szCs w:val="16"/>
          <w:color w:val="auto"/>
        </w:rPr>
        <w:t>, is validly existing as a corporation or limited liability company in good standing (or equivalent status) under the laws of the jurisdiction of its incorporation or formation and the jurisdictions in which the conduct of its business or the nature of its properties requires such registration, qualification or authorization, and has the corporate power and authority to own, lease and operate its Assets and to conduct its business as presently conducted. All of the issued and outstanding capital stock of each Subsidiary has been duly authorized and validly issued, is fully paid and non-assessable, and is owned by the Company free and clear of any Lien (except for Permitted Liens). None of the Company’s Subsidiaries is in violation of its Organizational Documents.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2" w:name="page363"/>
    <w:bookmarkEnd w:id="36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Authority; Enforceability</w:t>
      </w:r>
      <w:r>
        <w:rPr>
          <w:rFonts w:ascii="Arial" w:cs="Arial" w:eastAsia="Arial" w:hAnsi="Arial"/>
          <w:sz w:val="16"/>
          <w:szCs w:val="16"/>
          <w:color w:val="auto"/>
        </w:rPr>
        <w:t>. The Company’s board of directors has declared the Merger, this Agreement and the Transactions contemplated herein advisable. The Company has the requisite corporate power and authority to execute and deliver this Agreement and each other Transaction Document and to consummate the Transactions, other than the Company Stockholder Approval. The execution and delivery of this Agreement, the other Transaction Documents to which the Company is a party and the consummation of the Transactions have been duly authorized by all necessary corporate action on the part of the Company, other than the Company Stockholder Approval. This Agreement has been, and the other Transaction Documents to which the Company is a party will be, duly executed and delivered by the Company and, assuming due authorization, execution and delivery hereof by Parent and Merger Sub, constitute legal, valid and binding obligations of the Company, enforceable against it in accordance with their terms, subject to the effect of any applicable bankruptcy, reorganization, insolvency, moratorium or similar Law affecting creditors’ rights generally and, as to enforceability, subject to the effect of general principles of equity (regardless of whether such enforceability is considered in a Proceeding in equity or at Law). The (i) affirmative vote of (A) holders of a majority of the Company Capital Stock, (B) holders of a majority of the Company Common Stock, and (C) holders of seventy percent (70%) of the outstanding shares of Company Preferred Stock, which such holders must also satisfy the definition of “Required Vote” as defined in the Company’s Third Amended and Restated Certificate of Incorporation as in effect as of the date hereof (collectively, the “</w:t>
      </w:r>
      <w:r>
        <w:rPr>
          <w:rFonts w:ascii="Arial" w:cs="Arial" w:eastAsia="Arial" w:hAnsi="Arial"/>
          <w:sz w:val="16"/>
          <w:szCs w:val="16"/>
          <w:u w:val="single" w:color="auto"/>
          <w:color w:val="auto"/>
        </w:rPr>
        <w:t>Requisite Company Vote</w:t>
      </w:r>
      <w:r>
        <w:rPr>
          <w:rFonts w:ascii="Arial" w:cs="Arial" w:eastAsia="Arial" w:hAnsi="Arial"/>
          <w:sz w:val="16"/>
          <w:szCs w:val="16"/>
          <w:color w:val="auto"/>
        </w:rPr>
        <w:t>”) having voting power present in person or represented by proxy at a meeting of the Company’s stockholders at which a quorum is present or (ii) written consent of the Requisite Company Vote, is the only vote or consent of the holders of any class or series of capital stock or other securities of the Company necessary to adopt this Agreement and approve the Transactions (the “</w:t>
      </w:r>
      <w:r>
        <w:rPr>
          <w:rFonts w:ascii="Arial" w:cs="Arial" w:eastAsia="Arial" w:hAnsi="Arial"/>
          <w:sz w:val="16"/>
          <w:szCs w:val="16"/>
          <w:u w:val="single" w:color="auto"/>
          <w:color w:val="auto"/>
        </w:rPr>
        <w:t>Company Stockholder Approval</w:t>
      </w:r>
      <w:r>
        <w:rPr>
          <w:rFonts w:ascii="Arial" w:cs="Arial" w:eastAsia="Arial" w:hAnsi="Arial"/>
          <w:sz w:val="16"/>
          <w:szCs w:val="16"/>
          <w:color w:val="auto"/>
        </w:rPr>
        <w:t>”).</w:t>
      </w:r>
    </w:p>
    <w:p>
      <w:pPr>
        <w:spacing w:after="0" w:line="112"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Consents; Required Approvals</w:t>
      </w:r>
      <w:r>
        <w:rPr>
          <w:rFonts w:ascii="Arial" w:cs="Arial" w:eastAsia="Arial" w:hAnsi="Arial"/>
          <w:sz w:val="17"/>
          <w:szCs w:val="17"/>
          <w:color w:val="auto"/>
        </w:rPr>
        <w:t xml:space="preserve">. Assuming the truth and accuracy of the representations and warranties of Parent and Merger Sub set forth in </w:t>
      </w:r>
      <w:r>
        <w:rPr>
          <w:rFonts w:ascii="Arial" w:cs="Arial" w:eastAsia="Arial" w:hAnsi="Arial"/>
          <w:sz w:val="17"/>
          <w:szCs w:val="17"/>
          <w:u w:val="single" w:color="auto"/>
          <w:color w:val="auto"/>
        </w:rPr>
        <w:t>Section 4.7</w:t>
      </w:r>
      <w:r>
        <w:rPr>
          <w:rFonts w:ascii="Arial" w:cs="Arial" w:eastAsia="Arial" w:hAnsi="Arial"/>
          <w:sz w:val="17"/>
          <w:szCs w:val="17"/>
          <w:color w:val="auto"/>
        </w:rPr>
        <w:t>, no notices to, filings with, or authorizations, consents or approvals from any Governmental Authority are necessary for the execution, delivery or performance by the Company of this Agreement, each other Transaction Document or the consummation by the Company of the Transactions, except for (i) the filing of the Certificate of Merger with the Secretary of State of the State of Delaware; (ii) the Hart-Scott-Rodino Act (“</w:t>
      </w:r>
      <w:r>
        <w:rPr>
          <w:rFonts w:ascii="Arial" w:cs="Arial" w:eastAsia="Arial" w:hAnsi="Arial"/>
          <w:sz w:val="17"/>
          <w:szCs w:val="17"/>
          <w:u w:val="single" w:color="auto"/>
          <w:color w:val="auto"/>
        </w:rPr>
        <w:t>HSR Act</w:t>
      </w:r>
      <w:r>
        <w:rPr>
          <w:rFonts w:ascii="Arial" w:cs="Arial" w:eastAsia="Arial" w:hAnsi="Arial"/>
          <w:sz w:val="17"/>
          <w:szCs w:val="17"/>
          <w:color w:val="auto"/>
        </w:rPr>
        <w:t>”) pre-merger notification filing with the Federal Trade Commission and the Department of Justice (the “</w:t>
      </w:r>
      <w:r>
        <w:rPr>
          <w:rFonts w:ascii="Arial" w:cs="Arial" w:eastAsia="Arial" w:hAnsi="Arial"/>
          <w:sz w:val="17"/>
          <w:szCs w:val="17"/>
          <w:u w:val="single" w:color="auto"/>
          <w:color w:val="auto"/>
        </w:rPr>
        <w:t>HSR Filing</w:t>
      </w:r>
      <w:r>
        <w:rPr>
          <w:rFonts w:ascii="Arial" w:cs="Arial" w:eastAsia="Arial" w:hAnsi="Arial"/>
          <w:sz w:val="17"/>
          <w:szCs w:val="17"/>
          <w:color w:val="auto"/>
        </w:rPr>
        <w:t>”) and filings as may be required under any other applicable antitrust Law, and (iii) where the failure to obtain such consents, approvals, authorizations or permits, or to make such filings or notifications, would not have or would not reasonably be expected to have a Company Material Adverse Effect.</w:t>
      </w:r>
    </w:p>
    <w:p>
      <w:pPr>
        <w:spacing w:after="0" w:line="118"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Non-contravention</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Schedule 3.4</w:t>
      </w:r>
      <w:r>
        <w:rPr>
          <w:rFonts w:ascii="Arial" w:cs="Arial" w:eastAsia="Arial" w:hAnsi="Arial"/>
          <w:sz w:val="16"/>
          <w:szCs w:val="16"/>
          <w:color w:val="auto"/>
        </w:rPr>
        <w:t>, the execution, delivery and performance of this Agreement and the other Transaction Documents to which the Company is a party by the Company and the consummation of the Merger and compliance with the provisions hereof and thereof do not and will not with or without notice or lapse of time or both (a) violate any Law or Order to which the Company or any of its Subsidiaries or any of the Company’s or its Subsidiaries’ Assets are subject, (b) violate any provision of the Organizational Documents of the Company, any Subsidiary thereof or any Affiliate thereof (subject to obtaining the Company Stockholder Approval), (c) violate, conflict with, result in a breach of, constitute (or with due notice or lapse of time or both would become) a default under, result in the acceleration of, create in any Person the right to accelerate, terminate, modify or cancel, require any notice under, or otherwise give rise to any Liability under, any Material Contract, or (d) result in the creation or imposition of any Lien (other than Permitted Liens) upon any of the properties or Assets of the Company or its Subsidiaries, except, in the case of each of clauses (a), (c), and (d), for any conflicts, violations, breaches, defaults, loss of benefits, additional payments or other liabilities, alterations, terminations, amendments, accelerations, cancellations, or Liens that, or where the failure to obtain any consents, in each case, would not reasonably be expected to have, individually or in the aggregate, a Company Material Adverse Effect.</w:t>
      </w:r>
    </w:p>
    <w:p>
      <w:pPr>
        <w:spacing w:after="0" w:line="8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58" w:lineRule="exact"/>
        <w:rPr>
          <w:sz w:val="20"/>
          <w:szCs w:val="20"/>
          <w:color w:val="auto"/>
        </w:rPr>
      </w:pPr>
    </w:p>
    <w:p>
      <w:pPr>
        <w:ind w:left="460" w:right="499" w:firstLine="858"/>
        <w:spacing w:after="0" w:line="270" w:lineRule="auto"/>
        <w:tabs>
          <w:tab w:leader="none" w:pos="1569" w:val="left"/>
        </w:tabs>
        <w:numPr>
          <w:ilvl w:val="0"/>
          <w:numId w:val="349"/>
        </w:numPr>
        <w:rPr>
          <w:rFonts w:ascii="Arial" w:cs="Arial" w:eastAsia="Arial" w:hAnsi="Arial"/>
          <w:sz w:val="17"/>
          <w:szCs w:val="17"/>
          <w:color w:val="auto"/>
        </w:rPr>
      </w:pPr>
      <w:r>
        <w:rPr>
          <w:rFonts w:ascii="Arial" w:cs="Arial" w:eastAsia="Arial" w:hAnsi="Arial"/>
          <w:sz w:val="17"/>
          <w:szCs w:val="17"/>
          <w:color w:val="auto"/>
        </w:rPr>
        <w:t>As of the date of this Agreement, the authorized capital stock of the Company consists of (x) 166,000,000 shares of Company Common Stock, of which 14,196,742 shares are issued and outstanding as of the date of this Agreement, and (y) 128,224,305 shares of Company Preferred Stock (of which (i) 55,700,000 shares are designated Series A Preferred Stock, par value $0.001 per share, all of which are issued and outstanding as of the date of this Agreement (the “</w:t>
      </w:r>
      <w:r>
        <w:rPr>
          <w:rFonts w:ascii="Arial" w:cs="Arial" w:eastAsia="Arial" w:hAnsi="Arial"/>
          <w:sz w:val="17"/>
          <w:szCs w:val="17"/>
          <w:u w:val="single" w:color="auto"/>
          <w:color w:val="auto"/>
        </w:rPr>
        <w:t>Series A Preferred Stock</w:t>
      </w:r>
      <w:r>
        <w:rPr>
          <w:rFonts w:ascii="Arial" w:cs="Arial" w:eastAsia="Arial" w:hAnsi="Arial"/>
          <w:sz w:val="17"/>
          <w:szCs w:val="17"/>
          <w:color w:val="auto"/>
        </w:rPr>
        <w:t>”), (ii) 45,372,050, shares are designated Series B Preferred Stock, par value $0.001 per share, all of which are issued and outstanding as of the date of this Agreement (the “</w:t>
      </w:r>
      <w:r>
        <w:rPr>
          <w:rFonts w:ascii="Arial" w:cs="Arial" w:eastAsia="Arial" w:hAnsi="Arial"/>
          <w:sz w:val="17"/>
          <w:szCs w:val="17"/>
          <w:u w:val="single" w:color="auto"/>
          <w:color w:val="auto"/>
        </w:rPr>
        <w:t>Series B Preferred Stock</w:t>
      </w:r>
      <w:r>
        <w:rPr>
          <w:rFonts w:ascii="Arial" w:cs="Arial" w:eastAsia="Arial" w:hAnsi="Arial"/>
          <w:sz w:val="17"/>
          <w:szCs w:val="17"/>
          <w:color w:val="auto"/>
        </w:rPr>
        <w:t>”), and (iii) 27,152,255 shares are designated Series B-1 Preferred Stock, par value $0.001 per share, all of which are issued and outstanding as of the date of this Agreement (the “</w:t>
      </w:r>
      <w:r>
        <w:rPr>
          <w:rFonts w:ascii="Arial" w:cs="Arial" w:eastAsia="Arial" w:hAnsi="Arial"/>
          <w:sz w:val="17"/>
          <w:szCs w:val="17"/>
          <w:u w:val="single" w:color="auto"/>
          <w:color w:val="auto"/>
        </w:rPr>
        <w:t>Series B-1 Preferred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3" w:name="page364"/>
    <w:bookmarkEnd w:id="36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659"/>
        <w:spacing w:after="0" w:line="287" w:lineRule="auto"/>
        <w:rPr>
          <w:sz w:val="20"/>
          <w:szCs w:val="20"/>
          <w:color w:val="auto"/>
        </w:rPr>
      </w:pPr>
      <w:r>
        <w:rPr>
          <w:rFonts w:ascii="Arial" w:cs="Arial" w:eastAsia="Arial" w:hAnsi="Arial"/>
          <w:sz w:val="16"/>
          <w:szCs w:val="16"/>
          <w:u w:val="single" w:color="auto"/>
          <w:color w:val="auto"/>
        </w:rPr>
        <w:t>Stock</w:t>
      </w:r>
      <w:r>
        <w:rPr>
          <w:rFonts w:ascii="Arial" w:cs="Arial" w:eastAsia="Arial" w:hAnsi="Arial"/>
          <w:sz w:val="16"/>
          <w:szCs w:val="16"/>
          <w:color w:val="auto"/>
        </w:rPr>
        <w:t xml:space="preserve">”), and there are no other authorized equity interests of the Company that are issued and outstanding. As of the date of this Agreement, all outstanding shares of the Company Common Stock are owned of record by the Persons set forth on </w:t>
      </w:r>
      <w:r>
        <w:rPr>
          <w:rFonts w:ascii="Arial" w:cs="Arial" w:eastAsia="Arial" w:hAnsi="Arial"/>
          <w:sz w:val="16"/>
          <w:szCs w:val="16"/>
          <w:u w:val="single" w:color="auto"/>
          <w:color w:val="auto"/>
        </w:rPr>
        <w:t>Schedule 3.5(a)</w:t>
      </w:r>
      <w:r>
        <w:rPr>
          <w:rFonts w:ascii="Arial" w:cs="Arial" w:eastAsia="Arial" w:hAnsi="Arial"/>
          <w:sz w:val="16"/>
          <w:szCs w:val="16"/>
          <w:color w:val="auto"/>
        </w:rPr>
        <w:t xml:space="preserve"> in the amounts set forth opposite their respective names.</w:t>
      </w:r>
    </w:p>
    <w:p>
      <w:pPr>
        <w:spacing w:after="0" w:line="2" w:lineRule="exact"/>
        <w:rPr>
          <w:sz w:val="20"/>
          <w:szCs w:val="20"/>
          <w:color w:val="auto"/>
        </w:rPr>
      </w:pPr>
    </w:p>
    <w:p>
      <w:pPr>
        <w:ind w:left="460" w:right="479"/>
        <w:spacing w:after="0" w:line="271" w:lineRule="auto"/>
        <w:rPr>
          <w:sz w:val="20"/>
          <w:szCs w:val="20"/>
          <w:color w:val="auto"/>
        </w:rPr>
      </w:pPr>
      <w:r>
        <w:rPr>
          <w:rFonts w:ascii="Arial" w:cs="Arial" w:eastAsia="Arial" w:hAnsi="Arial"/>
          <w:sz w:val="17"/>
          <w:szCs w:val="17"/>
          <w:u w:val="single" w:color="auto"/>
          <w:color w:val="auto"/>
        </w:rPr>
        <w:t>Schedule 3.5(a)</w:t>
      </w:r>
      <w:r>
        <w:rPr>
          <w:rFonts w:ascii="Arial" w:cs="Arial" w:eastAsia="Arial" w:hAnsi="Arial"/>
          <w:sz w:val="17"/>
          <w:szCs w:val="17"/>
          <w:color w:val="auto"/>
        </w:rPr>
        <w:t xml:space="preserve"> sets forth for each outstanding Company Option, the name of the Person holding such Company Option and the number of shares of Company Common Stock issuable upon the exercise of such Company Option, and whether such Company Option is subject to acceleration as a result of the Transactions. All of the outstanding shares of Company Common Stock are validly issued and outstanding, fully paid and nonassessable with no personal Liability attaching to the ownership thereof.</w:t>
      </w:r>
    </w:p>
    <w:p>
      <w:pPr>
        <w:spacing w:after="0" w:line="111" w:lineRule="exact"/>
        <w:rPr>
          <w:sz w:val="20"/>
          <w:szCs w:val="20"/>
          <w:color w:val="auto"/>
        </w:rPr>
      </w:pPr>
    </w:p>
    <w:p>
      <w:pPr>
        <w:ind w:left="460" w:right="659" w:firstLine="858"/>
        <w:spacing w:after="0" w:line="284" w:lineRule="auto"/>
        <w:tabs>
          <w:tab w:leader="none" w:pos="1579" w:val="left"/>
        </w:tabs>
        <w:numPr>
          <w:ilvl w:val="1"/>
          <w:numId w:val="350"/>
        </w:numPr>
        <w:rPr>
          <w:rFonts w:ascii="Arial" w:cs="Arial" w:eastAsia="Arial" w:hAnsi="Arial"/>
          <w:sz w:val="16"/>
          <w:szCs w:val="16"/>
          <w:color w:val="auto"/>
        </w:rPr>
      </w:pPr>
      <w:r>
        <w:rPr>
          <w:rFonts w:ascii="Arial" w:cs="Arial" w:eastAsia="Arial" w:hAnsi="Arial"/>
          <w:sz w:val="16"/>
          <w:szCs w:val="16"/>
          <w:color w:val="auto"/>
        </w:rPr>
        <w:t xml:space="preserve">As of the date hereof, there are (other than the Company Options set forth in </w:t>
      </w:r>
      <w:r>
        <w:rPr>
          <w:rFonts w:ascii="Arial" w:cs="Arial" w:eastAsia="Arial" w:hAnsi="Arial"/>
          <w:sz w:val="16"/>
          <w:szCs w:val="16"/>
          <w:u w:val="single" w:color="auto"/>
          <w:color w:val="auto"/>
        </w:rPr>
        <w:t>Schedule 3.5(a)</w:t>
      </w:r>
      <w:r>
        <w:rPr>
          <w:rFonts w:ascii="Arial" w:cs="Arial" w:eastAsia="Arial" w:hAnsi="Arial"/>
          <w:sz w:val="16"/>
          <w:szCs w:val="16"/>
          <w:color w:val="auto"/>
        </w:rPr>
        <w:t>), and immediately after consummation of the Closing there will be, no (i) outstanding warrants, options, agreements, convertible securities, performance units or other commitments or instruments pursuant to which the Company is or may become obligated to issue or sell any of its shares or other securities, (ii) outstanding obligations of the Company to repurchase, redeem or otherwise acquire outstanding capital stock of the Company or any securities convertible into or exchangeable for any shares of capital stock of the Company,</w:t>
      </w:r>
    </w:p>
    <w:p>
      <w:pPr>
        <w:spacing w:after="0" w:line="4" w:lineRule="exact"/>
        <w:rPr>
          <w:rFonts w:ascii="Arial" w:cs="Arial" w:eastAsia="Arial" w:hAnsi="Arial"/>
          <w:sz w:val="16"/>
          <w:szCs w:val="16"/>
          <w:color w:val="auto"/>
        </w:rPr>
      </w:pPr>
    </w:p>
    <w:p>
      <w:pPr>
        <w:ind w:left="460" w:right="599" w:hanging="6"/>
        <w:spacing w:after="0" w:line="269" w:lineRule="auto"/>
        <w:tabs>
          <w:tab w:leader="none" w:pos="775" w:val="left"/>
        </w:tabs>
        <w:numPr>
          <w:ilvl w:val="0"/>
          <w:numId w:val="351"/>
        </w:numPr>
        <w:rPr>
          <w:rFonts w:ascii="Arial" w:cs="Arial" w:eastAsia="Arial" w:hAnsi="Arial"/>
          <w:sz w:val="17"/>
          <w:szCs w:val="17"/>
          <w:color w:val="auto"/>
        </w:rPr>
      </w:pPr>
      <w:r>
        <w:rPr>
          <w:rFonts w:ascii="Arial" w:cs="Arial" w:eastAsia="Arial" w:hAnsi="Arial"/>
          <w:sz w:val="17"/>
          <w:szCs w:val="17"/>
          <w:color w:val="auto"/>
        </w:rPr>
        <w:t>treasury shares of capital stock of the Company, (iv) bonds, debentures, notes or other Indebtedness of the Company having the right to vote (or convertible into, or exchangeable for, securities having the right to vote) on any matters on which stockholders of the Company may vote, are issued or outstanding, (v) preemptive or similar rights to purchase or otherwise acquire shares or other securities of the Company pursuant to any provision of Law, the Company’s Organizational Documents or any Contract to which the Company is a party, or (vi) Lien (other than a Permitted Lien) with respect to the sale or voting of shares or securities of the Company (whether outstanding or issuable).</w:t>
      </w:r>
    </w:p>
    <w:p>
      <w:pPr>
        <w:spacing w:after="0" w:line="112" w:lineRule="exact"/>
        <w:rPr>
          <w:rFonts w:ascii="Arial" w:cs="Arial" w:eastAsia="Arial" w:hAnsi="Arial"/>
          <w:sz w:val="17"/>
          <w:szCs w:val="17"/>
          <w:color w:val="auto"/>
        </w:rPr>
      </w:pPr>
    </w:p>
    <w:p>
      <w:pPr>
        <w:ind w:left="460" w:right="599" w:firstLine="858"/>
        <w:spacing w:after="0" w:line="286" w:lineRule="auto"/>
        <w:tabs>
          <w:tab w:leader="none" w:pos="1569" w:val="left"/>
        </w:tabs>
        <w:numPr>
          <w:ilvl w:val="1"/>
          <w:numId w:val="351"/>
        </w:numPr>
        <w:rPr>
          <w:rFonts w:ascii="Arial" w:cs="Arial" w:eastAsia="Arial" w:hAnsi="Arial"/>
          <w:sz w:val="16"/>
          <w:szCs w:val="16"/>
          <w:color w:val="auto"/>
        </w:rPr>
      </w:pPr>
      <w:r>
        <w:rPr>
          <w:rFonts w:ascii="Arial" w:cs="Arial" w:eastAsia="Arial" w:hAnsi="Arial"/>
          <w:sz w:val="16"/>
          <w:szCs w:val="16"/>
          <w:color w:val="auto"/>
        </w:rPr>
        <w:t>With respect to the Company Options that were issued and remain outstanding as of the date of this Agreement, (i) each grant of a Company Option was duly authorized no later than the date on which the grant of such Company Option was by its terms to be effective (the “</w:t>
      </w:r>
      <w:r>
        <w:rPr>
          <w:rFonts w:ascii="Arial" w:cs="Arial" w:eastAsia="Arial" w:hAnsi="Arial"/>
          <w:sz w:val="16"/>
          <w:szCs w:val="16"/>
          <w:u w:val="single" w:color="auto"/>
          <w:color w:val="auto"/>
        </w:rPr>
        <w:t>Grant Date</w:t>
      </w:r>
      <w:r>
        <w:rPr>
          <w:rFonts w:ascii="Arial" w:cs="Arial" w:eastAsia="Arial" w:hAnsi="Arial"/>
          <w:sz w:val="16"/>
          <w:szCs w:val="16"/>
          <w:color w:val="auto"/>
        </w:rPr>
        <w:t>”) by all necessary corporate action, including, as applicable, approval by the Company board of directors, or a committee thereof and</w:t>
      </w:r>
    </w:p>
    <w:p>
      <w:pPr>
        <w:spacing w:after="0" w:line="1" w:lineRule="exact"/>
        <w:rPr>
          <w:rFonts w:ascii="Arial" w:cs="Arial" w:eastAsia="Arial" w:hAnsi="Arial"/>
          <w:sz w:val="16"/>
          <w:szCs w:val="16"/>
          <w:color w:val="auto"/>
        </w:rPr>
      </w:pPr>
    </w:p>
    <w:p>
      <w:pPr>
        <w:ind w:left="460" w:right="539" w:hanging="6"/>
        <w:spacing w:after="0" w:line="287" w:lineRule="auto"/>
        <w:tabs>
          <w:tab w:leader="none" w:pos="725" w:val="left"/>
        </w:tabs>
        <w:numPr>
          <w:ilvl w:val="0"/>
          <w:numId w:val="352"/>
        </w:numPr>
        <w:rPr>
          <w:rFonts w:ascii="Arial" w:cs="Arial" w:eastAsia="Arial" w:hAnsi="Arial"/>
          <w:sz w:val="16"/>
          <w:szCs w:val="16"/>
          <w:color w:val="auto"/>
        </w:rPr>
      </w:pPr>
      <w:r>
        <w:rPr>
          <w:rFonts w:ascii="Arial" w:cs="Arial" w:eastAsia="Arial" w:hAnsi="Arial"/>
          <w:sz w:val="16"/>
          <w:szCs w:val="16"/>
          <w:color w:val="auto"/>
        </w:rPr>
        <w:t xml:space="preserve">each Company Option was granted in compliance in all material respects with all applicable Laws and the terms and conditions of the Company Stock Plan. Except as described on </w:t>
      </w:r>
      <w:r>
        <w:rPr>
          <w:rFonts w:ascii="Arial" w:cs="Arial" w:eastAsia="Arial" w:hAnsi="Arial"/>
          <w:sz w:val="16"/>
          <w:szCs w:val="16"/>
          <w:u w:val="single" w:color="auto"/>
          <w:color w:val="auto"/>
        </w:rPr>
        <w:t>Schedule 3.5(c)</w:t>
      </w:r>
      <w:r>
        <w:rPr>
          <w:rFonts w:ascii="Arial" w:cs="Arial" w:eastAsia="Arial" w:hAnsi="Arial"/>
          <w:sz w:val="16"/>
          <w:szCs w:val="16"/>
          <w:color w:val="auto"/>
        </w:rPr>
        <w:t xml:space="preserve"> or as set forth in a Benefit Arrangement, no employee or other Person has an offer letter or other Contract or Benefit Arrangement that contemplates a grant of, or right to purchase or receive: (A) options, restricted stock unit awards or other equity awards with respect to the equity of the Company or (B) other securities of the Company, that in each case, have not been issued or granted as of the date of this Agreement. The treatment of Company Options under this Agreement, complies in all respects with applicable Law and with the terms and conditions of the Company Stock Plan and the applicable Company Option or award agreements.</w:t>
      </w:r>
    </w:p>
    <w:p>
      <w:pPr>
        <w:spacing w:after="0" w:line="88" w:lineRule="exact"/>
        <w:rPr>
          <w:rFonts w:ascii="Arial" w:cs="Arial" w:eastAsia="Arial" w:hAnsi="Arial"/>
          <w:sz w:val="16"/>
          <w:szCs w:val="16"/>
          <w:color w:val="auto"/>
        </w:rPr>
      </w:pPr>
    </w:p>
    <w:p>
      <w:pPr>
        <w:ind w:left="460" w:right="539" w:firstLine="858"/>
        <w:spacing w:after="0" w:line="308" w:lineRule="auto"/>
        <w:tabs>
          <w:tab w:leader="none" w:pos="1579" w:val="left"/>
        </w:tabs>
        <w:numPr>
          <w:ilvl w:val="1"/>
          <w:numId w:val="352"/>
        </w:numPr>
        <w:rPr>
          <w:rFonts w:ascii="Arial" w:cs="Arial" w:eastAsia="Arial" w:hAnsi="Arial"/>
          <w:sz w:val="17"/>
          <w:szCs w:val="17"/>
          <w:color w:val="auto"/>
        </w:rPr>
      </w:pPr>
      <w:r>
        <w:rPr>
          <w:rFonts w:ascii="Arial" w:cs="Arial" w:eastAsia="Arial" w:hAnsi="Arial"/>
          <w:sz w:val="17"/>
          <w:szCs w:val="17"/>
          <w:color w:val="auto"/>
        </w:rPr>
        <w:t>Upon the consummation of the Merger, Parent will own all of the issued and outstanding capital stock and equity securities of the Company free and clear of all Liens (other than Permitted Liens).</w:t>
      </w:r>
    </w:p>
    <w:p>
      <w:pPr>
        <w:spacing w:after="0" w:line="79"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Bankruptcy</w:t>
      </w:r>
      <w:r>
        <w:rPr>
          <w:rFonts w:ascii="Arial" w:cs="Arial" w:eastAsia="Arial" w:hAnsi="Arial"/>
          <w:sz w:val="17"/>
          <w:szCs w:val="17"/>
          <w:color w:val="auto"/>
        </w:rPr>
        <w:t>. Neither the Company nor any of its Subsidiaries is involved in any Proceeding by or against it as a debtor before any Governmental Authority under the United States Bankruptcy Code or any other insolvency or debtors’ relief act or Law or for the appointment of a trustee, receiver, liquidator, assignee, sequestrator or other similar official for any part of the Assets of the Company or any of its Subsidiaries. Neither the Company nor or any of its Subsidiaries is, and after giving effect to the consummation of the Transactions, will be “insolvent” within the meaning of Section 101(32) of title 11 of the United States Code or any applicable state fraudulent conveyance or transfer Law.</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xml:space="preserve">. Attached hereto as </w:t>
      </w:r>
      <w:r>
        <w:rPr>
          <w:rFonts w:ascii="Arial" w:cs="Arial" w:eastAsia="Arial" w:hAnsi="Arial"/>
          <w:sz w:val="16"/>
          <w:szCs w:val="16"/>
          <w:u w:val="single" w:color="auto"/>
          <w:color w:val="auto"/>
        </w:rPr>
        <w:t>Schedule 3.7</w:t>
      </w:r>
      <w:r>
        <w:rPr>
          <w:rFonts w:ascii="Arial" w:cs="Arial" w:eastAsia="Arial" w:hAnsi="Arial"/>
          <w:sz w:val="16"/>
          <w:szCs w:val="16"/>
          <w:color w:val="auto"/>
        </w:rPr>
        <w:t xml:space="preserve"> are true, complete and correct copies of</w:t>
      </w:r>
    </w:p>
    <w:p>
      <w:pPr>
        <w:spacing w:after="0" w:line="46" w:lineRule="exact"/>
        <w:rPr>
          <w:sz w:val="20"/>
          <w:szCs w:val="20"/>
          <w:color w:val="auto"/>
        </w:rPr>
      </w:pPr>
    </w:p>
    <w:p>
      <w:pPr>
        <w:ind w:left="460" w:right="559" w:hanging="6"/>
        <w:spacing w:after="0" w:line="267" w:lineRule="auto"/>
        <w:tabs>
          <w:tab w:leader="none" w:pos="705" w:val="left"/>
        </w:tabs>
        <w:numPr>
          <w:ilvl w:val="0"/>
          <w:numId w:val="353"/>
        </w:numPr>
        <w:rPr>
          <w:rFonts w:ascii="Arial" w:cs="Arial" w:eastAsia="Arial" w:hAnsi="Arial"/>
          <w:sz w:val="17"/>
          <w:szCs w:val="17"/>
          <w:color w:val="auto"/>
        </w:rPr>
      </w:pPr>
      <w:r>
        <w:rPr>
          <w:rFonts w:ascii="Arial" w:cs="Arial" w:eastAsia="Arial" w:hAnsi="Arial"/>
          <w:sz w:val="17"/>
          <w:szCs w:val="17"/>
          <w:color w:val="auto"/>
        </w:rPr>
        <w:t>the audited balance sheet of the Company, and the related statement of operations, changes in stockholders’ equity and cash flows, for the fiscal year ended December 31, 2019 (collectively, the “</w:t>
      </w:r>
      <w:r>
        <w:rPr>
          <w:rFonts w:ascii="Arial" w:cs="Arial" w:eastAsia="Arial" w:hAnsi="Arial"/>
          <w:sz w:val="17"/>
          <w:szCs w:val="17"/>
          <w:u w:val="single" w:color="auto"/>
          <w:color w:val="auto"/>
        </w:rPr>
        <w:t>Annual Financial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Statements</w:t>
      </w:r>
      <w:r>
        <w:rPr>
          <w:rFonts w:ascii="Arial" w:cs="Arial" w:eastAsia="Arial" w:hAnsi="Arial"/>
          <w:sz w:val="17"/>
          <w:szCs w:val="17"/>
          <w:color w:val="auto"/>
        </w:rPr>
        <w:t>”) and (b) the audited balance sheet of the Company as of December 31, 2020 (the “</w:t>
      </w:r>
      <w:r>
        <w:rPr>
          <w:rFonts w:ascii="Arial" w:cs="Arial" w:eastAsia="Arial" w:hAnsi="Arial"/>
          <w:sz w:val="17"/>
          <w:szCs w:val="17"/>
          <w:u w:val="single" w:color="auto"/>
          <w:color w:val="auto"/>
        </w:rPr>
        <w:t>Interim Balance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Sheet</w:t>
      </w:r>
      <w:r>
        <w:rPr>
          <w:rFonts w:ascii="Arial" w:cs="Arial" w:eastAsia="Arial" w:hAnsi="Arial"/>
          <w:sz w:val="17"/>
          <w:szCs w:val="17"/>
          <w:color w:val="auto"/>
        </w:rPr>
        <w:t>” and, together with the Annual Financial Statements, the “</w:t>
      </w:r>
      <w:r>
        <w:rPr>
          <w:rFonts w:ascii="Arial" w:cs="Arial" w:eastAsia="Arial" w:hAnsi="Arial"/>
          <w:sz w:val="17"/>
          <w:szCs w:val="17"/>
          <w:u w:val="single" w:color="auto"/>
          <w:color w:val="auto"/>
        </w:rPr>
        <w:t>Company Financial Statements</w:t>
      </w:r>
      <w:r>
        <w:rPr>
          <w:rFonts w:ascii="Arial" w:cs="Arial" w:eastAsia="Arial" w:hAnsi="Arial"/>
          <w:sz w:val="17"/>
          <w:szCs w:val="17"/>
          <w:color w:val="auto"/>
        </w:rPr>
        <w:t>”). The Company Financial Statements have been prepared on an accrual basis in conformity with U.S. GAAP (“</w:t>
      </w:r>
      <w:r>
        <w:rPr>
          <w:rFonts w:ascii="Arial" w:cs="Arial" w:eastAsia="Arial" w:hAnsi="Arial"/>
          <w:sz w:val="17"/>
          <w:szCs w:val="17"/>
          <w:u w:val="single" w:color="auto"/>
          <w:color w:val="auto"/>
        </w:rPr>
        <w:t>GAAP</w:t>
      </w:r>
      <w:r>
        <w:rPr>
          <w:rFonts w:ascii="Arial" w:cs="Arial" w:eastAsia="Arial" w:hAnsi="Arial"/>
          <w:sz w:val="17"/>
          <w:szCs w:val="17"/>
          <w:color w:val="auto"/>
        </w:rPr>
        <w:t>”) applied on a consistent basis (except as may be indicated in the notes thereto). The Company Financial Statements are complete and accurate in all material respects and fairly present, in all material respects, the financial position of the Company as of the dates thereof and the results of operations of the Company for the periods reflected therein, subject, in the case of the Company Financial Statements, to normal and year-end adjustments as permitted by GAAP. Except as otherwise noted therein, the Company Financial Statements (i) were prepared from the Books and Records of</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4" w:name="page365"/>
    <w:bookmarkEnd w:id="36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70" w:lineRule="auto"/>
        <w:rPr>
          <w:sz w:val="20"/>
          <w:szCs w:val="20"/>
          <w:color w:val="auto"/>
        </w:rPr>
      </w:pPr>
      <w:r>
        <w:rPr>
          <w:rFonts w:ascii="Arial" w:cs="Arial" w:eastAsia="Arial" w:hAnsi="Arial"/>
          <w:sz w:val="17"/>
          <w:szCs w:val="17"/>
          <w:color w:val="auto"/>
        </w:rPr>
        <w:t>the Company; (ii) contain and reflect all necessary adjustments and accruals for a fair presentation in all material respects of the Company’s financial condition as of their dates; and (iii) contain and reflect adequate provisions for all material liabilities for all material Taxes applicable to the Company with respect to the periods then ended. The Company has delivered to Parent true, complete and correct copies of all “management letters” received by it from its accountants and all responses by lawyers engaged by the Company to inquiries from its accountant or any predecessor accountants since January 1, 2019. Since December 31, 2020 (the “</w:t>
      </w:r>
      <w:r>
        <w:rPr>
          <w:rFonts w:ascii="Arial" w:cs="Arial" w:eastAsia="Arial" w:hAnsi="Arial"/>
          <w:sz w:val="17"/>
          <w:szCs w:val="17"/>
          <w:u w:val="single" w:color="auto"/>
          <w:color w:val="auto"/>
        </w:rPr>
        <w:t>Balance Sheet</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except as required by applicable Law or GAAP, there has been no material change in any accounting principle, procedure or practice followed by the Company or in the method of applying any such principle, procedure or practice.</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Liabilities</w:t>
      </w:r>
      <w:r>
        <w:rPr>
          <w:rFonts w:ascii="Arial" w:cs="Arial" w:eastAsia="Arial" w:hAnsi="Arial"/>
          <w:sz w:val="18"/>
          <w:szCs w:val="18"/>
          <w:color w:val="auto"/>
        </w:rPr>
        <w:t>.</w:t>
      </w:r>
    </w:p>
    <w:p>
      <w:pPr>
        <w:spacing w:after="0" w:line="158" w:lineRule="exact"/>
        <w:rPr>
          <w:sz w:val="20"/>
          <w:szCs w:val="20"/>
          <w:color w:val="auto"/>
        </w:rPr>
      </w:pPr>
    </w:p>
    <w:p>
      <w:pPr>
        <w:ind w:left="460" w:right="479" w:firstLine="858"/>
        <w:spacing w:after="0" w:line="293" w:lineRule="auto"/>
        <w:tabs>
          <w:tab w:leader="none" w:pos="1569" w:val="left"/>
        </w:tabs>
        <w:numPr>
          <w:ilvl w:val="0"/>
          <w:numId w:val="354"/>
        </w:numPr>
        <w:rPr>
          <w:rFonts w:ascii="Arial" w:cs="Arial" w:eastAsia="Arial" w:hAnsi="Arial"/>
          <w:sz w:val="16"/>
          <w:szCs w:val="16"/>
          <w:color w:val="auto"/>
        </w:rPr>
      </w:pPr>
      <w:r>
        <w:rPr>
          <w:rFonts w:ascii="Arial" w:cs="Arial" w:eastAsia="Arial" w:hAnsi="Arial"/>
          <w:sz w:val="16"/>
          <w:szCs w:val="16"/>
          <w:color w:val="auto"/>
        </w:rPr>
        <w:t xml:space="preserve">Except (i) as set forth in the Company Financial Statements, (ii) for Liabilities incurred since the Balance Sheet Date in the Ordinary Course that would not reasonably be expected to have, individually or in the aggregate, a Company Material Adverse Effect, (iii) as set forth in </w:t>
      </w:r>
      <w:r>
        <w:rPr>
          <w:rFonts w:ascii="Arial" w:cs="Arial" w:eastAsia="Arial" w:hAnsi="Arial"/>
          <w:sz w:val="16"/>
          <w:szCs w:val="16"/>
          <w:u w:val="single" w:color="auto"/>
          <w:color w:val="auto"/>
        </w:rPr>
        <w:t>Schedule 3.8(a)</w:t>
      </w:r>
      <w:r>
        <w:rPr>
          <w:rFonts w:ascii="Arial" w:cs="Arial" w:eastAsia="Arial" w:hAnsi="Arial"/>
          <w:sz w:val="16"/>
          <w:szCs w:val="16"/>
          <w:color w:val="auto"/>
        </w:rPr>
        <w:t>, (iv) Liabilities under Contracts that relate to obligations that have not yet been performed, and are not yet required to be performed, or (v) for Liabilities incurred in connection with the Transactions, the Company has no Liabilities of a nature required to be reflected on a balance sheet of the Company prepared in accordance with GAAP.</w:t>
      </w:r>
    </w:p>
    <w:p>
      <w:pPr>
        <w:spacing w:after="0" w:line="83" w:lineRule="exact"/>
        <w:rPr>
          <w:rFonts w:ascii="Arial" w:cs="Arial" w:eastAsia="Arial" w:hAnsi="Arial"/>
          <w:sz w:val="16"/>
          <w:szCs w:val="16"/>
          <w:color w:val="auto"/>
        </w:rPr>
      </w:pPr>
    </w:p>
    <w:p>
      <w:pPr>
        <w:ind w:left="460" w:right="599" w:firstLine="858"/>
        <w:spacing w:after="0" w:line="263" w:lineRule="auto"/>
        <w:tabs>
          <w:tab w:leader="none" w:pos="1579" w:val="left"/>
        </w:tabs>
        <w:numPr>
          <w:ilvl w:val="0"/>
          <w:numId w:val="354"/>
        </w:numPr>
        <w:rPr>
          <w:rFonts w:ascii="Arial" w:cs="Arial" w:eastAsia="Arial" w:hAnsi="Arial"/>
          <w:sz w:val="18"/>
          <w:szCs w:val="18"/>
          <w:color w:val="auto"/>
        </w:rPr>
      </w:pPr>
      <w:r>
        <w:rPr>
          <w:rFonts w:ascii="Arial" w:cs="Arial" w:eastAsia="Arial" w:hAnsi="Arial"/>
          <w:sz w:val="18"/>
          <w:szCs w:val="18"/>
          <w:color w:val="auto"/>
        </w:rPr>
        <w:t xml:space="preserve">Set forth in </w:t>
      </w:r>
      <w:r>
        <w:rPr>
          <w:rFonts w:ascii="Arial" w:cs="Arial" w:eastAsia="Arial" w:hAnsi="Arial"/>
          <w:sz w:val="18"/>
          <w:szCs w:val="18"/>
          <w:u w:val="single" w:color="auto"/>
          <w:color w:val="auto"/>
        </w:rPr>
        <w:t>Schedule 3.8(b)</w:t>
      </w:r>
      <w:r>
        <w:rPr>
          <w:rFonts w:ascii="Arial" w:cs="Arial" w:eastAsia="Arial" w:hAnsi="Arial"/>
          <w:sz w:val="18"/>
          <w:szCs w:val="18"/>
          <w:color w:val="auto"/>
        </w:rPr>
        <w:t xml:space="preserve"> is a list of all Indebtedness of the Company and its Subsidiaries for borrowed money. Neither the Company nor any of its Subsidiaries has guaranteed any other Person’s Indebtedness for borrowed money.</w:t>
      </w:r>
    </w:p>
    <w:p>
      <w:pPr>
        <w:spacing w:after="0" w:line="116"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 xml:space="preserve">Section 3.9 </w:t>
      </w:r>
      <w:r>
        <w:rPr>
          <w:rFonts w:ascii="Arial" w:cs="Arial" w:eastAsia="Arial" w:hAnsi="Arial"/>
          <w:sz w:val="17"/>
          <w:szCs w:val="17"/>
          <w:u w:val="single" w:color="auto"/>
          <w:color w:val="auto"/>
        </w:rPr>
        <w:t>Internal Accounting Controls</w:t>
      </w:r>
      <w:r>
        <w:rPr>
          <w:rFonts w:ascii="Arial" w:cs="Arial" w:eastAsia="Arial" w:hAnsi="Arial"/>
          <w:sz w:val="17"/>
          <w:szCs w:val="17"/>
          <w:color w:val="auto"/>
        </w:rPr>
        <w:t>. The Company and its Subsidiaries have established a system of internal accounting controls designed to provide reasonable assurance that: (a) transactions are executed in accordance with management’s general or specific authorizations in all material respects; (b) transactions are recorded as necessary to permit preparation of financial statements in conformity with the Company’s historical practices and to maintain asset accountability in all material respects; (c) access to material assets is permitted only in accordance with management’s general or specific authorization; and (d) the recorded accountability for material assets is compared with the existing assets at reasonable intervals and appropriate action is taken with respect to any differences.</w:t>
      </w:r>
    </w:p>
    <w:p>
      <w:pPr>
        <w:spacing w:after="0" w:line="111"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Absence of Certain Developments</w:t>
      </w:r>
      <w:r>
        <w:rPr>
          <w:rFonts w:ascii="Arial" w:cs="Arial" w:eastAsia="Arial" w:hAnsi="Arial"/>
          <w:sz w:val="18"/>
          <w:szCs w:val="18"/>
          <w:color w:val="auto"/>
        </w:rPr>
        <w:t xml:space="preserve">. Between the Balance Sheet Date and the date hereof, neither the Company nor any of its Subsidiaries has taken any action that, if such action were taken between the Balance Sheet Date and the date hereof, would have required Parent consent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Neither the Company nor any of its Subsidiaries has received any grant or other financial support, financial benefits or relief from any Governmental Authority, including pursuant to any COVID-19 Law programs or under any COVID-19 Law.</w:t>
      </w:r>
    </w:p>
    <w:p>
      <w:pPr>
        <w:spacing w:after="0" w:line="111"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Accounts Payable</w:t>
      </w:r>
      <w:r>
        <w:rPr>
          <w:rFonts w:ascii="Arial" w:cs="Arial" w:eastAsia="Arial" w:hAnsi="Arial"/>
          <w:sz w:val="18"/>
          <w:szCs w:val="18"/>
          <w:color w:val="auto"/>
        </w:rPr>
        <w:t xml:space="preserve">. Other than as set forth on </w:t>
      </w:r>
      <w:r>
        <w:rPr>
          <w:rFonts w:ascii="Arial" w:cs="Arial" w:eastAsia="Arial" w:hAnsi="Arial"/>
          <w:sz w:val="18"/>
          <w:szCs w:val="18"/>
          <w:u w:val="single" w:color="auto"/>
          <w:color w:val="auto"/>
        </w:rPr>
        <w:t>Schedule 3.11</w:t>
      </w:r>
      <w:r>
        <w:rPr>
          <w:rFonts w:ascii="Arial" w:cs="Arial" w:eastAsia="Arial" w:hAnsi="Arial"/>
          <w:sz w:val="18"/>
          <w:szCs w:val="18"/>
          <w:color w:val="auto"/>
        </w:rPr>
        <w:t>, the Company does not have any accounts receivable. The accounts payable of the Company reflected on the Company Financial Statements, and all accounts payable arising subsequent to the date thereof, arose from bona fide transactions in the ordinary course consistent with past practice.</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Compliance with Law</w:t>
      </w:r>
      <w:r>
        <w:rPr>
          <w:rFonts w:ascii="Arial" w:cs="Arial" w:eastAsia="Arial" w:hAnsi="Arial"/>
          <w:sz w:val="18"/>
          <w:szCs w:val="18"/>
          <w:color w:val="auto"/>
        </w:rPr>
        <w:t>.</w:t>
      </w:r>
    </w:p>
    <w:p>
      <w:pPr>
        <w:spacing w:after="0" w:line="158" w:lineRule="exact"/>
        <w:rPr>
          <w:sz w:val="20"/>
          <w:szCs w:val="20"/>
          <w:color w:val="auto"/>
        </w:rPr>
      </w:pPr>
    </w:p>
    <w:p>
      <w:pPr>
        <w:ind w:left="460" w:right="619" w:firstLine="858"/>
        <w:spacing w:after="0" w:line="269" w:lineRule="auto"/>
        <w:tabs>
          <w:tab w:leader="none" w:pos="1569" w:val="left"/>
        </w:tabs>
        <w:numPr>
          <w:ilvl w:val="0"/>
          <w:numId w:val="355"/>
        </w:numPr>
        <w:rPr>
          <w:rFonts w:ascii="Arial" w:cs="Arial" w:eastAsia="Arial" w:hAnsi="Arial"/>
          <w:sz w:val="17"/>
          <w:szCs w:val="17"/>
          <w:color w:val="auto"/>
        </w:rPr>
      </w:pPr>
      <w:r>
        <w:rPr>
          <w:rFonts w:ascii="Arial" w:cs="Arial" w:eastAsia="Arial" w:hAnsi="Arial"/>
          <w:sz w:val="17"/>
          <w:szCs w:val="17"/>
          <w:color w:val="auto"/>
        </w:rPr>
        <w:t>Except as would not reasonably be expected to, individually or in the aggregate, have a Company Material Adverse Effect, neither the Company nor any of its Subsidiaries has been since January 1, 2018, is in, nor has any Liability in respect of any, violation of, and no event has occurred or circumstance exists that (with or without notice or due to lapse of time) would constitute or result in a violation by the Company or any of its Subsidiaries of, or failure on the part of the Company or any of its Subsidiaries to comply with, or any Liability suffered or incurred by the Company or any of its Subsidiaries in respect of any violation of or material noncompliance with, any Laws and Orders or policies by Governmental Authority that are or were applicable to it or the conduct or operation of its business or the ownership or use of any of its Assets, and no Proceeding is pending, or to the Knowledge of the Company, threatened, alleging any such violation or noncompliance.</w:t>
      </w:r>
    </w:p>
    <w:p>
      <w:pPr>
        <w:spacing w:after="0" w:line="104" w:lineRule="exact"/>
        <w:rPr>
          <w:rFonts w:ascii="Arial" w:cs="Arial" w:eastAsia="Arial" w:hAnsi="Arial"/>
          <w:sz w:val="17"/>
          <w:szCs w:val="17"/>
          <w:color w:val="auto"/>
        </w:rPr>
      </w:pPr>
    </w:p>
    <w:p>
      <w:pPr>
        <w:ind w:left="460" w:right="499" w:firstLine="858"/>
        <w:spacing w:after="0" w:line="255" w:lineRule="auto"/>
        <w:tabs>
          <w:tab w:leader="none" w:pos="1579"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Company and each of its Subsidiaries has all Permits necessary for the conduct of its business as presently conducted, and (i) each of the Permits is in full force and effect; (ii) the Company and each of its Subsidiaries are in compliance with the terms, provisions and conditions thereof; (iii) there are no outstanding violations, notices of noncompliance, Orders or Proceedings adversely affecting any of the Permits; and (iv) no condition (including the execution of this Agreement and the other Transaction Documents to which the Company is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5" w:name="page366"/>
    <w:bookmarkEnd w:id="36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57" w:lineRule="auto"/>
        <w:rPr>
          <w:sz w:val="20"/>
          <w:szCs w:val="20"/>
          <w:color w:val="auto"/>
        </w:rPr>
      </w:pPr>
      <w:r>
        <w:rPr>
          <w:rFonts w:ascii="Arial" w:cs="Arial" w:eastAsia="Arial" w:hAnsi="Arial"/>
          <w:sz w:val="18"/>
          <w:szCs w:val="18"/>
          <w:color w:val="auto"/>
        </w:rPr>
        <w:t>a party and the consummation of the Transactions) exists and no event has occurred which (whether with or without notice, lapse of time or the occurrence of any other event) would reasonably be expected to result in the suspension or revocation of any of the Permits other than by expiration of the term set forth therein, except in each case as would not reasonably be expected to have, individually or in the aggregate, a Company Material Adverse Effect.</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Title to Properties</w:t>
      </w:r>
      <w:r>
        <w:rPr>
          <w:rFonts w:ascii="Arial" w:cs="Arial" w:eastAsia="Arial" w:hAnsi="Arial"/>
          <w:sz w:val="18"/>
          <w:szCs w:val="18"/>
          <w:color w:val="auto"/>
        </w:rPr>
        <w:t>.</w:t>
      </w:r>
    </w:p>
    <w:p>
      <w:pPr>
        <w:spacing w:after="0" w:line="158" w:lineRule="exact"/>
        <w:rPr>
          <w:sz w:val="20"/>
          <w:szCs w:val="20"/>
          <w:color w:val="auto"/>
        </w:rPr>
      </w:pPr>
    </w:p>
    <w:p>
      <w:pPr>
        <w:ind w:left="460" w:right="619" w:firstLine="858"/>
        <w:spacing w:after="0" w:line="254" w:lineRule="auto"/>
        <w:tabs>
          <w:tab w:leader="none" w:pos="1568"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Section 3.13(a)</w:t>
      </w:r>
      <w:r>
        <w:rPr>
          <w:rFonts w:ascii="Arial" w:cs="Arial" w:eastAsia="Arial" w:hAnsi="Arial"/>
          <w:sz w:val="18"/>
          <w:szCs w:val="18"/>
          <w:color w:val="auto"/>
        </w:rPr>
        <w:t xml:space="preserve"> of the Disclosure Schedules sets forth as of the date hereof the address of each real property owned by the Company (the “</w:t>
      </w:r>
      <w:r>
        <w:rPr>
          <w:rFonts w:ascii="Arial" w:cs="Arial" w:eastAsia="Arial" w:hAnsi="Arial"/>
          <w:sz w:val="18"/>
          <w:szCs w:val="18"/>
          <w:u w:val="single" w:color="auto"/>
          <w:color w:val="auto"/>
        </w:rPr>
        <w:t>Owned Real Property</w:t>
      </w:r>
      <w:r>
        <w:rPr>
          <w:rFonts w:ascii="Arial" w:cs="Arial" w:eastAsia="Arial" w:hAnsi="Arial"/>
          <w:sz w:val="18"/>
          <w:szCs w:val="18"/>
          <w:color w:val="auto"/>
        </w:rPr>
        <w:t>”). The Company and its Subsidiaries have good and marketable title to all Owned Real Property and valid leasehold interests in all Leased Real Property (as defined below), except where the failure to have such good and marketable title or valid leasehold interests would not reasonably be expected to, individually or in the aggregate, have a Company Material Adverse Effect. None of the Owned Real Property or Leased Real Property is subject to any Lien, except Permitted Liens.</w:t>
      </w:r>
    </w:p>
    <w:p>
      <w:pPr>
        <w:spacing w:after="0" w:line="113" w:lineRule="exact"/>
        <w:rPr>
          <w:rFonts w:ascii="Arial" w:cs="Arial" w:eastAsia="Arial" w:hAnsi="Arial"/>
          <w:sz w:val="18"/>
          <w:szCs w:val="18"/>
          <w:color w:val="auto"/>
        </w:rPr>
      </w:pPr>
    </w:p>
    <w:p>
      <w:pPr>
        <w:ind w:left="460" w:right="499" w:firstLine="858"/>
        <w:spacing w:after="0" w:line="286" w:lineRule="auto"/>
        <w:tabs>
          <w:tab w:leader="none" w:pos="1579" w:val="left"/>
        </w:tabs>
        <w:numPr>
          <w:ilvl w:val="0"/>
          <w:numId w:val="356"/>
        </w:numPr>
        <w:rPr>
          <w:rFonts w:ascii="Arial" w:cs="Arial" w:eastAsia="Arial" w:hAnsi="Arial"/>
          <w:sz w:val="16"/>
          <w:szCs w:val="16"/>
          <w:color w:val="auto"/>
        </w:rPr>
      </w:pPr>
      <w:r>
        <w:rPr>
          <w:rFonts w:ascii="Arial" w:cs="Arial" w:eastAsia="Arial" w:hAnsi="Arial"/>
          <w:sz w:val="16"/>
          <w:szCs w:val="16"/>
          <w:u w:val="single" w:color="auto"/>
          <w:color w:val="auto"/>
        </w:rPr>
        <w:t>Schedule 3.13(b)</w:t>
      </w:r>
      <w:r>
        <w:rPr>
          <w:rFonts w:ascii="Arial" w:cs="Arial" w:eastAsia="Arial" w:hAnsi="Arial"/>
          <w:sz w:val="16"/>
          <w:szCs w:val="16"/>
          <w:color w:val="auto"/>
        </w:rPr>
        <w:t xml:space="preserve"> hereto includes a true, complete and correct list, as of the date hereof, of (i) all Contracts under which the Company or any of its Subsidiaries leases, subleases, licenses or otherwise uses or occupies any real property as a lessee, sublessee, licensee or occupant thereof, whether in the Company’s or any Subsidiary’s capacity as lessee, sublessee, licensee, lessor, sublessor, or licensor, as the case may be (such Contracts are hereby referred to individually as a “</w:t>
      </w:r>
      <w:r>
        <w:rPr>
          <w:rFonts w:ascii="Arial" w:cs="Arial" w:eastAsia="Arial" w:hAnsi="Arial"/>
          <w:sz w:val="16"/>
          <w:szCs w:val="16"/>
          <w:u w:val="single" w:color="auto"/>
          <w:color w:val="auto"/>
        </w:rPr>
        <w:t>Real Property Lease</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Real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Leases</w:t>
      </w:r>
      <w:r>
        <w:rPr>
          <w:rFonts w:ascii="Arial" w:cs="Arial" w:eastAsia="Arial" w:hAnsi="Arial"/>
          <w:sz w:val="16"/>
          <w:szCs w:val="16"/>
          <w:color w:val="auto"/>
        </w:rPr>
        <w:t>”) and (ii) the street address of the real property that is leased, subleased, licensed or otherwise used or occupied pursuant to each Real Property Lease (each, a “</w:t>
      </w:r>
      <w:r>
        <w:rPr>
          <w:rFonts w:ascii="Arial" w:cs="Arial" w:eastAsia="Arial" w:hAnsi="Arial"/>
          <w:sz w:val="16"/>
          <w:szCs w:val="16"/>
          <w:u w:val="single" w:color="auto"/>
          <w:color w:val="auto"/>
        </w:rPr>
        <w:t>Leased Real Property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Leased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Real Properties</w:t>
      </w:r>
      <w:r>
        <w:rPr>
          <w:rFonts w:ascii="Arial" w:cs="Arial" w:eastAsia="Arial" w:hAnsi="Arial"/>
          <w:sz w:val="16"/>
          <w:szCs w:val="16"/>
          <w:color w:val="auto"/>
        </w:rPr>
        <w:t>”). The Company has made available to Parent true, complete and correct copies of all Real Property Leases. No Person other than the Company or any of its Subsidiaries has any option or right to terminate any of the Real Property Leases other than as expressly set forth in such Real Property Leases. There are no parties physically occupying or using any portion of any of the Leased Real Properties nor, to the Knowledge of the Company, do any other parties have the right to physically occupy or use any portion of the Leased Real Properties, in each case, other than the Company.</w:t>
      </w:r>
    </w:p>
    <w:p>
      <w:pPr>
        <w:spacing w:after="0" w:line="106" w:lineRule="exact"/>
        <w:rPr>
          <w:rFonts w:ascii="Arial" w:cs="Arial" w:eastAsia="Arial" w:hAnsi="Arial"/>
          <w:sz w:val="16"/>
          <w:szCs w:val="16"/>
          <w:color w:val="auto"/>
        </w:rPr>
      </w:pPr>
    </w:p>
    <w:p>
      <w:pPr>
        <w:ind w:left="460" w:right="539" w:firstLine="858"/>
        <w:spacing w:after="0" w:line="257" w:lineRule="auto"/>
        <w:tabs>
          <w:tab w:leader="none" w:pos="1569"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As of the date hereof, (i) all required deposits and additional rents due to date pursuant to each Real Property Lease have been paid in full; (ii) neither the Company nor any Subsidiary has prepaid rent or any other amounts due under any Real Property Lease more than 30 days in advance; and (iii) no party has any rights of offset against any rents, required security deposits or additional rents payable under any Real Property Lease.</w:t>
      </w:r>
    </w:p>
    <w:p>
      <w:pPr>
        <w:spacing w:after="0" w:line="120" w:lineRule="exact"/>
        <w:rPr>
          <w:rFonts w:ascii="Arial" w:cs="Arial" w:eastAsia="Arial" w:hAnsi="Arial"/>
          <w:sz w:val="18"/>
          <w:szCs w:val="18"/>
          <w:color w:val="auto"/>
        </w:rPr>
      </w:pPr>
    </w:p>
    <w:p>
      <w:pPr>
        <w:ind w:left="460" w:right="579" w:firstLine="858"/>
        <w:spacing w:after="0" w:line="272" w:lineRule="auto"/>
        <w:tabs>
          <w:tab w:leader="none" w:pos="1579" w:val="left"/>
        </w:tabs>
        <w:numPr>
          <w:ilvl w:val="0"/>
          <w:numId w:val="356"/>
        </w:numPr>
        <w:rPr>
          <w:rFonts w:ascii="Arial" w:cs="Arial" w:eastAsia="Arial" w:hAnsi="Arial"/>
          <w:sz w:val="17"/>
          <w:szCs w:val="17"/>
          <w:color w:val="auto"/>
        </w:rPr>
      </w:pPr>
      <w:r>
        <w:rPr>
          <w:rFonts w:ascii="Arial" w:cs="Arial" w:eastAsia="Arial" w:hAnsi="Arial"/>
          <w:sz w:val="17"/>
          <w:szCs w:val="17"/>
          <w:color w:val="auto"/>
        </w:rPr>
        <w:t>The Company and each of its Subsidiaries owns good, valid and marketable title, free and clear of all Liens (other than Permitted Liens), to all of their respective material Assets which are tangible in nature. The Company and each of its Subsidiaries owns, leases under valid leases or has use of and/or valid access under valid agreements to all material facilities, machinery, equipment and other tangible Assets necessary for the conduct of their respective businesses as presently conducted, and all such facilities, machinery and equipment are in good working condition and repair and generally are adequate and suitable in all material respects for their present use, Ordinary Course wear and tear excepted.</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International Trade Matters; Anti-Bribery Compliance</w:t>
      </w:r>
      <w:r>
        <w:rPr>
          <w:rFonts w:ascii="Arial" w:cs="Arial" w:eastAsia="Arial" w:hAnsi="Arial"/>
          <w:sz w:val="18"/>
          <w:szCs w:val="18"/>
          <w:color w:val="auto"/>
        </w:rPr>
        <w:t>.</w:t>
      </w:r>
    </w:p>
    <w:p>
      <w:pPr>
        <w:spacing w:after="0" w:line="158" w:lineRule="exact"/>
        <w:rPr>
          <w:sz w:val="20"/>
          <w:szCs w:val="20"/>
          <w:color w:val="auto"/>
        </w:rPr>
      </w:pPr>
    </w:p>
    <w:p>
      <w:pPr>
        <w:ind w:left="460" w:right="479" w:firstLine="858"/>
        <w:spacing w:after="0" w:line="283" w:lineRule="auto"/>
        <w:tabs>
          <w:tab w:leader="none" w:pos="1569" w:val="left"/>
        </w:tabs>
        <w:numPr>
          <w:ilvl w:val="1"/>
          <w:numId w:val="357"/>
        </w:numPr>
        <w:rPr>
          <w:rFonts w:ascii="Arial" w:cs="Arial" w:eastAsia="Arial" w:hAnsi="Arial"/>
          <w:sz w:val="16"/>
          <w:szCs w:val="16"/>
          <w:color w:val="auto"/>
        </w:rPr>
      </w:pPr>
      <w:r>
        <w:rPr>
          <w:rFonts w:ascii="Arial" w:cs="Arial" w:eastAsia="Arial" w:hAnsi="Arial"/>
          <w:sz w:val="16"/>
          <w:szCs w:val="16"/>
          <w:color w:val="auto"/>
        </w:rPr>
        <w:t>The Company and its Subsidiaries currently are and, since January 1, 2018 have been, in material compliance with applicable Laws related to (i) anti-corruption or anti-bribery, including the U.S. Foreign Corrupt Practices Act of 1977, 15 U.S.C. §§ 78dd-1, et seq., and any other equivalent or comparable Laws of other countries (collectively, “</w:t>
      </w:r>
      <w:r>
        <w:rPr>
          <w:rFonts w:ascii="Arial" w:cs="Arial" w:eastAsia="Arial" w:hAnsi="Arial"/>
          <w:sz w:val="16"/>
          <w:szCs w:val="16"/>
          <w:u w:val="single" w:color="auto"/>
          <w:color w:val="auto"/>
        </w:rPr>
        <w:t>Anti-Corruption Laws</w:t>
      </w:r>
      <w:r>
        <w:rPr>
          <w:rFonts w:ascii="Arial" w:cs="Arial" w:eastAsia="Arial" w:hAnsi="Arial"/>
          <w:sz w:val="16"/>
          <w:szCs w:val="16"/>
          <w:color w:val="auto"/>
        </w:rPr>
        <w:t>”), (ii) economic sanctions administered, enacted or enforced by any Governmental Authority (collectively, “</w:t>
      </w:r>
      <w:r>
        <w:rPr>
          <w:rFonts w:ascii="Arial" w:cs="Arial" w:eastAsia="Arial" w:hAnsi="Arial"/>
          <w:sz w:val="16"/>
          <w:szCs w:val="16"/>
          <w:u w:val="single" w:color="auto"/>
          <w:color w:val="auto"/>
        </w:rPr>
        <w:t>Sanctions Laws</w:t>
      </w:r>
      <w:r>
        <w:rPr>
          <w:rFonts w:ascii="Arial" w:cs="Arial" w:eastAsia="Arial" w:hAnsi="Arial"/>
          <w:sz w:val="16"/>
          <w:szCs w:val="16"/>
          <w:color w:val="auto"/>
        </w:rPr>
        <w:t>”), (iii) export controls, including the U.S. Export Administration Regulations, 15 C.F.R. §§ 730, et seq., and any other equivalent or comparable Laws of other countries (collectively, “</w:t>
      </w:r>
      <w:r>
        <w:rPr>
          <w:rFonts w:ascii="Arial" w:cs="Arial" w:eastAsia="Arial" w:hAnsi="Arial"/>
          <w:sz w:val="16"/>
          <w:szCs w:val="16"/>
          <w:u w:val="single" w:color="auto"/>
          <w:color w:val="auto"/>
        </w:rPr>
        <w:t>Export Control Laws</w:t>
      </w:r>
      <w:r>
        <w:rPr>
          <w:rFonts w:ascii="Arial" w:cs="Arial" w:eastAsia="Arial" w:hAnsi="Arial"/>
          <w:sz w:val="16"/>
          <w:szCs w:val="16"/>
          <w:color w:val="auto"/>
        </w:rPr>
        <w:t>”), (iv) anti-money laundering, including the Money Laundering Control Act of 1986, 18 U.S.C. §§ 1956, 1957, and any other equivalent or comparable Laws of other countries; (v) anti-boycott regulations, as administered by the U.S. Department of Commerce; and</w:t>
      </w:r>
    </w:p>
    <w:p>
      <w:pPr>
        <w:spacing w:after="0" w:line="5" w:lineRule="exact"/>
        <w:rPr>
          <w:rFonts w:ascii="Arial" w:cs="Arial" w:eastAsia="Arial" w:hAnsi="Arial"/>
          <w:sz w:val="16"/>
          <w:szCs w:val="16"/>
          <w:color w:val="auto"/>
        </w:rPr>
      </w:pPr>
    </w:p>
    <w:p>
      <w:pPr>
        <w:ind w:left="460" w:right="559" w:hanging="6"/>
        <w:spacing w:after="0" w:line="255" w:lineRule="auto"/>
        <w:tabs>
          <w:tab w:leader="none" w:pos="765" w:val="left"/>
        </w:tabs>
        <w:numPr>
          <w:ilvl w:val="0"/>
          <w:numId w:val="358"/>
        </w:numPr>
        <w:rPr>
          <w:rFonts w:ascii="Arial" w:cs="Arial" w:eastAsia="Arial" w:hAnsi="Arial"/>
          <w:sz w:val="18"/>
          <w:szCs w:val="18"/>
          <w:color w:val="auto"/>
        </w:rPr>
      </w:pPr>
      <w:r>
        <w:rPr>
          <w:rFonts w:ascii="Arial" w:cs="Arial" w:eastAsia="Arial" w:hAnsi="Arial"/>
          <w:sz w:val="18"/>
          <w:szCs w:val="18"/>
          <w:color w:val="auto"/>
        </w:rPr>
        <w:t>importation of goods, including Laws administered by the U.S. Customs and Border Protection, Title 19 of the U.S.C. and C.F.R., and any other equivalent or comparable Laws of other countries (collectively, “</w:t>
      </w:r>
      <w:r>
        <w:rPr>
          <w:rFonts w:ascii="Arial" w:cs="Arial" w:eastAsia="Arial" w:hAnsi="Arial"/>
          <w:sz w:val="18"/>
          <w:szCs w:val="18"/>
          <w:u w:val="single" w:color="auto"/>
          <w:color w:val="auto"/>
        </w:rPr>
        <w:t>International Trade Control Laws</w:t>
      </w:r>
      <w:r>
        <w:rPr>
          <w:rFonts w:ascii="Arial" w:cs="Arial" w:eastAsia="Arial" w:hAnsi="Arial"/>
          <w:sz w:val="18"/>
          <w:szCs w:val="18"/>
          <w:color w:val="auto"/>
        </w:rPr>
        <w:t>”).</w:t>
      </w:r>
    </w:p>
    <w:p>
      <w:pPr>
        <w:spacing w:after="0" w:line="122" w:lineRule="exact"/>
        <w:rPr>
          <w:rFonts w:ascii="Arial" w:cs="Arial" w:eastAsia="Arial" w:hAnsi="Arial"/>
          <w:sz w:val="18"/>
          <w:szCs w:val="18"/>
          <w:color w:val="auto"/>
        </w:rPr>
      </w:pPr>
    </w:p>
    <w:p>
      <w:pPr>
        <w:jc w:val="both"/>
        <w:ind w:left="460" w:right="579" w:firstLine="858"/>
        <w:spacing w:after="0" w:line="311" w:lineRule="auto"/>
        <w:tabs>
          <w:tab w:leader="none" w:pos="1579" w:val="left"/>
        </w:tabs>
        <w:numPr>
          <w:ilvl w:val="1"/>
          <w:numId w:val="358"/>
        </w:numPr>
        <w:rPr>
          <w:rFonts w:ascii="Arial" w:cs="Arial" w:eastAsia="Arial" w:hAnsi="Arial"/>
          <w:sz w:val="16"/>
          <w:szCs w:val="16"/>
          <w:color w:val="auto"/>
        </w:rPr>
      </w:pPr>
      <w:r>
        <w:rPr>
          <w:rFonts w:ascii="Arial" w:cs="Arial" w:eastAsia="Arial" w:hAnsi="Arial"/>
          <w:sz w:val="16"/>
          <w:szCs w:val="16"/>
          <w:color w:val="auto"/>
        </w:rPr>
        <w:t>Neither the Company, its Subsidiaries, nor any director or officer, nor any employee or agent of the Company or its Subsidiaries (acting on behalf of the Company or its Subsidiaries), is or is acting under the direction of, on behalf of or for the benefit of a Person that is, (i) the subject of Sanctions Laws or identified 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6" w:name="page367"/>
    <w:bookmarkEnd w:id="36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85" w:lineRule="auto"/>
        <w:rPr>
          <w:sz w:val="20"/>
          <w:szCs w:val="20"/>
          <w:color w:val="auto"/>
        </w:rPr>
      </w:pPr>
      <w:r>
        <w:rPr>
          <w:rFonts w:ascii="Arial" w:cs="Arial" w:eastAsia="Arial" w:hAnsi="Arial"/>
          <w:sz w:val="16"/>
          <w:szCs w:val="16"/>
          <w:color w:val="auto"/>
        </w:rPr>
        <w:t>any sanctions or similar lists administered by a Governmental Authority, including the U.S. Department of the Treasury’s Specially Designated Nationals List, the U.S. Department of Commerce’s Denied Persons List and Entity List, the U.S. Department of State’s Debarred List, HM Treasury’s Consolidated List of Financial Sanctions Targets and the Investment Bank List, or any similar list enforced by any other relevant Governmental Authority, as amended from time to time, or any Person owned or controlled by any of the foregoing (collectively, “</w:t>
      </w:r>
      <w:r>
        <w:rPr>
          <w:rFonts w:ascii="Arial" w:cs="Arial" w:eastAsia="Arial" w:hAnsi="Arial"/>
          <w:sz w:val="16"/>
          <w:szCs w:val="16"/>
          <w:u w:val="single" w:color="auto"/>
          <w:color w:val="auto"/>
        </w:rPr>
        <w:t>Prohibited Party</w:t>
      </w:r>
      <w:r>
        <w:rPr>
          <w:rFonts w:ascii="Arial" w:cs="Arial" w:eastAsia="Arial" w:hAnsi="Arial"/>
          <w:sz w:val="16"/>
          <w:szCs w:val="16"/>
          <w:color w:val="auto"/>
        </w:rPr>
        <w:t>”); (ii) the target of any Sanctions Laws; (iii) located, organized or resident in a country or territory that is, or whose government is, the target of comprehensive trade sanctions under Sanctions Laws, including, as of the date of this Agreement, Crimea, Cuba, Iran, North Korea, Sudan and Syria; or (iv) an officer or employee of any Governmental Authority or public international organization, or officer of a political party or candidate for political office. Neither the Company, its Subsidiaries, nor any director or officer, nor, to the Knowledge of the Company, any employee or agent of the Company or its Subsidiaries (acting on behalf of the Company or its Subsidiaries), (A) has participated in any transaction involving a Prohibited Party, or a Person who is the target of any Sanctions Laws, or any country or territory that was during such period or is, or whose government was during such period or is, the target of comprehensive trade sanctions under Sanctions Laws, (B) has exported (including deemed exportation) or re-exported, directly or indirectly, any commodity, software, technology, or services in violation of any applicable Export Control Laws or (C) has participated in any transaction in violation of or connected with any purpose prohibited by Anti-Corruption Laws or any applicable International Trade Control Laws, including support for international terrorism and nuclear, chemical, or biological weapons proliferation.</w:t>
      </w:r>
    </w:p>
    <w:p>
      <w:pPr>
        <w:spacing w:after="0" w:line="320" w:lineRule="exact"/>
        <w:rPr>
          <w:sz w:val="20"/>
          <w:szCs w:val="20"/>
          <w:color w:val="auto"/>
        </w:rPr>
      </w:pPr>
    </w:p>
    <w:p>
      <w:pPr>
        <w:ind w:left="460" w:right="459" w:firstLine="858"/>
        <w:spacing w:after="0" w:line="254" w:lineRule="auto"/>
        <w:tabs>
          <w:tab w:leader="none" w:pos="1569" w:val="left"/>
        </w:tabs>
        <w:numPr>
          <w:ilvl w:val="0"/>
          <w:numId w:val="359"/>
        </w:numPr>
        <w:rPr>
          <w:rFonts w:ascii="Arial" w:cs="Arial" w:eastAsia="Arial" w:hAnsi="Arial"/>
          <w:sz w:val="18"/>
          <w:szCs w:val="18"/>
          <w:color w:val="auto"/>
        </w:rPr>
      </w:pPr>
      <w:r>
        <w:rPr>
          <w:rFonts w:ascii="Arial" w:cs="Arial" w:eastAsia="Arial" w:hAnsi="Arial"/>
          <w:sz w:val="18"/>
          <w:szCs w:val="18"/>
          <w:color w:val="auto"/>
        </w:rPr>
        <w:t>Neither the Company, nor its Subsidiaries, has received written notice of, nor, any of their respective officers, employees, agents or third-party representatives is or has been the subject of, any investigation, inquiry or enforcement proceedings by any Governmental Authority regarding any offense or alleged offense under Anti-Corruption Laws, Sanctions Laws, Export Control Laws or International Trade Control Laws (including by virtue of having made any disclosure relating to any offense or alleged offense) and, to the Knowledge of the Company, there are no circumstances likely to give rise to any such investigation, inquiry or proceeding.</w:t>
      </w:r>
    </w:p>
    <w:p>
      <w:pPr>
        <w:spacing w:after="0" w:line="127" w:lineRule="exact"/>
        <w:rPr>
          <w:rFonts w:ascii="Arial" w:cs="Arial" w:eastAsia="Arial" w:hAnsi="Arial"/>
          <w:sz w:val="18"/>
          <w:szCs w:val="18"/>
          <w:color w:val="auto"/>
        </w:rPr>
      </w:pPr>
    </w:p>
    <w:p>
      <w:pPr>
        <w:ind w:left="460" w:right="519" w:firstLine="858"/>
        <w:spacing w:after="0" w:line="275" w:lineRule="auto"/>
        <w:tabs>
          <w:tab w:leader="none" w:pos="1579" w:val="left"/>
        </w:tabs>
        <w:numPr>
          <w:ilvl w:val="0"/>
          <w:numId w:val="359"/>
        </w:numPr>
        <w:rPr>
          <w:rFonts w:ascii="Arial" w:cs="Arial" w:eastAsia="Arial" w:hAnsi="Arial"/>
          <w:sz w:val="17"/>
          <w:szCs w:val="17"/>
          <w:color w:val="auto"/>
        </w:rPr>
      </w:pPr>
      <w:r>
        <w:rPr>
          <w:rFonts w:ascii="Arial" w:cs="Arial" w:eastAsia="Arial" w:hAnsi="Arial"/>
          <w:sz w:val="17"/>
          <w:szCs w:val="17"/>
          <w:color w:val="auto"/>
        </w:rPr>
        <w:t>Tango is not a U.S. business that (i) produces, designs, tests, manufactures, fabricates, or develops one or more “critical technologies”; (ii) performs the functions set forth in column 2 of Appendix A to 31 C.F.R. Part 800 with respect to “covered investment critical infrastructure”; or (iii) maintains or collects, directly or indirectly, “sensitive personal data” of U.S. citizens, in each case as such terms in quotation marks are defined in the Defense Production Act of 1950.</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58" w:lineRule="exact"/>
        <w:rPr>
          <w:sz w:val="20"/>
          <w:szCs w:val="20"/>
          <w:color w:val="auto"/>
        </w:rPr>
      </w:pPr>
    </w:p>
    <w:p>
      <w:pPr>
        <w:ind w:left="460" w:right="539" w:firstLine="858"/>
        <w:spacing w:after="0" w:line="273" w:lineRule="auto"/>
        <w:tabs>
          <w:tab w:leader="none" w:pos="1569" w:val="left"/>
        </w:tabs>
        <w:numPr>
          <w:ilvl w:val="0"/>
          <w:numId w:val="360"/>
        </w:numPr>
        <w:rPr>
          <w:rFonts w:ascii="Arial" w:cs="Arial" w:eastAsia="Arial" w:hAnsi="Arial"/>
          <w:sz w:val="17"/>
          <w:szCs w:val="17"/>
          <w:color w:val="auto"/>
        </w:rPr>
      </w:pPr>
      <w:r>
        <w:rPr>
          <w:rFonts w:ascii="Arial" w:cs="Arial" w:eastAsia="Arial" w:hAnsi="Arial"/>
          <w:sz w:val="17"/>
          <w:szCs w:val="17"/>
          <w:color w:val="auto"/>
        </w:rPr>
        <w:t>The Company and its Subsidiaries have filed (taking into account all applicable extensions) when due all income and other material Tax Returns required by applicable Law to be filed with respect to the Company and each of its Subsidiaries, and all material Taxes (whether or not shown on any Tax Returns) of the Company and its Subsidiaries have been paid, other than Taxes being contested in good faith and for which adequate reserves have been established in accordance with GAAP, and all such Tax Returns were true, complete and correct in all material respects as of the time of such filing.</w:t>
      </w:r>
    </w:p>
    <w:p>
      <w:pPr>
        <w:spacing w:after="0" w:line="110" w:lineRule="exact"/>
        <w:rPr>
          <w:rFonts w:ascii="Arial" w:cs="Arial" w:eastAsia="Arial" w:hAnsi="Arial"/>
          <w:sz w:val="17"/>
          <w:szCs w:val="17"/>
          <w:color w:val="auto"/>
        </w:rPr>
      </w:pPr>
    </w:p>
    <w:p>
      <w:pPr>
        <w:ind w:left="460" w:right="559" w:firstLine="858"/>
        <w:spacing w:after="0" w:line="311" w:lineRule="auto"/>
        <w:tabs>
          <w:tab w:leader="none" w:pos="1579" w:val="left"/>
        </w:tabs>
        <w:numPr>
          <w:ilvl w:val="0"/>
          <w:numId w:val="360"/>
        </w:numPr>
        <w:rPr>
          <w:rFonts w:ascii="Arial" w:cs="Arial" w:eastAsia="Arial" w:hAnsi="Arial"/>
          <w:sz w:val="16"/>
          <w:szCs w:val="16"/>
          <w:color w:val="auto"/>
        </w:rPr>
      </w:pPr>
      <w:r>
        <w:rPr>
          <w:rFonts w:ascii="Arial" w:cs="Arial" w:eastAsia="Arial" w:hAnsi="Arial"/>
          <w:sz w:val="16"/>
          <w:szCs w:val="16"/>
          <w:color w:val="auto"/>
        </w:rPr>
        <w:t>There is no Proceeding, audit or claim now pending against, or with respect to, the Company or any of its Subsidiaries in respect of any Tax or assessment, nor is any Proceeding for additional Tax or assessment asserted in writing by any Governmental Authority that has not been resolved or settled in full.</w:t>
      </w:r>
    </w:p>
    <w:p>
      <w:pPr>
        <w:spacing w:after="0" w:line="67" w:lineRule="exact"/>
        <w:rPr>
          <w:rFonts w:ascii="Arial" w:cs="Arial" w:eastAsia="Arial" w:hAnsi="Arial"/>
          <w:sz w:val="16"/>
          <w:szCs w:val="16"/>
          <w:color w:val="auto"/>
        </w:rPr>
      </w:pPr>
    </w:p>
    <w:p>
      <w:pPr>
        <w:ind w:left="460" w:right="859" w:firstLine="858"/>
        <w:spacing w:after="0" w:line="286" w:lineRule="auto"/>
        <w:tabs>
          <w:tab w:leader="none" w:pos="1569" w:val="left"/>
        </w:tabs>
        <w:numPr>
          <w:ilvl w:val="0"/>
          <w:numId w:val="360"/>
        </w:numPr>
        <w:rPr>
          <w:rFonts w:ascii="Arial" w:cs="Arial" w:eastAsia="Arial" w:hAnsi="Arial"/>
          <w:sz w:val="17"/>
          <w:szCs w:val="17"/>
          <w:color w:val="auto"/>
        </w:rPr>
      </w:pPr>
      <w:r>
        <w:rPr>
          <w:rFonts w:ascii="Arial" w:cs="Arial" w:eastAsia="Arial" w:hAnsi="Arial"/>
          <w:sz w:val="17"/>
          <w:szCs w:val="17"/>
          <w:color w:val="auto"/>
        </w:rPr>
        <w:t>No written claim has been made by any Governmental Authority in a jurisdiction where the Company or any of its Subsidiaries has not filed a Tax Return that it is or may be subject to Tax by such jurisdiction, nor is any such assertion, to the Knowledge of the Company, threatened.</w:t>
      </w:r>
    </w:p>
    <w:p>
      <w:pPr>
        <w:spacing w:after="0" w:line="97" w:lineRule="exact"/>
        <w:rPr>
          <w:rFonts w:ascii="Arial" w:cs="Arial" w:eastAsia="Arial" w:hAnsi="Arial"/>
          <w:sz w:val="17"/>
          <w:szCs w:val="17"/>
          <w:color w:val="auto"/>
        </w:rPr>
      </w:pPr>
    </w:p>
    <w:p>
      <w:pPr>
        <w:ind w:left="460" w:right="599" w:firstLine="858"/>
        <w:spacing w:after="0" w:line="259" w:lineRule="auto"/>
        <w:tabs>
          <w:tab w:leader="none" w:pos="1579" w:val="left"/>
        </w:tabs>
        <w:numPr>
          <w:ilvl w:val="0"/>
          <w:numId w:val="360"/>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Contract (other than any such agreement solely between the Company and its existing Subsidiaries and any Contracts entered into in the Ordinary Course not relating primarily to Taxes) providing for the payment of Taxes, payment for Tax losses, entitlements to refunds or similar Tax matters.</w:t>
      </w:r>
    </w:p>
    <w:p>
      <w:pPr>
        <w:spacing w:after="0" w:line="119" w:lineRule="exact"/>
        <w:rPr>
          <w:rFonts w:ascii="Arial" w:cs="Arial" w:eastAsia="Arial" w:hAnsi="Arial"/>
          <w:sz w:val="18"/>
          <w:szCs w:val="18"/>
          <w:color w:val="auto"/>
        </w:rPr>
      </w:pPr>
    </w:p>
    <w:p>
      <w:pPr>
        <w:ind w:left="460" w:right="659" w:firstLine="858"/>
        <w:spacing w:after="0" w:line="263" w:lineRule="auto"/>
        <w:tabs>
          <w:tab w:leader="none" w:pos="1569" w:val="left"/>
        </w:tabs>
        <w:numPr>
          <w:ilvl w:val="0"/>
          <w:numId w:val="360"/>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3.14(e)</w:t>
      </w:r>
      <w:r>
        <w:rPr>
          <w:rFonts w:ascii="Arial" w:cs="Arial" w:eastAsia="Arial" w:hAnsi="Arial"/>
          <w:sz w:val="18"/>
          <w:szCs w:val="18"/>
          <w:color w:val="auto"/>
        </w:rPr>
        <w:t xml:space="preserve"> of the Disclosure Letter, the Company and each of its Subsidiaries have withheld and paid all Taxes required to be withheld in connection with any amounts paid or owing to any employee, creditor, independent contractor or other third party.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7" w:name="page368"/>
    <w:bookmarkEnd w:id="36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firstLine="858"/>
        <w:spacing w:after="0" w:line="279" w:lineRule="auto"/>
        <w:tabs>
          <w:tab w:leader="none" w:pos="1549" w:val="left"/>
        </w:tabs>
        <w:numPr>
          <w:ilvl w:val="0"/>
          <w:numId w:val="361"/>
        </w:numPr>
        <w:rPr>
          <w:rFonts w:ascii="Arial" w:cs="Arial" w:eastAsia="Arial" w:hAnsi="Arial"/>
          <w:sz w:val="17"/>
          <w:szCs w:val="17"/>
          <w:color w:val="auto"/>
        </w:rPr>
      </w:pPr>
      <w:r>
        <w:rPr>
          <w:rFonts w:ascii="Arial" w:cs="Arial" w:eastAsia="Arial" w:hAnsi="Arial"/>
          <w:sz w:val="17"/>
          <w:szCs w:val="17"/>
          <w:color w:val="auto"/>
        </w:rPr>
        <w:t>There is no outstanding request for any extension of time within which to pay any Taxes or file any Tax Returns (other than extensions requested in Ordinary Course), and there has been no waiver or extension of any applicable statute of limitations for the assessment or collection of any Taxes of the Company or any of its Subsidiaries that will remain outstanding as of the Closing Date.</w:t>
      </w:r>
    </w:p>
    <w:p>
      <w:pPr>
        <w:spacing w:after="0" w:line="103" w:lineRule="exact"/>
        <w:rPr>
          <w:rFonts w:ascii="Arial" w:cs="Arial" w:eastAsia="Arial" w:hAnsi="Arial"/>
          <w:sz w:val="17"/>
          <w:szCs w:val="17"/>
          <w:color w:val="auto"/>
        </w:rPr>
      </w:pPr>
    </w:p>
    <w:p>
      <w:pPr>
        <w:ind w:left="460" w:right="639" w:firstLine="858"/>
        <w:spacing w:after="0" w:line="263" w:lineRule="auto"/>
        <w:tabs>
          <w:tab w:leader="none" w:pos="1579" w:val="left"/>
        </w:tabs>
        <w:numPr>
          <w:ilvl w:val="0"/>
          <w:numId w:val="361"/>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distributed the stock of another Person, or had its stock distributed by another Person, in a transaction that was purported or intended to be governed in whole or in part by Section 355 or Section 361 of the Code.</w:t>
      </w:r>
    </w:p>
    <w:p>
      <w:pPr>
        <w:spacing w:after="0" w:line="116" w:lineRule="exact"/>
        <w:rPr>
          <w:rFonts w:ascii="Arial" w:cs="Arial" w:eastAsia="Arial" w:hAnsi="Arial"/>
          <w:sz w:val="18"/>
          <w:szCs w:val="18"/>
          <w:color w:val="auto"/>
        </w:rPr>
      </w:pPr>
    </w:p>
    <w:p>
      <w:pPr>
        <w:ind w:left="460" w:right="839" w:firstLine="858"/>
        <w:spacing w:after="0" w:line="277" w:lineRule="auto"/>
        <w:tabs>
          <w:tab w:leader="none" w:pos="1579"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There are no Liens for Taxes upon any Assets of the Company or its Subsidiaries other than Permitted Liens.</w:t>
      </w:r>
    </w:p>
    <w:p>
      <w:pPr>
        <w:spacing w:after="0" w:line="89" w:lineRule="exact"/>
        <w:rPr>
          <w:rFonts w:ascii="Arial" w:cs="Arial" w:eastAsia="Arial" w:hAnsi="Arial"/>
          <w:sz w:val="18"/>
          <w:szCs w:val="18"/>
          <w:color w:val="auto"/>
        </w:rPr>
      </w:pPr>
    </w:p>
    <w:p>
      <w:pPr>
        <w:jc w:val="both"/>
        <w:ind w:left="460" w:right="579" w:firstLine="858"/>
        <w:spacing w:after="0" w:line="259" w:lineRule="auto"/>
        <w:tabs>
          <w:tab w:leader="none" w:pos="1539" w:val="left"/>
        </w:tabs>
        <w:numPr>
          <w:ilvl w:val="0"/>
          <w:numId w:val="361"/>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been a party to or bound by any closing agreement, private letter rulings, technical advice memoranda, offer in compromise, or any other agreement with any Governmental Authority in respect of which the Company could have any material Tax Liability after the Closing.</w:t>
      </w:r>
    </w:p>
    <w:p>
      <w:pPr>
        <w:spacing w:after="0" w:line="119" w:lineRule="exact"/>
        <w:rPr>
          <w:rFonts w:ascii="Arial" w:cs="Arial" w:eastAsia="Arial" w:hAnsi="Arial"/>
          <w:sz w:val="18"/>
          <w:szCs w:val="18"/>
          <w:color w:val="auto"/>
        </w:rPr>
      </w:pPr>
    </w:p>
    <w:p>
      <w:pPr>
        <w:ind w:left="460" w:right="479" w:firstLine="858"/>
        <w:spacing w:after="0" w:line="273" w:lineRule="auto"/>
        <w:tabs>
          <w:tab w:leader="none" w:pos="1539" w:val="left"/>
        </w:tabs>
        <w:numPr>
          <w:ilvl w:val="0"/>
          <w:numId w:val="361"/>
        </w:numPr>
        <w:rPr>
          <w:rFonts w:ascii="Arial" w:cs="Arial" w:eastAsia="Arial" w:hAnsi="Arial"/>
          <w:sz w:val="17"/>
          <w:szCs w:val="17"/>
          <w:color w:val="auto"/>
        </w:rPr>
      </w:pPr>
      <w:r>
        <w:rPr>
          <w:rFonts w:ascii="Arial" w:cs="Arial" w:eastAsia="Arial" w:hAnsi="Arial"/>
          <w:sz w:val="17"/>
          <w:szCs w:val="17"/>
          <w:color w:val="auto"/>
        </w:rPr>
        <w:t>Neither the Company nor any of its Subsidiaries (i) has been a member of an affiliated group filing a consolidated U.S. federal income Tax Return (other than a group the common parent of which was the Company) or other comparable group for state, local or foreign Tax purposes and (ii) has Liability for the Taxes of any Person (other than the Company or its Subsidiaries) under Treasury Regulations Section 1.1502-6 (or any similar provision of state, local, or foreign law), as a transferee or successor, by Contract (other than Contracts entered into in the Ordinary Course and not relating primarily to Taxes), or otherwise.</w:t>
      </w:r>
    </w:p>
    <w:p>
      <w:pPr>
        <w:spacing w:after="0" w:line="110" w:lineRule="exact"/>
        <w:rPr>
          <w:rFonts w:ascii="Arial" w:cs="Arial" w:eastAsia="Arial" w:hAnsi="Arial"/>
          <w:sz w:val="17"/>
          <w:szCs w:val="17"/>
          <w:color w:val="auto"/>
        </w:rPr>
      </w:pPr>
    </w:p>
    <w:p>
      <w:pPr>
        <w:ind w:left="460" w:right="1059" w:firstLine="858"/>
        <w:spacing w:after="0" w:line="277" w:lineRule="auto"/>
        <w:tabs>
          <w:tab w:leader="none" w:pos="1579" w:val="left"/>
        </w:tabs>
        <w:numPr>
          <w:ilvl w:val="0"/>
          <w:numId w:val="361"/>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participated in a “listed transaction” required to be disclosed pursuant to Treasury Regulations Section 1.6011-4(b).</w:t>
      </w:r>
    </w:p>
    <w:p>
      <w:pPr>
        <w:spacing w:after="0" w:line="89" w:lineRule="exact"/>
        <w:rPr>
          <w:rFonts w:ascii="Arial" w:cs="Arial" w:eastAsia="Arial" w:hAnsi="Arial"/>
          <w:sz w:val="18"/>
          <w:szCs w:val="18"/>
          <w:color w:val="auto"/>
        </w:rPr>
      </w:pPr>
    </w:p>
    <w:p>
      <w:pPr>
        <w:ind w:left="460" w:right="539" w:firstLine="858"/>
        <w:spacing w:after="0" w:line="270" w:lineRule="auto"/>
        <w:tabs>
          <w:tab w:leader="none" w:pos="1539" w:val="left"/>
        </w:tabs>
        <w:numPr>
          <w:ilvl w:val="0"/>
          <w:numId w:val="361"/>
        </w:numPr>
        <w:rPr>
          <w:rFonts w:ascii="Arial" w:cs="Arial" w:eastAsia="Arial" w:hAnsi="Arial"/>
          <w:sz w:val="17"/>
          <w:szCs w:val="17"/>
          <w:color w:val="auto"/>
        </w:rPr>
      </w:pPr>
      <w:r>
        <w:rPr>
          <w:rFonts w:ascii="Arial" w:cs="Arial" w:eastAsia="Arial" w:hAnsi="Arial"/>
          <w:sz w:val="17"/>
          <w:szCs w:val="17"/>
          <w:color w:val="auto"/>
        </w:rPr>
        <w:t>Neither the Company nor any of its Subsidiaries will be required to include any item of income in, or exclude any item of deduction from, taxable income for any Tax period (or portion thereof) ending after the Closing as a result of any: (i) use of an improper or change in method of accounting for a Tax period ending prior to the Closing; (ii) “closing agreement” as described in Section 7121 of the Code (or any comparable or similar provisions of applicable Law) executed prior to the Closing; (iii) installment sale or open transaction disposition made prior to the Closing; (iv) deferred intercompany gain or any excess loss account described in Treasury Regulations under Section 1502 of the Code (or any predecessor provision or any similar provision of state, local or foreign Law); or (v) prepaid amount received or deferred revenue accrued on or prior to the Closing outside the Ordinary Course.</w:t>
      </w:r>
    </w:p>
    <w:p>
      <w:pPr>
        <w:spacing w:after="0" w:line="113" w:lineRule="exact"/>
        <w:rPr>
          <w:rFonts w:ascii="Arial" w:cs="Arial" w:eastAsia="Arial" w:hAnsi="Arial"/>
          <w:sz w:val="17"/>
          <w:szCs w:val="17"/>
          <w:color w:val="auto"/>
        </w:rPr>
      </w:pPr>
    </w:p>
    <w:p>
      <w:pPr>
        <w:ind w:left="460" w:right="639" w:firstLine="858"/>
        <w:spacing w:after="0" w:line="263" w:lineRule="auto"/>
        <w:tabs>
          <w:tab w:leader="none" w:pos="1629" w:val="left"/>
        </w:tabs>
        <w:numPr>
          <w:ilvl w:val="0"/>
          <w:numId w:val="361"/>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required to include in income any amounts determined pursuant to Section 965 of the Code, or to make any deferred payments with respect thereto including pursuant to Section 965(h) of the Code.</w:t>
      </w:r>
    </w:p>
    <w:p>
      <w:pPr>
        <w:spacing w:after="0" w:line="116" w:lineRule="exact"/>
        <w:rPr>
          <w:rFonts w:ascii="Arial" w:cs="Arial" w:eastAsia="Arial" w:hAnsi="Arial"/>
          <w:sz w:val="18"/>
          <w:szCs w:val="18"/>
          <w:color w:val="auto"/>
        </w:rPr>
      </w:pPr>
    </w:p>
    <w:p>
      <w:pPr>
        <w:ind w:left="460" w:right="639" w:firstLine="858"/>
        <w:spacing w:after="0" w:line="277" w:lineRule="auto"/>
        <w:tabs>
          <w:tab w:leader="none" w:pos="1579" w:val="left"/>
        </w:tabs>
        <w:numPr>
          <w:ilvl w:val="0"/>
          <w:numId w:val="361"/>
        </w:numPr>
        <w:rPr>
          <w:rFonts w:ascii="Arial" w:cs="Arial" w:eastAsia="Arial" w:hAnsi="Arial"/>
          <w:sz w:val="18"/>
          <w:szCs w:val="18"/>
          <w:color w:val="auto"/>
        </w:rPr>
      </w:pPr>
      <w:r>
        <w:rPr>
          <w:rFonts w:ascii="Arial" w:cs="Arial" w:eastAsia="Arial" w:hAnsi="Arial"/>
          <w:sz w:val="18"/>
          <w:szCs w:val="18"/>
          <w:color w:val="auto"/>
        </w:rPr>
        <w:t>Neither the Company nor any of its Subsidiary has claimed any Tax credit or deferral pursuant to a COVID-19 Law.</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58" w:lineRule="exact"/>
        <w:rPr>
          <w:sz w:val="20"/>
          <w:szCs w:val="20"/>
          <w:color w:val="auto"/>
        </w:rPr>
      </w:pPr>
    </w:p>
    <w:p>
      <w:pPr>
        <w:ind w:left="460" w:right="499" w:firstLine="858"/>
        <w:spacing w:after="0" w:line="286" w:lineRule="auto"/>
        <w:tabs>
          <w:tab w:leader="none" w:pos="1568" w:val="left"/>
        </w:tabs>
        <w:numPr>
          <w:ilvl w:val="0"/>
          <w:numId w:val="362"/>
        </w:numPr>
        <w:rPr>
          <w:rFonts w:ascii="Arial" w:cs="Arial" w:eastAsia="Arial" w:hAnsi="Arial"/>
          <w:sz w:val="16"/>
          <w:szCs w:val="16"/>
          <w:color w:val="auto"/>
        </w:rPr>
      </w:pPr>
      <w:r>
        <w:rPr>
          <w:rFonts w:ascii="Arial" w:cs="Arial" w:eastAsia="Arial" w:hAnsi="Arial"/>
          <w:sz w:val="16"/>
          <w:szCs w:val="16"/>
          <w:u w:val="single" w:color="auto"/>
          <w:color w:val="auto"/>
        </w:rPr>
        <w:t>Schedule 3.16(a)</w:t>
      </w:r>
      <w:r>
        <w:rPr>
          <w:rFonts w:ascii="Arial" w:cs="Arial" w:eastAsia="Arial" w:hAnsi="Arial"/>
          <w:sz w:val="16"/>
          <w:szCs w:val="16"/>
          <w:color w:val="auto"/>
        </w:rPr>
        <w:t xml:space="preserve"> sets forth a true, accurate and complete list of all (i) issued patents and pending patent applications, (ii) trademark registrations and pending trademark applications, (iii) registered copyrights and pending copyright applications, (iv) internet domain name registrations, (v) material unregistered trademarks; (vi) all trade secrets, provided however that the disclosure of trade secrets is made to the Knowledge of the Company and only includes a general description of such trade secrets; and (vii) and material proprietary software Intellectual Property, in each case that are owned by the Company or any of its Subsidiaries (collectively, and together with other Intellectual Property owned by the Company or any of its Subsidiaries, the “</w:t>
      </w:r>
      <w:r>
        <w:rPr>
          <w:rFonts w:ascii="Arial" w:cs="Arial" w:eastAsia="Arial" w:hAnsi="Arial"/>
          <w:sz w:val="16"/>
          <w:szCs w:val="16"/>
          <w:u w:val="single" w:color="auto"/>
          <w:color w:val="auto"/>
        </w:rPr>
        <w:t>Scheduled Intellectual Property</w:t>
      </w:r>
      <w:r>
        <w:rPr>
          <w:rFonts w:ascii="Arial" w:cs="Arial" w:eastAsia="Arial" w:hAnsi="Arial"/>
          <w:sz w:val="16"/>
          <w:szCs w:val="16"/>
          <w:color w:val="auto"/>
        </w:rPr>
        <w:t>”). All of the registrations, applications, and issuance within the Scheduled Intellectual Property is subsisting, in full force and effect, and has not been cancelled, expired, abandoned, or otherwise terminated, and payment of all renewal and maintenance fees due in respect thereto, and all filings related thereto, have been duly made. To the Knowledge of the Company, all such registrations and issuances within the Scheduled Intellectual Property are valid. Immediately after the Closing, the Company and its Subsidiaries will continue to have the right to exploit all Owned Intellectual Property and Licensed Intellectual Property on substantially similar terms and conditions as the Company and its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8" w:name="page369"/>
    <w:bookmarkEnd w:id="36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spacing w:after="0" w:line="311" w:lineRule="auto"/>
        <w:rPr>
          <w:sz w:val="20"/>
          <w:szCs w:val="20"/>
          <w:color w:val="auto"/>
        </w:rPr>
      </w:pPr>
      <w:r>
        <w:rPr>
          <w:rFonts w:ascii="Arial" w:cs="Arial" w:eastAsia="Arial" w:hAnsi="Arial"/>
          <w:sz w:val="16"/>
          <w:szCs w:val="16"/>
          <w:color w:val="auto"/>
        </w:rPr>
        <w:t>Subsidiaries enjoyed immediately prior to Closing. Except as set forth in Schedule 3.16(a), there are no annuities, payments, fees, responses to office actions or other filings required to be made and having a due date with respect to any Owned Intellectual Property within ninety (90) days after the date of this Agreement.</w:t>
      </w:r>
    </w:p>
    <w:p>
      <w:pPr>
        <w:spacing w:after="0" w:line="81" w:lineRule="exact"/>
        <w:rPr>
          <w:sz w:val="20"/>
          <w:szCs w:val="20"/>
          <w:color w:val="auto"/>
        </w:rPr>
      </w:pPr>
    </w:p>
    <w:p>
      <w:pPr>
        <w:ind w:left="460" w:right="479" w:firstLine="858"/>
        <w:spacing w:after="0" w:line="268" w:lineRule="auto"/>
        <w:tabs>
          <w:tab w:leader="none" w:pos="1579" w:val="left"/>
        </w:tabs>
        <w:numPr>
          <w:ilvl w:val="0"/>
          <w:numId w:val="363"/>
        </w:numPr>
        <w:rPr>
          <w:rFonts w:ascii="Arial" w:cs="Arial" w:eastAsia="Arial" w:hAnsi="Arial"/>
          <w:sz w:val="17"/>
          <w:szCs w:val="17"/>
          <w:color w:val="auto"/>
        </w:rPr>
      </w:pPr>
      <w:r>
        <w:rPr>
          <w:rFonts w:ascii="Arial" w:cs="Arial" w:eastAsia="Arial" w:hAnsi="Arial"/>
          <w:sz w:val="17"/>
          <w:szCs w:val="17"/>
          <w:color w:val="auto"/>
        </w:rPr>
        <w:t xml:space="preserve">The Company exclusively owns all right, title and interest in and to the Owned Intellectual Property free and clear of all Liens. Except as set forth on </w:t>
      </w:r>
      <w:r>
        <w:rPr>
          <w:rFonts w:ascii="Arial" w:cs="Arial" w:eastAsia="Arial" w:hAnsi="Arial"/>
          <w:sz w:val="17"/>
          <w:szCs w:val="17"/>
          <w:u w:val="single" w:color="auto"/>
          <w:color w:val="auto"/>
        </w:rPr>
        <w:t>Schedule 3.16(b)</w:t>
      </w:r>
      <w:r>
        <w:rPr>
          <w:rFonts w:ascii="Arial" w:cs="Arial" w:eastAsia="Arial" w:hAnsi="Arial"/>
          <w:sz w:val="17"/>
          <w:szCs w:val="17"/>
          <w:color w:val="auto"/>
        </w:rPr>
        <w:t>, (i) no Owned Intellectual Property is or has been, in the four (4) year period immediately prior to the date of this Agreement, the subject of any opposition, cancellation, or similar Proceeding before any Governmental Authority other than Proceedings involving the examination of applications for registration of Intellectual Property (e.g., patent prosecution Proceedings, trademark prosecution Proceedings, and copyright prosecution Proceedings), and to the Knowledge of the Company, no such Proceeding is or has been threatened in writing, (ii) neither the Company nor any of its Subsidiaries is subject to any injunction or other specific judicial, administrative, or other Order that restricts or impairs its ownership, registrability, enforceability, use or distribution of any Owned Intellectual Property, and (iii) neither the Company nor any of its Subsidiaries is or has been, in the four (4) year period immediately prior to the date of this Agreement, subject to any current Proceeding that the Company reasonably expects would materially and adversely affect the validity, use or enforceability of any Owned Intellectual Property, and to the Knowledge of the Company, no such Proceeding is or has been threatened in writing. The product candidate under development by the Company and methods of using the product candidate fall within the scope of the claims or one or more pending patent applications owned by, or exclusively licensed to, the Company.</w:t>
      </w:r>
    </w:p>
    <w:p>
      <w:pPr>
        <w:spacing w:after="0" w:line="112" w:lineRule="exact"/>
        <w:rPr>
          <w:rFonts w:ascii="Arial" w:cs="Arial" w:eastAsia="Arial" w:hAnsi="Arial"/>
          <w:sz w:val="17"/>
          <w:szCs w:val="17"/>
          <w:color w:val="auto"/>
        </w:rPr>
      </w:pPr>
    </w:p>
    <w:p>
      <w:pPr>
        <w:ind w:left="460" w:right="459" w:firstLine="858"/>
        <w:spacing w:after="0" w:line="273" w:lineRule="auto"/>
        <w:tabs>
          <w:tab w:leader="none" w:pos="1569" w:val="left"/>
        </w:tabs>
        <w:numPr>
          <w:ilvl w:val="0"/>
          <w:numId w:val="363"/>
        </w:numPr>
        <w:rPr>
          <w:rFonts w:ascii="Arial" w:cs="Arial" w:eastAsia="Arial" w:hAnsi="Arial"/>
          <w:sz w:val="17"/>
          <w:szCs w:val="17"/>
          <w:color w:val="auto"/>
        </w:rPr>
      </w:pPr>
      <w:r>
        <w:rPr>
          <w:rFonts w:ascii="Arial" w:cs="Arial" w:eastAsia="Arial" w:hAnsi="Arial"/>
          <w:sz w:val="17"/>
          <w:szCs w:val="17"/>
          <w:color w:val="auto"/>
        </w:rPr>
        <w:t xml:space="preserve">To the Knowledge of the Company, the Company or its Subsidiaries has valid, sufficient, subsisting and enforceable rights to use all Licensed Intellectual Property. The Company and each of its Subsidiaries is in compliance with all material contractual obligations in a Contract set forth on </w:t>
      </w:r>
      <w:r>
        <w:rPr>
          <w:rFonts w:ascii="Arial" w:cs="Arial" w:eastAsia="Arial" w:hAnsi="Arial"/>
          <w:sz w:val="17"/>
          <w:szCs w:val="17"/>
          <w:u w:val="single" w:color="auto"/>
          <w:color w:val="auto"/>
        </w:rPr>
        <w:t>Schedule 3.25(f)</w:t>
      </w:r>
      <w:r>
        <w:rPr>
          <w:rFonts w:ascii="Arial" w:cs="Arial" w:eastAsia="Arial" w:hAnsi="Arial"/>
          <w:sz w:val="17"/>
          <w:szCs w:val="17"/>
          <w:color w:val="auto"/>
        </w:rPr>
        <w:t xml:space="preserve"> and all applicable Contracts involving Public Software. The consummation of the Transactions will not, by itself, directly and immediately materially impair any rights of the Company or any of its Subsidiaries to any Owned Intellectual Property or Licensed Intellectual Property.</w:t>
      </w:r>
    </w:p>
    <w:p>
      <w:pPr>
        <w:spacing w:after="0" w:line="96" w:lineRule="exact"/>
        <w:rPr>
          <w:rFonts w:ascii="Arial" w:cs="Arial" w:eastAsia="Arial" w:hAnsi="Arial"/>
          <w:sz w:val="17"/>
          <w:szCs w:val="17"/>
          <w:color w:val="auto"/>
        </w:rPr>
      </w:pPr>
    </w:p>
    <w:p>
      <w:pPr>
        <w:ind w:left="460" w:right="519" w:firstLine="858"/>
        <w:spacing w:after="0" w:line="270" w:lineRule="auto"/>
        <w:tabs>
          <w:tab w:leader="none" w:pos="1579" w:val="left"/>
        </w:tabs>
        <w:numPr>
          <w:ilvl w:val="0"/>
          <w:numId w:val="363"/>
        </w:numPr>
        <w:rPr>
          <w:rFonts w:ascii="Arial" w:cs="Arial" w:eastAsia="Arial" w:hAnsi="Arial"/>
          <w:sz w:val="17"/>
          <w:szCs w:val="17"/>
          <w:color w:val="auto"/>
        </w:rPr>
      </w:pPr>
      <w:r>
        <w:rPr>
          <w:rFonts w:ascii="Arial" w:cs="Arial" w:eastAsia="Arial" w:hAnsi="Arial"/>
          <w:sz w:val="17"/>
          <w:szCs w:val="17"/>
          <w:color w:val="auto"/>
        </w:rPr>
        <w:t xml:space="preserve">To the Knowledge of the Company, the conduct of the business of the Company, including its Subsidiaries, as is currently conducted or conducted in the four (4) year period immediately preceding the date hereof, including any use of the Owned Intellectual Property as currently or previously used by the Company or any of its Subsidiaries in the four (4) year period immediately preceding the date here, does not infringe, misappropriate, or violate any Intellectual Property of any Person. Except as set forth in </w:t>
      </w:r>
      <w:r>
        <w:rPr>
          <w:rFonts w:ascii="Arial" w:cs="Arial" w:eastAsia="Arial" w:hAnsi="Arial"/>
          <w:sz w:val="17"/>
          <w:szCs w:val="17"/>
          <w:u w:val="single" w:color="auto"/>
          <w:color w:val="auto"/>
        </w:rPr>
        <w:t>Schedule 3.16(d)</w:t>
      </w:r>
      <w:r>
        <w:rPr>
          <w:rFonts w:ascii="Arial" w:cs="Arial" w:eastAsia="Arial" w:hAnsi="Arial"/>
          <w:sz w:val="17"/>
          <w:szCs w:val="17"/>
          <w:color w:val="auto"/>
        </w:rPr>
        <w:t>,there is no Proceeding pending or threatened in writing in which it is alleged that the Company or any of its Subsidiaries is infringing, misappropriating, or violating the Intellectual Property of any Person, and there is no existing fact or circumstances that to the Knowledge of the Company that would reasonably be expected to result in such a Proceeding.</w:t>
      </w:r>
    </w:p>
    <w:p>
      <w:pPr>
        <w:spacing w:after="0" w:line="113" w:lineRule="exact"/>
        <w:rPr>
          <w:rFonts w:ascii="Arial" w:cs="Arial" w:eastAsia="Arial" w:hAnsi="Arial"/>
          <w:sz w:val="17"/>
          <w:szCs w:val="17"/>
          <w:color w:val="auto"/>
        </w:rPr>
      </w:pPr>
    </w:p>
    <w:p>
      <w:pPr>
        <w:ind w:left="460" w:right="579" w:firstLine="858"/>
        <w:spacing w:after="0" w:line="290" w:lineRule="auto"/>
        <w:tabs>
          <w:tab w:leader="none" w:pos="1568" w:val="left"/>
        </w:tabs>
        <w:numPr>
          <w:ilvl w:val="0"/>
          <w:numId w:val="363"/>
        </w:numPr>
        <w:rPr>
          <w:rFonts w:ascii="Arial" w:cs="Arial" w:eastAsia="Arial" w:hAnsi="Arial"/>
          <w:sz w:val="16"/>
          <w:szCs w:val="16"/>
          <w:color w:val="auto"/>
        </w:rPr>
      </w:pPr>
      <w:r>
        <w:rPr>
          <w:rFonts w:ascii="Arial" w:cs="Arial" w:eastAsia="Arial" w:hAnsi="Arial"/>
          <w:sz w:val="16"/>
          <w:szCs w:val="16"/>
          <w:u w:val="single" w:color="auto"/>
          <w:color w:val="auto"/>
        </w:rPr>
        <w:t>Schedule 3.16(e)</w:t>
      </w:r>
      <w:r>
        <w:rPr>
          <w:rFonts w:ascii="Arial" w:cs="Arial" w:eastAsia="Arial" w:hAnsi="Arial"/>
          <w:sz w:val="16"/>
          <w:szCs w:val="16"/>
          <w:color w:val="auto"/>
        </w:rPr>
        <w:t xml:space="preserve"> sets forth a true, accurate, and complete list, as of the date of this Agreement, of pending Proceedings in which it is alleged that any Person is infringing, misappropriating or violating rights of the Company or any of its Subsidiaries to Owned Intellectual Property or Licensed Intellectual Property exclusively licensed to Company or any of its Subsidiaries. Except as would not have a Company Material Adverse Effect or except as set forth in </w:t>
      </w:r>
      <w:r>
        <w:rPr>
          <w:rFonts w:ascii="Arial" w:cs="Arial" w:eastAsia="Arial" w:hAnsi="Arial"/>
          <w:sz w:val="16"/>
          <w:szCs w:val="16"/>
          <w:u w:val="single" w:color="auto"/>
          <w:color w:val="auto"/>
        </w:rPr>
        <w:t>Schedule 3.16(e)</w:t>
      </w:r>
      <w:r>
        <w:rPr>
          <w:rFonts w:ascii="Arial" w:cs="Arial" w:eastAsia="Arial" w:hAnsi="Arial"/>
          <w:sz w:val="16"/>
          <w:szCs w:val="16"/>
          <w:color w:val="auto"/>
        </w:rPr>
        <w:t>, to the Knowledge of the Company, no Person is or was in the four (4) year period immediately preceding the date hereof infringing, violating or misappropriating the rights of the Company or any of its Subsidiaries in or to any Owned Intellectual Property or Licensed Intellectual Property exclusively licensed to Company or any of its Subsidiaries.</w:t>
      </w:r>
    </w:p>
    <w:p>
      <w:pPr>
        <w:spacing w:after="0" w:line="97" w:lineRule="exact"/>
        <w:rPr>
          <w:rFonts w:ascii="Arial" w:cs="Arial" w:eastAsia="Arial" w:hAnsi="Arial"/>
          <w:sz w:val="16"/>
          <w:szCs w:val="16"/>
          <w:color w:val="auto"/>
        </w:rPr>
      </w:pPr>
    </w:p>
    <w:p>
      <w:pPr>
        <w:ind w:left="460" w:right="479" w:firstLine="858"/>
        <w:spacing w:after="0" w:line="269" w:lineRule="auto"/>
        <w:tabs>
          <w:tab w:leader="none" w:pos="1549" w:val="left"/>
        </w:tabs>
        <w:numPr>
          <w:ilvl w:val="0"/>
          <w:numId w:val="363"/>
        </w:numPr>
        <w:rPr>
          <w:rFonts w:ascii="Arial" w:cs="Arial" w:eastAsia="Arial" w:hAnsi="Arial"/>
          <w:sz w:val="17"/>
          <w:szCs w:val="17"/>
          <w:color w:val="auto"/>
        </w:rPr>
      </w:pPr>
      <w:r>
        <w:rPr>
          <w:rFonts w:ascii="Arial" w:cs="Arial" w:eastAsia="Arial" w:hAnsi="Arial"/>
          <w:sz w:val="17"/>
          <w:szCs w:val="17"/>
          <w:color w:val="auto"/>
        </w:rPr>
        <w:t>Each current and former officer and employee, contractor and other Person involved in the development or creation of any Intellectual Property on behalf of the Company or any of its Subsidiaries has executed a written agreement with the Company or applicable Subsidiary (i) obligating such person to maintain the confidentiality of the Company’s or applicable Company Subsidiary’s confidential information both during and after the term of such Person’s employment or engagement; (ii) containing work-made-for-hire provisions for copyrightable Intellectual Property authored by such Person during the term of such Person’s employment or engagement; and (iii) assigning to the Company or Subsidiary all right, title, and interest in and to such Intellectual Property. To the Knowledge of the Company, there has not been any breach by any such Persons to any such agreement. No Governmental Authority or academic institution has any right to, ownership of, or right or royalties for, any Owned Intellectual Property.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9" w:name="page370"/>
    <w:bookmarkEnd w:id="36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879" w:firstLine="858"/>
        <w:spacing w:after="0" w:line="273" w:lineRule="auto"/>
        <w:tabs>
          <w:tab w:leader="none" w:pos="1579" w:val="left"/>
        </w:tabs>
        <w:numPr>
          <w:ilvl w:val="0"/>
          <w:numId w:val="364"/>
        </w:numPr>
        <w:rPr>
          <w:rFonts w:ascii="Arial" w:cs="Arial" w:eastAsia="Arial" w:hAnsi="Arial"/>
          <w:sz w:val="17"/>
          <w:szCs w:val="17"/>
          <w:color w:val="auto"/>
        </w:rPr>
      </w:pPr>
      <w:r>
        <w:rPr>
          <w:rFonts w:ascii="Arial" w:cs="Arial" w:eastAsia="Arial" w:hAnsi="Arial"/>
          <w:sz w:val="17"/>
          <w:szCs w:val="17"/>
          <w:color w:val="auto"/>
        </w:rPr>
        <w:t>The Company and each of its Subsidiaries have taken commercially reasonable steps to safeguard and maintain the secrecy and confidentiality of, and their proprietary rights in and to, non-public Owned Intellectual Property. To the Knowledge of the Company, no present or former officer, director, employee, agent, independent contractor, or consultant of the Company or any of its Subsidiaries has misappropriated any trade secrets or other confidential information of any other Person in the course of the performance of responsibilities to the Company or Subsidiary.</w:t>
      </w:r>
    </w:p>
    <w:p>
      <w:pPr>
        <w:spacing w:after="0" w:line="110" w:lineRule="exact"/>
        <w:rPr>
          <w:rFonts w:ascii="Arial" w:cs="Arial" w:eastAsia="Arial" w:hAnsi="Arial"/>
          <w:sz w:val="17"/>
          <w:szCs w:val="17"/>
          <w:color w:val="auto"/>
        </w:rPr>
      </w:pPr>
    </w:p>
    <w:p>
      <w:pPr>
        <w:ind w:left="460" w:right="479" w:firstLine="858"/>
        <w:spacing w:after="0" w:line="284" w:lineRule="auto"/>
        <w:tabs>
          <w:tab w:leader="none" w:pos="1579" w:val="left"/>
        </w:tabs>
        <w:numPr>
          <w:ilvl w:val="0"/>
          <w:numId w:val="364"/>
        </w:numPr>
        <w:rPr>
          <w:rFonts w:ascii="Arial" w:cs="Arial" w:eastAsia="Arial" w:hAnsi="Arial"/>
          <w:sz w:val="16"/>
          <w:szCs w:val="16"/>
          <w:color w:val="auto"/>
        </w:rPr>
      </w:pPr>
      <w:r>
        <w:rPr>
          <w:rFonts w:ascii="Arial" w:cs="Arial" w:eastAsia="Arial" w:hAnsi="Arial"/>
          <w:sz w:val="16"/>
          <w:szCs w:val="16"/>
          <w:color w:val="auto"/>
        </w:rPr>
        <w:t>The Company and its Subsidiaries have established and implemented, and are operating in material compliance with, policies, programs and procedures that are commercially reasonable and consistent with reasonable industry practices and include administrative, technical and physical safeguards, designed to protect the confidentiality and security of Sensitive Data in their possession, custody or control against unauthorized access, use, modification, disclosure or other misuse. The Company and its Subsidiaries maintain controls for all material information technology systems owned by the Company and/or its Subsidiaries, including computer hardware, software, networks, information technology systems, electronic data processing systems, telecommunications networks, network equipment, interfaces, platforms, peripherals, and data or information contained therein or transmitted thereby, including any outsourced systems and processes (collectively, the “</w:t>
      </w:r>
      <w:r>
        <w:rPr>
          <w:rFonts w:ascii="Arial" w:cs="Arial" w:eastAsia="Arial" w:hAnsi="Arial"/>
          <w:sz w:val="16"/>
          <w:szCs w:val="16"/>
          <w:u w:val="single" w:color="auto"/>
          <w:color w:val="auto"/>
        </w:rPr>
        <w:t>Computer Systems</w:t>
      </w:r>
      <w:r>
        <w:rPr>
          <w:rFonts w:ascii="Arial" w:cs="Arial" w:eastAsia="Arial" w:hAnsi="Arial"/>
          <w:sz w:val="16"/>
          <w:szCs w:val="16"/>
          <w:color w:val="auto"/>
        </w:rPr>
        <w:t>”) that are designed to protect the Computer Systems against attacks (including virus, worm and denial-of-service attacks), unauthorized activities or access of any employee, hackers or any other person, and to otherwise maintain and protect the integrity, operation and security of such Computer Systems and all information (including Sensitive Data) stored thereon or transmitted thereby against loss, unauthorized access or other misuse, including the implementation of commercially reasonably data backup, disaster avoidance and recovery procedures, business continuity procedures and encryption technology. For the past twenty-four (24) months, the Computer Systems have not suffered any material failures, breakdowns, continued substandard performance, unauthorized intrusions or use, or other adverse events affecting any such Computer Systems that, in each case, have caused any substantial disruption of or interruption in or to the use of such Computer Systems, and there have not been any unauthorized access or use of any information (including Sensitive Data) stored thereon or transmitted thereby except as would not, individually or in the aggregate, have a Company Material Adverse Effect. Except as would not have a Company Material Adverse Effect, the Company has remedied in all material respects any material privacy or data security issues identified in any privacy or data security audits of its businesses (including third-party audits of the Computer Systems). The Computer Systems are (i) sufficient in all material respects for the current operations of the Company and its Subsidiaries and, to the knowledge of the Company, all currently contemplated operations, and (ii) operate in material conformance with their documentation and without any material defect, unavailability, virus, malware or error.</w:t>
      </w:r>
    </w:p>
    <w:p>
      <w:pPr>
        <w:spacing w:after="0" w:line="319" w:lineRule="exact"/>
        <w:rPr>
          <w:rFonts w:ascii="Arial" w:cs="Arial" w:eastAsia="Arial" w:hAnsi="Arial"/>
          <w:sz w:val="16"/>
          <w:szCs w:val="16"/>
          <w:color w:val="auto"/>
        </w:rPr>
      </w:pPr>
    </w:p>
    <w:p>
      <w:pPr>
        <w:ind w:left="460" w:right="499" w:firstLine="858"/>
        <w:spacing w:after="0" w:line="287" w:lineRule="auto"/>
        <w:tabs>
          <w:tab w:leader="none" w:pos="1539" w:val="left"/>
        </w:tabs>
        <w:numPr>
          <w:ilvl w:val="0"/>
          <w:numId w:val="364"/>
        </w:numPr>
        <w:rPr>
          <w:rFonts w:ascii="Arial" w:cs="Arial" w:eastAsia="Arial" w:hAnsi="Arial"/>
          <w:sz w:val="16"/>
          <w:szCs w:val="16"/>
          <w:color w:val="auto"/>
        </w:rPr>
      </w:pPr>
      <w:r>
        <w:rPr>
          <w:rFonts w:ascii="Arial" w:cs="Arial" w:eastAsia="Arial" w:hAnsi="Arial"/>
          <w:sz w:val="16"/>
          <w:szCs w:val="16"/>
          <w:color w:val="auto"/>
        </w:rPr>
        <w:t>The Company has implemented and maintains, and has used commercially reasonable efforts to ensure that all providers of information technology services (the “</w:t>
      </w:r>
      <w:r>
        <w:rPr>
          <w:rFonts w:ascii="Arial" w:cs="Arial" w:eastAsia="Arial" w:hAnsi="Arial"/>
          <w:sz w:val="16"/>
          <w:szCs w:val="16"/>
          <w:u w:val="single" w:color="auto"/>
          <w:color w:val="auto"/>
        </w:rPr>
        <w:t>IT Providers</w:t>
      </w:r>
      <w:r>
        <w:rPr>
          <w:rFonts w:ascii="Arial" w:cs="Arial" w:eastAsia="Arial" w:hAnsi="Arial"/>
          <w:sz w:val="16"/>
          <w:szCs w:val="16"/>
          <w:color w:val="auto"/>
        </w:rPr>
        <w:t>”) to the Company that involve or relate to the collection, storage, processing or transmission of sensitive information, including Personal Data and Protected Health Information, have implemented and maintain: (i) commercially reasonable administrative, technical, and physical safeguards designed to prevent the loss, alteration, or destruction of, or unauthorized access to or disclosure of, Personal Data and Protected Health Information and (ii) a security plan that is designed to (A) identify internal and external risks to the security of the confidential information included in Personal Data or Protected Health Information maintained by, or provided to, the Company; (B) implement, monitor and provide adequate and effective administrative, electronic (including technical safeguards, such as 128 bit encryption for all data at rest) and physical safeguards to control such risk; and (C) maintain notification procedures in compliance with applicable Laws in the case of any breach of security with respect to sensitive information, including Personal Data and Protected Health Information.</w:t>
      </w:r>
    </w:p>
    <w:p>
      <w:pPr>
        <w:spacing w:after="0" w:line="86" w:lineRule="exact"/>
        <w:rPr>
          <w:rFonts w:ascii="Arial" w:cs="Arial" w:eastAsia="Arial" w:hAnsi="Arial"/>
          <w:sz w:val="16"/>
          <w:szCs w:val="16"/>
          <w:color w:val="auto"/>
        </w:rPr>
      </w:pPr>
    </w:p>
    <w:p>
      <w:pPr>
        <w:ind w:left="460" w:right="519" w:firstLine="858"/>
        <w:spacing w:after="0" w:line="279" w:lineRule="auto"/>
        <w:tabs>
          <w:tab w:leader="none" w:pos="1539" w:val="left"/>
        </w:tabs>
        <w:numPr>
          <w:ilvl w:val="0"/>
          <w:numId w:val="364"/>
        </w:numPr>
        <w:rPr>
          <w:rFonts w:ascii="Arial" w:cs="Arial" w:eastAsia="Arial" w:hAnsi="Arial"/>
          <w:sz w:val="17"/>
          <w:szCs w:val="17"/>
          <w:color w:val="auto"/>
        </w:rPr>
      </w:pPr>
      <w:r>
        <w:rPr>
          <w:rFonts w:ascii="Arial" w:cs="Arial" w:eastAsia="Arial" w:hAnsi="Arial"/>
          <w:sz w:val="17"/>
          <w:szCs w:val="17"/>
          <w:color w:val="auto"/>
        </w:rPr>
        <w:t>To the Knowledge of the Company, since the Company’s inception, no IT Provider has experienced any breach of security or otherwise unauthorized use or access by or disclosure to third parties by any such IT Provider or its employees, consultants or contractors with respect to any Personal Data or Protected Health Information in the possession, custody or control of any such IT Provider.</w:t>
      </w:r>
    </w:p>
    <w:p>
      <w:pPr>
        <w:spacing w:after="0" w:line="103" w:lineRule="exact"/>
        <w:rPr>
          <w:rFonts w:ascii="Arial" w:cs="Arial" w:eastAsia="Arial" w:hAnsi="Arial"/>
          <w:sz w:val="17"/>
          <w:szCs w:val="17"/>
          <w:color w:val="auto"/>
        </w:rPr>
      </w:pPr>
    </w:p>
    <w:p>
      <w:pPr>
        <w:ind w:left="460" w:right="539" w:firstLine="858"/>
        <w:spacing w:after="0" w:line="255" w:lineRule="auto"/>
        <w:tabs>
          <w:tab w:leader="none" w:pos="1579"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Company and its Subsidiaries have in place and have previously had in place commercially reasonable policies (including a privacy policy), rules, and procedures (the “</w:t>
      </w:r>
      <w:r>
        <w:rPr>
          <w:rFonts w:ascii="Arial" w:cs="Arial" w:eastAsia="Arial" w:hAnsi="Arial"/>
          <w:sz w:val="18"/>
          <w:szCs w:val="18"/>
          <w:u w:val="single" w:color="auto"/>
          <w:color w:val="auto"/>
        </w:rPr>
        <w:t>Privacy Policy</w:t>
      </w:r>
      <w:r>
        <w:rPr>
          <w:rFonts w:ascii="Arial" w:cs="Arial" w:eastAsia="Arial" w:hAnsi="Arial"/>
          <w:sz w:val="18"/>
          <w:szCs w:val="18"/>
          <w:color w:val="auto"/>
        </w:rPr>
        <w:t>”) regarding the Company’s and its Subsidiaries’ collection, use, processing, disclosure, disposal, dissemination, storage and protection of customers’ personal data. The Company and its Subsidiaries have materially complied with the then applicable Privacy Policy and all applicable Laws relating to the collection, use, storage and transfer of personal</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0" w:name="page371"/>
    <w:bookmarkEnd w:id="37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63" w:lineRule="auto"/>
        <w:rPr>
          <w:sz w:val="20"/>
          <w:szCs w:val="20"/>
          <w:color w:val="auto"/>
        </w:rPr>
      </w:pPr>
      <w:r>
        <w:rPr>
          <w:rFonts w:ascii="Arial" w:cs="Arial" w:eastAsia="Arial" w:hAnsi="Arial"/>
          <w:sz w:val="18"/>
          <w:szCs w:val="18"/>
          <w:color w:val="auto"/>
        </w:rPr>
        <w:t>data. The execution, delivery and performance by the Company of this Agreement and the consummation of the Transactions do not violate any such Privacy Policies and Company has provided Parent true, correct and complete copies of such Privacy Policies.</w:t>
      </w:r>
    </w:p>
    <w:p>
      <w:pPr>
        <w:spacing w:after="0" w:line="116" w:lineRule="exact"/>
        <w:rPr>
          <w:sz w:val="20"/>
          <w:szCs w:val="20"/>
          <w:color w:val="auto"/>
        </w:rPr>
      </w:pPr>
    </w:p>
    <w:p>
      <w:pPr>
        <w:ind w:left="460" w:right="819" w:firstLine="858"/>
        <w:spacing w:after="0" w:line="311" w:lineRule="auto"/>
        <w:tabs>
          <w:tab w:leader="none" w:pos="1539" w:val="left"/>
        </w:tabs>
        <w:numPr>
          <w:ilvl w:val="0"/>
          <w:numId w:val="365"/>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have a Material Adverse Effect, no Proceedings are pending or, to the Knowledge of the Company, threatened in writing against the Company and/or its Subsidiaries relating to the collection, use, dissemination, storage and protection of personal data.</w:t>
      </w:r>
    </w:p>
    <w:p>
      <w:pPr>
        <w:spacing w:after="0" w:line="81" w:lineRule="exact"/>
        <w:rPr>
          <w:rFonts w:ascii="Arial" w:cs="Arial" w:eastAsia="Arial" w:hAnsi="Arial"/>
          <w:sz w:val="16"/>
          <w:szCs w:val="16"/>
          <w:color w:val="auto"/>
        </w:rPr>
      </w:pPr>
    </w:p>
    <w:p>
      <w:pPr>
        <w:ind w:left="460" w:right="519" w:firstLine="858"/>
        <w:spacing w:after="0" w:line="254" w:lineRule="auto"/>
        <w:tabs>
          <w:tab w:leader="none" w:pos="1629"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3.16(m)</w:t>
      </w:r>
      <w:r>
        <w:rPr>
          <w:rFonts w:ascii="Arial" w:cs="Arial" w:eastAsia="Arial" w:hAnsi="Arial"/>
          <w:sz w:val="18"/>
          <w:szCs w:val="18"/>
          <w:color w:val="auto"/>
        </w:rPr>
        <w:t xml:space="preserve"> none of the tangible embodiments of Owned Intellectual Property (including Software) is currently or was in the past distributed or used by the Company or any Subsidiary with any Public Software in a manner that requires that any of the Owned Intellectual Property (in whole or in part) or tangible embodiments thereof be dedicated to the public domain, disclosed, distributed in source code form, made available at no charge, or reverse engineered. </w:t>
      </w:r>
      <w:r>
        <w:rPr>
          <w:rFonts w:ascii="Arial" w:cs="Arial" w:eastAsia="Arial" w:hAnsi="Arial"/>
          <w:sz w:val="18"/>
          <w:szCs w:val="18"/>
          <w:u w:val="single" w:color="auto"/>
          <w:color w:val="auto"/>
        </w:rPr>
        <w:t>Schedule 3.16(m</w:t>
      </w:r>
      <w:r>
        <w:rPr>
          <w:rFonts w:ascii="Arial" w:cs="Arial" w:eastAsia="Arial" w:hAnsi="Arial"/>
          <w:sz w:val="18"/>
          <w:szCs w:val="18"/>
          <w:color w:val="auto"/>
        </w:rPr>
        <w:t>) further identifies the Public Software with which such identified tangible embodiments were distributed or used, and the manner of such distribution or use, and how such Public Software was integrated or combined with or linked to any such tangible embodiments.</w:t>
      </w:r>
    </w:p>
    <w:p>
      <w:pPr>
        <w:spacing w:after="0" w:line="110" w:lineRule="exact"/>
        <w:rPr>
          <w:rFonts w:ascii="Arial" w:cs="Arial" w:eastAsia="Arial" w:hAnsi="Arial"/>
          <w:sz w:val="18"/>
          <w:szCs w:val="18"/>
          <w:color w:val="auto"/>
        </w:rPr>
      </w:pPr>
    </w:p>
    <w:p>
      <w:pPr>
        <w:ind w:left="460" w:right="499" w:firstLine="858"/>
        <w:spacing w:after="0" w:line="254" w:lineRule="auto"/>
        <w:tabs>
          <w:tab w:leader="none" w:pos="1579"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xml:space="preserve">The Company and the Subsidiaries are in actual possession and control of the source code of the software within the Owned Intellectual Property and all documentation, specifications and know-how related. Except as set forth on </w:t>
      </w:r>
      <w:r>
        <w:rPr>
          <w:rFonts w:ascii="Arial" w:cs="Arial" w:eastAsia="Arial" w:hAnsi="Arial"/>
          <w:sz w:val="18"/>
          <w:szCs w:val="18"/>
          <w:u w:val="single" w:color="auto"/>
          <w:color w:val="auto"/>
        </w:rPr>
        <w:t>Schedule 3.16(n)</w:t>
      </w:r>
      <w:r>
        <w:rPr>
          <w:rFonts w:ascii="Arial" w:cs="Arial" w:eastAsia="Arial" w:hAnsi="Arial"/>
          <w:sz w:val="18"/>
          <w:szCs w:val="18"/>
          <w:color w:val="auto"/>
        </w:rPr>
        <w:t>, no Person other than the Company and the Subsidiaries and their employees and contractors (i) has a right to access or possess any source code of the software within the Owned Intellectual Property, or (ii) will be entitled to obtain access to or possession of such source code as a result of the execution, delivery and performance of by the Company of this Agreement and the consummation of the Transactions.</w:t>
      </w:r>
    </w:p>
    <w:p>
      <w:pPr>
        <w:spacing w:after="0" w:line="127" w:lineRule="exact"/>
        <w:rPr>
          <w:rFonts w:ascii="Arial" w:cs="Arial" w:eastAsia="Arial" w:hAnsi="Arial"/>
          <w:sz w:val="18"/>
          <w:szCs w:val="18"/>
          <w:color w:val="auto"/>
        </w:rPr>
      </w:pPr>
    </w:p>
    <w:p>
      <w:pPr>
        <w:ind w:left="460" w:right="499" w:firstLine="858"/>
        <w:spacing w:after="0" w:line="285" w:lineRule="auto"/>
        <w:tabs>
          <w:tab w:leader="none" w:pos="1579" w:val="left"/>
        </w:tabs>
        <w:numPr>
          <w:ilvl w:val="0"/>
          <w:numId w:val="365"/>
        </w:numPr>
        <w:rPr>
          <w:rFonts w:ascii="Arial" w:cs="Arial" w:eastAsia="Arial" w:hAnsi="Arial"/>
          <w:sz w:val="16"/>
          <w:szCs w:val="16"/>
          <w:color w:val="auto"/>
        </w:rPr>
      </w:pPr>
      <w:r>
        <w:rPr>
          <w:rFonts w:ascii="Arial" w:cs="Arial" w:eastAsia="Arial" w:hAnsi="Arial"/>
          <w:sz w:val="16"/>
          <w:szCs w:val="16"/>
          <w:u w:val="single" w:color="auto"/>
          <w:color w:val="auto"/>
        </w:rPr>
        <w:t>Schedule 3.16(o)</w:t>
      </w:r>
      <w:r>
        <w:rPr>
          <w:rFonts w:ascii="Arial" w:cs="Arial" w:eastAsia="Arial" w:hAnsi="Arial"/>
          <w:sz w:val="16"/>
          <w:szCs w:val="16"/>
          <w:color w:val="auto"/>
        </w:rPr>
        <w:t>: (i) identifies each standards-setting organization (including ETSI, 3GPP, 3GPP2, TIA, IEEE, IETF, and ITU-R), university or industry body, consortium, other multi-party special interest group and any other collaborative or other group in which Company or any of its Subsidiaries is currently participating, or has participated in the past or applied for future participation in, including any of the foregoing that may be organized, funded, sponsored, formed or operated, in whole or in part, by any Governmental Authority, in all cases, to the extent related to any Intellectual Property (each a “</w:t>
      </w:r>
      <w:r>
        <w:rPr>
          <w:rFonts w:ascii="Arial" w:cs="Arial" w:eastAsia="Arial" w:hAnsi="Arial"/>
          <w:sz w:val="16"/>
          <w:szCs w:val="16"/>
          <w:u w:val="single" w:color="auto"/>
          <w:color w:val="auto"/>
        </w:rPr>
        <w:t>Standards</w:t>
      </w:r>
      <w:r>
        <w:rPr>
          <w:rFonts w:ascii="Arial" w:cs="Arial" w:eastAsia="Arial" w:hAnsi="Arial"/>
          <w:sz w:val="16"/>
          <w:szCs w:val="16"/>
          <w:color w:val="auto"/>
        </w:rPr>
        <w:t xml:space="preserve"> </w:t>
      </w:r>
      <w:r>
        <w:rPr>
          <w:rFonts w:ascii="Arial" w:cs="Arial" w:eastAsia="Arial" w:hAnsi="Arial"/>
          <w:sz w:val="16"/>
          <w:szCs w:val="16"/>
          <w:u w:val="single" w:color="auto"/>
          <w:color w:val="auto"/>
        </w:rPr>
        <w:t>Body</w:t>
      </w:r>
      <w:r>
        <w:rPr>
          <w:rFonts w:ascii="Arial" w:cs="Arial" w:eastAsia="Arial" w:hAnsi="Arial"/>
          <w:sz w:val="16"/>
          <w:szCs w:val="16"/>
          <w:color w:val="auto"/>
        </w:rPr>
        <w:t>”); and (ii) sets forth a listing and description of the membership agreements and other Contracts, bylaws, policies, rules and similar materials relating to such Standards Bodies, to which Company or its Subsidiaries is bound (collectively, “</w:t>
      </w:r>
      <w:r>
        <w:rPr>
          <w:rFonts w:ascii="Arial" w:cs="Arial" w:eastAsia="Arial" w:hAnsi="Arial"/>
          <w:sz w:val="16"/>
          <w:szCs w:val="16"/>
          <w:u w:val="single" w:color="auto"/>
          <w:color w:val="auto"/>
        </w:rPr>
        <w:t>Standards Agreements</w:t>
      </w:r>
      <w:r>
        <w:rPr>
          <w:rFonts w:ascii="Arial" w:cs="Arial" w:eastAsia="Arial" w:hAnsi="Arial"/>
          <w:sz w:val="16"/>
          <w:szCs w:val="16"/>
          <w:color w:val="auto"/>
        </w:rPr>
        <w:t>”). True, complete and correct copies of all Standards Agreements have been delivered to Company. Company and its Subsidiaries are not bound by, or has agreed to be bound by, any Contract (including any written licensing commitment), bylaw, policy, or rule of any Person that requires or purports to require Company or its Subsidiaries to contribute, disclose or license any Intellectual Property to such Person or its other members. Company and its Subsidiaries have not made any written Patent disclosures to any Standards Body. Company and its Subsidiaries are in material compliance with all Standards Agreements that relate to Intellectual Property. Company and its Subsidiaries are not engaged in any material dispute with any Standards Body with respect to any Intellectual Property or with any third Persons with respect to Company’s or its Subsidiaries’ conduct with respect to any Standards Body.</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44" w:lineRule="exact"/>
        <w:rPr>
          <w:sz w:val="20"/>
          <w:szCs w:val="20"/>
          <w:color w:val="auto"/>
        </w:rPr>
      </w:pPr>
    </w:p>
    <w:p>
      <w:pPr>
        <w:ind w:left="460" w:right="479" w:firstLine="858"/>
        <w:spacing w:after="0" w:line="269" w:lineRule="auto"/>
        <w:tabs>
          <w:tab w:leader="none" w:pos="1568" w:val="left"/>
        </w:tabs>
        <w:numPr>
          <w:ilvl w:val="1"/>
          <w:numId w:val="366"/>
        </w:numPr>
        <w:rPr>
          <w:rFonts w:ascii="Arial" w:cs="Arial" w:eastAsia="Arial" w:hAnsi="Arial"/>
          <w:sz w:val="17"/>
          <w:szCs w:val="17"/>
          <w:color w:val="auto"/>
        </w:rPr>
      </w:pPr>
      <w:r>
        <w:rPr>
          <w:rFonts w:ascii="Arial" w:cs="Arial" w:eastAsia="Arial" w:hAnsi="Arial"/>
          <w:sz w:val="17"/>
          <w:szCs w:val="17"/>
          <w:u w:val="single" w:color="auto"/>
          <w:color w:val="auto"/>
        </w:rPr>
        <w:t>Schedule 3.17</w:t>
      </w:r>
      <w:r>
        <w:rPr>
          <w:rFonts w:ascii="Arial" w:cs="Arial" w:eastAsia="Arial" w:hAnsi="Arial"/>
          <w:sz w:val="17"/>
          <w:szCs w:val="17"/>
          <w:color w:val="auto"/>
        </w:rPr>
        <w:t xml:space="preserve"> sets forth, as of the date hereof, a true, complete and correct list of all fidelity bonds, letters of credit, cash collateral, performance bonds and bid bonds issued to or in respect of the Company and its Subsidiaries (collectively, the “</w:t>
      </w:r>
      <w:r>
        <w:rPr>
          <w:rFonts w:ascii="Arial" w:cs="Arial" w:eastAsia="Arial" w:hAnsi="Arial"/>
          <w:sz w:val="17"/>
          <w:szCs w:val="17"/>
          <w:u w:val="single" w:color="auto"/>
          <w:color w:val="auto"/>
        </w:rPr>
        <w:t>Bonds</w:t>
      </w:r>
      <w:r>
        <w:rPr>
          <w:rFonts w:ascii="Arial" w:cs="Arial" w:eastAsia="Arial" w:hAnsi="Arial"/>
          <w:sz w:val="17"/>
          <w:szCs w:val="17"/>
          <w:color w:val="auto"/>
        </w:rPr>
        <w:t>”) and all policies of title insurance, liability and casualty insurance, property insurance, auto insurance, business interruption insurance, tenant’s insurance, workers’ compensation, life insurance, disability insurance, excess or umbrella insurance and any other type of insurance insuring the properties, Assets, employees and/or operations of the Company and its Subsidiaries (collectively, the “</w:t>
      </w:r>
      <w:r>
        <w:rPr>
          <w:rFonts w:ascii="Arial" w:cs="Arial" w:eastAsia="Arial" w:hAnsi="Arial"/>
          <w:sz w:val="17"/>
          <w:szCs w:val="17"/>
          <w:u w:val="single" w:color="auto"/>
          <w:color w:val="auto"/>
        </w:rPr>
        <w:t>Policies</w:t>
      </w:r>
      <w:r>
        <w:rPr>
          <w:rFonts w:ascii="Arial" w:cs="Arial" w:eastAsia="Arial" w:hAnsi="Arial"/>
          <w:sz w:val="17"/>
          <w:szCs w:val="17"/>
          <w:color w:val="auto"/>
        </w:rPr>
        <w:t>”), including in each case the applicable coverage limits, deductibles and the policy expiration dates. All Policies and Bonds are of at least like character and amount as are carried by like businesses similarly situated, except as would not reasonably be expected to, individually or in the aggregate, have a Company Material Adverse Effect.</w:t>
      </w:r>
    </w:p>
    <w:p>
      <w:pPr>
        <w:spacing w:after="0" w:line="117" w:lineRule="exact"/>
        <w:rPr>
          <w:rFonts w:ascii="Arial" w:cs="Arial" w:eastAsia="Arial" w:hAnsi="Arial"/>
          <w:sz w:val="17"/>
          <w:szCs w:val="17"/>
          <w:color w:val="auto"/>
        </w:rPr>
      </w:pPr>
    </w:p>
    <w:p>
      <w:pPr>
        <w:ind w:left="460" w:right="499" w:firstLine="858"/>
        <w:spacing w:after="0" w:line="284" w:lineRule="auto"/>
        <w:tabs>
          <w:tab w:leader="none" w:pos="1579" w:val="left"/>
        </w:tabs>
        <w:numPr>
          <w:ilvl w:val="1"/>
          <w:numId w:val="366"/>
        </w:numPr>
        <w:rPr>
          <w:rFonts w:ascii="Arial" w:cs="Arial" w:eastAsia="Arial" w:hAnsi="Arial"/>
          <w:sz w:val="16"/>
          <w:szCs w:val="16"/>
          <w:color w:val="auto"/>
        </w:rPr>
      </w:pPr>
      <w:r>
        <w:rPr>
          <w:rFonts w:ascii="Arial" w:cs="Arial" w:eastAsia="Arial" w:hAnsi="Arial"/>
          <w:sz w:val="16"/>
          <w:szCs w:val="16"/>
          <w:color w:val="auto"/>
        </w:rPr>
        <w:t>All such Policies and Bonds are in full force and effect and will not in any way be affected by or terminated or lapsed by reason of the consummation of the Transactions. Neither (i) the Company nor any of its Subsidiaries is in default under any provisions of the Policies or Bonds, except as would not reasonably be expected to have a Company Material Adverse Effect, and there is no claim by the Company or any of its Subsidiaries or any other person, corporation or firm pending under any of the Policies or Bonds as to which coverage has been questioned, denied or disputed by the underwriters or issuers of such Policies or Bonds; and</w:t>
      </w:r>
    </w:p>
    <w:p>
      <w:pPr>
        <w:spacing w:after="0" w:line="4" w:lineRule="exact"/>
        <w:rPr>
          <w:rFonts w:ascii="Arial" w:cs="Arial" w:eastAsia="Arial" w:hAnsi="Arial"/>
          <w:sz w:val="16"/>
          <w:szCs w:val="16"/>
          <w:color w:val="auto"/>
        </w:rPr>
      </w:pPr>
    </w:p>
    <w:p>
      <w:pPr>
        <w:ind w:left="720" w:hanging="266"/>
        <w:spacing w:after="0"/>
        <w:tabs>
          <w:tab w:leader="none" w:pos="72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Company nor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1" w:name="page372"/>
    <w:bookmarkEnd w:id="37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55" w:lineRule="auto"/>
        <w:rPr>
          <w:sz w:val="20"/>
          <w:szCs w:val="20"/>
          <w:color w:val="auto"/>
        </w:rPr>
      </w:pPr>
      <w:r>
        <w:rPr>
          <w:rFonts w:ascii="Arial" w:cs="Arial" w:eastAsia="Arial" w:hAnsi="Arial"/>
          <w:sz w:val="18"/>
          <w:szCs w:val="18"/>
          <w:color w:val="auto"/>
        </w:rPr>
        <w:t>any of its Subsidiaries has received any written notice from or on behalf of any insurance carrier or other issuer issuing such Policies or Bonds that insurance rates or other annual premium or fee in effect as of the date hereof will hereafter be substantially increased (except to the extent that insurance rates or other fees may be increased for all similarly situated risks), that there will be a non-renewal, cancellation or increase in a deductible (or an increase in premiums in order to maintain an existing deductible) of any of the Policies or Bonds in effect as of the date hereof.</w:t>
      </w:r>
    </w:p>
    <w:p>
      <w:pPr>
        <w:spacing w:after="0" w:line="125"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 xml:space="preserve">Section 3.18 </w:t>
      </w:r>
      <w:r>
        <w:rPr>
          <w:rFonts w:ascii="Arial" w:cs="Arial" w:eastAsia="Arial" w:hAnsi="Arial"/>
          <w:sz w:val="16"/>
          <w:szCs w:val="16"/>
          <w:u w:val="single" w:color="auto"/>
          <w:color w:val="auto"/>
        </w:rPr>
        <w:t>Litigation</w:t>
      </w:r>
      <w:r>
        <w:rPr>
          <w:rFonts w:ascii="Arial" w:cs="Arial" w:eastAsia="Arial" w:hAnsi="Arial"/>
          <w:sz w:val="16"/>
          <w:szCs w:val="16"/>
          <w:color w:val="auto"/>
        </w:rPr>
        <w:t>. As of the date hereof, there is no Proceeding pending or, to the Knowledge of the Company, threatened by or against the Company or its Subsidiaries or any of their predecessors or against any officer, director, shareholder, employee or agent of the Company or any of its Subsidiaries in their capacity as such or relating to their employment services or relationship with the Company, its Subsidiaries, or any of their Affiliates, and neither the Company nor any of its Subsidiaries is bound by any Order. As of the date hereof, the Company does not have any Proceeding pending against any Governmental Authority or other Person. To the Knowledge of the Company, there is no basis for any Material Vendor to assert a claim against the Company or any of its Subsidiaries based upon the Company entering into of this Agreement or the other Transaction Documents to which it is a party or the consummation of the Transactions.</w:t>
      </w:r>
    </w:p>
    <w:p>
      <w:pPr>
        <w:spacing w:after="0" w:line="99" w:lineRule="exact"/>
        <w:rPr>
          <w:sz w:val="20"/>
          <w:szCs w:val="20"/>
          <w:color w:val="auto"/>
        </w:rPr>
      </w:pPr>
    </w:p>
    <w:p>
      <w:pPr>
        <w:ind w:left="460" w:right="579" w:firstLine="432"/>
        <w:spacing w:after="0" w:line="301"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u w:val="single" w:color="auto"/>
          <w:color w:val="auto"/>
        </w:rPr>
        <w:t>Bank Accounts; Powers of Attorney</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3.19</w:t>
      </w:r>
      <w:r>
        <w:rPr>
          <w:rFonts w:ascii="Arial" w:cs="Arial" w:eastAsia="Arial" w:hAnsi="Arial"/>
          <w:sz w:val="16"/>
          <w:szCs w:val="16"/>
          <w:color w:val="auto"/>
        </w:rPr>
        <w:t xml:space="preserve"> sets forth, as of the date hereof, a true, complete and correct list of each bank, trust company, savings institution, brokerage firm, mutual fund or other financial institution with which the Company and each of its Subsidiaries has an account or safe deposit box, including the names and identification of all Persons authorized to draw thereon or have access thereto.</w:t>
      </w:r>
    </w:p>
    <w:p>
      <w:pPr>
        <w:spacing w:after="0" w:line="76" w:lineRule="exact"/>
        <w:rPr>
          <w:sz w:val="20"/>
          <w:szCs w:val="20"/>
          <w:color w:val="auto"/>
        </w:rPr>
      </w:pPr>
    </w:p>
    <w:p>
      <w:pPr>
        <w:ind w:left="460" w:right="539" w:firstLine="432"/>
        <w:spacing w:after="0" w:line="289" w:lineRule="auto"/>
        <w:rPr>
          <w:sz w:val="20"/>
          <w:szCs w:val="20"/>
          <w:color w:val="auto"/>
        </w:rPr>
      </w:pPr>
      <w:r>
        <w:rPr>
          <w:rFonts w:ascii="Arial" w:cs="Arial" w:eastAsia="Arial" w:hAnsi="Arial"/>
          <w:sz w:val="16"/>
          <w:szCs w:val="16"/>
          <w:color w:val="auto"/>
        </w:rPr>
        <w:t xml:space="preserve">Section 3.20 </w:t>
      </w:r>
      <w:r>
        <w:rPr>
          <w:rFonts w:ascii="Arial" w:cs="Arial" w:eastAsia="Arial" w:hAnsi="Arial"/>
          <w:sz w:val="16"/>
          <w:szCs w:val="16"/>
          <w:u w:val="single" w:color="auto"/>
          <w:color w:val="auto"/>
        </w:rPr>
        <w:t>Material Vendors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3.20</w:t>
      </w:r>
      <w:r>
        <w:rPr>
          <w:rFonts w:ascii="Arial" w:cs="Arial" w:eastAsia="Arial" w:hAnsi="Arial"/>
          <w:sz w:val="16"/>
          <w:szCs w:val="16"/>
          <w:color w:val="auto"/>
        </w:rPr>
        <w:t xml:space="preserve"> sets forth the twenty (20) largest vendors (including, without limitation, suppliers and manufacturers) of the Company and its Subsidiaries by expense, in each case for the 12-month period ended December 31, 2020 (each a “</w:t>
      </w:r>
      <w:r>
        <w:rPr>
          <w:rFonts w:ascii="Arial" w:cs="Arial" w:eastAsia="Arial" w:hAnsi="Arial"/>
          <w:sz w:val="16"/>
          <w:szCs w:val="16"/>
          <w:u w:val="single" w:color="auto"/>
          <w:color w:val="auto"/>
        </w:rPr>
        <w:t>Material Vendor</w:t>
      </w:r>
      <w:r>
        <w:rPr>
          <w:rFonts w:ascii="Arial" w:cs="Arial" w:eastAsia="Arial" w:hAnsi="Arial"/>
          <w:sz w:val="16"/>
          <w:szCs w:val="16"/>
          <w:color w:val="auto"/>
        </w:rPr>
        <w:t>”). No such Material Vendor has terminated or adversely changed its relationship with the Company nor has the Company received written notification that any such Material Vendor intends to terminate or materially and adversely change such relationship or that such Material Vendor is not solvent. There are no currently pending or, to the Knowledge of the Company, threatened disputes between the Company and any of its Material Vendors that (a) could reasonably be expected to materially and adversely affect the relationship between the Company and any Material Vendor or (b) could reasonably be expected to materially and adversely affect the Company.</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158" w:lineRule="exact"/>
        <w:rPr>
          <w:sz w:val="20"/>
          <w:szCs w:val="20"/>
          <w:color w:val="auto"/>
        </w:rPr>
      </w:pPr>
    </w:p>
    <w:p>
      <w:pPr>
        <w:ind w:left="460" w:right="459" w:firstLine="858"/>
        <w:spacing w:after="0" w:line="268" w:lineRule="auto"/>
        <w:tabs>
          <w:tab w:leader="none" w:pos="1569" w:val="left"/>
        </w:tabs>
        <w:numPr>
          <w:ilvl w:val="0"/>
          <w:numId w:val="368"/>
        </w:numPr>
        <w:rPr>
          <w:rFonts w:ascii="Arial" w:cs="Arial" w:eastAsia="Arial" w:hAnsi="Arial"/>
          <w:sz w:val="17"/>
          <w:szCs w:val="17"/>
          <w:color w:val="auto"/>
        </w:rPr>
      </w:pPr>
      <w:r>
        <w:rPr>
          <w:rFonts w:ascii="Arial" w:cs="Arial" w:eastAsia="Arial" w:hAnsi="Arial"/>
          <w:sz w:val="17"/>
          <w:szCs w:val="17"/>
          <w:color w:val="auto"/>
        </w:rPr>
        <w:t>Since January 1, 2018, the Company and each of its Subsidiaries has complied in all material respects with all Laws relating to the hiring of employees and the employment of labor, including provisions thereof relating to wages, hours, collective bargaining, employment discrimination, civil rights, safety and health, workers’ compensation, pay equity, classification of employees, and the collection and payment of withholding and/or social security Taxes. Since January 1, 2018, the Company and each of its Subsidiaries has met in all material respects all requirements required by Law or regulation relating to the employment of foreign citizens, including all requirements of Form I-9 Employment Verification, and neither the Company nor any of its Subsidiaries currently employs, and has never employed, any Person who was not permitted to work in the jurisdiction in which such Person was employed. Since January 1, 2018, to the Knowledge of the Company, the Company and each of its Subsidiaries has complied in all material respects with all Laws that could require overtime to be paid to any current or former employee of the Company and its Subsidiaries, and no employee has ever brought or, to the Knowledge of the Company, threatened to bring a claim for unpaid compensation or employee benefits, including overtime amounts.</w:t>
      </w:r>
    </w:p>
    <w:p>
      <w:pPr>
        <w:spacing w:after="0" w:line="105" w:lineRule="exact"/>
        <w:rPr>
          <w:rFonts w:ascii="Arial" w:cs="Arial" w:eastAsia="Arial" w:hAnsi="Arial"/>
          <w:sz w:val="17"/>
          <w:szCs w:val="17"/>
          <w:color w:val="auto"/>
        </w:rPr>
      </w:pPr>
    </w:p>
    <w:p>
      <w:pPr>
        <w:ind w:left="460" w:right="499" w:firstLine="858"/>
        <w:spacing w:after="0" w:line="301" w:lineRule="auto"/>
        <w:tabs>
          <w:tab w:leader="none" w:pos="1579" w:val="left"/>
        </w:tabs>
        <w:numPr>
          <w:ilvl w:val="0"/>
          <w:numId w:val="368"/>
        </w:numPr>
        <w:rPr>
          <w:rFonts w:ascii="Arial" w:cs="Arial" w:eastAsia="Arial" w:hAnsi="Arial"/>
          <w:sz w:val="16"/>
          <w:szCs w:val="16"/>
          <w:color w:val="auto"/>
        </w:rPr>
      </w:pPr>
      <w:r>
        <w:rPr>
          <w:rFonts w:ascii="Arial" w:cs="Arial" w:eastAsia="Arial" w:hAnsi="Arial"/>
          <w:sz w:val="16"/>
          <w:szCs w:val="16"/>
          <w:color w:val="auto"/>
        </w:rPr>
        <w:t>To the Knowledge of the Company, neither the Company nor any of its Subsidiaries is delinquent in material payments to any of its current or former employees for any wages, salaries, commissions, bonuses or other direct compensation for any services performed by them or amounts required to be reimbursed to such employees or in payments owed upon any termination of the employment of any such employees.</w:t>
      </w:r>
    </w:p>
    <w:p>
      <w:pPr>
        <w:spacing w:after="0" w:line="89" w:lineRule="exact"/>
        <w:rPr>
          <w:rFonts w:ascii="Arial" w:cs="Arial" w:eastAsia="Arial" w:hAnsi="Arial"/>
          <w:sz w:val="16"/>
          <w:szCs w:val="16"/>
          <w:color w:val="auto"/>
        </w:rPr>
      </w:pPr>
    </w:p>
    <w:p>
      <w:pPr>
        <w:jc w:val="both"/>
        <w:ind w:left="460" w:right="959" w:firstLine="858"/>
        <w:spacing w:after="0" w:line="263" w:lineRule="auto"/>
        <w:tabs>
          <w:tab w:leader="none" w:pos="1569"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There is no unfair labor practice complaint pending, or to the Knowledge of the Company, threatened against or involving the Company or any of its Subsidiaries pending before the National Labor Relations Board or any other Governmental Authority.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2" w:name="page373"/>
    <w:bookmarkEnd w:id="37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79" w:firstLine="858"/>
        <w:spacing w:after="0" w:line="255" w:lineRule="auto"/>
        <w:tabs>
          <w:tab w:leader="none" w:pos="1579"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There is no labor strike, material dispute, slowdown or stoppage actually pending or, to the Knowledge of the Company, threatened against or involving the Company or any of its Subsidiaries. Since January 1, 2018, neither the Company nor any of its Subsidiaries has engaged in any location closing or employee layoff activities that would trigger notice or liability under the Worker Adjustment Retraining and Notification Act of 1988, as amended, or any similar state or local plant closing or mass layoff statute, rule or regulation.</w:t>
      </w:r>
    </w:p>
    <w:p>
      <w:pPr>
        <w:spacing w:after="0" w:line="124" w:lineRule="exact"/>
        <w:rPr>
          <w:rFonts w:ascii="Arial" w:cs="Arial" w:eastAsia="Arial" w:hAnsi="Arial"/>
          <w:sz w:val="18"/>
          <w:szCs w:val="18"/>
          <w:color w:val="auto"/>
        </w:rPr>
      </w:pPr>
    </w:p>
    <w:p>
      <w:pPr>
        <w:ind w:left="460" w:right="539" w:firstLine="858"/>
        <w:spacing w:after="0" w:line="255" w:lineRule="auto"/>
        <w:tabs>
          <w:tab w:leader="none" w:pos="1569" w:val="left"/>
        </w:tabs>
        <w:numPr>
          <w:ilvl w:val="0"/>
          <w:numId w:val="369"/>
        </w:numPr>
        <w:rPr>
          <w:rFonts w:ascii="Arial" w:cs="Arial" w:eastAsia="Arial" w:hAnsi="Arial"/>
          <w:sz w:val="18"/>
          <w:szCs w:val="18"/>
          <w:color w:val="auto"/>
        </w:rPr>
      </w:pPr>
      <w:r>
        <w:rPr>
          <w:rFonts w:ascii="Arial" w:cs="Arial" w:eastAsia="Arial" w:hAnsi="Arial"/>
          <w:sz w:val="18"/>
          <w:szCs w:val="18"/>
          <w:color w:val="auto"/>
        </w:rPr>
        <w:t>No labor union represents any employees of the Company or any of its Subsidiaries with regard to their employment with the Company or any of its Subsidiaries. Since January 1, 2018, to the Knowledge of the Company, no labor union has taken any action with respect to organizing the employees of the Company or any of its Subsidiaries regarding their employment with the Company or any of its Subsidiaries. Neither the Company nor any of its Subsidiaries is a party to or bound by any collective bargaining or similar agreement or union contract.</w:t>
      </w:r>
    </w:p>
    <w:p>
      <w:pPr>
        <w:spacing w:after="0" w:line="124" w:lineRule="exact"/>
        <w:rPr>
          <w:rFonts w:ascii="Arial" w:cs="Arial" w:eastAsia="Arial" w:hAnsi="Arial"/>
          <w:sz w:val="18"/>
          <w:szCs w:val="18"/>
          <w:color w:val="auto"/>
        </w:rPr>
      </w:pPr>
    </w:p>
    <w:p>
      <w:pPr>
        <w:ind w:left="460" w:right="519" w:firstLine="858"/>
        <w:spacing w:after="0" w:line="271" w:lineRule="auto"/>
        <w:tabs>
          <w:tab w:leader="none" w:pos="1549" w:val="left"/>
        </w:tabs>
        <w:numPr>
          <w:ilvl w:val="0"/>
          <w:numId w:val="369"/>
        </w:numPr>
        <w:rPr>
          <w:rFonts w:ascii="Arial" w:cs="Arial" w:eastAsia="Arial" w:hAnsi="Arial"/>
          <w:sz w:val="17"/>
          <w:szCs w:val="17"/>
          <w:color w:val="auto"/>
        </w:rPr>
      </w:pPr>
      <w:r>
        <w:rPr>
          <w:rFonts w:ascii="Arial" w:cs="Arial" w:eastAsia="Arial" w:hAnsi="Arial"/>
          <w:sz w:val="17"/>
          <w:szCs w:val="17"/>
          <w:color w:val="auto"/>
        </w:rPr>
        <w:t>To the Knowledge of the Company, (i) no Key Employee or officer of the Company or any of its Subsidiaries is a party to or is bound by any confidentiality agreement, non-competition agreement or other contract (with any Person) that would materially interfere with: (A) the performance by such officer or Key Employee of any of his or her duties or responsibilities as an officer or employee of the Company or any of its Subsidiaries or (B) the Company’s business or operations; or (ii) no Key Employee or officer of the Company or any of its Subsidiaries, or any group of officers of the Company, has given written notice of their interest to terminate their employment with the Company, nor does the Company have any intention to terminate the employment of any of the foregoing.</w:t>
      </w:r>
    </w:p>
    <w:p>
      <w:pPr>
        <w:spacing w:after="0" w:line="97" w:lineRule="exact"/>
        <w:rPr>
          <w:rFonts w:ascii="Arial" w:cs="Arial" w:eastAsia="Arial" w:hAnsi="Arial"/>
          <w:sz w:val="17"/>
          <w:szCs w:val="17"/>
          <w:color w:val="auto"/>
        </w:rPr>
      </w:pPr>
    </w:p>
    <w:p>
      <w:pPr>
        <w:ind w:left="460" w:right="479" w:firstLine="858"/>
        <w:spacing w:after="0" w:line="257" w:lineRule="auto"/>
        <w:tabs>
          <w:tab w:leader="none" w:pos="1579"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3.21(g)</w:t>
      </w:r>
      <w:r>
        <w:rPr>
          <w:rFonts w:ascii="Arial" w:cs="Arial" w:eastAsia="Arial" w:hAnsi="Arial"/>
          <w:sz w:val="18"/>
          <w:szCs w:val="18"/>
          <w:color w:val="auto"/>
        </w:rPr>
        <w:t>, the employment of each of the Key Employees is terminable at will without any penalty or severance obligation of any kind on the part of the employer. All material sums due for employee compensation and benefits and all vacation time owing to any employees of the Company or any of its Subsidiaries have been duly and adequately accrued on the accounting records of the Company and its Subsidiaries.</w:t>
      </w:r>
    </w:p>
    <w:p>
      <w:pPr>
        <w:spacing w:after="0" w:line="120" w:lineRule="exact"/>
        <w:rPr>
          <w:rFonts w:ascii="Arial" w:cs="Arial" w:eastAsia="Arial" w:hAnsi="Arial"/>
          <w:sz w:val="18"/>
          <w:szCs w:val="18"/>
          <w:color w:val="auto"/>
        </w:rPr>
      </w:pPr>
    </w:p>
    <w:p>
      <w:pPr>
        <w:ind w:left="460" w:right="479" w:firstLine="858"/>
        <w:spacing w:after="0" w:line="288" w:lineRule="auto"/>
        <w:tabs>
          <w:tab w:leader="none" w:pos="1579" w:val="left"/>
        </w:tabs>
        <w:numPr>
          <w:ilvl w:val="0"/>
          <w:numId w:val="369"/>
        </w:numPr>
        <w:rPr>
          <w:rFonts w:ascii="Arial" w:cs="Arial" w:eastAsia="Arial" w:hAnsi="Arial"/>
          <w:sz w:val="16"/>
          <w:szCs w:val="16"/>
          <w:color w:val="auto"/>
        </w:rPr>
      </w:pPr>
      <w:r>
        <w:rPr>
          <w:rFonts w:ascii="Arial" w:cs="Arial" w:eastAsia="Arial" w:hAnsi="Arial"/>
          <w:sz w:val="16"/>
          <w:szCs w:val="16"/>
          <w:color w:val="auto"/>
        </w:rPr>
        <w:t>Since January 1, 2018, with regard to any individual who performs or performed services for the Company and who is not treated as an employee for Tax purposes by the Company and each of its Subsidiaries, to the Knowledge of the Company, the Company and its Subsidiaries have complied in all material respects with applicable Laws concerning independent contractors, including for Tax withholding purposes or Benefit Arrangement purposes and, to the Knowledge of the Company, neither the Company nor any Subsidiary has any Liability by reason of any individual who performs or performed services for the Company or any Subsidiary, in any capacity, being improperly excluded from participating in any Benefit Arrangement. Since January 1, 2018, to the Knowledge of the Company, each of the employees of the Company and the Subsidiaries has been properly classified by the Company and the Subsidiaries as “exempt” or “non-exempt” under applicable Law except as would not be material and adverse to the Company.</w:t>
      </w:r>
    </w:p>
    <w:p>
      <w:pPr>
        <w:spacing w:after="0" w:line="100" w:lineRule="exact"/>
        <w:rPr>
          <w:rFonts w:ascii="Arial" w:cs="Arial" w:eastAsia="Arial" w:hAnsi="Arial"/>
          <w:sz w:val="16"/>
          <w:szCs w:val="16"/>
          <w:color w:val="auto"/>
        </w:rPr>
      </w:pPr>
    </w:p>
    <w:p>
      <w:pPr>
        <w:ind w:left="460" w:right="499" w:firstLine="858"/>
        <w:spacing w:after="0" w:line="263" w:lineRule="auto"/>
        <w:tabs>
          <w:tab w:leader="none" w:pos="1539"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3.21(i)</w:t>
      </w:r>
      <w:r>
        <w:rPr>
          <w:rFonts w:ascii="Arial" w:cs="Arial" w:eastAsia="Arial" w:hAnsi="Arial"/>
          <w:sz w:val="18"/>
          <w:szCs w:val="18"/>
          <w:color w:val="auto"/>
        </w:rPr>
        <w:t>, since January 1, 2018 neither the Company nor any of its Subsidiaries has entered into any settlement agreement related to allegations of sexual harassment or sexual misconduct by any director, officer or employee.</w:t>
      </w:r>
    </w:p>
    <w:p>
      <w:pPr>
        <w:spacing w:after="0" w:line="102" w:lineRule="exact"/>
        <w:rPr>
          <w:rFonts w:ascii="Arial" w:cs="Arial" w:eastAsia="Arial" w:hAnsi="Arial"/>
          <w:sz w:val="18"/>
          <w:szCs w:val="18"/>
          <w:color w:val="auto"/>
        </w:rPr>
      </w:pPr>
    </w:p>
    <w:p>
      <w:pPr>
        <w:ind w:left="460" w:right="559" w:firstLine="858"/>
        <w:spacing w:after="0" w:line="288" w:lineRule="auto"/>
        <w:tabs>
          <w:tab w:leader="none" w:pos="1539" w:val="left"/>
        </w:tabs>
        <w:numPr>
          <w:ilvl w:val="0"/>
          <w:numId w:val="369"/>
        </w:numPr>
        <w:rPr>
          <w:rFonts w:ascii="Arial" w:cs="Arial" w:eastAsia="Arial" w:hAnsi="Arial"/>
          <w:sz w:val="16"/>
          <w:szCs w:val="16"/>
          <w:color w:val="auto"/>
        </w:rPr>
      </w:pPr>
      <w:r>
        <w:rPr>
          <w:rFonts w:ascii="Arial" w:cs="Arial" w:eastAsia="Arial" w:hAnsi="Arial"/>
          <w:sz w:val="16"/>
          <w:szCs w:val="16"/>
          <w:color w:val="auto"/>
        </w:rPr>
        <w:t>Each current and former employee and officer, and where appropriate, each consultant, of the Company and its Subsidiaries has executed a form of proprietary information and/or inventions agreement or similar agreement. To the Knowledge of the Company, no current or former employees, officers or consultants are or were, as the case may be, in violation thereof, and the Company will take reasonable efforts to prevent any violation prior to Closing. Other than with respect to exclusions previously accepted by the Company involving works or inventions unrelated to the business of the Company and its Subsidiaries, no current or former employee, officer or consultant of the Company or any of its Subsidiaries has disclosed excluded works or inventions made prior to his or her employment or consulting relationship with the Company or any of its Subsidiaries from his, her or its assignment of inventions pursuant to such employee, officer or consultant’s proprietary information and inventions agreement.</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158" w:lineRule="exact"/>
        <w:rPr>
          <w:sz w:val="20"/>
          <w:szCs w:val="20"/>
          <w:color w:val="auto"/>
        </w:rPr>
      </w:pPr>
    </w:p>
    <w:p>
      <w:pPr>
        <w:ind w:left="460" w:right="499" w:firstLine="858"/>
        <w:spacing w:after="0" w:line="254" w:lineRule="auto"/>
        <w:tabs>
          <w:tab w:leader="none" w:pos="1568"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Schedule 3.22(a)</w:t>
      </w:r>
      <w:r>
        <w:rPr>
          <w:rFonts w:ascii="Arial" w:cs="Arial" w:eastAsia="Arial" w:hAnsi="Arial"/>
          <w:sz w:val="18"/>
          <w:szCs w:val="18"/>
          <w:color w:val="auto"/>
        </w:rPr>
        <w:t xml:space="preserve"> sets forth an accurate and complete list of all material “</w:t>
      </w:r>
      <w:r>
        <w:rPr>
          <w:rFonts w:ascii="Arial" w:cs="Arial" w:eastAsia="Arial" w:hAnsi="Arial"/>
          <w:sz w:val="18"/>
          <w:szCs w:val="18"/>
          <w:u w:val="single" w:color="auto"/>
          <w:color w:val="auto"/>
        </w:rPr>
        <w:t>Benefit Arrangements</w:t>
      </w:r>
      <w:r>
        <w:rPr>
          <w:rFonts w:ascii="Arial" w:cs="Arial" w:eastAsia="Arial" w:hAnsi="Arial"/>
          <w:sz w:val="18"/>
          <w:szCs w:val="18"/>
          <w:color w:val="auto"/>
        </w:rPr>
        <w:t>.” For purposes of this Agreement, “Benefit Arrangements” means all “employee benefit plans” (as defined in Section 3(3) of the Employee Retirement Income Security Act of 1974, as amended (“</w:t>
      </w:r>
      <w:r>
        <w:rPr>
          <w:rFonts w:ascii="Arial" w:cs="Arial" w:eastAsia="Arial" w:hAnsi="Arial"/>
          <w:sz w:val="18"/>
          <w:szCs w:val="18"/>
          <w:u w:val="single" w:color="auto"/>
          <w:color w:val="auto"/>
        </w:rPr>
        <w:t>ERISA</w:t>
      </w:r>
      <w:r>
        <w:rPr>
          <w:rFonts w:ascii="Arial" w:cs="Arial" w:eastAsia="Arial" w:hAnsi="Arial"/>
          <w:sz w:val="18"/>
          <w:szCs w:val="18"/>
          <w:color w:val="auto"/>
        </w:rPr>
        <w:t>”)), whether or not subject to ERISA, and any other bonus, profit sharing, compensation, pension, severance, savings, deferred compensation, fringe benefit, insurance, welfare, post-retirement health or welfare benefit, health, life, stock option, stock purchase, restricted stock, company car, scholarship, relocation, disability, accident, sick pay, sick leave, accrued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3" w:name="page374"/>
    <w:bookmarkEnd w:id="37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72" w:lineRule="auto"/>
        <w:rPr>
          <w:sz w:val="20"/>
          <w:szCs w:val="20"/>
          <w:color w:val="auto"/>
        </w:rPr>
      </w:pPr>
      <w:r>
        <w:rPr>
          <w:rFonts w:ascii="Arial" w:cs="Arial" w:eastAsia="Arial" w:hAnsi="Arial"/>
          <w:sz w:val="17"/>
          <w:szCs w:val="17"/>
          <w:color w:val="auto"/>
        </w:rPr>
        <w:t>leave, vacation, holiday, termination, unemployment, individual employment, consulting, executive compensation, incentive, commission, payroll practices, retention, change in control, non-competition, or other plan, agreement, policy, trust fund, or arrangement (whether written or unwritten, insured or self-insured, formal or informal) maintained, sponsored, or contributed to (or with respect to which any obligation to contribute has been undertaken) by the Company or any of its Subsidiaries on behalf of any employee, officer, director, consultant or other service provider of the Company or any Subsidiary or under which the Company or any of its Subsidiaries has any potential Liability.</w:t>
      </w:r>
    </w:p>
    <w:p>
      <w:pPr>
        <w:spacing w:after="0" w:line="110" w:lineRule="exact"/>
        <w:rPr>
          <w:sz w:val="20"/>
          <w:szCs w:val="20"/>
          <w:color w:val="auto"/>
        </w:rPr>
      </w:pPr>
    </w:p>
    <w:p>
      <w:pPr>
        <w:ind w:left="460" w:right="559" w:firstLine="858"/>
        <w:spacing w:after="0" w:line="284" w:lineRule="auto"/>
        <w:tabs>
          <w:tab w:leader="none" w:pos="1579" w:val="left"/>
        </w:tabs>
        <w:numPr>
          <w:ilvl w:val="1"/>
          <w:numId w:val="371"/>
        </w:numPr>
        <w:rPr>
          <w:rFonts w:ascii="Arial" w:cs="Arial" w:eastAsia="Arial" w:hAnsi="Arial"/>
          <w:sz w:val="16"/>
          <w:szCs w:val="16"/>
          <w:color w:val="auto"/>
        </w:rPr>
      </w:pPr>
      <w:r>
        <w:rPr>
          <w:rFonts w:ascii="Arial" w:cs="Arial" w:eastAsia="Arial" w:hAnsi="Arial"/>
          <w:sz w:val="16"/>
          <w:szCs w:val="16"/>
          <w:color w:val="auto"/>
        </w:rPr>
        <w:t>With respect to each Benefit Arrangement, the Company has provided to Parent or its counsel a true and complete copy, to the extent applicable, of: (i) each writing constituting a part of such Benefit Arrangement and all amendments thereto, (ii) annual report and accompanying schedule for the previous three years; (iii) the current summary plan description and any material modifications thereto; (iv) the most recent annual financial and actuarial reports; (v) the most recent determination or opinion letter received by the Company or any Subsidiary from the IRS regarding the tax-qualified status of such Benefit Arrangement and</w:t>
      </w:r>
    </w:p>
    <w:p>
      <w:pPr>
        <w:spacing w:after="0" w:line="4" w:lineRule="exact"/>
        <w:rPr>
          <w:rFonts w:ascii="Arial" w:cs="Arial" w:eastAsia="Arial" w:hAnsi="Arial"/>
          <w:sz w:val="16"/>
          <w:szCs w:val="16"/>
          <w:color w:val="auto"/>
        </w:rPr>
      </w:pPr>
    </w:p>
    <w:p>
      <w:pPr>
        <w:ind w:left="760" w:hanging="306"/>
        <w:spacing w:after="0"/>
        <w:tabs>
          <w:tab w:leader="none" w:pos="7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written results of all required compliance testing for the previous three years.</w:t>
      </w:r>
    </w:p>
    <w:p>
      <w:pPr>
        <w:spacing w:after="0" w:line="143" w:lineRule="exact"/>
        <w:rPr>
          <w:rFonts w:ascii="Arial" w:cs="Arial" w:eastAsia="Arial" w:hAnsi="Arial"/>
          <w:sz w:val="18"/>
          <w:szCs w:val="18"/>
          <w:color w:val="auto"/>
        </w:rPr>
      </w:pPr>
    </w:p>
    <w:p>
      <w:pPr>
        <w:ind w:left="460" w:right="479" w:firstLine="858"/>
        <w:spacing w:after="0" w:line="285" w:lineRule="auto"/>
        <w:tabs>
          <w:tab w:leader="none" w:pos="1569" w:val="left"/>
        </w:tabs>
        <w:numPr>
          <w:ilvl w:val="1"/>
          <w:numId w:val="372"/>
        </w:numPr>
        <w:rPr>
          <w:rFonts w:ascii="Arial" w:cs="Arial" w:eastAsia="Arial" w:hAnsi="Arial"/>
          <w:sz w:val="16"/>
          <w:szCs w:val="16"/>
          <w:color w:val="auto"/>
        </w:rPr>
      </w:pPr>
      <w:r>
        <w:rPr>
          <w:rFonts w:ascii="Arial" w:cs="Arial" w:eastAsia="Arial" w:hAnsi="Arial"/>
          <w:sz w:val="16"/>
          <w:szCs w:val="16"/>
          <w:color w:val="auto"/>
        </w:rPr>
        <w:t>With respect to each Benefit Arrangement, (i) each Benefit Arrangement has been established, maintained and administered in all material respects in accordance with its express terms and with the requirements of ERISA, the Code and other applicable Law; (ii) there are no pending or, to the Knowledge of the Company, threatened actions, claims or lawsuits against or relating to the Benefit Arrangement or, to the Knowledge of the Company, against any fiduciary of the Benefit Arrangement with respect to the operation of such arrangements (other than routine benefits claims); (iii) each Benefit Arrangement intended to be qualified under Section 401(a) of the Code has received a favorable determination, or may rely upon a favorable opinion letter, from the Internal Revenue Service that it is so qualified and nothing has occurred since the date of such letter with respect to the operation of such Benefit Arrangement which could cause the loss of such qualification or the imposition of any material liability, penalty or tax under ERISA or the Code; (iv) no such Benefit Arrangement is under audit or investigation by any Governmental Authority or regulatory authority; (v) all payments required to be made by the Company or any of its Subsidiaries under any Benefit Arrangement, any contract, or by Law (including all contributions (including all employer contributions and employee salary reduction contributions), insurance premiums or intercompany charges) since January 1, 2018 have been timely made or properly accrued and reflected in the most recent consolidated balance sheet prior to the date hereof, in accordance with the provisions of each of the Benefit Arrangement, applicable Law and GAAP, in each case, in all material respects; and (vi) to the Knowledge of the Company, there are no facts or circumstances that would be reasonably likely to subject the Company to any assessable payment under Section 4980H of the Code with respect to any period prior to the Closing Date.</w:t>
      </w:r>
    </w:p>
    <w:p>
      <w:pPr>
        <w:spacing w:after="0" w:line="87" w:lineRule="exact"/>
        <w:rPr>
          <w:rFonts w:ascii="Arial" w:cs="Arial" w:eastAsia="Arial" w:hAnsi="Arial"/>
          <w:sz w:val="16"/>
          <w:szCs w:val="16"/>
          <w:color w:val="auto"/>
        </w:rPr>
      </w:pPr>
    </w:p>
    <w:p>
      <w:pPr>
        <w:ind w:left="460" w:right="479" w:firstLine="858"/>
        <w:spacing w:after="0" w:line="285" w:lineRule="auto"/>
        <w:tabs>
          <w:tab w:leader="none" w:pos="1579" w:val="left"/>
        </w:tabs>
        <w:numPr>
          <w:ilvl w:val="1"/>
          <w:numId w:val="372"/>
        </w:numPr>
        <w:rPr>
          <w:rFonts w:ascii="Arial" w:cs="Arial" w:eastAsia="Arial" w:hAnsi="Arial"/>
          <w:sz w:val="16"/>
          <w:szCs w:val="16"/>
          <w:color w:val="auto"/>
        </w:rPr>
      </w:pPr>
      <w:r>
        <w:rPr>
          <w:rFonts w:ascii="Arial" w:cs="Arial" w:eastAsia="Arial" w:hAnsi="Arial"/>
          <w:sz w:val="16"/>
          <w:szCs w:val="16"/>
          <w:color w:val="auto"/>
        </w:rPr>
        <w:t>Since January 1, 2018, no Benefit Arrangement is, and none of the Company, any of its Subsidiaries, any corporation, trade, business, or entity that would be deemed a “single employer” with the Company or any Subsidiary within the meaning of Section 414(b), (c), (m), or (o) of the Code or Section 4001 of ERISA (each, an “</w:t>
      </w:r>
      <w:r>
        <w:rPr>
          <w:rFonts w:ascii="Arial" w:cs="Arial" w:eastAsia="Arial" w:hAnsi="Arial"/>
          <w:sz w:val="16"/>
          <w:szCs w:val="16"/>
          <w:u w:val="single" w:color="auto"/>
          <w:color w:val="auto"/>
        </w:rPr>
        <w:t>ERISA Affiliate</w:t>
      </w:r>
      <w:r>
        <w:rPr>
          <w:rFonts w:ascii="Arial" w:cs="Arial" w:eastAsia="Arial" w:hAnsi="Arial"/>
          <w:sz w:val="16"/>
          <w:szCs w:val="16"/>
          <w:color w:val="auto"/>
        </w:rPr>
        <w:t>”), or any of their respective predecessors has contributed to, contributes to, has been required to contribute to, or otherwise participated in or participates in or in any way has any Liability with respect to any plan subject to Section 412, 430 or 4971 of the Code, Section 302 or Title IV of ERISA, including any “multiemployer plan” (within the meaning of Sections 3(37) or 4001(a)(3) of ERISA or Section 414(f) of the Code), a “multiple employer plan” (as defined in Section 413 of the Code), a “multiple employer welfare arrangement” (as defined in Section 3(40) of ERISA), any single employer pension plan (within the meaning of Section 4001(a)(15) of ERISA) which is subject to Sections 4063, 4064 and 4069 of ERISA or Section 413(c) of the Code, or a plan maintained in connection with any trust described in Section 501(c)(9) of the Code. Since January 1, 2018, no event has occurred and no condition exists that would subject the Company or the Subsidiaries by reason of its affiliation with any current or former ERISA Affiliate to any material and unpaid (i) Tax, penalty, fine, (ii) Lien or (iii) other Liability imposed by ERISA, the Code or other applicable Laws. None of the Benefit Arrangements provide retiree health or life insurance benefits except as may be required by Section 4980B of the Code and Section 601 of ERISA, or any other applicable Law.</w:t>
      </w:r>
    </w:p>
    <w:p>
      <w:pPr>
        <w:spacing w:after="0" w:line="108" w:lineRule="exact"/>
        <w:rPr>
          <w:rFonts w:ascii="Arial" w:cs="Arial" w:eastAsia="Arial" w:hAnsi="Arial"/>
          <w:sz w:val="16"/>
          <w:szCs w:val="16"/>
          <w:color w:val="auto"/>
        </w:rPr>
      </w:pPr>
    </w:p>
    <w:p>
      <w:pPr>
        <w:ind w:left="460" w:right="579" w:firstLine="858"/>
        <w:spacing w:after="0" w:line="257" w:lineRule="auto"/>
        <w:tabs>
          <w:tab w:leader="none" w:pos="1569" w:val="left"/>
        </w:tabs>
        <w:numPr>
          <w:ilvl w:val="1"/>
          <w:numId w:val="372"/>
        </w:numPr>
        <w:rPr>
          <w:rFonts w:ascii="Arial" w:cs="Arial" w:eastAsia="Arial" w:hAnsi="Arial"/>
          <w:sz w:val="18"/>
          <w:szCs w:val="18"/>
          <w:color w:val="auto"/>
        </w:rPr>
      </w:pPr>
      <w:r>
        <w:rPr>
          <w:rFonts w:ascii="Arial" w:cs="Arial" w:eastAsia="Arial" w:hAnsi="Arial"/>
          <w:sz w:val="18"/>
          <w:szCs w:val="18"/>
          <w:color w:val="auto"/>
        </w:rPr>
        <w:t xml:space="preserve">Except as specified in </w:t>
      </w:r>
      <w:r>
        <w:rPr>
          <w:rFonts w:ascii="Arial" w:cs="Arial" w:eastAsia="Arial" w:hAnsi="Arial"/>
          <w:sz w:val="18"/>
          <w:szCs w:val="18"/>
          <w:u w:val="single" w:color="auto"/>
          <w:color w:val="auto"/>
        </w:rPr>
        <w:t>Schedule 3.22(e)</w:t>
      </w:r>
      <w:r>
        <w:rPr>
          <w:rFonts w:ascii="Arial" w:cs="Arial" w:eastAsia="Arial" w:hAnsi="Arial"/>
          <w:sz w:val="18"/>
          <w:szCs w:val="18"/>
          <w:color w:val="auto"/>
        </w:rPr>
        <w:t>, neither the execution, delivery and performance of this Agreement or the other Transaction Documents to which the Company is a party nor the consummation of the Transactions will (either alone or in combination with another event) (i) result in any severance or other payment becoming due, or increase the amount of any compensation or benefits due, to any current or former employee,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4" w:name="page375"/>
    <w:bookmarkEnd w:id="37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19"/>
        <w:spacing w:after="0" w:line="291" w:lineRule="auto"/>
        <w:rPr>
          <w:sz w:val="20"/>
          <w:szCs w:val="20"/>
          <w:color w:val="auto"/>
        </w:rPr>
      </w:pPr>
      <w:r>
        <w:rPr>
          <w:rFonts w:ascii="Arial" w:cs="Arial" w:eastAsia="Arial" w:hAnsi="Arial"/>
          <w:sz w:val="16"/>
          <w:szCs w:val="16"/>
          <w:color w:val="auto"/>
        </w:rPr>
        <w:t>officer, director, consultant or other service provider of the Company and its Subsidiaries; (ii) limit or restrict the right of the Company or any Subsidiary to merge, amend or terminate any Benefit Arrangement; or</w:t>
      </w:r>
    </w:p>
    <w:p>
      <w:pPr>
        <w:ind w:left="460" w:right="539" w:hanging="6"/>
        <w:spacing w:after="0" w:line="255" w:lineRule="auto"/>
        <w:tabs>
          <w:tab w:leader="none" w:pos="775" w:val="left"/>
        </w:tabs>
        <w:numPr>
          <w:ilvl w:val="0"/>
          <w:numId w:val="373"/>
        </w:numPr>
        <w:rPr>
          <w:rFonts w:ascii="Arial" w:cs="Arial" w:eastAsia="Arial" w:hAnsi="Arial"/>
          <w:sz w:val="18"/>
          <w:szCs w:val="18"/>
          <w:color w:val="auto"/>
        </w:rPr>
      </w:pPr>
      <w:r>
        <w:rPr>
          <w:rFonts w:ascii="Arial" w:cs="Arial" w:eastAsia="Arial" w:hAnsi="Arial"/>
          <w:sz w:val="18"/>
          <w:szCs w:val="18"/>
          <w:color w:val="auto"/>
        </w:rPr>
        <w:t>result in the acceleration of the time of payment or vesting, or result in any payment or funding (through a grantor trust or otherwise) of any such compensation or benefits under, or increase the amount of compensation or benefits due under, any Benefit Arrangement.</w:t>
      </w:r>
    </w:p>
    <w:p>
      <w:pPr>
        <w:spacing w:after="0" w:line="122" w:lineRule="exact"/>
        <w:rPr>
          <w:rFonts w:ascii="Arial" w:cs="Arial" w:eastAsia="Arial" w:hAnsi="Arial"/>
          <w:sz w:val="18"/>
          <w:szCs w:val="18"/>
          <w:color w:val="auto"/>
        </w:rPr>
      </w:pPr>
    </w:p>
    <w:p>
      <w:pPr>
        <w:ind w:left="460" w:right="599" w:firstLine="858"/>
        <w:spacing w:after="0" w:line="270" w:lineRule="auto"/>
        <w:tabs>
          <w:tab w:leader="none" w:pos="1549" w:val="left"/>
        </w:tabs>
        <w:numPr>
          <w:ilvl w:val="1"/>
          <w:numId w:val="373"/>
        </w:numPr>
        <w:rPr>
          <w:rFonts w:ascii="Arial" w:cs="Arial" w:eastAsia="Arial" w:hAnsi="Arial"/>
          <w:sz w:val="17"/>
          <w:szCs w:val="17"/>
          <w:color w:val="auto"/>
        </w:rPr>
      </w:pPr>
      <w:r>
        <w:rPr>
          <w:rFonts w:ascii="Arial" w:cs="Arial" w:eastAsia="Arial" w:hAnsi="Arial"/>
          <w:sz w:val="17"/>
          <w:szCs w:val="17"/>
          <w:color w:val="auto"/>
        </w:rPr>
        <w:t>Neither the execution, delivery and performance of this Agreement or the other Transaction Documents to which the Company is a party nor the consummation of the Transactions will (either alone or in combination with another event) result in any payment (whether in cash or property or the vesting of property) to any “disqualified individual” (as such term is defined in Treasury Regulations Section 1.280G-1) that could reasonably be construed, individually or in combination with any other such payment, to constitute an “excess parachute payment” (as defined in Section 280G(b)(1) of the Code) on account of the Transactions. No person is entitled to receive any additional payment (including any tax gross-up or other payment) from the Company or any of its Subsidiaries as a result of the imposition of the excise taxes required by Section 4999 of the Code or any taxes required by Section 409A of the Code.</w:t>
      </w:r>
    </w:p>
    <w:p>
      <w:pPr>
        <w:spacing w:after="0" w:line="113" w:lineRule="exact"/>
        <w:rPr>
          <w:rFonts w:ascii="Arial" w:cs="Arial" w:eastAsia="Arial" w:hAnsi="Arial"/>
          <w:sz w:val="17"/>
          <w:szCs w:val="17"/>
          <w:color w:val="auto"/>
        </w:rPr>
      </w:pPr>
    </w:p>
    <w:p>
      <w:pPr>
        <w:ind w:left="460" w:right="599" w:firstLine="858"/>
        <w:spacing w:after="0" w:line="263" w:lineRule="auto"/>
        <w:tabs>
          <w:tab w:leader="none" w:pos="1579" w:val="left"/>
        </w:tabs>
        <w:numPr>
          <w:ilvl w:val="1"/>
          <w:numId w:val="373"/>
        </w:numPr>
        <w:rPr>
          <w:rFonts w:ascii="Arial" w:cs="Arial" w:eastAsia="Arial" w:hAnsi="Arial"/>
          <w:sz w:val="18"/>
          <w:szCs w:val="18"/>
          <w:color w:val="auto"/>
        </w:rPr>
      </w:pPr>
      <w:r>
        <w:rPr>
          <w:rFonts w:ascii="Arial" w:cs="Arial" w:eastAsia="Arial" w:hAnsi="Arial"/>
          <w:sz w:val="18"/>
          <w:szCs w:val="18"/>
          <w:color w:val="auto"/>
        </w:rPr>
        <w:t>Each Benefit Arrangement that is a “nonqualified deferred compensation plan” (as defined in Section 409A(d)(1) of the Code) is in documentary compliance with, and has been administered in compliance with Section 409A of the Code.</w:t>
      </w:r>
    </w:p>
    <w:p>
      <w:pPr>
        <w:spacing w:after="0" w:line="102" w:lineRule="exact"/>
        <w:rPr>
          <w:rFonts w:ascii="Arial" w:cs="Arial" w:eastAsia="Arial" w:hAnsi="Arial"/>
          <w:sz w:val="18"/>
          <w:szCs w:val="18"/>
          <w:color w:val="auto"/>
        </w:rPr>
      </w:pPr>
    </w:p>
    <w:p>
      <w:pPr>
        <w:ind w:left="460" w:right="639" w:firstLine="858"/>
        <w:spacing w:after="0" w:line="311" w:lineRule="auto"/>
        <w:tabs>
          <w:tab w:leader="none" w:pos="1579" w:val="left"/>
        </w:tabs>
        <w:numPr>
          <w:ilvl w:val="1"/>
          <w:numId w:val="373"/>
        </w:numPr>
        <w:rPr>
          <w:rFonts w:ascii="Arial" w:cs="Arial" w:eastAsia="Arial" w:hAnsi="Arial"/>
          <w:sz w:val="16"/>
          <w:szCs w:val="16"/>
          <w:color w:val="auto"/>
        </w:rPr>
      </w:pPr>
      <w:r>
        <w:rPr>
          <w:rFonts w:ascii="Arial" w:cs="Arial" w:eastAsia="Arial" w:hAnsi="Arial"/>
          <w:sz w:val="16"/>
          <w:szCs w:val="16"/>
          <w:color w:val="auto"/>
        </w:rPr>
        <w:t>Each Benefit Arrangement that is subject to the Patient Protection and Affordable Care Act, as amended by the Health Care and Education Reconciliation Act of 2010 (the “Affordable Care Act”) has been established, maintained and administered in compliance with the requirements of the Affordable Care Act.</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w:t>
      </w:r>
    </w:p>
    <w:p>
      <w:pPr>
        <w:spacing w:after="0" w:line="158" w:lineRule="exact"/>
        <w:rPr>
          <w:sz w:val="20"/>
          <w:szCs w:val="20"/>
          <w:color w:val="auto"/>
        </w:rPr>
      </w:pPr>
    </w:p>
    <w:p>
      <w:pPr>
        <w:ind w:left="460" w:right="499" w:firstLine="858"/>
        <w:spacing w:after="0" w:line="254" w:lineRule="auto"/>
        <w:tabs>
          <w:tab w:leader="none" w:pos="1568"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t>Schedule 3.23</w:t>
      </w:r>
      <w:r>
        <w:rPr>
          <w:rFonts w:ascii="Arial" w:cs="Arial" w:eastAsia="Arial" w:hAnsi="Arial"/>
          <w:sz w:val="18"/>
          <w:szCs w:val="18"/>
          <w:color w:val="auto"/>
        </w:rPr>
        <w:t xml:space="preserve"> sets forth a true, complete and correct list of the following (each such arrangement of the type required to be set forth thereon, whether or not actually set forth thereon, an “</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w:t>
      </w:r>
      <w:r>
        <w:rPr>
          <w:rFonts w:ascii="Arial" w:cs="Arial" w:eastAsia="Arial" w:hAnsi="Arial"/>
          <w:sz w:val="18"/>
          <w:szCs w:val="18"/>
          <w:color w:val="auto"/>
        </w:rPr>
        <w:t>”): (i) each Contract entered into between January 1, 2018 and the date hereof, between the Company or any of its Subsidiaries, on the one hand, and any current or former Affiliate of the Company or any of its Subsidiaries on the other hand; and (ii) all Indebtedness (for monies actually borrowed or lent) owed during the period beginning January 1, 2018 and ended on the date hereof by any current or former Affiliate to the Company or any of its Subsidiaries.</w:t>
      </w:r>
    </w:p>
    <w:p>
      <w:pPr>
        <w:spacing w:after="0" w:line="113" w:lineRule="exact"/>
        <w:rPr>
          <w:rFonts w:ascii="Arial" w:cs="Arial" w:eastAsia="Arial" w:hAnsi="Arial"/>
          <w:sz w:val="18"/>
          <w:szCs w:val="18"/>
          <w:color w:val="auto"/>
        </w:rPr>
      </w:pPr>
    </w:p>
    <w:p>
      <w:pPr>
        <w:ind w:left="460" w:right="699" w:firstLine="858"/>
        <w:spacing w:after="0" w:line="277" w:lineRule="auto"/>
        <w:tabs>
          <w:tab w:leader="none" w:pos="1579" w:val="left"/>
        </w:tabs>
        <w:numPr>
          <w:ilvl w:val="0"/>
          <w:numId w:val="374"/>
        </w:numPr>
        <w:rPr>
          <w:rFonts w:ascii="Arial" w:cs="Arial" w:eastAsia="Arial" w:hAnsi="Arial"/>
          <w:sz w:val="18"/>
          <w:szCs w:val="18"/>
          <w:color w:val="auto"/>
        </w:rPr>
      </w:pPr>
      <w:r>
        <w:rPr>
          <w:rFonts w:ascii="Arial" w:cs="Arial" w:eastAsia="Arial" w:hAnsi="Arial"/>
          <w:sz w:val="18"/>
          <w:szCs w:val="18"/>
          <w:color w:val="auto"/>
        </w:rPr>
        <w:t>None of the Stockholders nor any of their Affiliates own or have any rights in or to any of the material Assets, properties or rights used by the Company.</w:t>
      </w:r>
    </w:p>
    <w:p>
      <w:pPr>
        <w:spacing w:after="0" w:line="103"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 xml:space="preserve">Section 3.24 </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3.24</w:t>
      </w:r>
      <w:r>
        <w:rPr>
          <w:rFonts w:ascii="Arial" w:cs="Arial" w:eastAsia="Arial" w:hAnsi="Arial"/>
          <w:sz w:val="18"/>
          <w:szCs w:val="18"/>
          <w:color w:val="auto"/>
        </w:rPr>
        <w:t xml:space="preserve"> sets forth a true, complete and correct list, as of the date hereof, of each of the following Contracts (other than Benefit Arrangements) to which the Company or any of its Subsidiaries is a party (each such Contract of the type required to be set forth thereon, whether or not actually set forth thereof, a “</w:t>
      </w:r>
      <w:r>
        <w:rPr>
          <w:rFonts w:ascii="Arial" w:cs="Arial" w:eastAsia="Arial" w:hAnsi="Arial"/>
          <w:sz w:val="18"/>
          <w:szCs w:val="18"/>
          <w:u w:val="single" w:color="auto"/>
          <w:color w:val="auto"/>
        </w:rPr>
        <w:t>Material Contract</w:t>
      </w:r>
      <w:r>
        <w:rPr>
          <w:rFonts w:ascii="Arial" w:cs="Arial" w:eastAsia="Arial" w:hAnsi="Arial"/>
          <w:sz w:val="18"/>
          <w:szCs w:val="18"/>
          <w:color w:val="auto"/>
        </w:rPr>
        <w:t>”):</w:t>
      </w:r>
    </w:p>
    <w:p>
      <w:pPr>
        <w:spacing w:after="0" w:line="119" w:lineRule="exact"/>
        <w:rPr>
          <w:sz w:val="20"/>
          <w:szCs w:val="20"/>
          <w:color w:val="auto"/>
        </w:rPr>
      </w:pPr>
    </w:p>
    <w:p>
      <w:pPr>
        <w:ind w:left="460" w:right="579" w:firstLine="858"/>
        <w:spacing w:after="0" w:line="257" w:lineRule="auto"/>
        <w:tabs>
          <w:tab w:leader="none" w:pos="1569" w:val="left"/>
        </w:tabs>
        <w:numPr>
          <w:ilvl w:val="0"/>
          <w:numId w:val="375"/>
        </w:numPr>
        <w:rPr>
          <w:rFonts w:ascii="Arial" w:cs="Arial" w:eastAsia="Arial" w:hAnsi="Arial"/>
          <w:sz w:val="18"/>
          <w:szCs w:val="18"/>
          <w:color w:val="auto"/>
        </w:rPr>
      </w:pPr>
      <w:r>
        <w:rPr>
          <w:rFonts w:ascii="Arial" w:cs="Arial" w:eastAsia="Arial" w:hAnsi="Arial"/>
          <w:sz w:val="18"/>
          <w:szCs w:val="18"/>
          <w:color w:val="auto"/>
        </w:rPr>
        <w:t>Collective bargaining agreement or other Contract with any labor organization, union or association or Contract with a professional employer organization, or other Contract providing for co-employment of employees of the Company or any of its Subsidiaries, or Contract with a professional employer organization or co-employer organization or other Contract provision for co-employment of employees of the Company or its Subsidiaries;</w:t>
      </w:r>
    </w:p>
    <w:p>
      <w:pPr>
        <w:spacing w:after="0" w:line="106" w:lineRule="exact"/>
        <w:rPr>
          <w:rFonts w:ascii="Arial" w:cs="Arial" w:eastAsia="Arial" w:hAnsi="Arial"/>
          <w:sz w:val="18"/>
          <w:szCs w:val="18"/>
          <w:color w:val="auto"/>
        </w:rPr>
      </w:pPr>
    </w:p>
    <w:p>
      <w:pPr>
        <w:ind w:left="460" w:right="639" w:firstLine="858"/>
        <w:spacing w:after="0" w:line="263" w:lineRule="auto"/>
        <w:tabs>
          <w:tab w:leader="none" w:pos="1579" w:val="left"/>
        </w:tabs>
        <w:numPr>
          <w:ilvl w:val="0"/>
          <w:numId w:val="375"/>
        </w:numPr>
        <w:rPr>
          <w:rFonts w:ascii="Arial" w:cs="Arial" w:eastAsia="Arial" w:hAnsi="Arial"/>
          <w:sz w:val="18"/>
          <w:szCs w:val="18"/>
          <w:color w:val="auto"/>
        </w:rPr>
      </w:pPr>
      <w:r>
        <w:rPr>
          <w:rFonts w:ascii="Arial" w:cs="Arial" w:eastAsia="Arial" w:hAnsi="Arial"/>
          <w:sz w:val="18"/>
          <w:szCs w:val="18"/>
          <w:color w:val="auto"/>
        </w:rPr>
        <w:t>Contract that provides for a payment or benefit, accelerated vesting, upon the execution of this Agreement, the other Transaction Documents to which the Company is a party or the Closing in connection with any of the Transactions;</w:t>
      </w:r>
    </w:p>
    <w:p>
      <w:pPr>
        <w:spacing w:after="0" w:line="116" w:lineRule="exact"/>
        <w:rPr>
          <w:rFonts w:ascii="Arial" w:cs="Arial" w:eastAsia="Arial" w:hAnsi="Arial"/>
          <w:sz w:val="18"/>
          <w:szCs w:val="18"/>
          <w:color w:val="auto"/>
        </w:rPr>
      </w:pPr>
    </w:p>
    <w:p>
      <w:pPr>
        <w:ind w:left="460" w:right="479" w:firstLine="858"/>
        <w:spacing w:after="0" w:line="286" w:lineRule="auto"/>
        <w:tabs>
          <w:tab w:leader="none" w:pos="1569" w:val="left"/>
        </w:tabs>
        <w:numPr>
          <w:ilvl w:val="0"/>
          <w:numId w:val="375"/>
        </w:numPr>
        <w:rPr>
          <w:rFonts w:ascii="Arial" w:cs="Arial" w:eastAsia="Arial" w:hAnsi="Arial"/>
          <w:sz w:val="17"/>
          <w:szCs w:val="17"/>
          <w:color w:val="auto"/>
        </w:rPr>
      </w:pPr>
      <w:r>
        <w:rPr>
          <w:rFonts w:ascii="Arial" w:cs="Arial" w:eastAsia="Arial" w:hAnsi="Arial"/>
          <w:sz w:val="17"/>
          <w:szCs w:val="17"/>
          <w:color w:val="auto"/>
        </w:rPr>
        <w:t>Contract relating to Indebtedness, including the mortgaging, pledging or otherwise placing a Lien (other than Permitted Liens) on any Asset or group of Assets of the Company or any of its Subsidiaries and issuance of any Indebtedness by the Company or its Subsidiaries in excess of $150,000;</w:t>
      </w:r>
    </w:p>
    <w:p>
      <w:pPr>
        <w:spacing w:after="0" w:line="97" w:lineRule="exact"/>
        <w:rPr>
          <w:rFonts w:ascii="Arial" w:cs="Arial" w:eastAsia="Arial" w:hAnsi="Arial"/>
          <w:sz w:val="17"/>
          <w:szCs w:val="17"/>
          <w:color w:val="auto"/>
        </w:rPr>
      </w:pPr>
    </w:p>
    <w:p>
      <w:pPr>
        <w:ind w:left="460" w:right="619" w:firstLine="858"/>
        <w:spacing w:after="0" w:line="308" w:lineRule="auto"/>
        <w:tabs>
          <w:tab w:leader="none" w:pos="1579" w:val="left"/>
        </w:tabs>
        <w:numPr>
          <w:ilvl w:val="0"/>
          <w:numId w:val="375"/>
        </w:numPr>
        <w:rPr>
          <w:rFonts w:ascii="Arial" w:cs="Arial" w:eastAsia="Arial" w:hAnsi="Arial"/>
          <w:sz w:val="17"/>
          <w:szCs w:val="17"/>
          <w:color w:val="auto"/>
        </w:rPr>
      </w:pPr>
      <w:r>
        <w:rPr>
          <w:rFonts w:ascii="Arial" w:cs="Arial" w:eastAsia="Arial" w:hAnsi="Arial"/>
          <w:sz w:val="17"/>
          <w:szCs w:val="17"/>
          <w:color w:val="auto"/>
        </w:rPr>
        <w:t>any Real Property Lease or Contract under which the Company or any of its Subsidiaries is the lessee of or the holder or operator of any material personal property owned by any other Person;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5" w:name="page376"/>
    <w:bookmarkEnd w:id="37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858"/>
        <w:spacing w:after="0" w:line="263" w:lineRule="auto"/>
        <w:tabs>
          <w:tab w:leader="none" w:pos="1569" w:val="left"/>
        </w:tabs>
        <w:numPr>
          <w:ilvl w:val="0"/>
          <w:numId w:val="376"/>
        </w:numPr>
        <w:rPr>
          <w:rFonts w:ascii="Arial" w:cs="Arial" w:eastAsia="Arial" w:hAnsi="Arial"/>
          <w:sz w:val="18"/>
          <w:szCs w:val="18"/>
          <w:color w:val="auto"/>
        </w:rPr>
      </w:pPr>
      <w:r>
        <w:rPr>
          <w:rFonts w:ascii="Arial" w:cs="Arial" w:eastAsia="Arial" w:hAnsi="Arial"/>
          <w:sz w:val="18"/>
          <w:szCs w:val="18"/>
          <w:color w:val="auto"/>
        </w:rPr>
        <w:t>Contract under which the Company or any of its Subsidiaries is the lessor of or permits any third Person to hold or operate any Owned Real Property, Leased Real Property or material personal property owned or controlled by the Company or any of its Subsidiaries;</w:t>
      </w:r>
    </w:p>
    <w:p>
      <w:pPr>
        <w:spacing w:after="0" w:line="116" w:lineRule="exact"/>
        <w:rPr>
          <w:rFonts w:ascii="Arial" w:cs="Arial" w:eastAsia="Arial" w:hAnsi="Arial"/>
          <w:sz w:val="18"/>
          <w:szCs w:val="18"/>
          <w:color w:val="auto"/>
        </w:rPr>
      </w:pPr>
    </w:p>
    <w:p>
      <w:pPr>
        <w:ind w:left="1540" w:hanging="222"/>
        <w:spacing w:after="0"/>
        <w:tabs>
          <w:tab w:leader="none" w:pos="15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IP Contracts;</w:t>
      </w:r>
    </w:p>
    <w:p>
      <w:pPr>
        <w:spacing w:after="0" w:line="157" w:lineRule="exact"/>
        <w:rPr>
          <w:rFonts w:ascii="Arial" w:cs="Arial" w:eastAsia="Arial" w:hAnsi="Arial"/>
          <w:sz w:val="18"/>
          <w:szCs w:val="18"/>
          <w:color w:val="auto"/>
        </w:rPr>
      </w:pPr>
    </w:p>
    <w:p>
      <w:pPr>
        <w:ind w:left="1580" w:hanging="262"/>
        <w:spacing w:after="0"/>
        <w:tabs>
          <w:tab w:leader="none" w:pos="158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Affiliate Contracts;</w:t>
      </w:r>
    </w:p>
    <w:p>
      <w:pPr>
        <w:spacing w:after="0" w:line="144" w:lineRule="exact"/>
        <w:rPr>
          <w:rFonts w:ascii="Arial" w:cs="Arial" w:eastAsia="Arial" w:hAnsi="Arial"/>
          <w:sz w:val="18"/>
          <w:szCs w:val="18"/>
          <w:color w:val="auto"/>
        </w:rPr>
      </w:pPr>
    </w:p>
    <w:p>
      <w:pPr>
        <w:ind w:left="460" w:right="1099" w:firstLine="858"/>
        <w:spacing w:after="0" w:line="277" w:lineRule="auto"/>
        <w:tabs>
          <w:tab w:leader="none" w:pos="1579" w:val="left"/>
        </w:tabs>
        <w:numPr>
          <w:ilvl w:val="0"/>
          <w:numId w:val="376"/>
        </w:numPr>
        <w:rPr>
          <w:rFonts w:ascii="Arial" w:cs="Arial" w:eastAsia="Arial" w:hAnsi="Arial"/>
          <w:sz w:val="18"/>
          <w:szCs w:val="18"/>
          <w:color w:val="auto"/>
        </w:rPr>
      </w:pPr>
      <w:r>
        <w:rPr>
          <w:rFonts w:ascii="Arial" w:cs="Arial" w:eastAsia="Arial" w:hAnsi="Arial"/>
          <w:sz w:val="18"/>
          <w:szCs w:val="18"/>
          <w:color w:val="auto"/>
        </w:rPr>
        <w:t>Contracts involving any Governmental Authority other than Contracts for the sale of the Company’s products in the Ordinary Course;</w:t>
      </w:r>
    </w:p>
    <w:p>
      <w:pPr>
        <w:spacing w:after="0" w:line="102" w:lineRule="exact"/>
        <w:rPr>
          <w:rFonts w:ascii="Arial" w:cs="Arial" w:eastAsia="Arial" w:hAnsi="Arial"/>
          <w:sz w:val="18"/>
          <w:szCs w:val="18"/>
          <w:color w:val="auto"/>
        </w:rPr>
      </w:pPr>
    </w:p>
    <w:p>
      <w:pPr>
        <w:ind w:left="460" w:right="559" w:firstLine="858"/>
        <w:spacing w:after="0" w:line="277" w:lineRule="auto"/>
        <w:tabs>
          <w:tab w:leader="none" w:pos="1539" w:val="left"/>
        </w:tabs>
        <w:numPr>
          <w:ilvl w:val="0"/>
          <w:numId w:val="376"/>
        </w:numPr>
        <w:rPr>
          <w:rFonts w:ascii="Arial" w:cs="Arial" w:eastAsia="Arial" w:hAnsi="Arial"/>
          <w:sz w:val="18"/>
          <w:szCs w:val="18"/>
          <w:color w:val="auto"/>
        </w:rPr>
      </w:pPr>
      <w:r>
        <w:rPr>
          <w:rFonts w:ascii="Arial" w:cs="Arial" w:eastAsia="Arial" w:hAnsi="Arial"/>
          <w:sz w:val="18"/>
          <w:szCs w:val="18"/>
          <w:color w:val="auto"/>
        </w:rPr>
        <w:t>Contracts related to joint ventures, partnerships, relationships for joint marketing (other than co-marketed items) or joint development with another Person; and</w:t>
      </w:r>
    </w:p>
    <w:p>
      <w:pPr>
        <w:spacing w:after="0" w:line="102" w:lineRule="exact"/>
        <w:rPr>
          <w:rFonts w:ascii="Arial" w:cs="Arial" w:eastAsia="Arial" w:hAnsi="Arial"/>
          <w:sz w:val="18"/>
          <w:szCs w:val="18"/>
          <w:color w:val="auto"/>
        </w:rPr>
      </w:pPr>
    </w:p>
    <w:p>
      <w:pPr>
        <w:ind w:left="1540" w:hanging="222"/>
        <w:spacing w:after="0"/>
        <w:tabs>
          <w:tab w:leader="none" w:pos="15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Contracts with Material Vendors.</w:t>
      </w:r>
    </w:p>
    <w:p>
      <w:pPr>
        <w:spacing w:after="0" w:line="144"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Each Material Contract (x) is valid, binding and enforceable against the Company and its Subsidiaries, as the case may be, and, to the Knowledge of the Company, against each other party thereto, in accordance with its terms, except that such enforcement may be limited by bankruptcy, insolvency, reorganization, moratorium or other similar laws now or hereafter in effect relating to creditors’ rights and general principles of equity, and</w:t>
      </w:r>
    </w:p>
    <w:p>
      <w:pPr>
        <w:spacing w:after="0" w:line="1" w:lineRule="exact"/>
        <w:rPr>
          <w:sz w:val="20"/>
          <w:szCs w:val="20"/>
          <w:color w:val="auto"/>
        </w:rPr>
      </w:pPr>
    </w:p>
    <w:p>
      <w:pPr>
        <w:ind w:left="460" w:right="499" w:hanging="6"/>
        <w:spacing w:after="0" w:line="285" w:lineRule="auto"/>
        <w:tabs>
          <w:tab w:leader="none" w:pos="715" w:val="left"/>
        </w:tabs>
        <w:numPr>
          <w:ilvl w:val="0"/>
          <w:numId w:val="377"/>
        </w:numPr>
        <w:rPr>
          <w:rFonts w:ascii="Arial" w:cs="Arial" w:eastAsia="Arial" w:hAnsi="Arial"/>
          <w:sz w:val="16"/>
          <w:szCs w:val="16"/>
          <w:color w:val="auto"/>
        </w:rPr>
      </w:pPr>
      <w:r>
        <w:rPr>
          <w:rFonts w:ascii="Arial" w:cs="Arial" w:eastAsia="Arial" w:hAnsi="Arial"/>
          <w:sz w:val="16"/>
          <w:szCs w:val="16"/>
          <w:color w:val="auto"/>
        </w:rPr>
        <w:t xml:space="preserve">is in full force and effect on the day hereof and the Company and its Subsidiaries, as the case may be, has performed all obligations, including the timely making of all payments, required to be performed by it under, and is not in default or breach of in respect of, any Material Contract, and no event has occurred which, with due notice or lapse of time or both, would constitute such a default, except as would not, individually or in the aggregate, have or reasonably be expected to have a Company Material Adverse Effect. To the Knowledge of the Company, each other party to each Material Contract has performed all obligations required to be performed by it under, including, but not limited to, the timely making of any payments, and is not in default or breach of in respect of, any Material Contract, and no event has occurred which, with due notice or lapse of time or both, would constitute such a default, except as would not, individually or in the aggregate, have or reasonably be expected to have a Company Material Adverse Effect. There has been made available to Parent a true, complete and correct copy of each of the Material Contracts listed on </w:t>
      </w:r>
      <w:r>
        <w:rPr>
          <w:rFonts w:ascii="Arial" w:cs="Arial" w:eastAsia="Arial" w:hAnsi="Arial"/>
          <w:sz w:val="16"/>
          <w:szCs w:val="16"/>
          <w:u w:val="single" w:color="auto"/>
          <w:color w:val="auto"/>
        </w:rPr>
        <w:t>Schedule 3.24</w:t>
      </w:r>
      <w:r>
        <w:rPr>
          <w:rFonts w:ascii="Arial" w:cs="Arial" w:eastAsia="Arial" w:hAnsi="Arial"/>
          <w:sz w:val="16"/>
          <w:szCs w:val="16"/>
          <w:color w:val="auto"/>
        </w:rPr>
        <w:t>.</w:t>
      </w:r>
    </w:p>
    <w:p>
      <w:pPr>
        <w:spacing w:after="0" w:line="1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3.25 </w:t>
      </w:r>
      <w:r>
        <w:rPr>
          <w:rFonts w:ascii="Arial" w:cs="Arial" w:eastAsia="Arial" w:hAnsi="Arial"/>
          <w:sz w:val="18"/>
          <w:szCs w:val="18"/>
          <w:u w:val="single" w:color="auto"/>
          <w:color w:val="auto"/>
        </w:rPr>
        <w:t>Compliance with Privacy Laws, Privacy Policies and Certain Contracts</w:t>
      </w:r>
      <w:r>
        <w:rPr>
          <w:rFonts w:ascii="Arial" w:cs="Arial" w:eastAsia="Arial" w:hAnsi="Arial"/>
          <w:sz w:val="18"/>
          <w:szCs w:val="18"/>
          <w:color w:val="auto"/>
        </w:rPr>
        <w:t>.</w:t>
      </w:r>
    </w:p>
    <w:p>
      <w:pPr>
        <w:spacing w:after="0" w:line="158" w:lineRule="exact"/>
        <w:rPr>
          <w:sz w:val="20"/>
          <w:szCs w:val="20"/>
          <w:color w:val="auto"/>
        </w:rPr>
      </w:pPr>
    </w:p>
    <w:p>
      <w:pPr>
        <w:ind w:left="1560" w:hanging="242"/>
        <w:spacing w:after="0"/>
        <w:tabs>
          <w:tab w:leader="none" w:pos="156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3.25(a)</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880" w:right="859" w:firstLine="870"/>
        <w:spacing w:after="0" w:line="279" w:lineRule="auto"/>
        <w:tabs>
          <w:tab w:leader="none" w:pos="1959" w:val="left"/>
        </w:tabs>
        <w:numPr>
          <w:ilvl w:val="1"/>
          <w:numId w:val="378"/>
        </w:numPr>
        <w:rPr>
          <w:rFonts w:ascii="Arial" w:cs="Arial" w:eastAsia="Arial" w:hAnsi="Arial"/>
          <w:sz w:val="17"/>
          <w:szCs w:val="17"/>
          <w:color w:val="auto"/>
        </w:rPr>
      </w:pPr>
      <w:r>
        <w:rPr>
          <w:rFonts w:ascii="Arial" w:cs="Arial" w:eastAsia="Arial" w:hAnsi="Arial"/>
          <w:sz w:val="17"/>
          <w:szCs w:val="17"/>
          <w:color w:val="auto"/>
        </w:rPr>
        <w:t>the Company, its officers, directors, managers, employees, to the Knowledge of the Company, the Company’s agents, subcontractors and vendors to whom Company has given access to Personal Data or Protected Health Information, are and have been at all times since the Company’s inception, in compliance in all material respects with all applicable Privacy Laws;</w:t>
      </w:r>
    </w:p>
    <w:p>
      <w:pPr>
        <w:spacing w:after="0" w:line="103" w:lineRule="exact"/>
        <w:rPr>
          <w:rFonts w:ascii="Arial" w:cs="Arial" w:eastAsia="Arial" w:hAnsi="Arial"/>
          <w:sz w:val="17"/>
          <w:szCs w:val="17"/>
          <w:color w:val="auto"/>
        </w:rPr>
      </w:pPr>
    </w:p>
    <w:p>
      <w:pPr>
        <w:ind w:left="880" w:right="499" w:firstLine="870"/>
        <w:spacing w:after="0" w:line="257" w:lineRule="auto"/>
        <w:tabs>
          <w:tab w:leader="none" w:pos="2009" w:val="left"/>
        </w:tabs>
        <w:numPr>
          <w:ilvl w:val="1"/>
          <w:numId w:val="378"/>
        </w:numPr>
        <w:rPr>
          <w:rFonts w:ascii="Arial" w:cs="Arial" w:eastAsia="Arial" w:hAnsi="Arial"/>
          <w:sz w:val="18"/>
          <w:szCs w:val="18"/>
          <w:color w:val="auto"/>
        </w:rPr>
      </w:pPr>
      <w:r>
        <w:rPr>
          <w:rFonts w:ascii="Arial" w:cs="Arial" w:eastAsia="Arial" w:hAnsi="Arial"/>
          <w:sz w:val="18"/>
          <w:szCs w:val="18"/>
          <w:color w:val="auto"/>
        </w:rPr>
        <w:t>(A) since the Company’s inception, the Company has not been charged in or identified as a target or subject of, or threatened to be charged in or identified as a target or subject of, an investigation, audit or inquiry under any Privacy Law and (B) to the Knowledge of the Company, the Company is not currently under investigation or review with respect to any suspected or actual violation of any Privacy Law;</w:t>
      </w:r>
    </w:p>
    <w:p>
      <w:pPr>
        <w:spacing w:after="0" w:line="120" w:lineRule="exact"/>
        <w:rPr>
          <w:rFonts w:ascii="Arial" w:cs="Arial" w:eastAsia="Arial" w:hAnsi="Arial"/>
          <w:sz w:val="18"/>
          <w:szCs w:val="18"/>
          <w:color w:val="auto"/>
        </w:rPr>
      </w:pPr>
    </w:p>
    <w:p>
      <w:pPr>
        <w:ind w:left="880" w:right="599" w:firstLine="870"/>
        <w:spacing w:after="0" w:line="275" w:lineRule="auto"/>
        <w:tabs>
          <w:tab w:leader="none" w:pos="2059" w:val="left"/>
        </w:tabs>
        <w:numPr>
          <w:ilvl w:val="1"/>
          <w:numId w:val="378"/>
        </w:numPr>
        <w:rPr>
          <w:rFonts w:ascii="Arial" w:cs="Arial" w:eastAsia="Arial" w:hAnsi="Arial"/>
          <w:sz w:val="17"/>
          <w:szCs w:val="17"/>
          <w:color w:val="auto"/>
        </w:rPr>
      </w:pPr>
      <w:r>
        <w:rPr>
          <w:rFonts w:ascii="Arial" w:cs="Arial" w:eastAsia="Arial" w:hAnsi="Arial"/>
          <w:sz w:val="17"/>
          <w:szCs w:val="17"/>
          <w:color w:val="auto"/>
        </w:rPr>
        <w:t>since the Company’s inception, there has been no loss, damage or unauthorized access, use, disclosure or modification, or breach of security, with respect to the Company’s collection, creation, use, disclosure, transmission, storage or maintenance of Personal Data or Protected Health Information maintained by or on behalf of the Company (including, to the Knowledge of the Company, by any agent, subcontractor or vendor of the Company);</w:t>
      </w:r>
    </w:p>
    <w:p>
      <w:pPr>
        <w:spacing w:after="0" w:line="95" w:lineRule="exact"/>
        <w:rPr>
          <w:rFonts w:ascii="Arial" w:cs="Arial" w:eastAsia="Arial" w:hAnsi="Arial"/>
          <w:sz w:val="17"/>
          <w:szCs w:val="17"/>
          <w:color w:val="auto"/>
        </w:rPr>
      </w:pPr>
    </w:p>
    <w:p>
      <w:pPr>
        <w:ind w:left="880" w:right="539" w:firstLine="870"/>
        <w:spacing w:after="0" w:line="254" w:lineRule="auto"/>
        <w:tabs>
          <w:tab w:leader="none" w:pos="2049" w:val="left"/>
        </w:tabs>
        <w:numPr>
          <w:ilvl w:val="1"/>
          <w:numId w:val="378"/>
        </w:numPr>
        <w:rPr>
          <w:rFonts w:ascii="Arial" w:cs="Arial" w:eastAsia="Arial" w:hAnsi="Arial"/>
          <w:sz w:val="18"/>
          <w:szCs w:val="18"/>
          <w:color w:val="auto"/>
        </w:rPr>
      </w:pPr>
      <w:r>
        <w:rPr>
          <w:rFonts w:ascii="Arial" w:cs="Arial" w:eastAsia="Arial" w:hAnsi="Arial"/>
          <w:sz w:val="18"/>
          <w:szCs w:val="18"/>
          <w:color w:val="auto"/>
        </w:rPr>
        <w:t>no Person, including any Governmental Authority, has made any written claim or commenced any Proceeding with respect to any violation of any Privacy Law by the Company or, and, to the Knowledge of the Company, a subcontractor, agent or vendor of the Company, and the Company has not been given written notice of any criminal, civil or administrative violation of any Privacy Law, in any case including any claim or action with respect to any loss, damage or unauthorized access, use, disclosure, modification, or breach of security, of Personal Data or Protected Health Information maintained by or on behalf of the Company (including by any agent, subcontractor or vendor of the Company); 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6" w:name="page377"/>
    <w:bookmarkEnd w:id="37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right="579" w:firstLine="870"/>
        <w:spacing w:after="0" w:line="259" w:lineRule="auto"/>
        <w:tabs>
          <w:tab w:leader="none" w:pos="1999" w:val="left"/>
        </w:tabs>
        <w:numPr>
          <w:ilvl w:val="1"/>
          <w:numId w:val="379"/>
        </w:numPr>
        <w:rPr>
          <w:rFonts w:ascii="Arial" w:cs="Arial" w:eastAsia="Arial" w:hAnsi="Arial"/>
          <w:sz w:val="18"/>
          <w:szCs w:val="18"/>
          <w:color w:val="auto"/>
        </w:rPr>
      </w:pPr>
      <w:r>
        <w:rPr>
          <w:rFonts w:ascii="Arial" w:cs="Arial" w:eastAsia="Arial" w:hAnsi="Arial"/>
          <w:sz w:val="18"/>
          <w:szCs w:val="18"/>
          <w:color w:val="auto"/>
        </w:rPr>
        <w:t>neither the Company nor, to the Knowledge of the Company, any subcontractor agent or vendor of the Company, has incurred any breach of “unsecured protected health information” (as defined in 45 C.F.R. Part 164, Subpart D) and has not been required to report any breach of such “unsecured protected health information”.</w:t>
      </w:r>
    </w:p>
    <w:p>
      <w:pPr>
        <w:spacing w:after="0" w:line="119" w:lineRule="exact"/>
        <w:rPr>
          <w:rFonts w:ascii="Arial" w:cs="Arial" w:eastAsia="Arial" w:hAnsi="Arial"/>
          <w:sz w:val="18"/>
          <w:szCs w:val="18"/>
          <w:color w:val="auto"/>
        </w:rPr>
      </w:pPr>
    </w:p>
    <w:p>
      <w:pPr>
        <w:ind w:left="460" w:right="559" w:firstLine="858"/>
        <w:spacing w:after="0" w:line="270" w:lineRule="auto"/>
        <w:tabs>
          <w:tab w:leader="none" w:pos="1579" w:val="left"/>
        </w:tabs>
        <w:numPr>
          <w:ilvl w:val="0"/>
          <w:numId w:val="380"/>
        </w:numPr>
        <w:rPr>
          <w:rFonts w:ascii="Arial" w:cs="Arial" w:eastAsia="Arial" w:hAnsi="Arial"/>
          <w:sz w:val="17"/>
          <w:szCs w:val="17"/>
          <w:color w:val="auto"/>
        </w:rPr>
      </w:pPr>
      <w:r>
        <w:rPr>
          <w:rFonts w:ascii="Arial" w:cs="Arial" w:eastAsia="Arial" w:hAnsi="Arial"/>
          <w:sz w:val="17"/>
          <w:szCs w:val="17"/>
          <w:color w:val="auto"/>
        </w:rPr>
        <w:t>The Company has implemented, maintains and at all times since the Company’s inception has maintained reasonable and appropriate policies and procedures to maintain the privacy and security of Personal Data and Protected Health Information in accordance with the Privacy Laws (collectively the “</w:t>
      </w:r>
      <w:r>
        <w:rPr>
          <w:rFonts w:ascii="Arial" w:cs="Arial" w:eastAsia="Arial" w:hAnsi="Arial"/>
          <w:sz w:val="17"/>
          <w:szCs w:val="17"/>
          <w:u w:val="single" w:color="auto"/>
          <w:color w:val="auto"/>
        </w:rPr>
        <w:t>Privacy</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Statements</w:t>
      </w:r>
      <w:r>
        <w:rPr>
          <w:rFonts w:ascii="Arial" w:cs="Arial" w:eastAsia="Arial" w:hAnsi="Arial"/>
          <w:sz w:val="17"/>
          <w:szCs w:val="17"/>
          <w:color w:val="auto"/>
        </w:rPr>
        <w:t>”). The Company complies in all respects with all applicable Privacy Laws, including regulations promulgated by the U.S. Federal Trade Commission and the U.S. Department of Health and Human Services, and any of their respective sub-agencies, as well as any state agency or similar Governmental Authority. The Company’s use and disclosure of Personal Data or Protected Health Information is and at all times since the Company’s inception has been in compliance with such Privacy Statements, the Privacy Laws and with all applicable Contracts to which the Company is a party.</w:t>
      </w:r>
    </w:p>
    <w:p>
      <w:pPr>
        <w:spacing w:after="0" w:line="113" w:lineRule="exact"/>
        <w:rPr>
          <w:rFonts w:ascii="Arial" w:cs="Arial" w:eastAsia="Arial" w:hAnsi="Arial"/>
          <w:sz w:val="17"/>
          <w:szCs w:val="17"/>
          <w:color w:val="auto"/>
        </w:rPr>
      </w:pPr>
    </w:p>
    <w:p>
      <w:pPr>
        <w:ind w:left="460" w:right="759" w:firstLine="858"/>
        <w:spacing w:after="0" w:line="263" w:lineRule="auto"/>
        <w:tabs>
          <w:tab w:leader="none" w:pos="1569"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All activities conducted by the Company with respect to any Protected Health Information or Personal Data are permitted under applicable Privacy Laws, and the Contracts relating to Personal Data or Protected Health Information.</w:t>
      </w:r>
    </w:p>
    <w:p>
      <w:pPr>
        <w:spacing w:after="0" w:line="102" w:lineRule="exact"/>
        <w:rPr>
          <w:rFonts w:ascii="Arial" w:cs="Arial" w:eastAsia="Arial" w:hAnsi="Arial"/>
          <w:sz w:val="18"/>
          <w:szCs w:val="18"/>
          <w:color w:val="auto"/>
        </w:rPr>
      </w:pPr>
    </w:p>
    <w:p>
      <w:pPr>
        <w:jc w:val="both"/>
        <w:ind w:left="460" w:right="539" w:firstLine="858"/>
        <w:spacing w:after="0" w:line="263" w:lineRule="auto"/>
        <w:tabs>
          <w:tab w:leader="none" w:pos="1579" w:val="left"/>
        </w:tabs>
        <w:numPr>
          <w:ilvl w:val="0"/>
          <w:numId w:val="380"/>
        </w:numPr>
        <w:rPr>
          <w:rFonts w:ascii="Arial" w:cs="Arial" w:eastAsia="Arial" w:hAnsi="Arial"/>
          <w:sz w:val="18"/>
          <w:szCs w:val="18"/>
          <w:color w:val="auto"/>
        </w:rPr>
      </w:pPr>
      <w:r>
        <w:rPr>
          <w:rFonts w:ascii="Arial" w:cs="Arial" w:eastAsia="Arial" w:hAnsi="Arial"/>
          <w:sz w:val="18"/>
          <w:szCs w:val="18"/>
          <w:color w:val="auto"/>
        </w:rPr>
        <w:t>Each Contract between the Company and a customer of the Company contains all the terms and conditions that the Company is required to include therein under the Company’s Contracts with its vendors and suppliers.</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3.26 </w:t>
      </w:r>
      <w:r>
        <w:rPr>
          <w:rFonts w:ascii="Arial" w:cs="Arial" w:eastAsia="Arial" w:hAnsi="Arial"/>
          <w:sz w:val="18"/>
          <w:szCs w:val="18"/>
          <w:u w:val="single" w:color="auto"/>
          <w:color w:val="auto"/>
        </w:rPr>
        <w:t>Compliance with Health Care Laws and Certain Contracts</w:t>
      </w:r>
      <w:r>
        <w:rPr>
          <w:rFonts w:ascii="Arial" w:cs="Arial" w:eastAsia="Arial" w:hAnsi="Arial"/>
          <w:sz w:val="18"/>
          <w:szCs w:val="18"/>
          <w:color w:val="auto"/>
        </w:rPr>
        <w:t>. Except as set forth 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Schedule 3.26(a)</w:t>
      </w:r>
      <w:r>
        <w:rPr>
          <w:rFonts w:ascii="Arial" w:cs="Arial" w:eastAsia="Arial" w:hAnsi="Arial"/>
          <w:sz w:val="18"/>
          <w:szCs w:val="18"/>
          <w:color w:val="auto"/>
        </w:rPr>
        <w:t>:</w:t>
      </w:r>
    </w:p>
    <w:p>
      <w:pPr>
        <w:spacing w:after="0" w:line="143" w:lineRule="exact"/>
        <w:rPr>
          <w:sz w:val="20"/>
          <w:szCs w:val="20"/>
          <w:color w:val="auto"/>
        </w:rPr>
      </w:pPr>
    </w:p>
    <w:p>
      <w:pPr>
        <w:ind w:left="460" w:right="1099" w:firstLine="858"/>
        <w:spacing w:after="0" w:line="342" w:lineRule="auto"/>
        <w:tabs>
          <w:tab w:leader="none" w:pos="1569" w:val="left"/>
        </w:tabs>
        <w:numPr>
          <w:ilvl w:val="0"/>
          <w:numId w:val="381"/>
        </w:numPr>
        <w:rPr>
          <w:rFonts w:ascii="Arial" w:cs="Arial" w:eastAsia="Arial" w:hAnsi="Arial"/>
          <w:sz w:val="16"/>
          <w:szCs w:val="16"/>
          <w:color w:val="auto"/>
        </w:rPr>
      </w:pPr>
      <w:r>
        <w:rPr>
          <w:rFonts w:ascii="Arial" w:cs="Arial" w:eastAsia="Arial" w:hAnsi="Arial"/>
          <w:sz w:val="16"/>
          <w:szCs w:val="16"/>
          <w:color w:val="auto"/>
        </w:rPr>
        <w:t>the Company, including the conduct of its business, is and has been at all times since the Company’s inception in compliance in all material respects with all applicable Health Care Laws;</w:t>
      </w:r>
    </w:p>
    <w:p>
      <w:pPr>
        <w:spacing w:after="0" w:line="42" w:lineRule="exact"/>
        <w:rPr>
          <w:rFonts w:ascii="Arial" w:cs="Arial" w:eastAsia="Arial" w:hAnsi="Arial"/>
          <w:sz w:val="16"/>
          <w:szCs w:val="16"/>
          <w:color w:val="auto"/>
        </w:rPr>
      </w:pPr>
    </w:p>
    <w:p>
      <w:pPr>
        <w:ind w:left="460" w:right="639" w:firstLine="858"/>
        <w:spacing w:after="0" w:line="257" w:lineRule="auto"/>
        <w:tabs>
          <w:tab w:leader="none" w:pos="1579"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 since the Company’s inception, the Company has not been charged in or identified as a target or subject of, or threatened to be charged in or identified as a target or subject of, an investigation, audit or inquiry by any Person or Governmental Authority under any Health Care Law and (B) to the Knowledge of the Company, the Company is not currently under investigation or review with respect to any suspected or actual violation of any Health Care Law;</w:t>
      </w:r>
    </w:p>
    <w:p>
      <w:pPr>
        <w:spacing w:after="0" w:line="120" w:lineRule="exact"/>
        <w:rPr>
          <w:rFonts w:ascii="Arial" w:cs="Arial" w:eastAsia="Arial" w:hAnsi="Arial"/>
          <w:sz w:val="18"/>
          <w:szCs w:val="18"/>
          <w:color w:val="auto"/>
        </w:rPr>
      </w:pPr>
    </w:p>
    <w:p>
      <w:pPr>
        <w:ind w:left="460" w:right="599" w:firstLine="858"/>
        <w:spacing w:after="0" w:line="279" w:lineRule="auto"/>
        <w:tabs>
          <w:tab w:leader="none" w:pos="1569" w:val="left"/>
        </w:tabs>
        <w:numPr>
          <w:ilvl w:val="0"/>
          <w:numId w:val="381"/>
        </w:numPr>
        <w:rPr>
          <w:rFonts w:ascii="Arial" w:cs="Arial" w:eastAsia="Arial" w:hAnsi="Arial"/>
          <w:sz w:val="17"/>
          <w:szCs w:val="17"/>
          <w:color w:val="auto"/>
        </w:rPr>
      </w:pPr>
      <w:r>
        <w:rPr>
          <w:rFonts w:ascii="Arial" w:cs="Arial" w:eastAsia="Arial" w:hAnsi="Arial"/>
          <w:sz w:val="17"/>
          <w:szCs w:val="17"/>
          <w:color w:val="auto"/>
        </w:rPr>
        <w:t>no Person, including any Governmental Authority, has made any written claim or commenced any Proceeding with respect to any violation of any Health Care Law by the Company or, to the Knowledge of the Company, a subcontractor or agent of the Company, and the Company has not been given written notice of any potential criminal, civil or administrative violation of any Health Care Law;</w:t>
      </w:r>
    </w:p>
    <w:p>
      <w:pPr>
        <w:spacing w:after="0" w:line="103" w:lineRule="exact"/>
        <w:rPr>
          <w:rFonts w:ascii="Arial" w:cs="Arial" w:eastAsia="Arial" w:hAnsi="Arial"/>
          <w:sz w:val="17"/>
          <w:szCs w:val="17"/>
          <w:color w:val="auto"/>
        </w:rPr>
      </w:pPr>
    </w:p>
    <w:p>
      <w:pPr>
        <w:jc w:val="both"/>
        <w:ind w:left="460" w:right="759" w:firstLine="858"/>
        <w:spacing w:after="0" w:line="301" w:lineRule="auto"/>
        <w:tabs>
          <w:tab w:leader="none" w:pos="1579" w:val="left"/>
        </w:tabs>
        <w:numPr>
          <w:ilvl w:val="0"/>
          <w:numId w:val="381"/>
        </w:numPr>
        <w:rPr>
          <w:rFonts w:ascii="Arial" w:cs="Arial" w:eastAsia="Arial" w:hAnsi="Arial"/>
          <w:sz w:val="16"/>
          <w:szCs w:val="16"/>
          <w:color w:val="auto"/>
        </w:rPr>
      </w:pPr>
      <w:r>
        <w:rPr>
          <w:rFonts w:ascii="Arial" w:cs="Arial" w:eastAsia="Arial" w:hAnsi="Arial"/>
          <w:sz w:val="16"/>
          <w:szCs w:val="16"/>
          <w:color w:val="auto"/>
        </w:rPr>
        <w:t>none of the Company or any of its current officers, directors, managers, employees or, to the Knowledge of the Company, any of its agents or subcontractors has engaged or is engaging, in any activities which are cause for civil monetary or criminal penalties or mandatory or permissive exclusion from any Medicare, Medicaid or any other similar reimbursement program (each, a “</w:t>
      </w:r>
      <w:r>
        <w:rPr>
          <w:rFonts w:ascii="Arial" w:cs="Arial" w:eastAsia="Arial" w:hAnsi="Arial"/>
          <w:sz w:val="16"/>
          <w:szCs w:val="16"/>
          <w:u w:val="single" w:color="auto"/>
          <w:color w:val="auto"/>
        </w:rPr>
        <w:t>Health Care Program</w:t>
      </w:r>
      <w:r>
        <w:rPr>
          <w:rFonts w:ascii="Arial" w:cs="Arial" w:eastAsia="Arial" w:hAnsi="Arial"/>
          <w:sz w:val="16"/>
          <w:szCs w:val="16"/>
          <w:color w:val="auto"/>
        </w:rPr>
        <w:t>”); and</w:t>
      </w:r>
    </w:p>
    <w:p>
      <w:pPr>
        <w:spacing w:after="0" w:line="76" w:lineRule="exact"/>
        <w:rPr>
          <w:rFonts w:ascii="Arial" w:cs="Arial" w:eastAsia="Arial" w:hAnsi="Arial"/>
          <w:sz w:val="16"/>
          <w:szCs w:val="16"/>
          <w:color w:val="auto"/>
        </w:rPr>
      </w:pPr>
    </w:p>
    <w:p>
      <w:pPr>
        <w:ind w:left="460" w:right="479" w:firstLine="858"/>
        <w:spacing w:after="0" w:line="257" w:lineRule="auto"/>
        <w:tabs>
          <w:tab w:leader="none" w:pos="1569" w:val="left"/>
        </w:tabs>
        <w:numPr>
          <w:ilvl w:val="0"/>
          <w:numId w:val="381"/>
        </w:numPr>
        <w:rPr>
          <w:rFonts w:ascii="Arial" w:cs="Arial" w:eastAsia="Arial" w:hAnsi="Arial"/>
          <w:sz w:val="18"/>
          <w:szCs w:val="18"/>
          <w:color w:val="auto"/>
        </w:rPr>
      </w:pPr>
      <w:r>
        <w:rPr>
          <w:rFonts w:ascii="Arial" w:cs="Arial" w:eastAsia="Arial" w:hAnsi="Arial"/>
          <w:sz w:val="18"/>
          <w:szCs w:val="18"/>
          <w:color w:val="auto"/>
        </w:rPr>
        <w:t>none of the Company or its officers, directors, managers, employees, or, to the Knowledge of the Company, its agents or subcontractors has been, is currently or imminently will be excluded, debarred, suspended, or otherwise ineligible to participate in any Health Care Program or has been charged with or convicted of a criminal offense that falls within the scope of 42 U.S.C. § 1320a-7(a), but has not yet been excluded, debarred, suspended, or otherwise declared ineligible;</w:t>
      </w:r>
    </w:p>
    <w:p>
      <w:pPr>
        <w:spacing w:after="0" w:line="120" w:lineRule="exact"/>
        <w:rPr>
          <w:rFonts w:ascii="Arial" w:cs="Arial" w:eastAsia="Arial" w:hAnsi="Arial"/>
          <w:sz w:val="18"/>
          <w:szCs w:val="18"/>
          <w:color w:val="auto"/>
        </w:rPr>
      </w:pPr>
    </w:p>
    <w:p>
      <w:pPr>
        <w:ind w:left="460" w:right="519" w:firstLine="858"/>
        <w:spacing w:after="0" w:line="311" w:lineRule="auto"/>
        <w:tabs>
          <w:tab w:leader="none" w:pos="1549" w:val="left"/>
        </w:tabs>
        <w:numPr>
          <w:ilvl w:val="0"/>
          <w:numId w:val="381"/>
        </w:numPr>
        <w:rPr>
          <w:rFonts w:ascii="Arial" w:cs="Arial" w:eastAsia="Arial" w:hAnsi="Arial"/>
          <w:sz w:val="16"/>
          <w:szCs w:val="16"/>
          <w:color w:val="auto"/>
        </w:rPr>
      </w:pPr>
      <w:r>
        <w:rPr>
          <w:rFonts w:ascii="Arial" w:cs="Arial" w:eastAsia="Arial" w:hAnsi="Arial"/>
          <w:sz w:val="16"/>
          <w:szCs w:val="16"/>
          <w:color w:val="auto"/>
        </w:rPr>
        <w:t>the Company has truthfully and accurately completed and submitted all applications, forms and filings required to be submitted to all Governmental Authorities, and their contractors, with respect to accessing eligibility information or claims systems, or submitting claims or appeals on behalf of its customers;</w:t>
      </w:r>
    </w:p>
    <w:p>
      <w:pPr>
        <w:spacing w:after="0" w:line="81" w:lineRule="exact"/>
        <w:rPr>
          <w:rFonts w:ascii="Arial" w:cs="Arial" w:eastAsia="Arial" w:hAnsi="Arial"/>
          <w:sz w:val="16"/>
          <w:szCs w:val="16"/>
          <w:color w:val="auto"/>
        </w:rPr>
      </w:pPr>
    </w:p>
    <w:p>
      <w:pPr>
        <w:jc w:val="both"/>
        <w:ind w:left="460" w:right="659" w:firstLine="858"/>
        <w:spacing w:after="0" w:line="263" w:lineRule="auto"/>
        <w:tabs>
          <w:tab w:leader="none" w:pos="1579"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Company has obtained, maintains and has maintained at all times all required registrations and enrollments with all Governmental Authorities, with respect to accessing eligibility information or claims systems, or submitting claims or appeals on behalf of its customers; and</w:t>
      </w:r>
    </w:p>
    <w:p>
      <w:pPr>
        <w:spacing w:after="0" w:line="102" w:lineRule="exact"/>
        <w:rPr>
          <w:rFonts w:ascii="Arial" w:cs="Arial" w:eastAsia="Arial" w:hAnsi="Arial"/>
          <w:sz w:val="18"/>
          <w:szCs w:val="18"/>
          <w:color w:val="auto"/>
        </w:rPr>
      </w:pPr>
    </w:p>
    <w:p>
      <w:pPr>
        <w:ind w:left="460" w:right="839" w:firstLine="858"/>
        <w:spacing w:after="0" w:line="311" w:lineRule="auto"/>
        <w:tabs>
          <w:tab w:leader="none" w:pos="1579" w:val="left"/>
        </w:tabs>
        <w:numPr>
          <w:ilvl w:val="0"/>
          <w:numId w:val="381"/>
        </w:numPr>
        <w:rPr>
          <w:rFonts w:ascii="Arial" w:cs="Arial" w:eastAsia="Arial" w:hAnsi="Arial"/>
          <w:sz w:val="16"/>
          <w:szCs w:val="16"/>
          <w:color w:val="auto"/>
        </w:rPr>
      </w:pPr>
      <w:r>
        <w:rPr>
          <w:rFonts w:ascii="Arial" w:cs="Arial" w:eastAsia="Arial" w:hAnsi="Arial"/>
          <w:sz w:val="16"/>
          <w:szCs w:val="16"/>
          <w:color w:val="auto"/>
        </w:rPr>
        <w:t>the Company has made available to Parent all written communications with Governmental Authorities, or their contractors, regarding disputes, inquiries or investigations pertaining to the Company’s access to such claims system and has resolved all such disputes, inquiries, and investigations.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7" w:name="page378"/>
    <w:bookmarkEnd w:id="37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254" w:lineRule="auto"/>
        <w:rPr>
          <w:sz w:val="20"/>
          <w:szCs w:val="20"/>
          <w:color w:val="auto"/>
        </w:rPr>
      </w:pPr>
      <w:r>
        <w:rPr>
          <w:rFonts w:ascii="Arial" w:cs="Arial" w:eastAsia="Arial" w:hAnsi="Arial"/>
          <w:sz w:val="18"/>
          <w:szCs w:val="18"/>
          <w:color w:val="auto"/>
        </w:rPr>
        <w:t xml:space="preserve">Section 3.27 </w:t>
      </w:r>
      <w:r>
        <w:rPr>
          <w:rFonts w:ascii="Arial" w:cs="Arial" w:eastAsia="Arial" w:hAnsi="Arial"/>
          <w:sz w:val="18"/>
          <w:szCs w:val="18"/>
          <w:u w:val="single" w:color="auto"/>
          <w:color w:val="auto"/>
        </w:rPr>
        <w:t>SEC Matters</w:t>
      </w:r>
      <w:r>
        <w:rPr>
          <w:rFonts w:ascii="Arial" w:cs="Arial" w:eastAsia="Arial" w:hAnsi="Arial"/>
          <w:sz w:val="18"/>
          <w:szCs w:val="18"/>
          <w:color w:val="auto"/>
        </w:rPr>
        <w:t>. The information relating to the Company supplied by the Company for inclusion in the Form S-4 or the Proxy Statement, as applicable, will not as of the Form S-4 Effective Date and date on which the Proxy Statement (or any amendment or supplement thereto) is first distributed to Parent Stockholders or at the time of Parent Stockholder Meeting contain any statement which, at such time and in light of the circumstances under which they were made, are false or misleading with respect to any material fact, or omit to state any material fact required to be stated therein or necessary in order to make the statement therein not false or misleading.</w:t>
      </w:r>
    </w:p>
    <w:p>
      <w:pPr>
        <w:spacing w:after="0" w:line="127"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 xml:space="preserve">Section 3.28 </w:t>
      </w:r>
      <w:r>
        <w:rPr>
          <w:rFonts w:ascii="Arial" w:cs="Arial" w:eastAsia="Arial" w:hAnsi="Arial"/>
          <w:sz w:val="18"/>
          <w:szCs w:val="18"/>
          <w:u w:val="single" w:color="auto"/>
          <w:color w:val="auto"/>
        </w:rPr>
        <w:t>Brokers and Other Advisors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3.28</w:t>
      </w:r>
      <w:r>
        <w:rPr>
          <w:rFonts w:ascii="Arial" w:cs="Arial" w:eastAsia="Arial" w:hAnsi="Arial"/>
          <w:sz w:val="18"/>
          <w:szCs w:val="18"/>
          <w:color w:val="auto"/>
        </w:rPr>
        <w:t>, no broker, investment banker, financial advisor or other Person is entitled to any broker’s, finder’s, financial advisor’s or other similar fee or commission in connection with the Transactions based upon arrangements made by or on behalf of Company.</w:t>
      </w:r>
    </w:p>
    <w:p>
      <w:pPr>
        <w:spacing w:after="0" w:line="119"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 xml:space="preserve">Section 3.29 </w:t>
      </w:r>
      <w:r>
        <w:rPr>
          <w:rFonts w:ascii="Arial" w:cs="Arial" w:eastAsia="Arial" w:hAnsi="Arial"/>
          <w:sz w:val="16"/>
          <w:szCs w:val="16"/>
          <w:u w:val="single" w:color="auto"/>
          <w:color w:val="auto"/>
        </w:rPr>
        <w:t>Disclaimer of Other Representations and Warranties</w:t>
      </w:r>
      <w:r>
        <w:rPr>
          <w:rFonts w:ascii="Arial" w:cs="Arial" w:eastAsia="Arial" w:hAnsi="Arial"/>
          <w:sz w:val="16"/>
          <w:szCs w:val="16"/>
          <w:color w:val="auto"/>
        </w:rPr>
        <w:t xml:space="preserve">. Except for the representations and warranties contained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none of the Company, the Company Subsidiaries or any other Person makes any express or implied representation or warranty, either written or oral, with respect the Company or any Company Subsidiary, and the Company and the Company Subsidiaries expressly disclaim any other representations or warranties, whether made by the Company, any Company Subsidiary or any other Person (including their respective Affiliates, officers, directors, managers, employees, agents, representatives or advisors). Without limiting the generality of the foregoing, except for the representations and warranties contained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(as modified by the Disclosure Schedules), the Company hereby expressly disclaims any other representation, warranty, projection, forecast, statement, or information made, communicated, or furnished (orally or in writing) to Parent or its Affiliates or representatives (including any opinion, information, projection or advice that may heretofore have been or may hereafter be made available to Parent or its Affiliates or representatives, whether in any “data rooms,” “management presentations,” or “break-out sessions”, in response to questions submitted by or on behalf of Parent or otherwise by any director, manager, officer, employee, agent, advisor, consultant, or representative of the Company or any of their respective Affiliates).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OF PARENT AND MERGER SUB</w:t>
      </w:r>
    </w:p>
    <w:p>
      <w:pPr>
        <w:spacing w:after="0" w:line="158"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Except as disclosed in the Parent SEC Documents, filed with or furnished to the SEC prior to the date of this Agreement (other than any risk factor disclosures or other similar cautionary or predictive statements therein), Parent and Merger Sub, jointly and severally, represent and warrant to the Company that each of the following representations and warranties are true, correct and complete as of the date of this Agreement and as of the Closing Date:</w:t>
      </w:r>
    </w:p>
    <w:p>
      <w:pPr>
        <w:spacing w:after="0" w:line="120"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Organization, Qualification and Standing</w:t>
      </w:r>
      <w:r>
        <w:rPr>
          <w:rFonts w:ascii="Arial" w:cs="Arial" w:eastAsia="Arial" w:hAnsi="Arial"/>
          <w:sz w:val="17"/>
          <w:szCs w:val="17"/>
          <w:color w:val="auto"/>
        </w:rPr>
        <w:t>. Each of Parent and Merger Sub are duly incorporated, validly existing and in good standing under the Laws of the State of Delaware and each is qualified to do business and in good standing in every jurisdiction in which its operations require it to be so qualified. The Organizational Documents of each of Parent and Merger Sub are in full force and effect. Neither Parent nor Merger Sub is not in violation of its Organizational Documents.</w:t>
      </w:r>
    </w:p>
    <w:p>
      <w:pPr>
        <w:spacing w:after="0" w:line="95"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Authority; Enforceability</w:t>
      </w:r>
      <w:r>
        <w:rPr>
          <w:rFonts w:ascii="Arial" w:cs="Arial" w:eastAsia="Arial" w:hAnsi="Arial"/>
          <w:sz w:val="17"/>
          <w:szCs w:val="17"/>
          <w:color w:val="auto"/>
        </w:rPr>
        <w:t>. Each of Parent and Merger Sub has all necessary corporate power and authority to execute and deliver this Agreement and the other Transaction Documents to which it is a party and to perform their respective obligations hereunder and to consummate the Transactions. The execution, delivery and performance by Parent and Merger Sub of this Agreement and the other Transaction Documents to which either is a party, and the consummation by Parent and Merger Sub of the Transactions, has been duly authorized and approved by their respective boards of directors and no other corporate action on the part of Parent or Merger Sub is necessary to authorize the execution, delivery and performance by Parent or Merger Sub of this Agreement, the other Transaction Documents to which either is a party, and the consummation by them of the Transactions. This Agreement and the other Transaction Documents to which either is a party have been duly executed and delivered by Parent and Merger Sub and, assuming due authorization, execution and delivery hereof by the Company, constitutes a legal, valid and binding obligation of Parent and Merger Sub, enforceable against each of them in accordance with its terms, subject to the effect of any applicable bankruptcy, reorganization, insolvency, moratorium, or similar Law affecting creditors’ rights generally and subject, as to enforceability, to the effect of general principles of equity (regardless of whether such enforceability is considered in a proceeding in equity or at Law).</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8" w:name="page379"/>
    <w:bookmarkEnd w:id="37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Non-contravention</w:t>
      </w:r>
      <w:r>
        <w:rPr>
          <w:rFonts w:ascii="Arial" w:cs="Arial" w:eastAsia="Arial" w:hAnsi="Arial"/>
          <w:sz w:val="16"/>
          <w:szCs w:val="16"/>
          <w:color w:val="auto"/>
        </w:rPr>
        <w:t xml:space="preserve">. Neither the execution and delivery of this Agreement or the other Transaction Documents to which either is a party by Parent or Merger Sub, nor the consummation by Parent and Merger Sub of the Transactions, nor compliance by Parent or Merger Sub with any of the terms or provisions hereof, will (a) conflict with or violate any provision of the Organizational Documents of Parent or Merger Sub or (b) assuming that the authorizations, consents and approvals referred to in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are obtained and the filings referred to in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are made, (i) violate any Law applicable to Parent or Merger Sub or any of their respective properties or assets, (ii) violate, conflict with, result in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Parent or Merger Sub under, any of the terms, conditions or provisions of any contract or other agreement to which Parent or Merger Sub is a party, or by which they or any of their respective properties or assets may be bound or affected except, in the case of clause (ii), for such violations, conflicts, Losses, defaults, terminations, cancellations, accelerations or Liens as, individually or in the aggregate, would not reasonably be expected to prevent or materially impair the ability of Parent or Merger Sub to consummate the Transactions.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Brokers and Other Advisors</w:t>
      </w:r>
      <w:r>
        <w:rPr>
          <w:rFonts w:ascii="Arial" w:cs="Arial" w:eastAsia="Arial" w:hAnsi="Arial"/>
          <w:sz w:val="16"/>
          <w:szCs w:val="16"/>
          <w:color w:val="auto"/>
        </w:rPr>
        <w:t>. Except for the deferred underwriting commissions in the amount</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of $5,836,250, in the aggregate, payable to SVB Leerink LLC (“</w:t>
      </w:r>
      <w:r>
        <w:rPr>
          <w:rFonts w:ascii="Arial" w:cs="Arial" w:eastAsia="Arial" w:hAnsi="Arial"/>
          <w:sz w:val="17"/>
          <w:szCs w:val="17"/>
          <w:u w:val="single" w:color="auto"/>
          <w:color w:val="auto"/>
        </w:rPr>
        <w:t>SVB Leerink</w:t>
      </w:r>
      <w:r>
        <w:rPr>
          <w:rFonts w:ascii="Arial" w:cs="Arial" w:eastAsia="Arial" w:hAnsi="Arial"/>
          <w:sz w:val="17"/>
          <w:szCs w:val="17"/>
          <w:color w:val="auto"/>
        </w:rPr>
        <w:t>”) and Goldman Sachs &amp; Co.</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Goldman Sachs</w:t>
      </w:r>
      <w:r>
        <w:rPr>
          <w:rFonts w:ascii="Arial" w:cs="Arial" w:eastAsia="Arial" w:hAnsi="Arial"/>
          <w:sz w:val="16"/>
          <w:szCs w:val="16"/>
          <w:color w:val="auto"/>
        </w:rPr>
        <w:t>”), as described in the Parent SEC Documents (the “</w:t>
      </w:r>
      <w:r>
        <w:rPr>
          <w:rFonts w:ascii="Arial" w:cs="Arial" w:eastAsia="Arial" w:hAnsi="Arial"/>
          <w:sz w:val="16"/>
          <w:szCs w:val="16"/>
          <w:u w:val="single" w:color="auto"/>
          <w:color w:val="auto"/>
        </w:rPr>
        <w:t>Business Combination Fees</w:t>
      </w:r>
      <w:r>
        <w:rPr>
          <w:rFonts w:ascii="Arial" w:cs="Arial" w:eastAsia="Arial" w:hAnsi="Arial"/>
          <w:sz w:val="16"/>
          <w:szCs w:val="16"/>
          <w:color w:val="auto"/>
        </w:rPr>
        <w:t>”), there is no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 banker, broker, finder or other intermediary which has been retained by or is authorized to act 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behalf of the Parent or its Affiliates who might be entitled to any fee or commission from the Parent or any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its Affiliates upon consummation of the transactions contemplated by this Agreement or any of the Transaction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Documents.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44" w:lineRule="exact"/>
        <w:rPr>
          <w:sz w:val="20"/>
          <w:szCs w:val="20"/>
          <w:color w:val="auto"/>
        </w:rPr>
      </w:pPr>
    </w:p>
    <w:p>
      <w:pPr>
        <w:ind w:left="460" w:right="479" w:firstLine="858"/>
        <w:spacing w:after="0" w:line="285" w:lineRule="auto"/>
        <w:tabs>
          <w:tab w:leader="none" w:pos="1569" w:val="left"/>
        </w:tabs>
        <w:numPr>
          <w:ilvl w:val="0"/>
          <w:numId w:val="382"/>
        </w:numPr>
        <w:rPr>
          <w:rFonts w:ascii="Arial" w:cs="Arial" w:eastAsia="Arial" w:hAnsi="Arial"/>
          <w:sz w:val="16"/>
          <w:szCs w:val="16"/>
          <w:color w:val="auto"/>
        </w:rPr>
      </w:pPr>
      <w:r>
        <w:rPr>
          <w:rFonts w:ascii="Arial" w:cs="Arial" w:eastAsia="Arial" w:hAnsi="Arial"/>
          <w:sz w:val="16"/>
          <w:szCs w:val="16"/>
          <w:color w:val="auto"/>
        </w:rPr>
        <w:t xml:space="preserve">The authorized share capital of Parent consists of 30,000,000 shares of Parent Common Stock, of which 21,377,250 shares of Parent Common Stock are issued and outstanding as of the date hereof and 1,000,000 shares of Parent Preferred Stock, of which none are issued and outstanding as of the date hereof. All outstanding shares of Parent Common Stock are duly authorized, validly issued, fully paid and nonassessable and not subject to or issued in violation of any purchase option, right of first refusal, preemptive right, subscription right or any similar right under any provision of Delaware Law, Parent’s Organizational Documents or any contract to which Parent is a party or by which Parent is bound. Except as set forth in Parent’s Organizational Documents, there are no outstanding contractual obligations of Parent to repurchase, redeem or otherwise acquire any Parent Common Stock or any capital equity of Parent. Other than as set forth in the Parent SEC Documents, and any promissory notes that may be issued by the Sponsor to the Parent for working capital purposes that are set forth on </w:t>
      </w:r>
      <w:r>
        <w:rPr>
          <w:rFonts w:ascii="Arial" w:cs="Arial" w:eastAsia="Arial" w:hAnsi="Arial"/>
          <w:sz w:val="16"/>
          <w:szCs w:val="16"/>
          <w:u w:val="single" w:color="auto"/>
          <w:color w:val="auto"/>
        </w:rPr>
        <w:t>Schedule 4.5</w:t>
      </w:r>
      <w:r>
        <w:rPr>
          <w:rFonts w:ascii="Arial" w:cs="Arial" w:eastAsia="Arial" w:hAnsi="Arial"/>
          <w:sz w:val="16"/>
          <w:szCs w:val="16"/>
          <w:color w:val="auto"/>
        </w:rPr>
        <w:t xml:space="preserve"> there are no outstanding or authorized options, warrants, convertible securities or other rights, agreements, arrangements or commitments of any character relating to the capital stock of the Parent or obligating Parent to issue or sell any shares of capital stock of, or any other interest in, Parent. Parent does not have outstanding or authorized any stock appreciation, phantom stock, profit participation or similar rights. Except as set forth in the Parent SEC Documents, there are no voting trusts, stockholder agreements, proxies or other agreements or understandings in effect with respect to the voting or transfer of any of the shares of Parent Common Stock. There are no outstanding contractual obligations of the Parent to provide funds to, or make any investment (in the form of a loan, capital contribution or otherwise) in, any other Person.</w:t>
      </w:r>
    </w:p>
    <w:p>
      <w:pPr>
        <w:spacing w:after="0" w:line="319" w:lineRule="exact"/>
        <w:rPr>
          <w:rFonts w:ascii="Arial" w:cs="Arial" w:eastAsia="Arial" w:hAnsi="Arial"/>
          <w:sz w:val="16"/>
          <w:szCs w:val="16"/>
          <w:color w:val="auto"/>
        </w:rPr>
      </w:pPr>
    </w:p>
    <w:p>
      <w:pPr>
        <w:ind w:left="460" w:right="539" w:firstLine="858"/>
        <w:spacing w:after="0" w:line="277" w:lineRule="auto"/>
        <w:tabs>
          <w:tab w:leader="none" w:pos="1579" w:val="left"/>
        </w:tabs>
        <w:numPr>
          <w:ilvl w:val="0"/>
          <w:numId w:val="382"/>
        </w:numPr>
        <w:rPr>
          <w:rFonts w:ascii="Arial" w:cs="Arial" w:eastAsia="Arial" w:hAnsi="Arial"/>
          <w:sz w:val="18"/>
          <w:szCs w:val="18"/>
          <w:color w:val="auto"/>
        </w:rPr>
      </w:pPr>
      <w:r>
        <w:rPr>
          <w:rFonts w:ascii="Arial" w:cs="Arial" w:eastAsia="Arial" w:hAnsi="Arial"/>
          <w:sz w:val="18"/>
          <w:szCs w:val="18"/>
          <w:color w:val="auto"/>
        </w:rPr>
        <w:t>Other than Merger Sub, Parent does not directly or indirectly own, or hold any rights to acquire, any capital stock or any other securities or interests in any other Person.</w:t>
      </w:r>
    </w:p>
    <w:p>
      <w:pPr>
        <w:spacing w:after="0" w:line="103" w:lineRule="exact"/>
        <w:rPr>
          <w:sz w:val="20"/>
          <w:szCs w:val="20"/>
          <w:color w:val="auto"/>
        </w:rPr>
      </w:pPr>
    </w:p>
    <w:p>
      <w:pPr>
        <w:ind w:left="460" w:right="1259" w:firstLine="432"/>
        <w:spacing w:after="0" w:line="308"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Issuance of Shares</w:t>
      </w:r>
      <w:r>
        <w:rPr>
          <w:rFonts w:ascii="Arial" w:cs="Arial" w:eastAsia="Arial" w:hAnsi="Arial"/>
          <w:sz w:val="17"/>
          <w:szCs w:val="17"/>
          <w:color w:val="auto"/>
        </w:rPr>
        <w:t>. The Merger Consideration, when issued in accordance with this Agreement, will be duly authorized and validly issued, fully paid and nonassessable.</w:t>
      </w:r>
    </w:p>
    <w:p>
      <w:pPr>
        <w:spacing w:after="0" w:line="65"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Consents; Required Approvals</w:t>
      </w:r>
      <w:r>
        <w:rPr>
          <w:rFonts w:ascii="Arial" w:cs="Arial" w:eastAsia="Arial" w:hAnsi="Arial"/>
          <w:sz w:val="17"/>
          <w:szCs w:val="17"/>
          <w:color w:val="auto"/>
        </w:rPr>
        <w:t xml:space="preserve">. Assuming the truth and accuracy of the Company’s representations and warranties contained in </w:t>
      </w:r>
      <w:r>
        <w:rPr>
          <w:rFonts w:ascii="Arial" w:cs="Arial" w:eastAsia="Arial" w:hAnsi="Arial"/>
          <w:sz w:val="17"/>
          <w:szCs w:val="17"/>
          <w:u w:val="single" w:color="auto"/>
          <w:color w:val="auto"/>
        </w:rPr>
        <w:t>Section 3.3</w:t>
      </w:r>
      <w:r>
        <w:rPr>
          <w:rFonts w:ascii="Arial" w:cs="Arial" w:eastAsia="Arial" w:hAnsi="Arial"/>
          <w:sz w:val="17"/>
          <w:szCs w:val="17"/>
          <w:color w:val="auto"/>
        </w:rPr>
        <w:t>, no notices to, filings with, or authorizations, consents or approvals of any Governmental Authority are necessary for the execution, delivery or performance of this Agreement, the other Transaction Documents to which either is a party or the consummation by Parent and/or Merger Sub of the Transactions, except for (a) the filing of the Certificate of Merger with the Secretary of State of the State of Delaware by the Company, and (b) the HSR Filing.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9" w:name="page380"/>
    <w:bookmarkEnd w:id="37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u w:val="single" w:color="auto"/>
          <w:color w:val="auto"/>
        </w:rPr>
        <w:t>Trust Account</w:t>
      </w:r>
      <w:r>
        <w:rPr>
          <w:rFonts w:ascii="Arial" w:cs="Arial" w:eastAsia="Arial" w:hAnsi="Arial"/>
          <w:sz w:val="16"/>
          <w:szCs w:val="16"/>
          <w:color w:val="auto"/>
        </w:rPr>
        <w:t>. As of March 31, 2021, Parent has $166,809,388.80 in the trust account established by Parent for the benefit of its Parent Public Stockholders at Morgan Stanley Smith Barney LLC (the “</w:t>
      </w:r>
      <w:r>
        <w:rPr>
          <w:rFonts w:ascii="Arial" w:cs="Arial" w:eastAsia="Arial" w:hAnsi="Arial"/>
          <w:sz w:val="16"/>
          <w:szCs w:val="16"/>
          <w:u w:val="single" w:color="auto"/>
          <w:color w:val="auto"/>
        </w:rPr>
        <w:t>Trust Account</w:t>
      </w:r>
      <w:r>
        <w:rPr>
          <w:rFonts w:ascii="Arial" w:cs="Arial" w:eastAsia="Arial" w:hAnsi="Arial"/>
          <w:sz w:val="16"/>
          <w:szCs w:val="16"/>
          <w:color w:val="auto"/>
        </w:rPr>
        <w:t>”), and such monies are invested in “government securities” (as such term is defined in the Investment Company Act of 1940, as amended) and held in trust by Continental pursuant to the Investment Management Trust Agreement, dated as of September 2, 2020, between the Parent and Continental (the “</w:t>
      </w:r>
      <w:r>
        <w:rPr>
          <w:rFonts w:ascii="Arial" w:cs="Arial" w:eastAsia="Arial" w:hAnsi="Arial"/>
          <w:sz w:val="16"/>
          <w:szCs w:val="16"/>
          <w:u w:val="single" w:color="auto"/>
          <w:color w:val="auto"/>
        </w:rPr>
        <w:t>Trust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The Trust Agreement is valid and in full force and effect and enforceable in accordance with its terms and has not been amended or modified. Parent has complied in all respects with the terms of the Trust Agreement and is not in breach thereof or default thereunder and there does not exist under the Trust Agreement any event which, with the giving of notice or the lapse of time, would constitute such a breach or default by Parent or, to the Knowledge of Parent, by Continental. There are no separate agreements, side letters or other agreements or understandings (whether written or unwritten, express or implied) that would cause the description of the Trust Agreement in the Parent SEC Documents to be inaccurate in any material respect and/or that would entitle any Person (other than the payment of the Business Combination Fees payable to SVB Leerink and Goldman Sachs, for deferred underwriting commissions as described in the Parent SEC Documents and the Parent Public Stockholders who elect to redeem their shares of Parent Common Stock pursuant to Parent’s Certificate of Incorporation), to any portion of the proceeds in the Trust Account. Prior to the Closing, none of the funds held in the Trust Account may be released except (x) to pay income and other tax obligations from any interest income earned in the Trust Account or (y) to redeem Parent Common Stock in accordance with the provisions of the Parent’s Organizational Documents.</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Employees</w:t>
      </w:r>
      <w:r>
        <w:rPr>
          <w:rFonts w:ascii="Arial" w:cs="Arial" w:eastAsia="Arial" w:hAnsi="Arial"/>
          <w:sz w:val="18"/>
          <w:szCs w:val="18"/>
          <w:color w:val="auto"/>
        </w:rPr>
        <w:t>.</w:t>
      </w:r>
    </w:p>
    <w:p>
      <w:pPr>
        <w:spacing w:after="0" w:line="158" w:lineRule="exact"/>
        <w:rPr>
          <w:sz w:val="20"/>
          <w:szCs w:val="20"/>
          <w:color w:val="auto"/>
        </w:rPr>
      </w:pPr>
    </w:p>
    <w:p>
      <w:pPr>
        <w:ind w:left="460" w:right="559" w:firstLine="858"/>
        <w:spacing w:after="0" w:line="263" w:lineRule="auto"/>
        <w:tabs>
          <w:tab w:leader="none" w:pos="1569" w:val="left"/>
        </w:tabs>
        <w:numPr>
          <w:ilvl w:val="0"/>
          <w:numId w:val="383"/>
        </w:numPr>
        <w:rPr>
          <w:rFonts w:ascii="Arial" w:cs="Arial" w:eastAsia="Arial" w:hAnsi="Arial"/>
          <w:sz w:val="18"/>
          <w:szCs w:val="18"/>
          <w:color w:val="auto"/>
        </w:rPr>
      </w:pPr>
      <w:r>
        <w:rPr>
          <w:rFonts w:ascii="Arial" w:cs="Arial" w:eastAsia="Arial" w:hAnsi="Arial"/>
          <w:sz w:val="18"/>
          <w:szCs w:val="18"/>
          <w:color w:val="auto"/>
        </w:rPr>
        <w:t>Other than any officers as described in the Parent SEC Documents and consultants and advisors in the Ordinary Course, Parent and Merger Sub have never employed any employees or retained any contractors.</w:t>
      </w:r>
    </w:p>
    <w:p>
      <w:pPr>
        <w:spacing w:after="0" w:line="102" w:lineRule="exact"/>
        <w:rPr>
          <w:rFonts w:ascii="Arial" w:cs="Arial" w:eastAsia="Arial" w:hAnsi="Arial"/>
          <w:sz w:val="18"/>
          <w:szCs w:val="18"/>
          <w:color w:val="auto"/>
        </w:rPr>
      </w:pPr>
    </w:p>
    <w:p>
      <w:pPr>
        <w:ind w:left="460" w:right="579" w:firstLine="858"/>
        <w:spacing w:after="0" w:line="259" w:lineRule="auto"/>
        <w:tabs>
          <w:tab w:leader="none" w:pos="1579" w:val="left"/>
        </w:tabs>
        <w:numPr>
          <w:ilvl w:val="0"/>
          <w:numId w:val="383"/>
        </w:numPr>
        <w:rPr>
          <w:rFonts w:ascii="Arial" w:cs="Arial" w:eastAsia="Arial" w:hAnsi="Arial"/>
          <w:sz w:val="18"/>
          <w:szCs w:val="18"/>
          <w:color w:val="auto"/>
        </w:rPr>
      </w:pPr>
      <w:r>
        <w:rPr>
          <w:rFonts w:ascii="Arial" w:cs="Arial" w:eastAsia="Arial" w:hAnsi="Arial"/>
          <w:sz w:val="18"/>
          <w:szCs w:val="18"/>
          <w:color w:val="auto"/>
        </w:rPr>
        <w:t>Other than reimbursement of any out-of-pocket expenses incurred by Parent’s officers and directors in connection with activities on Parent’s behalf in an aggregate amount not in excess of the amount of cash held by Parent outside of the Trust Account, neither Parent nor Merger Sub has any unsatisfied material Liability with respect to any officer or director.</w:t>
      </w:r>
    </w:p>
    <w:p>
      <w:pPr>
        <w:spacing w:after="0" w:line="119" w:lineRule="exact"/>
        <w:rPr>
          <w:rFonts w:ascii="Arial" w:cs="Arial" w:eastAsia="Arial" w:hAnsi="Arial"/>
          <w:sz w:val="18"/>
          <w:szCs w:val="18"/>
          <w:color w:val="auto"/>
        </w:rPr>
      </w:pPr>
    </w:p>
    <w:p>
      <w:pPr>
        <w:ind w:left="460" w:right="499" w:firstLine="858"/>
        <w:spacing w:after="0" w:line="259" w:lineRule="auto"/>
        <w:tabs>
          <w:tab w:leader="none" w:pos="1569" w:val="left"/>
        </w:tabs>
        <w:numPr>
          <w:ilvl w:val="0"/>
          <w:numId w:val="383"/>
        </w:numPr>
        <w:rPr>
          <w:rFonts w:ascii="Arial" w:cs="Arial" w:eastAsia="Arial" w:hAnsi="Arial"/>
          <w:sz w:val="18"/>
          <w:szCs w:val="18"/>
          <w:color w:val="auto"/>
        </w:rPr>
      </w:pPr>
      <w:r>
        <w:rPr>
          <w:rFonts w:ascii="Arial" w:cs="Arial" w:eastAsia="Arial" w:hAnsi="Arial"/>
          <w:sz w:val="18"/>
          <w:szCs w:val="18"/>
          <w:color w:val="auto"/>
        </w:rPr>
        <w:t>Parent and Merger Sub have never, and do not currently, maintain, sponsor, or contribute to or have any Liability pursuant to any plan, program or arrangement that would fall under the definition of “Benefit Arrangement” determined as if such definition referenced Parent instead of the Company (“</w:t>
      </w:r>
      <w:r>
        <w:rPr>
          <w:rFonts w:ascii="Arial" w:cs="Arial" w:eastAsia="Arial" w:hAnsi="Arial"/>
          <w:sz w:val="18"/>
          <w:szCs w:val="18"/>
          <w:u w:val="single" w:color="auto"/>
          <w:color w:val="auto"/>
        </w:rPr>
        <w:t>Parent Benefit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Arrangement</w:t>
      </w:r>
      <w:r>
        <w:rPr>
          <w:rFonts w:ascii="Arial" w:cs="Arial" w:eastAsia="Arial" w:hAnsi="Arial"/>
          <w:sz w:val="18"/>
          <w:szCs w:val="18"/>
          <w:color w:val="auto"/>
        </w:rPr>
        <w:t>”).</w:t>
      </w:r>
    </w:p>
    <w:p>
      <w:pPr>
        <w:spacing w:after="0" w:line="119"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Tax Matters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4.10</w:t>
      </w:r>
      <w:r>
        <w:rPr>
          <w:rFonts w:ascii="Arial" w:cs="Arial" w:eastAsia="Arial" w:hAnsi="Arial"/>
          <w:sz w:val="18"/>
          <w:szCs w:val="18"/>
          <w:color w:val="auto"/>
        </w:rPr>
        <w:t>, any reference to “Parent” shall also include Merger Sub.</w:t>
      </w:r>
    </w:p>
    <w:p>
      <w:pPr>
        <w:spacing w:after="0" w:line="89" w:lineRule="exact"/>
        <w:rPr>
          <w:sz w:val="20"/>
          <w:szCs w:val="20"/>
          <w:color w:val="auto"/>
        </w:rPr>
      </w:pPr>
    </w:p>
    <w:p>
      <w:pPr>
        <w:ind w:left="460" w:right="499" w:firstLine="858"/>
        <w:spacing w:after="0" w:line="275" w:lineRule="auto"/>
        <w:tabs>
          <w:tab w:leader="none" w:pos="1569" w:val="left"/>
        </w:tabs>
        <w:numPr>
          <w:ilvl w:val="0"/>
          <w:numId w:val="384"/>
        </w:numPr>
        <w:rPr>
          <w:rFonts w:ascii="Arial" w:cs="Arial" w:eastAsia="Arial" w:hAnsi="Arial"/>
          <w:sz w:val="17"/>
          <w:szCs w:val="17"/>
          <w:color w:val="auto"/>
        </w:rPr>
      </w:pPr>
      <w:r>
        <w:rPr>
          <w:rFonts w:ascii="Arial" w:cs="Arial" w:eastAsia="Arial" w:hAnsi="Arial"/>
          <w:sz w:val="17"/>
          <w:szCs w:val="17"/>
          <w:color w:val="auto"/>
        </w:rPr>
        <w:t>Parent has filed (taking into account all applicable extensions) when due all income or other material Tax Returns required by applicable Law to be filed by Parent, all material Taxes (whether or not shown on any Tax Returns) due and owing by Parent have been paid, other than Taxes being contested in good faith and for which adequate reserves have been established in accordance with GAAP, and all such Tax Returns were complete and correct in all material respects as of the time of such filing.</w:t>
      </w:r>
    </w:p>
    <w:p>
      <w:pPr>
        <w:spacing w:after="0" w:line="108" w:lineRule="exact"/>
        <w:rPr>
          <w:rFonts w:ascii="Arial" w:cs="Arial" w:eastAsia="Arial" w:hAnsi="Arial"/>
          <w:sz w:val="17"/>
          <w:szCs w:val="17"/>
          <w:color w:val="auto"/>
        </w:rPr>
      </w:pPr>
    </w:p>
    <w:p>
      <w:pPr>
        <w:ind w:left="460" w:right="479" w:firstLine="858"/>
        <w:spacing w:after="0" w:line="263" w:lineRule="auto"/>
        <w:tabs>
          <w:tab w:leader="none" w:pos="1579"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There is no material Proceeding, audit or claim now in progress against Parent in respect of any Tax, nor has any Proceeding for additional Tax been asserted in writing by any Governmental Authority that has not been resolved or settled in full.</w:t>
      </w:r>
    </w:p>
    <w:p>
      <w:pPr>
        <w:spacing w:after="0" w:line="116" w:lineRule="exact"/>
        <w:rPr>
          <w:rFonts w:ascii="Arial" w:cs="Arial" w:eastAsia="Arial" w:hAnsi="Arial"/>
          <w:sz w:val="18"/>
          <w:szCs w:val="18"/>
          <w:color w:val="auto"/>
        </w:rPr>
      </w:pPr>
    </w:p>
    <w:p>
      <w:pPr>
        <w:ind w:left="460" w:right="619" w:firstLine="858"/>
        <w:spacing w:after="0" w:line="263" w:lineRule="auto"/>
        <w:tabs>
          <w:tab w:leader="none" w:pos="1569" w:val="left"/>
        </w:tabs>
        <w:numPr>
          <w:ilvl w:val="0"/>
          <w:numId w:val="384"/>
        </w:numPr>
        <w:rPr>
          <w:rFonts w:ascii="Arial" w:cs="Arial" w:eastAsia="Arial" w:hAnsi="Arial"/>
          <w:sz w:val="18"/>
          <w:szCs w:val="18"/>
          <w:color w:val="auto"/>
        </w:rPr>
      </w:pPr>
      <w:r>
        <w:rPr>
          <w:rFonts w:ascii="Arial" w:cs="Arial" w:eastAsia="Arial" w:hAnsi="Arial"/>
          <w:sz w:val="18"/>
          <w:szCs w:val="18"/>
          <w:color w:val="auto"/>
        </w:rPr>
        <w:t>No written claim has been made by any Governmental Authority in a jurisdiction where Parent has not filed a Tax Return that it is or may be subject to Tax by such jurisdiction, nor is any such assertion, to the Knowledge of the Parent, threatened.</w:t>
      </w:r>
    </w:p>
    <w:p>
      <w:pPr>
        <w:spacing w:after="0" w:line="102" w:lineRule="exact"/>
        <w:rPr>
          <w:rFonts w:ascii="Arial" w:cs="Arial" w:eastAsia="Arial" w:hAnsi="Arial"/>
          <w:sz w:val="18"/>
          <w:szCs w:val="18"/>
          <w:color w:val="auto"/>
        </w:rPr>
      </w:pPr>
    </w:p>
    <w:p>
      <w:pPr>
        <w:ind w:left="460" w:right="779" w:firstLine="858"/>
        <w:spacing w:after="0" w:line="263" w:lineRule="auto"/>
        <w:tabs>
          <w:tab w:leader="none" w:pos="1579" w:val="left"/>
        </w:tabs>
        <w:numPr>
          <w:ilvl w:val="0"/>
          <w:numId w:val="384"/>
        </w:numPr>
        <w:rPr>
          <w:rFonts w:ascii="Arial" w:cs="Arial" w:eastAsia="Arial" w:hAnsi="Arial"/>
          <w:sz w:val="18"/>
          <w:szCs w:val="18"/>
          <w:color w:val="auto"/>
        </w:rPr>
      </w:pPr>
      <w:r>
        <w:rPr>
          <w:rFonts w:ascii="Arial" w:cs="Arial" w:eastAsia="Arial" w:hAnsi="Arial"/>
          <w:sz w:val="18"/>
          <w:szCs w:val="18"/>
          <w:color w:val="auto"/>
        </w:rPr>
        <w:t>Parent is not a party to any Tax sharing agreement, Tax indemnification agreement, Tax allocation agreement or similar agreement (other than Contracts entered into in the Ordinary Course and not relating primarily to Taxes).</w:t>
      </w:r>
    </w:p>
    <w:p>
      <w:pPr>
        <w:spacing w:after="0" w:line="116" w:lineRule="exact"/>
        <w:rPr>
          <w:rFonts w:ascii="Arial" w:cs="Arial" w:eastAsia="Arial" w:hAnsi="Arial"/>
          <w:sz w:val="18"/>
          <w:szCs w:val="18"/>
          <w:color w:val="auto"/>
        </w:rPr>
      </w:pPr>
    </w:p>
    <w:p>
      <w:pPr>
        <w:ind w:left="460" w:right="639" w:firstLine="858"/>
        <w:spacing w:after="0" w:line="308" w:lineRule="auto"/>
        <w:tabs>
          <w:tab w:leader="none" w:pos="1569" w:val="left"/>
        </w:tabs>
        <w:numPr>
          <w:ilvl w:val="0"/>
          <w:numId w:val="384"/>
        </w:numPr>
        <w:rPr>
          <w:rFonts w:ascii="Arial" w:cs="Arial" w:eastAsia="Arial" w:hAnsi="Arial"/>
          <w:sz w:val="17"/>
          <w:szCs w:val="17"/>
          <w:color w:val="auto"/>
        </w:rPr>
      </w:pPr>
      <w:r>
        <w:rPr>
          <w:rFonts w:ascii="Arial" w:cs="Arial" w:eastAsia="Arial" w:hAnsi="Arial"/>
          <w:sz w:val="17"/>
          <w:szCs w:val="17"/>
          <w:color w:val="auto"/>
        </w:rPr>
        <w:t>Parent has withheld and paid all material Taxes required to be withheld in connection with any amounts paid or owing to any employee, creditor, independent contractor or other third party.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0" w:name="page381"/>
    <w:bookmarkEnd w:id="38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858"/>
        <w:spacing w:after="0" w:line="279" w:lineRule="auto"/>
        <w:tabs>
          <w:tab w:leader="none" w:pos="1549" w:val="left"/>
        </w:tabs>
        <w:numPr>
          <w:ilvl w:val="0"/>
          <w:numId w:val="385"/>
        </w:numPr>
        <w:rPr>
          <w:rFonts w:ascii="Arial" w:cs="Arial" w:eastAsia="Arial" w:hAnsi="Arial"/>
          <w:sz w:val="17"/>
          <w:szCs w:val="17"/>
          <w:color w:val="auto"/>
        </w:rPr>
      </w:pPr>
      <w:r>
        <w:rPr>
          <w:rFonts w:ascii="Arial" w:cs="Arial" w:eastAsia="Arial" w:hAnsi="Arial"/>
          <w:sz w:val="17"/>
          <w:szCs w:val="17"/>
          <w:color w:val="auto"/>
        </w:rPr>
        <w:t>There is no outstanding request for any extension of time within which to pay any material Taxes or file any material Tax Returns (other than extensions requested in the Ordinary Course), and there has been no waiver or extension of any applicable statute of limitations for the assessment or collection of any material Taxes of Parent that will remain outstanding as of the Closing Date.</w:t>
      </w:r>
    </w:p>
    <w:p>
      <w:pPr>
        <w:spacing w:after="0" w:line="103" w:lineRule="exact"/>
        <w:rPr>
          <w:rFonts w:ascii="Arial" w:cs="Arial" w:eastAsia="Arial" w:hAnsi="Arial"/>
          <w:sz w:val="17"/>
          <w:szCs w:val="17"/>
          <w:color w:val="auto"/>
        </w:rPr>
      </w:pPr>
    </w:p>
    <w:p>
      <w:pPr>
        <w:jc w:val="both"/>
        <w:ind w:left="460" w:right="799" w:firstLine="858"/>
        <w:spacing w:after="0" w:line="263" w:lineRule="auto"/>
        <w:tabs>
          <w:tab w:leader="none" w:pos="1579" w:val="left"/>
        </w:tabs>
        <w:numPr>
          <w:ilvl w:val="0"/>
          <w:numId w:val="385"/>
        </w:numPr>
        <w:rPr>
          <w:rFonts w:ascii="Arial" w:cs="Arial" w:eastAsia="Arial" w:hAnsi="Arial"/>
          <w:sz w:val="18"/>
          <w:szCs w:val="18"/>
          <w:color w:val="auto"/>
        </w:rPr>
      </w:pPr>
      <w:r>
        <w:rPr>
          <w:rFonts w:ascii="Arial" w:cs="Arial" w:eastAsia="Arial" w:hAnsi="Arial"/>
          <w:sz w:val="18"/>
          <w:szCs w:val="18"/>
          <w:color w:val="auto"/>
        </w:rPr>
        <w:t>Parent has not distributed the stock of another Person, or had its stock distributed by another Person, in a transaction that was purported or intended to be governed in whole or in part by Section 355 or Section 361 of the Code.</w:t>
      </w:r>
    </w:p>
    <w:p>
      <w:pPr>
        <w:spacing w:after="0" w:line="116" w:lineRule="exact"/>
        <w:rPr>
          <w:rFonts w:ascii="Arial" w:cs="Arial" w:eastAsia="Arial" w:hAnsi="Arial"/>
          <w:sz w:val="18"/>
          <w:szCs w:val="18"/>
          <w:color w:val="auto"/>
        </w:rPr>
      </w:pPr>
    </w:p>
    <w:p>
      <w:pPr>
        <w:ind w:left="1580" w:hanging="262"/>
        <w:spacing w:after="0"/>
        <w:tabs>
          <w:tab w:leader="none" w:pos="158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There are no Liens for Taxes upon any Assets of Parent other than Permitted Liens.</w:t>
      </w:r>
    </w:p>
    <w:p>
      <w:pPr>
        <w:spacing w:after="0" w:line="144" w:lineRule="exact"/>
        <w:rPr>
          <w:rFonts w:ascii="Arial" w:cs="Arial" w:eastAsia="Arial" w:hAnsi="Arial"/>
          <w:sz w:val="18"/>
          <w:szCs w:val="18"/>
          <w:color w:val="auto"/>
        </w:rPr>
      </w:pPr>
    </w:p>
    <w:p>
      <w:pPr>
        <w:jc w:val="both"/>
        <w:ind w:left="460" w:right="499" w:firstLine="858"/>
        <w:spacing w:after="0" w:line="301" w:lineRule="auto"/>
        <w:tabs>
          <w:tab w:leader="none" w:pos="1539" w:val="left"/>
        </w:tabs>
        <w:numPr>
          <w:ilvl w:val="0"/>
          <w:numId w:val="385"/>
        </w:numPr>
        <w:rPr>
          <w:rFonts w:ascii="Arial" w:cs="Arial" w:eastAsia="Arial" w:hAnsi="Arial"/>
          <w:sz w:val="16"/>
          <w:szCs w:val="16"/>
          <w:color w:val="auto"/>
        </w:rPr>
      </w:pPr>
      <w:r>
        <w:rPr>
          <w:rFonts w:ascii="Arial" w:cs="Arial" w:eastAsia="Arial" w:hAnsi="Arial"/>
          <w:sz w:val="16"/>
          <w:szCs w:val="16"/>
          <w:color w:val="auto"/>
        </w:rPr>
        <w:t>Parent has not been a party to or bound by any closing agreement, private letter rulings, technical advice memoranda, offer in compromise, or any similar agreement with any Governmental Authority in respect of which Parent could have any material Tax Liability after the Closing. Parent does not have any request for a ruling in respect of Taxes pending between Parent and any Governmental Authority.</w:t>
      </w:r>
    </w:p>
    <w:p>
      <w:pPr>
        <w:spacing w:after="0" w:line="89" w:lineRule="exact"/>
        <w:rPr>
          <w:rFonts w:ascii="Arial" w:cs="Arial" w:eastAsia="Arial" w:hAnsi="Arial"/>
          <w:sz w:val="16"/>
          <w:szCs w:val="16"/>
          <w:color w:val="auto"/>
        </w:rPr>
      </w:pPr>
    </w:p>
    <w:p>
      <w:pPr>
        <w:ind w:left="460" w:right="539" w:firstLine="858"/>
        <w:spacing w:after="0" w:line="275" w:lineRule="auto"/>
        <w:tabs>
          <w:tab w:leader="none" w:pos="1539" w:val="left"/>
        </w:tabs>
        <w:numPr>
          <w:ilvl w:val="0"/>
          <w:numId w:val="385"/>
        </w:numPr>
        <w:rPr>
          <w:rFonts w:ascii="Arial" w:cs="Arial" w:eastAsia="Arial" w:hAnsi="Arial"/>
          <w:sz w:val="17"/>
          <w:szCs w:val="17"/>
          <w:color w:val="auto"/>
        </w:rPr>
      </w:pPr>
      <w:r>
        <w:rPr>
          <w:rFonts w:ascii="Arial" w:cs="Arial" w:eastAsia="Arial" w:hAnsi="Arial"/>
          <w:sz w:val="17"/>
          <w:szCs w:val="17"/>
          <w:color w:val="auto"/>
        </w:rPr>
        <w:t>Parent (i) has not been a member of an affiliated group filing a consolidated U.S. federal income Tax Return or other comparable group for state, local or foreign Tax purposes and (ii) has no Liability for the Taxes of any Person (other than Parent) under Treasury Regulations Section 1.1502-6 (or any similar provision of state, local, or foreign law), as a transferee or successor, by Contract (other than Contracts entered into in the Ordinary Course and not relating primarily to Taxes), or otherwise by Law.</w:t>
      </w:r>
    </w:p>
    <w:p>
      <w:pPr>
        <w:spacing w:after="0" w:line="108" w:lineRule="exact"/>
        <w:rPr>
          <w:rFonts w:ascii="Arial" w:cs="Arial" w:eastAsia="Arial" w:hAnsi="Arial"/>
          <w:sz w:val="17"/>
          <w:szCs w:val="17"/>
          <w:color w:val="auto"/>
        </w:rPr>
      </w:pPr>
    </w:p>
    <w:p>
      <w:pPr>
        <w:ind w:left="460" w:right="499" w:firstLine="858"/>
        <w:spacing w:after="0" w:line="277" w:lineRule="auto"/>
        <w:tabs>
          <w:tab w:leader="none" w:pos="1579" w:val="left"/>
        </w:tabs>
        <w:numPr>
          <w:ilvl w:val="0"/>
          <w:numId w:val="385"/>
        </w:numPr>
        <w:rPr>
          <w:rFonts w:ascii="Arial" w:cs="Arial" w:eastAsia="Arial" w:hAnsi="Arial"/>
          <w:sz w:val="18"/>
          <w:szCs w:val="18"/>
          <w:color w:val="auto"/>
        </w:rPr>
      </w:pPr>
      <w:r>
        <w:rPr>
          <w:rFonts w:ascii="Arial" w:cs="Arial" w:eastAsia="Arial" w:hAnsi="Arial"/>
          <w:sz w:val="18"/>
          <w:szCs w:val="18"/>
          <w:color w:val="auto"/>
        </w:rPr>
        <w:t>Parent has not participated in a “listed transaction” required to be disclosed pursuant to Treasury Regulations Section 1.6011-4(b).</w:t>
      </w:r>
    </w:p>
    <w:p>
      <w:pPr>
        <w:spacing w:after="0" w:line="89" w:lineRule="exact"/>
        <w:rPr>
          <w:rFonts w:ascii="Arial" w:cs="Arial" w:eastAsia="Arial" w:hAnsi="Arial"/>
          <w:sz w:val="18"/>
          <w:szCs w:val="18"/>
          <w:color w:val="auto"/>
        </w:rPr>
      </w:pPr>
    </w:p>
    <w:p>
      <w:pPr>
        <w:ind w:left="460" w:right="479" w:firstLine="858"/>
        <w:spacing w:after="0" w:line="290" w:lineRule="auto"/>
        <w:tabs>
          <w:tab w:leader="none" w:pos="1539" w:val="left"/>
        </w:tabs>
        <w:numPr>
          <w:ilvl w:val="0"/>
          <w:numId w:val="385"/>
        </w:numPr>
        <w:rPr>
          <w:rFonts w:ascii="Arial" w:cs="Arial" w:eastAsia="Arial" w:hAnsi="Arial"/>
          <w:sz w:val="16"/>
          <w:szCs w:val="16"/>
          <w:color w:val="auto"/>
        </w:rPr>
      </w:pPr>
      <w:r>
        <w:rPr>
          <w:rFonts w:ascii="Arial" w:cs="Arial" w:eastAsia="Arial" w:hAnsi="Arial"/>
          <w:sz w:val="16"/>
          <w:szCs w:val="16"/>
          <w:color w:val="auto"/>
        </w:rPr>
        <w:t>Parent will not be required to include any material item of income in, or exclude any material item of deduction from, taxable income for any Tax period (or portion thereof) ending after the Closing as a result of any: (i) use of an improper or change in method of accounting for a Tax period ending prior to the Closing; (ii) “closing agreement” as described in Section 7121 of the Code (or any comparable or similar provisions of applicable Law) executed prior to the Closing; (iii) installment sale or open transaction disposition made prior to the Closing; (iv) deferred intercompany gain or any excess loss account described in Treasury Regulations under Section 1502 of the Code (or any predecessor provision or any similar provision of state, local or foreign Law); or (v) prepaid amount received or deferred revenue accrued on or prior to the Closing.</w:t>
      </w:r>
    </w:p>
    <w:p>
      <w:pPr>
        <w:spacing w:after="0" w:line="97" w:lineRule="exact"/>
        <w:rPr>
          <w:rFonts w:ascii="Arial" w:cs="Arial" w:eastAsia="Arial" w:hAnsi="Arial"/>
          <w:sz w:val="16"/>
          <w:szCs w:val="16"/>
          <w:color w:val="auto"/>
        </w:rPr>
      </w:pPr>
    </w:p>
    <w:p>
      <w:pPr>
        <w:ind w:left="460" w:right="579" w:firstLine="858"/>
        <w:spacing w:after="0" w:line="308" w:lineRule="auto"/>
        <w:tabs>
          <w:tab w:leader="none" w:pos="1629" w:val="left"/>
        </w:tabs>
        <w:numPr>
          <w:ilvl w:val="0"/>
          <w:numId w:val="385"/>
        </w:numPr>
        <w:rPr>
          <w:rFonts w:ascii="Arial" w:cs="Arial" w:eastAsia="Arial" w:hAnsi="Arial"/>
          <w:sz w:val="17"/>
          <w:szCs w:val="17"/>
          <w:color w:val="auto"/>
        </w:rPr>
      </w:pPr>
      <w:r>
        <w:rPr>
          <w:rFonts w:ascii="Arial" w:cs="Arial" w:eastAsia="Arial" w:hAnsi="Arial"/>
          <w:sz w:val="17"/>
          <w:szCs w:val="17"/>
          <w:color w:val="auto"/>
        </w:rPr>
        <w:t>Parent is not required to include in income any amounts determined pursuant to Section 965 of the Code, or to make any deferred payments with respect to Section 965(h) of the Code.</w:t>
      </w:r>
    </w:p>
    <w:p>
      <w:pPr>
        <w:spacing w:after="0" w:line="78" w:lineRule="exact"/>
        <w:rPr>
          <w:rFonts w:ascii="Arial" w:cs="Arial" w:eastAsia="Arial" w:hAnsi="Arial"/>
          <w:sz w:val="17"/>
          <w:szCs w:val="17"/>
          <w:color w:val="auto"/>
        </w:rPr>
      </w:pPr>
    </w:p>
    <w:p>
      <w:pPr>
        <w:ind w:left="1580" w:hanging="262"/>
        <w:spacing w:after="0"/>
        <w:tabs>
          <w:tab w:leader="none" w:pos="158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Parent has not claimed any Tax credit or deferral pursuant to a COVID-19 Law.</w:t>
      </w:r>
    </w:p>
    <w:p>
      <w:pPr>
        <w:spacing w:after="0" w:line="144" w:lineRule="exact"/>
        <w:rPr>
          <w:rFonts w:ascii="Arial" w:cs="Arial" w:eastAsia="Arial" w:hAnsi="Arial"/>
          <w:sz w:val="18"/>
          <w:szCs w:val="18"/>
          <w:color w:val="auto"/>
        </w:rPr>
      </w:pPr>
    </w:p>
    <w:p>
      <w:pPr>
        <w:ind w:left="460" w:right="499" w:firstLine="858"/>
        <w:spacing w:after="0" w:line="342" w:lineRule="auto"/>
        <w:tabs>
          <w:tab w:leader="none" w:pos="1579" w:val="left"/>
        </w:tabs>
        <w:numPr>
          <w:ilvl w:val="0"/>
          <w:numId w:val="385"/>
        </w:numPr>
        <w:rPr>
          <w:rFonts w:ascii="Arial" w:cs="Arial" w:eastAsia="Arial" w:hAnsi="Arial"/>
          <w:sz w:val="16"/>
          <w:szCs w:val="16"/>
          <w:color w:val="auto"/>
        </w:rPr>
      </w:pPr>
      <w:r>
        <w:rPr>
          <w:rFonts w:ascii="Arial" w:cs="Arial" w:eastAsia="Arial" w:hAnsi="Arial"/>
          <w:sz w:val="16"/>
          <w:szCs w:val="16"/>
          <w:color w:val="auto"/>
        </w:rPr>
        <w:t>Parent is not aware of the existence of any fact, nor has taken or agreed to take any action, that would reasonably be expected to prevent or impede the Merger from qualifying for the Intended Tax Treatment.</w:t>
      </w:r>
    </w:p>
    <w:p>
      <w:pPr>
        <w:spacing w:after="0" w:line="56" w:lineRule="exact"/>
        <w:rPr>
          <w:sz w:val="20"/>
          <w:szCs w:val="20"/>
          <w:color w:val="auto"/>
        </w:rPr>
      </w:pPr>
    </w:p>
    <w:p>
      <w:pPr>
        <w:ind w:left="460" w:right="619" w:firstLine="432"/>
        <w:spacing w:after="0" w:line="311"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Listing</w:t>
      </w:r>
      <w:r>
        <w:rPr>
          <w:rFonts w:ascii="Arial" w:cs="Arial" w:eastAsia="Arial" w:hAnsi="Arial"/>
          <w:sz w:val="16"/>
          <w:szCs w:val="16"/>
          <w:color w:val="auto"/>
        </w:rPr>
        <w:t>. Parent Common Stock is listed on Nasdaq with trading ticker BCTG. There is no Proceeding pending or, to the Knowledge of Parent, threatened against Parent by Nasdaq or the SEC with respect to any intention by such entity to prohibit or terminate the listing of Parent Common Stock on Nasdaq.</w:t>
      </w:r>
    </w:p>
    <w:p>
      <w:pPr>
        <w:spacing w:after="0" w:line="81"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Reporting Company</w:t>
      </w:r>
      <w:r>
        <w:rPr>
          <w:rFonts w:ascii="Arial" w:cs="Arial" w:eastAsia="Arial" w:hAnsi="Arial"/>
          <w:sz w:val="18"/>
          <w:szCs w:val="18"/>
          <w:color w:val="auto"/>
        </w:rPr>
        <w:t>. Parent is a publicly held company subject to reporting obligations pursuant to Section 13 of the Exchange Act, and the shares of Parent Common Stock are registered pursuant to Section 12(b) of the Exchange Act. There is no Proceeding pending or, to Parent’s Knowledge, threatened in writing against Parent by the SEC with respect to the deregistration of Parent Common Stock under the Exchange Act. Parent has taken no action in an attempt to terminate the registration of Parent Common Stock under the Exchange Act.</w:t>
      </w:r>
    </w:p>
    <w:p>
      <w:pPr>
        <w:spacing w:after="0" w:line="111"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 xml:space="preserve">Section 4.13 </w:t>
      </w:r>
      <w:r>
        <w:rPr>
          <w:rFonts w:ascii="Arial" w:cs="Arial" w:eastAsia="Arial" w:hAnsi="Arial"/>
          <w:sz w:val="17"/>
          <w:szCs w:val="17"/>
          <w:u w:val="single" w:color="auto"/>
          <w:color w:val="auto"/>
        </w:rPr>
        <w:t>Undisclosed Liabilities</w:t>
      </w:r>
      <w:r>
        <w:rPr>
          <w:rFonts w:ascii="Arial" w:cs="Arial" w:eastAsia="Arial" w:hAnsi="Arial"/>
          <w:sz w:val="17"/>
          <w:szCs w:val="17"/>
          <w:color w:val="auto"/>
        </w:rPr>
        <w:t>. Parent has no Liabilities (absolute, accrued, contingent or otherwise) of a nature required to be disclosed on a balance sheet or in the related notes to the Parent Financial Statements that are, individually or in the aggregate, material to the business, results of operations or financial condition of Parent, except: (a) Liabilities provided for in or otherwise disclosed in the balance sheet included in the most recent Parent Financial Statements or in the notes to the most recent Parent Financial Statements, and (b) such Liabilities arising in the ordinary course of Parent’s business since the date of the most recent Parent Financial Statement, none of which, individually or in the aggregate, would have a Parent Material Adverse Effect taken as a whole.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1" w:name="page382"/>
    <w:bookmarkEnd w:id="38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Parent SEC Documents and Parent Financial Statements</w:t>
      </w:r>
      <w:r>
        <w:rPr>
          <w:rFonts w:ascii="Arial" w:cs="Arial" w:eastAsia="Arial" w:hAnsi="Arial"/>
          <w:sz w:val="18"/>
          <w:szCs w:val="18"/>
          <w:color w:val="auto"/>
        </w:rPr>
        <w:t>.</w:t>
      </w:r>
    </w:p>
    <w:p>
      <w:pPr>
        <w:spacing w:after="0" w:line="158" w:lineRule="exact"/>
        <w:rPr>
          <w:sz w:val="20"/>
          <w:szCs w:val="20"/>
          <w:color w:val="auto"/>
        </w:rPr>
      </w:pPr>
    </w:p>
    <w:p>
      <w:pPr>
        <w:ind w:left="460" w:right="479" w:firstLine="858"/>
        <w:spacing w:after="0" w:line="285" w:lineRule="auto"/>
        <w:tabs>
          <w:tab w:leader="none" w:pos="1569" w:val="left"/>
        </w:tabs>
        <w:numPr>
          <w:ilvl w:val="1"/>
          <w:numId w:val="386"/>
        </w:numPr>
        <w:rPr>
          <w:rFonts w:ascii="Arial" w:cs="Arial" w:eastAsia="Arial" w:hAnsi="Arial"/>
          <w:sz w:val="16"/>
          <w:szCs w:val="16"/>
          <w:color w:val="auto"/>
        </w:rPr>
      </w:pPr>
      <w:r>
        <w:rPr>
          <w:rFonts w:ascii="Arial" w:cs="Arial" w:eastAsia="Arial" w:hAnsi="Arial"/>
          <w:sz w:val="16"/>
          <w:szCs w:val="16"/>
          <w:color w:val="auto"/>
        </w:rPr>
        <w:t>Parent has timely filed all forms, reports, schedules, statements and other documents, including any exhibits thereto, required to be filed or furnished by Parent with the SEC since Parent’s formation under the Exchange Act or the Securities Act, together with any amendments, restatements or supplements thereto (the “</w:t>
      </w:r>
      <w:r>
        <w:rPr>
          <w:rFonts w:ascii="Arial" w:cs="Arial" w:eastAsia="Arial" w:hAnsi="Arial"/>
          <w:sz w:val="16"/>
          <w:szCs w:val="16"/>
          <w:u w:val="single" w:color="auto"/>
          <w:color w:val="auto"/>
        </w:rPr>
        <w:t>Parent SEC Documents</w:t>
      </w:r>
      <w:r>
        <w:rPr>
          <w:rFonts w:ascii="Arial" w:cs="Arial" w:eastAsia="Arial" w:hAnsi="Arial"/>
          <w:sz w:val="16"/>
          <w:szCs w:val="16"/>
          <w:color w:val="auto"/>
        </w:rPr>
        <w:t>”), and will file all such forms, reports, schedules, statements and other documents required to be filed subsequent to the date of this Agreement (the “</w:t>
      </w:r>
      <w:r>
        <w:rPr>
          <w:rFonts w:ascii="Arial" w:cs="Arial" w:eastAsia="Arial" w:hAnsi="Arial"/>
          <w:sz w:val="16"/>
          <w:szCs w:val="16"/>
          <w:u w:val="single" w:color="auto"/>
          <w:color w:val="auto"/>
        </w:rPr>
        <w:t>Additional Parent SEC Documents</w:t>
      </w:r>
      <w:r>
        <w:rPr>
          <w:rFonts w:ascii="Arial" w:cs="Arial" w:eastAsia="Arial" w:hAnsi="Arial"/>
          <w:sz w:val="16"/>
          <w:szCs w:val="16"/>
          <w:color w:val="auto"/>
        </w:rPr>
        <w:t xml:space="preserve">”). Parent has heretofore furnished to the Company true and correct copies of all amendments and modification that have not been filed by Parent with the SEC to all agreements, documents and other instruments that previously had been filed by Parent with the SEC and are currently in effect. The Parent SEC Documents were, and the Additional Parent SEC Documents will be, prepared in all material respects in accordance with the requirements of the Securities Act, the Exchange Act, and the Sarbanes-Oxley Act, as the case may be, and the rules and regulations thereunder. The Parent SEC Documents did not, and the Additional Parent SEC Documents will not, at the time they were or are filed, as the case may be, with the SEC (except to the extent that information contained in any Parent SEC Document has been or is revised or superseded by a later filed Parent SEC Document or Additional Parent SEC Document, then on the date of such filing) contain any untrue statement of a material fact or omit to state a material fact required to be stated therein or necessary in order to make the statements made therein, in the light of the circumstances under which they were made, not misleading. As used in this </w:t>
      </w:r>
      <w:r>
        <w:rPr>
          <w:rFonts w:ascii="Arial" w:cs="Arial" w:eastAsia="Arial" w:hAnsi="Arial"/>
          <w:sz w:val="16"/>
          <w:szCs w:val="16"/>
          <w:u w:val="single" w:color="auto"/>
          <w:color w:val="auto"/>
        </w:rPr>
        <w:t>Section 4.14</w:t>
      </w:r>
      <w:r>
        <w:rPr>
          <w:rFonts w:ascii="Arial" w:cs="Arial" w:eastAsia="Arial" w:hAnsi="Arial"/>
          <w:sz w:val="16"/>
          <w:szCs w:val="16"/>
          <w:color w:val="auto"/>
        </w:rPr>
        <w:t>, the term “file” shall be broadly construed to include any manner in which a document or information is furnished, supplied or otherwise made available to the SEC.</w:t>
      </w:r>
    </w:p>
    <w:p>
      <w:pPr>
        <w:spacing w:after="0" w:line="103" w:lineRule="exact"/>
        <w:rPr>
          <w:rFonts w:ascii="Arial" w:cs="Arial" w:eastAsia="Arial" w:hAnsi="Arial"/>
          <w:sz w:val="16"/>
          <w:szCs w:val="16"/>
          <w:color w:val="auto"/>
        </w:rPr>
      </w:pPr>
    </w:p>
    <w:p>
      <w:pPr>
        <w:ind w:left="460" w:right="459" w:firstLine="858"/>
        <w:spacing w:after="0" w:line="255" w:lineRule="auto"/>
        <w:tabs>
          <w:tab w:leader="none" w:pos="1579" w:val="left"/>
        </w:tabs>
        <w:numPr>
          <w:ilvl w:val="1"/>
          <w:numId w:val="386"/>
        </w:numPr>
        <w:rPr>
          <w:rFonts w:ascii="Arial" w:cs="Arial" w:eastAsia="Arial" w:hAnsi="Arial"/>
          <w:sz w:val="18"/>
          <w:szCs w:val="18"/>
          <w:color w:val="auto"/>
        </w:rPr>
      </w:pPr>
      <w:r>
        <w:rPr>
          <w:rFonts w:ascii="Arial" w:cs="Arial" w:eastAsia="Arial" w:hAnsi="Arial"/>
          <w:sz w:val="18"/>
          <w:szCs w:val="18"/>
          <w:color w:val="auto"/>
        </w:rPr>
        <w:t>Each of the financial statements (including, in each case, any notes thereto) contained or incorporated by reference in the Parent SEC Documents and Additional Parent SEC Documents is in conformity with GAAP (applied on a consistent basis), Regulation S-X and Regulation S-K, as applicable, throughout the periods indicated and each is complete and fairly presents, in all material respects, the financial position, results of operations and cash flows of Parent as at the respective dates thereof and for the respective periods indicated therein.</w:t>
      </w:r>
    </w:p>
    <w:p>
      <w:pPr>
        <w:spacing w:after="0" w:line="111" w:lineRule="exact"/>
        <w:rPr>
          <w:rFonts w:ascii="Arial" w:cs="Arial" w:eastAsia="Arial" w:hAnsi="Arial"/>
          <w:sz w:val="18"/>
          <w:szCs w:val="18"/>
          <w:color w:val="auto"/>
        </w:rPr>
      </w:pPr>
    </w:p>
    <w:p>
      <w:pPr>
        <w:jc w:val="both"/>
        <w:ind w:left="460" w:right="479" w:firstLine="858"/>
        <w:spacing w:after="0" w:line="259" w:lineRule="auto"/>
        <w:tabs>
          <w:tab w:leader="none" w:pos="1569" w:val="left"/>
        </w:tabs>
        <w:numPr>
          <w:ilvl w:val="1"/>
          <w:numId w:val="386"/>
        </w:numPr>
        <w:rPr>
          <w:rFonts w:ascii="Arial" w:cs="Arial" w:eastAsia="Arial" w:hAnsi="Arial"/>
          <w:sz w:val="18"/>
          <w:szCs w:val="18"/>
          <w:color w:val="auto"/>
        </w:rPr>
      </w:pPr>
      <w:r>
        <w:rPr>
          <w:rFonts w:ascii="Arial" w:cs="Arial" w:eastAsia="Arial" w:hAnsi="Arial"/>
          <w:sz w:val="18"/>
          <w:szCs w:val="18"/>
          <w:color w:val="auto"/>
        </w:rPr>
        <w:t>Parent has timely filed all certifications and statements required by (x) Rule 13a-14 or Rule 15d-14 under the Exchange Act or (y) 18 U.S.C. Section 1350 (Section 906 of the Sarbanes-Oxley Act of 2002) with respect to any Parent SEC Document (the “</w:t>
      </w:r>
      <w:r>
        <w:rPr>
          <w:rFonts w:ascii="Arial" w:cs="Arial" w:eastAsia="Arial" w:hAnsi="Arial"/>
          <w:sz w:val="18"/>
          <w:szCs w:val="18"/>
          <w:u w:val="single" w:color="auto"/>
          <w:color w:val="auto"/>
        </w:rPr>
        <w:t>Parent Certifications</w:t>
      </w:r>
      <w:r>
        <w:rPr>
          <w:rFonts w:ascii="Arial" w:cs="Arial" w:eastAsia="Arial" w:hAnsi="Arial"/>
          <w:sz w:val="18"/>
          <w:szCs w:val="18"/>
          <w:color w:val="auto"/>
        </w:rPr>
        <w:t>”). Each of the Parent Certifications is true and correct.</w:t>
      </w:r>
    </w:p>
    <w:p>
      <w:pPr>
        <w:spacing w:after="0" w:line="119" w:lineRule="exact"/>
        <w:rPr>
          <w:rFonts w:ascii="Arial" w:cs="Arial" w:eastAsia="Arial" w:hAnsi="Arial"/>
          <w:sz w:val="18"/>
          <w:szCs w:val="18"/>
          <w:color w:val="auto"/>
        </w:rPr>
      </w:pPr>
    </w:p>
    <w:p>
      <w:pPr>
        <w:ind w:left="460" w:right="559" w:firstLine="858"/>
        <w:spacing w:after="0" w:line="271" w:lineRule="auto"/>
        <w:tabs>
          <w:tab w:leader="none" w:pos="1579" w:val="left"/>
        </w:tabs>
        <w:numPr>
          <w:ilvl w:val="1"/>
          <w:numId w:val="386"/>
        </w:numPr>
        <w:rPr>
          <w:rFonts w:ascii="Arial" w:cs="Arial" w:eastAsia="Arial" w:hAnsi="Arial"/>
          <w:sz w:val="17"/>
          <w:szCs w:val="17"/>
          <w:color w:val="auto"/>
        </w:rPr>
      </w:pPr>
      <w:r>
        <w:rPr>
          <w:rFonts w:ascii="Arial" w:cs="Arial" w:eastAsia="Arial" w:hAnsi="Arial"/>
          <w:sz w:val="17"/>
          <w:szCs w:val="17"/>
          <w:color w:val="auto"/>
        </w:rPr>
        <w:t>Parent maintains disclosure controls and procedures required by Rule 13a-15 or Rule 15d-15 under the Exchange Act; such controls and procedures are reasonably designed to ensure that all material information concerning Parent and other material information required to be disclosed by Parent in the reports and other documents that it files or furnishes under the Exchange Act is made known on a timely basis to the individuals responsible for the preparation of Parent’s SEC filings and other public disclosure documents. Such disclosure controls and procedures are effective in timely alerting Parent’s principal executive officer and principal financial officer to material information required to be included in Parent’s periodic reports required under the Exchange Act.</w:t>
      </w:r>
    </w:p>
    <w:p>
      <w:pPr>
        <w:spacing w:after="0" w:line="110" w:lineRule="exact"/>
        <w:rPr>
          <w:rFonts w:ascii="Arial" w:cs="Arial" w:eastAsia="Arial" w:hAnsi="Arial"/>
          <w:sz w:val="17"/>
          <w:szCs w:val="17"/>
          <w:color w:val="auto"/>
        </w:rPr>
      </w:pPr>
    </w:p>
    <w:p>
      <w:pPr>
        <w:ind w:left="460" w:right="519" w:firstLine="858"/>
        <w:spacing w:after="0" w:line="284" w:lineRule="auto"/>
        <w:tabs>
          <w:tab w:leader="none" w:pos="1569" w:val="left"/>
        </w:tabs>
        <w:numPr>
          <w:ilvl w:val="1"/>
          <w:numId w:val="386"/>
        </w:numPr>
        <w:rPr>
          <w:rFonts w:ascii="Arial" w:cs="Arial" w:eastAsia="Arial" w:hAnsi="Arial"/>
          <w:sz w:val="16"/>
          <w:szCs w:val="16"/>
          <w:color w:val="auto"/>
        </w:rPr>
      </w:pPr>
      <w:r>
        <w:rPr>
          <w:rFonts w:ascii="Arial" w:cs="Arial" w:eastAsia="Arial" w:hAnsi="Arial"/>
          <w:sz w:val="16"/>
          <w:szCs w:val="16"/>
          <w:color w:val="auto"/>
        </w:rPr>
        <w:t>Parent maintains a standard system of accounting established and administered in accordance with GAAP. Parent has designed and maintains a system of internal controls over financial reporting, as defined in Rules 13a-15(f) and 15d-15(f) of the Exchange Act, sufficient to provide reasonable assurances regarding the reliability of financial reporting and the preparation of financial statements for external purposes in accordance with GAAP. Parent maintains a system of internal accounting controls sufficient to provide reasonable assurance that (i) transactions are executed in accordance with management’s general or specific authorizations,</w:t>
      </w:r>
    </w:p>
    <w:p>
      <w:pPr>
        <w:spacing w:after="0" w:line="4" w:lineRule="exact"/>
        <w:rPr>
          <w:rFonts w:ascii="Arial" w:cs="Arial" w:eastAsia="Arial" w:hAnsi="Arial"/>
          <w:sz w:val="16"/>
          <w:szCs w:val="16"/>
          <w:color w:val="auto"/>
        </w:rPr>
      </w:pPr>
    </w:p>
    <w:p>
      <w:pPr>
        <w:ind w:left="460" w:right="479" w:hanging="6"/>
        <w:spacing w:after="0" w:line="287" w:lineRule="auto"/>
        <w:tabs>
          <w:tab w:leader="none" w:pos="725" w:val="left"/>
        </w:tabs>
        <w:numPr>
          <w:ilvl w:val="0"/>
          <w:numId w:val="387"/>
        </w:numPr>
        <w:rPr>
          <w:rFonts w:ascii="Arial" w:cs="Arial" w:eastAsia="Arial" w:hAnsi="Arial"/>
          <w:sz w:val="16"/>
          <w:szCs w:val="16"/>
          <w:color w:val="auto"/>
        </w:rPr>
      </w:pPr>
      <w:r>
        <w:rPr>
          <w:rFonts w:ascii="Arial" w:cs="Arial" w:eastAsia="Arial" w:hAnsi="Arial"/>
          <w:sz w:val="16"/>
          <w:szCs w:val="16"/>
          <w:color w:val="auto"/>
        </w:rPr>
        <w:t>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Parent has delivered to the Company, to the extent applicable, a true and complete copy of any disclosure (or, if unwritten, a summary thereof) by any representative of Parent to Parent’s independent auditors relating to any material weaknesses in internal controls and any significant deficiencies in the design or operation of internal controls that would adversely affect the ability of Parent to record, process, summarize and report financial data.</w:t>
      </w:r>
    </w:p>
    <w:p>
      <w:pPr>
        <w:spacing w:after="0" w:line="88" w:lineRule="exact"/>
        <w:rPr>
          <w:rFonts w:ascii="Arial" w:cs="Arial" w:eastAsia="Arial" w:hAnsi="Arial"/>
          <w:sz w:val="16"/>
          <w:szCs w:val="16"/>
          <w:color w:val="auto"/>
        </w:rPr>
      </w:pPr>
    </w:p>
    <w:p>
      <w:pPr>
        <w:ind w:left="460" w:right="539" w:firstLine="858"/>
        <w:spacing w:after="0" w:line="308" w:lineRule="auto"/>
        <w:tabs>
          <w:tab w:leader="none" w:pos="1549" w:val="left"/>
        </w:tabs>
        <w:numPr>
          <w:ilvl w:val="1"/>
          <w:numId w:val="387"/>
        </w:numPr>
        <w:rPr>
          <w:rFonts w:ascii="Arial" w:cs="Arial" w:eastAsia="Arial" w:hAnsi="Arial"/>
          <w:sz w:val="17"/>
          <w:szCs w:val="17"/>
          <w:color w:val="auto"/>
        </w:rPr>
      </w:pPr>
      <w:r>
        <w:rPr>
          <w:rFonts w:ascii="Arial" w:cs="Arial" w:eastAsia="Arial" w:hAnsi="Arial"/>
          <w:sz w:val="17"/>
          <w:szCs w:val="17"/>
          <w:color w:val="auto"/>
        </w:rPr>
        <w:t>Parent has no off-balance sheet arrangements. No financial statements other than those of Parent are required by GAAP to be included in the consolidated financial statements of Parent.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2" w:name="page383"/>
    <w:bookmarkEnd w:id="38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858"/>
        <w:spacing w:after="0" w:line="287" w:lineRule="auto"/>
        <w:tabs>
          <w:tab w:leader="none" w:pos="1579" w:val="left"/>
        </w:tabs>
        <w:numPr>
          <w:ilvl w:val="0"/>
          <w:numId w:val="388"/>
        </w:numPr>
        <w:rPr>
          <w:rFonts w:ascii="Arial" w:cs="Arial" w:eastAsia="Arial" w:hAnsi="Arial"/>
          <w:sz w:val="16"/>
          <w:szCs w:val="16"/>
          <w:color w:val="auto"/>
        </w:rPr>
      </w:pPr>
      <w:r>
        <w:rPr>
          <w:rFonts w:ascii="Arial" w:cs="Arial" w:eastAsia="Arial" w:hAnsi="Arial"/>
          <w:sz w:val="16"/>
          <w:szCs w:val="16"/>
          <w:color w:val="auto"/>
        </w:rPr>
        <w:t>Neither Parent nor, to the Knowledge of Parent, any manager, director, officer, employee, auditor, accountant or representative of Parent has received or otherwise had or obtained knowledge of any complaint, allegation, assertion or claim, whether written or oral, regarding the accounting or auditing practices, procedures, methodologies or methods of Parent or their respective internal accounting controls, including any complaint, allegation, assertion or claim that Parent has engaged in questionable accounting or auditing practices or fraud. No attorney representing Parent, whether or not employed by Parent, has reported evidence of a material violation of securities laws, breach of fiduciary duty or similar violation by Parent or any of its officers, directors, employees or agents to the Parent board of directors (or any committee thereof) or to any director or officer of Parent. Since Parent’s inception, there have been no internal investigations regarding accounting or revenue recognition discussed with, reviewed by or initiated at the direction of the chief executive officer, chief financial officer, general counsel, the Parent board of directors or any committee thereof.</w:t>
      </w:r>
    </w:p>
    <w:p>
      <w:pPr>
        <w:spacing w:after="0" w:line="104" w:lineRule="exact"/>
        <w:rPr>
          <w:rFonts w:ascii="Arial" w:cs="Arial" w:eastAsia="Arial" w:hAnsi="Arial"/>
          <w:sz w:val="16"/>
          <w:szCs w:val="16"/>
          <w:color w:val="auto"/>
        </w:rPr>
      </w:pPr>
    </w:p>
    <w:p>
      <w:pPr>
        <w:ind w:left="460" w:right="1159" w:firstLine="858"/>
        <w:spacing w:after="0" w:line="277" w:lineRule="auto"/>
        <w:tabs>
          <w:tab w:leader="none" w:pos="1579" w:val="left"/>
        </w:tabs>
        <w:numPr>
          <w:ilvl w:val="0"/>
          <w:numId w:val="388"/>
        </w:numPr>
        <w:rPr>
          <w:rFonts w:ascii="Arial" w:cs="Arial" w:eastAsia="Arial" w:hAnsi="Arial"/>
          <w:sz w:val="18"/>
          <w:szCs w:val="18"/>
          <w:color w:val="auto"/>
        </w:rPr>
      </w:pPr>
      <w:r>
        <w:rPr>
          <w:rFonts w:ascii="Arial" w:cs="Arial" w:eastAsia="Arial" w:hAnsi="Arial"/>
          <w:sz w:val="18"/>
          <w:szCs w:val="18"/>
          <w:color w:val="auto"/>
        </w:rPr>
        <w:t>Parent is in compliance in all material respects with the applicable listing and corporate governance rules and regulations of Nasdaq.</w:t>
      </w:r>
    </w:p>
    <w:p>
      <w:pPr>
        <w:spacing w:after="0" w:line="102" w:lineRule="exact"/>
        <w:rPr>
          <w:rFonts w:ascii="Arial" w:cs="Arial" w:eastAsia="Arial" w:hAnsi="Arial"/>
          <w:sz w:val="18"/>
          <w:szCs w:val="18"/>
          <w:color w:val="auto"/>
        </w:rPr>
      </w:pPr>
    </w:p>
    <w:p>
      <w:pPr>
        <w:jc w:val="both"/>
        <w:ind w:left="460" w:right="819" w:firstLine="858"/>
        <w:spacing w:after="0" w:line="263" w:lineRule="auto"/>
        <w:tabs>
          <w:tab w:leader="none" w:pos="1539"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There are no outstanding loans or other extensions of credit made by Parent to any executive officer (as defined in Rule 3b-7 under the Exchange Act) or director of Parent and Parent has not taken any action prohibited by Section 402 of the Sarbanes-Oxley Act.</w:t>
      </w:r>
    </w:p>
    <w:p>
      <w:pPr>
        <w:spacing w:after="0" w:line="102" w:lineRule="exact"/>
        <w:rPr>
          <w:rFonts w:ascii="Arial" w:cs="Arial" w:eastAsia="Arial" w:hAnsi="Arial"/>
          <w:sz w:val="18"/>
          <w:szCs w:val="18"/>
          <w:color w:val="auto"/>
        </w:rPr>
      </w:pPr>
    </w:p>
    <w:p>
      <w:pPr>
        <w:jc w:val="both"/>
        <w:ind w:left="460" w:right="579" w:firstLine="858"/>
        <w:spacing w:after="0" w:line="259" w:lineRule="auto"/>
        <w:tabs>
          <w:tab w:leader="none" w:pos="1539" w:val="left"/>
        </w:tabs>
        <w:numPr>
          <w:ilvl w:val="0"/>
          <w:numId w:val="388"/>
        </w:numPr>
        <w:rPr>
          <w:rFonts w:ascii="Arial" w:cs="Arial" w:eastAsia="Arial" w:hAnsi="Arial"/>
          <w:sz w:val="18"/>
          <w:szCs w:val="18"/>
          <w:color w:val="auto"/>
        </w:rPr>
      </w:pPr>
      <w:r>
        <w:rPr>
          <w:rFonts w:ascii="Arial" w:cs="Arial" w:eastAsia="Arial" w:hAnsi="Arial"/>
          <w:sz w:val="18"/>
          <w:szCs w:val="18"/>
          <w:color w:val="auto"/>
        </w:rPr>
        <w:t>Except as and to the extent set forth in Parent SEC Documents, neither Parent nor Merger Sub has any Liability or obligation of a nature (whether accrued, absolute, contingent or otherwise) required to be reflected on a balance sheet prepared in accordance with GAAP, except for liabilities and obligations arising in the ordinary course of Parent’s and Merger Sub’s business.</w:t>
      </w:r>
    </w:p>
    <w:p>
      <w:pPr>
        <w:spacing w:after="0" w:line="119" w:lineRule="exact"/>
        <w:rPr>
          <w:rFonts w:ascii="Arial" w:cs="Arial" w:eastAsia="Arial" w:hAnsi="Arial"/>
          <w:sz w:val="18"/>
          <w:szCs w:val="18"/>
          <w:color w:val="auto"/>
        </w:rPr>
      </w:pPr>
    </w:p>
    <w:p>
      <w:pPr>
        <w:ind w:left="460" w:right="459" w:firstLine="858"/>
        <w:spacing w:after="0" w:line="286" w:lineRule="auto"/>
        <w:tabs>
          <w:tab w:leader="none" w:pos="1579" w:val="left"/>
        </w:tabs>
        <w:numPr>
          <w:ilvl w:val="0"/>
          <w:numId w:val="388"/>
        </w:numPr>
        <w:rPr>
          <w:rFonts w:ascii="Arial" w:cs="Arial" w:eastAsia="Arial" w:hAnsi="Arial"/>
          <w:sz w:val="17"/>
          <w:szCs w:val="17"/>
          <w:color w:val="auto"/>
        </w:rPr>
      </w:pPr>
      <w:r>
        <w:rPr>
          <w:rFonts w:ascii="Arial" w:cs="Arial" w:eastAsia="Arial" w:hAnsi="Arial"/>
          <w:sz w:val="17"/>
          <w:szCs w:val="17"/>
          <w:color w:val="auto"/>
        </w:rPr>
        <w:t>As of the date hereof, there are no outstanding SEC comments from the SEC with respect to the Parent SEC Documents. To the Knowledge of Parent, none of the Parent SEC Documents filed on or prior to the date hereof is subject to ongoing SEC review or investigation as of the date hereof.</w:t>
      </w:r>
    </w:p>
    <w:p>
      <w:pPr>
        <w:spacing w:after="0" w:line="98" w:lineRule="exact"/>
        <w:rPr>
          <w:sz w:val="20"/>
          <w:szCs w:val="20"/>
          <w:color w:val="auto"/>
        </w:rPr>
      </w:pPr>
    </w:p>
    <w:p>
      <w:pPr>
        <w:ind w:left="460" w:right="459" w:firstLine="432"/>
        <w:spacing w:after="0" w:line="253" w:lineRule="auto"/>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Business Activities</w:t>
      </w:r>
      <w:r>
        <w:rPr>
          <w:rFonts w:ascii="Arial" w:cs="Arial" w:eastAsia="Arial" w:hAnsi="Arial"/>
          <w:sz w:val="18"/>
          <w:szCs w:val="18"/>
          <w:color w:val="auto"/>
        </w:rPr>
        <w:t>. Since its incorporation, Parent has not conducted any business activities other than activities directed toward completing a business combination (as defined in Parent’s Organizational Documents). Merger Sub was formed solely for the purpose of engaging in the Transactions and have not engaged in any business activities or conducted any operations or incurred any obligation or Liability, other than as contemplated by this Agreement. Except as set forth in Parent’s Organizational Documents, there is no agreement, commitment, or Order binding upon Parent or to which Parent is a party that has or would reasonably be expected to have the effect of prohibiting or impairing any business practice of Parent, any acquisition of property by Parent or the conduct of business by Parent as currently conducted or as contemplated to be conducted as of the Closing. Other than Merger Sub, Parent does not own directly or indirectly any interest or investment (whether equity or debt) in any corporation, partnership, joint venture, business, trust or other entity.</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4.16 </w:t>
      </w:r>
      <w:r>
        <w:rPr>
          <w:rFonts w:ascii="Arial" w:cs="Arial" w:eastAsia="Arial" w:hAnsi="Arial"/>
          <w:sz w:val="16"/>
          <w:szCs w:val="16"/>
          <w:u w:val="single" w:color="auto"/>
          <w:color w:val="auto"/>
        </w:rPr>
        <w:t>Parent Contracts</w:t>
      </w:r>
      <w:r>
        <w:rPr>
          <w:rFonts w:ascii="Arial" w:cs="Arial" w:eastAsia="Arial" w:hAnsi="Arial"/>
          <w:sz w:val="16"/>
          <w:szCs w:val="16"/>
          <w:color w:val="auto"/>
        </w:rPr>
        <w:t>. Except as disclosed in the Parent SEC Documents, as of the date hereof,</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Parent is not party to any Contract (other than nondisclosure agreements (containing customary terms) to which</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Parent is a party that were entered into in the Ordinary Course).</w:t>
      </w:r>
    </w:p>
    <w:p>
      <w:pPr>
        <w:spacing w:after="0" w:line="143"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 xml:space="preserve">Section 4.17 </w:t>
      </w:r>
      <w:r>
        <w:rPr>
          <w:rFonts w:ascii="Arial" w:cs="Arial" w:eastAsia="Arial" w:hAnsi="Arial"/>
          <w:sz w:val="16"/>
          <w:szCs w:val="16"/>
          <w:u w:val="single" w:color="auto"/>
          <w:color w:val="auto"/>
        </w:rPr>
        <w:t>PIPE Financing</w:t>
      </w:r>
      <w:r>
        <w:rPr>
          <w:rFonts w:ascii="Arial" w:cs="Arial" w:eastAsia="Arial" w:hAnsi="Arial"/>
          <w:sz w:val="16"/>
          <w:szCs w:val="16"/>
          <w:color w:val="auto"/>
        </w:rPr>
        <w:t>. Parent has delivered to the Company a true, correct and complete copy of each Subscription Agreement executed on or prior to the date hereof, pursuant to which certain Persons who have committed to purchasing Parent Common Stock in connection with the Transactions prior to the Closing (each, a “</w:t>
      </w:r>
      <w:r>
        <w:rPr>
          <w:rFonts w:ascii="Arial" w:cs="Arial" w:eastAsia="Arial" w:hAnsi="Arial"/>
          <w:sz w:val="16"/>
          <w:szCs w:val="16"/>
          <w:u w:val="single" w:color="auto"/>
          <w:color w:val="auto"/>
        </w:rPr>
        <w:t>Parent Investor</w:t>
      </w:r>
      <w:r>
        <w:rPr>
          <w:rFonts w:ascii="Arial" w:cs="Arial" w:eastAsia="Arial" w:hAnsi="Arial"/>
          <w:sz w:val="16"/>
          <w:szCs w:val="16"/>
          <w:color w:val="auto"/>
        </w:rPr>
        <w:t>”). To the Knowledge of Parent, each Subscription Agreement is in full force and effect and is legal, valid and binding upon Parent and the applicable Parent Investor, enforceable in accordance with its terms. As of the date hereof, each Subscription Agreement has not been withdrawn, terminated, amended or modified since the date of delivery hereunder and prior to the execution of this Agreement, and, to the Knowledge of Parent, as of the date of this Agreement no such withdrawal, termination, amendment or modification is contemplated, and as of the date of this Agreement the commitments contained in each Subscription Agreement have not been withdrawn, terminated or rescinded by the applicable Parent Investor in any respect. As of the date hereof, there are no side letters or Contracts to which Parent or Merger Sub is a party related to the provision or funding, as applicable, of the purchases contemplated by each Subscription Agreement or the Transactions other than as expressly set forth in this Agreement, each Subscription Agreement or any other agreement entered into (or to be entered into) in connection with the Transactions delivered to the Company. Parent has, and to the Knowledge of Parent, each Investor has, complied with all of its obligations under each Subscription Agreement. There are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3" w:name="page384"/>
    <w:bookmarkEnd w:id="38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99"/>
        <w:spacing w:after="0" w:line="287" w:lineRule="auto"/>
        <w:rPr>
          <w:sz w:val="20"/>
          <w:szCs w:val="20"/>
          <w:color w:val="auto"/>
        </w:rPr>
      </w:pPr>
      <w:r>
        <w:rPr>
          <w:rFonts w:ascii="Arial" w:cs="Arial" w:eastAsia="Arial" w:hAnsi="Arial"/>
          <w:sz w:val="16"/>
          <w:szCs w:val="16"/>
          <w:color w:val="auto"/>
        </w:rPr>
        <w:t>no conditions precedent or other contingencies related to the consummation of the purchases set forth in each Subscription Agreement, other than as expressly set forth in each Subscription Agreement. No event has occurred which, with or without notice, lapse of time or both, would or would reasonably be expected to</w:t>
      </w:r>
    </w:p>
    <w:p>
      <w:pPr>
        <w:spacing w:after="0" w:line="2" w:lineRule="exact"/>
        <w:rPr>
          <w:sz w:val="20"/>
          <w:szCs w:val="20"/>
          <w:color w:val="auto"/>
        </w:rPr>
      </w:pPr>
    </w:p>
    <w:p>
      <w:pPr>
        <w:ind w:left="460" w:right="579" w:hanging="6"/>
        <w:spacing w:after="0" w:line="286" w:lineRule="auto"/>
        <w:tabs>
          <w:tab w:leader="none" w:pos="675" w:val="left"/>
        </w:tabs>
        <w:numPr>
          <w:ilvl w:val="0"/>
          <w:numId w:val="389"/>
        </w:numPr>
        <w:rPr>
          <w:rFonts w:ascii="Arial" w:cs="Arial" w:eastAsia="Arial" w:hAnsi="Arial"/>
          <w:sz w:val="16"/>
          <w:szCs w:val="16"/>
          <w:color w:val="auto"/>
        </w:rPr>
      </w:pPr>
      <w:r>
        <w:rPr>
          <w:rFonts w:ascii="Arial" w:cs="Arial" w:eastAsia="Arial" w:hAnsi="Arial"/>
          <w:sz w:val="16"/>
          <w:szCs w:val="16"/>
          <w:color w:val="auto"/>
        </w:rPr>
        <w:t xml:space="preserve">constitute a default or breach on the part of Parent or, to the Knowledge of Parent as of the date hereof, any Parent Investor, (ii) assuming the conditions set forth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will be satisfied, constitute a failure to satisfy a condition on the part of Parent or, to the Knowledge of Parent as of the date hereof, the applicable Parent Investor or (iii) assuming the conditions set forth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will be satisfied, to the Knowledge of Parent as of the date hereof, result in any portion of the amounts to be paid by each Parent Investor in accordance with each Subscription Agreement being unavailable on the Closing Date. As of the date hereof, assuming the conditions set forth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will be satisfied, Parent has no reason to believe that any of the conditions to the consummation of the purchases under each Subscription Agreement will not be satisfied, and, as of the date hereof, Parent is not aware of the existence of any fact or event that would or would reasonably be expected to cause such conditions not to be satisfied.</w:t>
      </w:r>
    </w:p>
    <w:p>
      <w:pPr>
        <w:spacing w:after="0" w:line="102"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 xml:space="preserve">Section 4.18 </w:t>
      </w:r>
      <w:r>
        <w:rPr>
          <w:rFonts w:ascii="Arial" w:cs="Arial" w:eastAsia="Arial" w:hAnsi="Arial"/>
          <w:sz w:val="16"/>
          <w:szCs w:val="16"/>
          <w:u w:val="single" w:color="auto"/>
          <w:color w:val="auto"/>
        </w:rPr>
        <w:t>Litigation</w:t>
      </w:r>
      <w:r>
        <w:rPr>
          <w:rFonts w:ascii="Arial" w:cs="Arial" w:eastAsia="Arial" w:hAnsi="Arial"/>
          <w:sz w:val="16"/>
          <w:szCs w:val="16"/>
          <w:color w:val="auto"/>
        </w:rPr>
        <w:t>. (a) There is no Proceeding pending, or to the Knowledge of Parent, threatened against Parent or Merger Sub or any of their respective properties or rights, and (b) none of Parent nor Merger Sub is subject to any outstanding Order. As of the date hereof, there are no Proceedings (at Law or in equity) or investigations pending or, to the Knowledge of Parent, threatened, seeking to or that would reasonably be expected to prevent, hinder, modify, delay or challenge the Transactions.</w:t>
      </w:r>
    </w:p>
    <w:p>
      <w:pPr>
        <w:spacing w:after="0" w:line="94" w:lineRule="exact"/>
        <w:rPr>
          <w:sz w:val="20"/>
          <w:szCs w:val="20"/>
          <w:color w:val="auto"/>
        </w:rPr>
      </w:pPr>
    </w:p>
    <w:p>
      <w:pPr>
        <w:ind w:left="460" w:right="599" w:firstLine="432"/>
        <w:spacing w:after="0" w:line="327" w:lineRule="auto"/>
        <w:rPr>
          <w:sz w:val="20"/>
          <w:szCs w:val="20"/>
          <w:color w:val="auto"/>
        </w:rPr>
      </w:pPr>
      <w:r>
        <w:rPr>
          <w:rFonts w:ascii="Arial" w:cs="Arial" w:eastAsia="Arial" w:hAnsi="Arial"/>
          <w:sz w:val="15"/>
          <w:szCs w:val="15"/>
          <w:color w:val="auto"/>
        </w:rPr>
        <w:t xml:space="preserve">Section 4.19 </w:t>
      </w:r>
      <w:r>
        <w:rPr>
          <w:rFonts w:ascii="Arial" w:cs="Arial" w:eastAsia="Arial" w:hAnsi="Arial"/>
          <w:sz w:val="15"/>
          <w:szCs w:val="15"/>
          <w:u w:val="single" w:color="auto"/>
          <w:color w:val="auto"/>
        </w:rPr>
        <w:t>Independent Investigation</w:t>
      </w:r>
      <w:r>
        <w:rPr>
          <w:rFonts w:ascii="Arial" w:cs="Arial" w:eastAsia="Arial" w:hAnsi="Arial"/>
          <w:sz w:val="15"/>
          <w:szCs w:val="15"/>
          <w:color w:val="auto"/>
        </w:rPr>
        <w:t>. Parent acknowledges that it has conducted its own independent review and analysis of the business, operations, enrollment, assets, liabilities, results of operations, financial condition and prospects of the Company, and acknowledges that the Company has provided Parent with adequate access to the personnel, properties, premises and books and records of the Company for this purpose.</w:t>
      </w:r>
    </w:p>
    <w:p>
      <w:pPr>
        <w:spacing w:after="0" w:line="59"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 xml:space="preserve">Section 4.20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None of the information supplied or to be supplied by Parent expressly for inclusion or incorporation by reference in the filings with the SEC and mailings to Parent’s stockholders with respect to the solicitation of proxies to approve the Transactions will, at the date of filing and/or mailing,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Parent or that is included in the Parent SEC Documents).</w:t>
      </w:r>
    </w:p>
    <w:p>
      <w:pPr>
        <w:spacing w:after="0" w:line="110"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 xml:space="preserve">Section 4.21 </w:t>
      </w:r>
      <w:r>
        <w:rPr>
          <w:rFonts w:ascii="Arial" w:cs="Arial" w:eastAsia="Arial" w:hAnsi="Arial"/>
          <w:sz w:val="18"/>
          <w:szCs w:val="18"/>
          <w:u w:val="single" w:color="auto"/>
          <w:color w:val="auto"/>
        </w:rPr>
        <w:t>Investment Company</w:t>
      </w:r>
      <w:r>
        <w:rPr>
          <w:rFonts w:ascii="Arial" w:cs="Arial" w:eastAsia="Arial" w:hAnsi="Arial"/>
          <w:sz w:val="18"/>
          <w:szCs w:val="18"/>
          <w:color w:val="auto"/>
        </w:rPr>
        <w:t>. Parent is not as of the date of this Agreement, nor upon the Closing will be, an “investment company,” a company controlled by an “investment company,” or an “affiliated person” of, or “promoter” or “principal underwriter” for, an “investment company,” as such terms are defined in the Investment Company Act of 1940, as amended.</w:t>
      </w:r>
    </w:p>
    <w:p>
      <w:pPr>
        <w:spacing w:after="0" w:line="119" w:lineRule="exact"/>
        <w:rPr>
          <w:sz w:val="20"/>
          <w:szCs w:val="20"/>
          <w:color w:val="auto"/>
        </w:rPr>
      </w:pPr>
    </w:p>
    <w:p>
      <w:pPr>
        <w:ind w:left="460" w:right="759" w:firstLine="432"/>
        <w:spacing w:after="0" w:line="263" w:lineRule="auto"/>
        <w:rPr>
          <w:sz w:val="20"/>
          <w:szCs w:val="20"/>
          <w:color w:val="auto"/>
        </w:rPr>
      </w:pPr>
      <w:r>
        <w:rPr>
          <w:rFonts w:ascii="Arial" w:cs="Arial" w:eastAsia="Arial" w:hAnsi="Arial"/>
          <w:sz w:val="18"/>
          <w:szCs w:val="18"/>
          <w:color w:val="auto"/>
        </w:rPr>
        <w:t xml:space="preserve">Section 4.22 </w:t>
      </w:r>
      <w:r>
        <w:rPr>
          <w:rFonts w:ascii="Arial" w:cs="Arial" w:eastAsia="Arial" w:hAnsi="Arial"/>
          <w:sz w:val="18"/>
          <w:szCs w:val="18"/>
          <w:u w:val="single" w:color="auto"/>
          <w:color w:val="auto"/>
        </w:rPr>
        <w:t>Lockup</w:t>
      </w:r>
      <w:r>
        <w:rPr>
          <w:rFonts w:ascii="Arial" w:cs="Arial" w:eastAsia="Arial" w:hAnsi="Arial"/>
          <w:sz w:val="18"/>
          <w:szCs w:val="18"/>
          <w:color w:val="auto"/>
        </w:rPr>
        <w:t>. All existing lock up agreements between Parent and any of its stockholders or holders of any other securities of Parent entered into in connection with the IPO provide for a lock up period that is in full force and effect.</w:t>
      </w:r>
    </w:p>
    <w:p>
      <w:pPr>
        <w:spacing w:after="0" w:line="103"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 xml:space="preserve">Section 4.23 </w:t>
      </w:r>
      <w:r>
        <w:rPr>
          <w:rFonts w:ascii="Arial" w:cs="Arial" w:eastAsia="Arial" w:hAnsi="Arial"/>
          <w:sz w:val="17"/>
          <w:szCs w:val="17"/>
          <w:u w:val="single" w:color="auto"/>
          <w:color w:val="auto"/>
        </w:rPr>
        <w:t>Insider Letter Agreement</w:t>
      </w:r>
      <w:r>
        <w:rPr>
          <w:rFonts w:ascii="Arial" w:cs="Arial" w:eastAsia="Arial" w:hAnsi="Arial"/>
          <w:sz w:val="17"/>
          <w:szCs w:val="17"/>
          <w:color w:val="auto"/>
        </w:rPr>
        <w:t>. The letter agreement, dated September 2, 2020, between Parent and the Insiders, pursuant to which the Insiders agreed that if Parent solicits approval of its stockholders of an initial business combination the Insiders will vote all shares of Parent Common Stock beneficially owned by such Insider whether acquired before, in or after the IPO, in favor of such business combination, is in full force and effect (the “</w:t>
      </w:r>
      <w:r>
        <w:rPr>
          <w:rFonts w:ascii="Arial" w:cs="Arial" w:eastAsia="Arial" w:hAnsi="Arial"/>
          <w:sz w:val="17"/>
          <w:szCs w:val="17"/>
          <w:u w:val="single" w:color="auto"/>
          <w:color w:val="auto"/>
        </w:rPr>
        <w:t>Insider Letter Agreement</w:t>
      </w:r>
      <w:r>
        <w:rPr>
          <w:rFonts w:ascii="Arial" w:cs="Arial" w:eastAsia="Arial" w:hAnsi="Arial"/>
          <w:sz w:val="17"/>
          <w:szCs w:val="17"/>
          <w:color w:val="auto"/>
        </w:rPr>
        <w:t>”).</w:t>
      </w:r>
    </w:p>
    <w:p>
      <w:pPr>
        <w:spacing w:after="0" w:line="109"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 xml:space="preserve">Section 4.24 </w:t>
      </w:r>
      <w:r>
        <w:rPr>
          <w:rFonts w:ascii="Arial" w:cs="Arial" w:eastAsia="Arial" w:hAnsi="Arial"/>
          <w:sz w:val="17"/>
          <w:szCs w:val="17"/>
          <w:u w:val="single" w:color="auto"/>
          <w:color w:val="auto"/>
        </w:rPr>
        <w:t>Board Approval</w:t>
      </w:r>
      <w:r>
        <w:rPr>
          <w:rFonts w:ascii="Arial" w:cs="Arial" w:eastAsia="Arial" w:hAnsi="Arial"/>
          <w:sz w:val="17"/>
          <w:szCs w:val="17"/>
          <w:color w:val="auto"/>
        </w:rPr>
        <w:t>. Parent’s board of directors (including any required committee or subgroup of such boards) has, as of the date of this Agreement, unanimously (a) declared the advisability of the Merger and other transactions contemplated by this Agreement, (b) determined that the Merger and other transactions contemplated hereby are in the best interests of the stockholders of Parent, (c) determined that the transactions contemplated hereby constitutes a “business combination” as such term is defined in Parent’s Organizational Documents and (d) resolved to recommend that the stockholders of Parent approve each of the matters requiring the Parent Required Vote and directed that this Agreement and the Merger, be submitted for consideration by the stockholders of Parent.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4" w:name="page385"/>
    <w:bookmarkEnd w:id="38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firstLine="432"/>
        <w:spacing w:after="0" w:line="279" w:lineRule="auto"/>
        <w:rPr>
          <w:sz w:val="20"/>
          <w:szCs w:val="20"/>
          <w:color w:val="auto"/>
        </w:rPr>
      </w:pPr>
      <w:r>
        <w:rPr>
          <w:rFonts w:ascii="Arial" w:cs="Arial" w:eastAsia="Arial" w:hAnsi="Arial"/>
          <w:sz w:val="17"/>
          <w:szCs w:val="17"/>
          <w:color w:val="auto"/>
        </w:rPr>
        <w:t xml:space="preserve">Section 4.25 </w:t>
      </w:r>
      <w:r>
        <w:rPr>
          <w:rFonts w:ascii="Arial" w:cs="Arial" w:eastAsia="Arial" w:hAnsi="Arial"/>
          <w:sz w:val="17"/>
          <w:szCs w:val="17"/>
          <w:u w:val="single" w:color="auto"/>
          <w:color w:val="auto"/>
        </w:rPr>
        <w:t>Vote Required</w:t>
      </w:r>
      <w:r>
        <w:rPr>
          <w:rFonts w:ascii="Arial" w:cs="Arial" w:eastAsia="Arial" w:hAnsi="Arial"/>
          <w:sz w:val="17"/>
          <w:szCs w:val="17"/>
          <w:color w:val="auto"/>
        </w:rPr>
        <w:t>. The affirmative vote of the holders of a majority of the shares of Parent Common Stock entitled to vote thereon and present in person, virtually or by proxy at a meeting in which a quorum is present (the “</w:t>
      </w:r>
      <w:r>
        <w:rPr>
          <w:rFonts w:ascii="Arial" w:cs="Arial" w:eastAsia="Arial" w:hAnsi="Arial"/>
          <w:sz w:val="17"/>
          <w:szCs w:val="17"/>
          <w:u w:val="single" w:color="auto"/>
          <w:color w:val="auto"/>
        </w:rPr>
        <w:t>Parent Required Vote</w:t>
      </w:r>
      <w:r>
        <w:rPr>
          <w:rFonts w:ascii="Arial" w:cs="Arial" w:eastAsia="Arial" w:hAnsi="Arial"/>
          <w:sz w:val="17"/>
          <w:szCs w:val="17"/>
          <w:color w:val="auto"/>
        </w:rPr>
        <w:t>”) is the only vote of the holders of any class or series of Parent’s capital stock necessary to obtain approval of the Merger and this Agreement.</w:t>
      </w:r>
    </w:p>
    <w:p>
      <w:pPr>
        <w:spacing w:after="0" w:line="104" w:lineRule="exact"/>
        <w:rPr>
          <w:sz w:val="20"/>
          <w:szCs w:val="20"/>
          <w:color w:val="auto"/>
        </w:rPr>
      </w:pPr>
    </w:p>
    <w:p>
      <w:pPr>
        <w:ind w:left="460" w:right="659" w:firstLine="432"/>
        <w:spacing w:after="0" w:line="275" w:lineRule="auto"/>
        <w:rPr>
          <w:sz w:val="20"/>
          <w:szCs w:val="20"/>
          <w:color w:val="auto"/>
        </w:rPr>
      </w:pPr>
      <w:r>
        <w:rPr>
          <w:rFonts w:ascii="Arial" w:cs="Arial" w:eastAsia="Arial" w:hAnsi="Arial"/>
          <w:sz w:val="17"/>
          <w:szCs w:val="17"/>
          <w:color w:val="auto"/>
        </w:rPr>
        <w:t xml:space="preserve">Section 4.26 </w:t>
      </w:r>
      <w:r>
        <w:rPr>
          <w:rFonts w:ascii="Arial" w:cs="Arial" w:eastAsia="Arial" w:hAnsi="Arial"/>
          <w:sz w:val="17"/>
          <w:szCs w:val="17"/>
          <w:u w:val="single" w:color="auto"/>
          <w:color w:val="auto"/>
        </w:rPr>
        <w:t>Disclaimer of Other Representations and Warranties</w:t>
      </w:r>
      <w:r>
        <w:rPr>
          <w:rFonts w:ascii="Arial" w:cs="Arial" w:eastAsia="Arial" w:hAnsi="Arial"/>
          <w:sz w:val="17"/>
          <w:szCs w:val="17"/>
          <w:color w:val="auto"/>
        </w:rPr>
        <w:t xml:space="preserve">. Except for the representations and warranties contained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none of Parent, Parent’s Affiliates or any other Person makes any express or implied representation or warranty with respect to Parent, and Parent expressly disclaims any other representations or warranties, whether made by Parent or any other Person (including its Affiliates, officers, directors, employees, agents, representatives or advisors).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 AND AGREEMENTS OF THE COMPANY</w:t>
      </w:r>
    </w:p>
    <w:p>
      <w:pPr>
        <w:spacing w:after="0" w:line="144"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Conduct of Business of the Company</w:t>
      </w:r>
      <w:r>
        <w:rPr>
          <w:rFonts w:ascii="Arial" w:cs="Arial" w:eastAsia="Arial" w:hAnsi="Arial"/>
          <w:sz w:val="18"/>
          <w:szCs w:val="18"/>
          <w:color w:val="auto"/>
        </w:rPr>
        <w:t xml:space="preserve">. Except as contemplated by this Agreement, set forth on Schedule 5.1, or as required by applicable Law, during the period from the date of this Agreement until the earlier of the Effective Time or valid termination of this Agreement pursuant to </w:t>
      </w:r>
      <w:r>
        <w:rPr>
          <w:rFonts w:ascii="Arial" w:cs="Arial" w:eastAsia="Arial" w:hAnsi="Arial"/>
          <w:sz w:val="18"/>
          <w:szCs w:val="18"/>
          <w:u w:val="single" w:color="auto"/>
          <w:color w:val="auto"/>
        </w:rPr>
        <w:t>Article IX</w:t>
      </w:r>
      <w:r>
        <w:rPr>
          <w:rFonts w:ascii="Arial" w:cs="Arial" w:eastAsia="Arial" w:hAnsi="Arial"/>
          <w:sz w:val="18"/>
          <w:szCs w:val="18"/>
          <w:color w:val="auto"/>
        </w:rPr>
        <w:t>, without the prior written consent of Parent (which consent shall not be unreasonably withheld, conditioned or delayed and may be given as set forth below), the Company and each of its Subsidiaries (a) shall use commercially reasonable efforts to (i) conduct its business in the Ordinary Course, and (ii) preserve its goodwill, keep available the services of its officers and employees, and maintain satisfactory relationships with customers and vendors and (b) shall not:</w:t>
      </w:r>
    </w:p>
    <w:p>
      <w:pPr>
        <w:spacing w:after="0" w:line="124" w:lineRule="exact"/>
        <w:rPr>
          <w:sz w:val="20"/>
          <w:szCs w:val="20"/>
          <w:color w:val="auto"/>
        </w:rPr>
      </w:pPr>
    </w:p>
    <w:p>
      <w:pPr>
        <w:ind w:left="1960" w:hanging="210"/>
        <w:spacing w:after="0"/>
        <w:tabs>
          <w:tab w:leader="none" w:pos="19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amend its Organizational Documents;</w:t>
      </w:r>
    </w:p>
    <w:p>
      <w:pPr>
        <w:spacing w:after="0" w:line="157" w:lineRule="exact"/>
        <w:rPr>
          <w:rFonts w:ascii="Arial" w:cs="Arial" w:eastAsia="Arial" w:hAnsi="Arial"/>
          <w:sz w:val="18"/>
          <w:szCs w:val="18"/>
          <w:color w:val="auto"/>
        </w:rPr>
      </w:pPr>
    </w:p>
    <w:p>
      <w:pPr>
        <w:ind w:left="880" w:right="539" w:firstLine="870"/>
        <w:spacing w:after="0" w:line="342" w:lineRule="auto"/>
        <w:tabs>
          <w:tab w:leader="none" w:pos="2009" w:val="left"/>
        </w:tabs>
        <w:numPr>
          <w:ilvl w:val="0"/>
          <w:numId w:val="390"/>
        </w:numPr>
        <w:rPr>
          <w:rFonts w:ascii="Arial" w:cs="Arial" w:eastAsia="Arial" w:hAnsi="Arial"/>
          <w:sz w:val="16"/>
          <w:szCs w:val="16"/>
          <w:color w:val="auto"/>
        </w:rPr>
      </w:pPr>
      <w:r>
        <w:rPr>
          <w:rFonts w:ascii="Arial" w:cs="Arial" w:eastAsia="Arial" w:hAnsi="Arial"/>
          <w:sz w:val="16"/>
          <w:szCs w:val="16"/>
          <w:color w:val="auto"/>
        </w:rPr>
        <w:t>adopt a plan or agreement of liquidation, dissolution, restructuring, merger, consolidation, recapitalization or other reorganization, or otherwise merge or consolidate with or into any other Person;</w:t>
      </w:r>
    </w:p>
    <w:p>
      <w:pPr>
        <w:spacing w:after="0" w:line="42" w:lineRule="exact"/>
        <w:rPr>
          <w:rFonts w:ascii="Arial" w:cs="Arial" w:eastAsia="Arial" w:hAnsi="Arial"/>
          <w:sz w:val="16"/>
          <w:szCs w:val="16"/>
          <w:color w:val="auto"/>
        </w:rPr>
      </w:pPr>
    </w:p>
    <w:p>
      <w:pPr>
        <w:ind w:left="880" w:right="499" w:firstLine="870"/>
        <w:spacing w:after="0" w:line="285" w:lineRule="auto"/>
        <w:tabs>
          <w:tab w:leader="none" w:pos="2059" w:val="left"/>
        </w:tabs>
        <w:numPr>
          <w:ilvl w:val="0"/>
          <w:numId w:val="390"/>
        </w:numPr>
        <w:rPr>
          <w:rFonts w:ascii="Arial" w:cs="Arial" w:eastAsia="Arial" w:hAnsi="Arial"/>
          <w:sz w:val="16"/>
          <w:szCs w:val="16"/>
          <w:color w:val="auto"/>
        </w:rPr>
      </w:pPr>
      <w:r>
        <w:rPr>
          <w:rFonts w:ascii="Arial" w:cs="Arial" w:eastAsia="Arial" w:hAnsi="Arial"/>
          <w:sz w:val="16"/>
          <w:szCs w:val="16"/>
          <w:color w:val="auto"/>
        </w:rPr>
        <w:t>(A) issue, sell, pledge, amend, grant, create a Lien upon, or authorize the issuance, sale, pledge, amendment, grant or creation of a Lien upon, any equity interests of the Company or any of its Subsidiaries, or Company Options, convertible securities, or other commitments or instruments pursuant to which the Company or any of its Subsidiaries may become obligated to issue or sell any of its shares of capital stock or other securities, or the holders may have the right to vote (or convertible into, or exchangeable for, securities having the right to vote) on any matters on which stockholders of the Company or its Subsidiaries may vote, other than the (1) issuance of shares of Company Capital Stock upon the exercise, exchange or conversion of Company Options, convertible securities or other commitments or instruments or (2) the issuance of Company Options in accordance with the Company Stock Plan as in effect of the date hereof; (B) split, combine, subdivide or reclassify any of its shares of capital stock, (C) declare, set aside or pay any dividend or other distribution with respect to shares of its capital stock other than dividends from a Subsidiary of the Company, or (D) redeem, purchase or otherwise acquire any of its shares of capital stock, other than (1) forfeitures of unvested Company Options, (2) redemptions, repurchases or acquisitions of unvested Company Restricted Stock from former employees, non-employee directors and consultants, or (3) the acquisition by the Company of shares of Company Common Stock in connection with the surrender of shares of Company Common Stock by holders of Company Options in order to pay the exercise price of the Company Options;</w:t>
      </w:r>
    </w:p>
    <w:p>
      <w:pPr>
        <w:spacing w:after="0" w:line="106" w:lineRule="exact"/>
        <w:rPr>
          <w:rFonts w:ascii="Arial" w:cs="Arial" w:eastAsia="Arial" w:hAnsi="Arial"/>
          <w:sz w:val="16"/>
          <w:szCs w:val="16"/>
          <w:color w:val="auto"/>
        </w:rPr>
      </w:pPr>
    </w:p>
    <w:p>
      <w:pPr>
        <w:ind w:left="880" w:right="559" w:firstLine="870"/>
        <w:spacing w:after="0" w:line="291" w:lineRule="auto"/>
        <w:tabs>
          <w:tab w:leader="none" w:pos="2049" w:val="left"/>
        </w:tabs>
        <w:numPr>
          <w:ilvl w:val="0"/>
          <w:numId w:val="390"/>
        </w:numPr>
        <w:rPr>
          <w:rFonts w:ascii="Arial" w:cs="Arial" w:eastAsia="Arial" w:hAnsi="Arial"/>
          <w:sz w:val="16"/>
          <w:szCs w:val="16"/>
          <w:color w:val="auto"/>
        </w:rPr>
      </w:pPr>
      <w:r>
        <w:rPr>
          <w:rFonts w:ascii="Arial" w:cs="Arial" w:eastAsia="Arial" w:hAnsi="Arial"/>
          <w:sz w:val="16"/>
          <w:szCs w:val="16"/>
          <w:color w:val="auto"/>
        </w:rPr>
        <w:t xml:space="preserve">(A) make, cancel or compromise any loans, advances, guarantees or capital contributions to any Person other than (1) a Subsidiary of the Company or (2) not in excess of $500,000 in the aggregate or (B) incur, assume, accelerate or guarantee any Indebtedness other than (1) Indebtedness under the Credit Agreement as amended as of the date hereof and as amended or restated from time to time with respect to any amendment or restatement of the Credit Agreement for purposes of funding any activity of the Company or its Subsidiaries that does not require Parent consent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(2) not in excess of $500,000 in the aggregate;</w:t>
      </w:r>
    </w:p>
    <w:p>
      <w:pPr>
        <w:spacing w:after="0" w:line="98" w:lineRule="exact"/>
        <w:rPr>
          <w:rFonts w:ascii="Arial" w:cs="Arial" w:eastAsia="Arial" w:hAnsi="Arial"/>
          <w:sz w:val="16"/>
          <w:szCs w:val="16"/>
          <w:color w:val="auto"/>
        </w:rPr>
      </w:pPr>
    </w:p>
    <w:p>
      <w:pPr>
        <w:ind w:left="880" w:right="919" w:firstLine="870"/>
        <w:spacing w:after="0" w:line="263" w:lineRule="auto"/>
        <w:tabs>
          <w:tab w:leader="none" w:pos="1999" w:val="left"/>
        </w:tabs>
        <w:numPr>
          <w:ilvl w:val="0"/>
          <w:numId w:val="390"/>
        </w:numPr>
        <w:rPr>
          <w:rFonts w:ascii="Arial" w:cs="Arial" w:eastAsia="Arial" w:hAnsi="Arial"/>
          <w:sz w:val="18"/>
          <w:szCs w:val="18"/>
          <w:color w:val="auto"/>
        </w:rPr>
      </w:pPr>
      <w:r>
        <w:rPr>
          <w:rFonts w:ascii="Arial" w:cs="Arial" w:eastAsia="Arial" w:hAnsi="Arial"/>
          <w:sz w:val="18"/>
          <w:szCs w:val="18"/>
          <w:color w:val="auto"/>
        </w:rPr>
        <w:t>make or commit to make any capital expenditures except (A) as contemplated by the Company’s current budget, (B) in the Ordinary Course, or (C) such expenditures as do not exceed $500,000 in the aggregate;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5" w:name="page386"/>
    <w:bookmarkEnd w:id="38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right="639" w:firstLine="870"/>
        <w:spacing w:after="0" w:line="291" w:lineRule="auto"/>
        <w:tabs>
          <w:tab w:leader="none" w:pos="2049" w:val="left"/>
        </w:tabs>
        <w:numPr>
          <w:ilvl w:val="1"/>
          <w:numId w:val="391"/>
        </w:numPr>
        <w:rPr>
          <w:rFonts w:ascii="Arial" w:cs="Arial" w:eastAsia="Arial" w:hAnsi="Arial"/>
          <w:sz w:val="16"/>
          <w:szCs w:val="16"/>
          <w:color w:val="auto"/>
        </w:rPr>
      </w:pPr>
      <w:r>
        <w:rPr>
          <w:rFonts w:ascii="Arial" w:cs="Arial" w:eastAsia="Arial" w:hAnsi="Arial"/>
          <w:sz w:val="16"/>
          <w:szCs w:val="16"/>
          <w:color w:val="auto"/>
        </w:rPr>
        <w:t>acquire, transfer, mortgage, assign, sell, lease, create a Lien upon (other than Permitted Liens) or otherwise dispose of or pledge, any Asset of the Company or any of its Subsidiaries other than</w:t>
      </w:r>
    </w:p>
    <w:p>
      <w:pPr>
        <w:ind w:left="880" w:right="1059" w:firstLine="6"/>
        <w:spacing w:after="0" w:line="255" w:lineRule="auto"/>
        <w:tabs>
          <w:tab w:leader="none" w:pos="1175" w:val="left"/>
        </w:tabs>
        <w:numPr>
          <w:ilvl w:val="0"/>
          <w:numId w:val="392"/>
        </w:numPr>
        <w:rPr>
          <w:rFonts w:ascii="Arial" w:cs="Arial" w:eastAsia="Arial" w:hAnsi="Arial"/>
          <w:sz w:val="18"/>
          <w:szCs w:val="18"/>
          <w:color w:val="auto"/>
        </w:rPr>
      </w:pPr>
      <w:r>
        <w:rPr>
          <w:rFonts w:ascii="Arial" w:cs="Arial" w:eastAsia="Arial" w:hAnsi="Arial"/>
          <w:sz w:val="18"/>
          <w:szCs w:val="18"/>
          <w:color w:val="auto"/>
        </w:rPr>
        <w:t>in the Ordinary Course. (B) any such tangible Assets at the end of their useful lives, (C) out of redundancy, (D) pursuant to Contracts in effect as of the date hereof, or (E) in the aggregate up to $500,000;</w:t>
      </w:r>
    </w:p>
    <w:p>
      <w:pPr>
        <w:spacing w:after="0" w:line="122" w:lineRule="exact"/>
        <w:rPr>
          <w:rFonts w:ascii="Arial" w:cs="Arial" w:eastAsia="Arial" w:hAnsi="Arial"/>
          <w:sz w:val="18"/>
          <w:szCs w:val="18"/>
          <w:color w:val="auto"/>
        </w:rPr>
      </w:pPr>
    </w:p>
    <w:p>
      <w:pPr>
        <w:jc w:val="both"/>
        <w:ind w:left="880" w:right="559" w:firstLine="870"/>
        <w:spacing w:after="0" w:line="311" w:lineRule="auto"/>
        <w:tabs>
          <w:tab w:leader="none" w:pos="2099" w:val="left"/>
        </w:tabs>
        <w:numPr>
          <w:ilvl w:val="1"/>
          <w:numId w:val="392"/>
        </w:numPr>
        <w:rPr>
          <w:rFonts w:ascii="Arial" w:cs="Arial" w:eastAsia="Arial" w:hAnsi="Arial"/>
          <w:sz w:val="16"/>
          <w:szCs w:val="16"/>
          <w:color w:val="auto"/>
        </w:rPr>
      </w:pPr>
      <w:r>
        <w:rPr>
          <w:rFonts w:ascii="Arial" w:cs="Arial" w:eastAsia="Arial" w:hAnsi="Arial"/>
          <w:sz w:val="16"/>
          <w:szCs w:val="16"/>
          <w:color w:val="auto"/>
        </w:rPr>
        <w:t>commence any Proceeding or release, assign, compromise, settle, waive or abandon any pending or threatened Proceeding, other than any such Proceeding that would not reasonably be expected to result in damages or otherwise have a value, individually in excess of $500,000;</w:t>
      </w:r>
    </w:p>
    <w:p>
      <w:pPr>
        <w:spacing w:after="0" w:line="81" w:lineRule="exact"/>
        <w:rPr>
          <w:rFonts w:ascii="Arial" w:cs="Arial" w:eastAsia="Arial" w:hAnsi="Arial"/>
          <w:sz w:val="16"/>
          <w:szCs w:val="16"/>
          <w:color w:val="auto"/>
        </w:rPr>
      </w:pPr>
    </w:p>
    <w:p>
      <w:pPr>
        <w:ind w:left="2160" w:hanging="410"/>
        <w:spacing w:after="0"/>
        <w:tabs>
          <w:tab w:leader="none" w:pos="216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except as required under the terms of any Benefit Arrangement disclosed in</w:t>
      </w:r>
    </w:p>
    <w:p>
      <w:pPr>
        <w:spacing w:after="0" w:line="23" w:lineRule="exact"/>
        <w:rPr>
          <w:sz w:val="20"/>
          <w:szCs w:val="20"/>
          <w:color w:val="auto"/>
        </w:rPr>
      </w:pPr>
    </w:p>
    <w:p>
      <w:pPr>
        <w:ind w:left="880" w:right="619"/>
        <w:spacing w:after="0" w:line="252" w:lineRule="auto"/>
        <w:rPr>
          <w:sz w:val="20"/>
          <w:szCs w:val="20"/>
          <w:color w:val="auto"/>
        </w:rPr>
      </w:pPr>
      <w:r>
        <w:rPr>
          <w:rFonts w:ascii="Arial" w:cs="Arial" w:eastAsia="Arial" w:hAnsi="Arial"/>
          <w:sz w:val="18"/>
          <w:szCs w:val="18"/>
          <w:u w:val="single" w:color="auto"/>
          <w:color w:val="auto"/>
        </w:rPr>
        <w:t>Schedule 3.22</w:t>
      </w:r>
      <w:r>
        <w:rPr>
          <w:rFonts w:ascii="Arial" w:cs="Arial" w:eastAsia="Arial" w:hAnsi="Arial"/>
          <w:sz w:val="18"/>
          <w:szCs w:val="18"/>
          <w:color w:val="auto"/>
        </w:rPr>
        <w:t>, applicable Law or in the Ordinary Course: (1) grant or announce any increase in salaries, bonuses, severance, termination, retention or change-in-control pay, or other compensation and benefits payable or to become payable by the Company or any of its Subsidiaries to any current or former employee, or (2) adopt, establish or enter into any plan, policy or arrangement that would constitute a Benefit Arrangement if it were in existence on the date hereof, other than in the case of the renewal of group health or welfare plans;</w:t>
      </w:r>
    </w:p>
    <w:p>
      <w:pPr>
        <w:spacing w:after="0" w:line="113" w:lineRule="exact"/>
        <w:rPr>
          <w:sz w:val="20"/>
          <w:szCs w:val="20"/>
          <w:color w:val="auto"/>
        </w:rPr>
      </w:pPr>
    </w:p>
    <w:p>
      <w:pPr>
        <w:ind w:left="880" w:right="659" w:firstLine="870"/>
        <w:spacing w:after="0" w:line="277" w:lineRule="auto"/>
        <w:tabs>
          <w:tab w:leader="none" w:pos="2049" w:val="left"/>
        </w:tabs>
        <w:numPr>
          <w:ilvl w:val="0"/>
          <w:numId w:val="393"/>
        </w:numPr>
        <w:rPr>
          <w:rFonts w:ascii="Arial" w:cs="Arial" w:eastAsia="Arial" w:hAnsi="Arial"/>
          <w:sz w:val="18"/>
          <w:szCs w:val="18"/>
          <w:color w:val="auto"/>
        </w:rPr>
      </w:pPr>
      <w:r>
        <w:rPr>
          <w:rFonts w:ascii="Arial" w:cs="Arial" w:eastAsia="Arial" w:hAnsi="Arial"/>
          <w:sz w:val="18"/>
          <w:szCs w:val="18"/>
          <w:color w:val="auto"/>
        </w:rPr>
        <w:t>enter into, amend, terminate or extend any collective bargaining agreement or any other agreement with, a labor or trade union, employee association or works council;</w:t>
      </w:r>
    </w:p>
    <w:p>
      <w:pPr>
        <w:spacing w:after="0" w:line="102" w:lineRule="exact"/>
        <w:rPr>
          <w:rFonts w:ascii="Arial" w:cs="Arial" w:eastAsia="Arial" w:hAnsi="Arial"/>
          <w:sz w:val="18"/>
          <w:szCs w:val="18"/>
          <w:color w:val="auto"/>
        </w:rPr>
      </w:pPr>
    </w:p>
    <w:p>
      <w:pPr>
        <w:ind w:left="880" w:right="1079" w:firstLine="870"/>
        <w:spacing w:after="0" w:line="277" w:lineRule="auto"/>
        <w:tabs>
          <w:tab w:leader="none" w:pos="1999" w:val="left"/>
        </w:tabs>
        <w:numPr>
          <w:ilvl w:val="0"/>
          <w:numId w:val="393"/>
        </w:numPr>
        <w:rPr>
          <w:rFonts w:ascii="Arial" w:cs="Arial" w:eastAsia="Arial" w:hAnsi="Arial"/>
          <w:sz w:val="18"/>
          <w:szCs w:val="18"/>
          <w:color w:val="auto"/>
        </w:rPr>
      </w:pPr>
      <w:r>
        <w:rPr>
          <w:rFonts w:ascii="Arial" w:cs="Arial" w:eastAsia="Arial" w:hAnsi="Arial"/>
          <w:sz w:val="18"/>
          <w:szCs w:val="18"/>
          <w:color w:val="auto"/>
        </w:rPr>
        <w:t>change its fiscal year or any material method of accounting or material accounting practice, except for any such change required by GAAP;</w:t>
      </w:r>
    </w:p>
    <w:p>
      <w:pPr>
        <w:spacing w:after="0" w:line="102" w:lineRule="exact"/>
        <w:rPr>
          <w:rFonts w:ascii="Arial" w:cs="Arial" w:eastAsia="Arial" w:hAnsi="Arial"/>
          <w:sz w:val="18"/>
          <w:szCs w:val="18"/>
          <w:color w:val="auto"/>
        </w:rPr>
      </w:pPr>
    </w:p>
    <w:p>
      <w:pPr>
        <w:ind w:left="880" w:right="519" w:firstLine="870"/>
        <w:spacing w:after="0" w:line="342" w:lineRule="auto"/>
        <w:tabs>
          <w:tab w:leader="none" w:pos="2049" w:val="left"/>
        </w:tabs>
        <w:numPr>
          <w:ilvl w:val="0"/>
          <w:numId w:val="393"/>
        </w:numPr>
        <w:rPr>
          <w:rFonts w:ascii="Arial" w:cs="Arial" w:eastAsia="Arial" w:hAnsi="Arial"/>
          <w:sz w:val="16"/>
          <w:szCs w:val="16"/>
          <w:color w:val="auto"/>
        </w:rPr>
      </w:pPr>
      <w:r>
        <w:rPr>
          <w:rFonts w:ascii="Arial" w:cs="Arial" w:eastAsia="Arial" w:hAnsi="Arial"/>
          <w:sz w:val="16"/>
          <w:szCs w:val="16"/>
          <w:color w:val="auto"/>
        </w:rPr>
        <w:t>terminate (other than expiration in accordance with its terms) or amend any material term of any Material Contract in a manner that would adversely affect the Company following the Closing;</w:t>
      </w:r>
    </w:p>
    <w:p>
      <w:pPr>
        <w:spacing w:after="0" w:line="42" w:lineRule="exact"/>
        <w:rPr>
          <w:rFonts w:ascii="Arial" w:cs="Arial" w:eastAsia="Arial" w:hAnsi="Arial"/>
          <w:sz w:val="16"/>
          <w:szCs w:val="16"/>
          <w:color w:val="auto"/>
        </w:rPr>
      </w:pPr>
    </w:p>
    <w:p>
      <w:pPr>
        <w:ind w:left="880" w:right="639" w:firstLine="870"/>
        <w:spacing w:after="0" w:line="308" w:lineRule="auto"/>
        <w:tabs>
          <w:tab w:leader="none" w:pos="2099" w:val="left"/>
        </w:tabs>
        <w:numPr>
          <w:ilvl w:val="0"/>
          <w:numId w:val="393"/>
        </w:numPr>
        <w:rPr>
          <w:rFonts w:ascii="Arial" w:cs="Arial" w:eastAsia="Arial" w:hAnsi="Arial"/>
          <w:sz w:val="17"/>
          <w:szCs w:val="17"/>
          <w:color w:val="auto"/>
        </w:rPr>
      </w:pPr>
      <w:r>
        <w:rPr>
          <w:rFonts w:ascii="Arial" w:cs="Arial" w:eastAsia="Arial" w:hAnsi="Arial"/>
          <w:sz w:val="17"/>
          <w:szCs w:val="17"/>
          <w:color w:val="auto"/>
        </w:rPr>
        <w:t>assign, transfer, abandon, modify, waive, terminate, fail to renew, let lapse or otherwise fail to maintain or otherwise change any material Permit, except in the Ordinary Course;</w:t>
      </w:r>
    </w:p>
    <w:p>
      <w:pPr>
        <w:spacing w:after="0" w:line="78" w:lineRule="exact"/>
        <w:rPr>
          <w:rFonts w:ascii="Arial" w:cs="Arial" w:eastAsia="Arial" w:hAnsi="Arial"/>
          <w:sz w:val="17"/>
          <w:szCs w:val="17"/>
          <w:color w:val="auto"/>
        </w:rPr>
      </w:pPr>
    </w:p>
    <w:p>
      <w:pPr>
        <w:ind w:left="880" w:right="479" w:firstLine="870"/>
        <w:spacing w:after="0" w:line="293" w:lineRule="auto"/>
        <w:tabs>
          <w:tab w:leader="none" w:pos="2149" w:val="left"/>
        </w:tabs>
        <w:numPr>
          <w:ilvl w:val="0"/>
          <w:numId w:val="393"/>
        </w:numPr>
        <w:rPr>
          <w:rFonts w:ascii="Arial" w:cs="Arial" w:eastAsia="Arial" w:hAnsi="Arial"/>
          <w:sz w:val="16"/>
          <w:szCs w:val="16"/>
          <w:color w:val="auto"/>
        </w:rPr>
      </w:pPr>
      <w:r>
        <w:rPr>
          <w:rFonts w:ascii="Arial" w:cs="Arial" w:eastAsia="Arial" w:hAnsi="Arial"/>
          <w:sz w:val="16"/>
          <w:szCs w:val="16"/>
          <w:color w:val="auto"/>
        </w:rPr>
        <w:t>make (inconsistent with past practices), revoke or change any Tax election, adopt or change any Tax accounting method or period, file an amended Tax Return, enter into any closing agreement or settlement, settle any Tax claim or assessment, in each case unless such action would not have the effect of materially increasing the Tax Liability of Parent, the Company or their Affiliates for any taxable period (or portion thereof) beginning after the Closing Date or such action is required as a result of a final determination by a Governmental Authority or as otherwise required by applicable Law;</w:t>
      </w:r>
    </w:p>
    <w:p>
      <w:pPr>
        <w:spacing w:after="0" w:line="96" w:lineRule="exact"/>
        <w:rPr>
          <w:rFonts w:ascii="Arial" w:cs="Arial" w:eastAsia="Arial" w:hAnsi="Arial"/>
          <w:sz w:val="16"/>
          <w:szCs w:val="16"/>
          <w:color w:val="auto"/>
        </w:rPr>
      </w:pPr>
    </w:p>
    <w:p>
      <w:pPr>
        <w:ind w:left="880" w:right="539" w:firstLine="870"/>
        <w:spacing w:after="0" w:line="273" w:lineRule="auto"/>
        <w:tabs>
          <w:tab w:leader="none" w:pos="2139" w:val="left"/>
        </w:tabs>
        <w:numPr>
          <w:ilvl w:val="0"/>
          <w:numId w:val="393"/>
        </w:numPr>
        <w:rPr>
          <w:rFonts w:ascii="Arial" w:cs="Arial" w:eastAsia="Arial" w:hAnsi="Arial"/>
          <w:sz w:val="17"/>
          <w:szCs w:val="17"/>
          <w:color w:val="auto"/>
        </w:rPr>
      </w:pPr>
      <w:r>
        <w:rPr>
          <w:rFonts w:ascii="Arial" w:cs="Arial" w:eastAsia="Arial" w:hAnsi="Arial"/>
          <w:sz w:val="17"/>
          <w:szCs w:val="17"/>
          <w:color w:val="auto"/>
        </w:rPr>
        <w:t>grant, modify, abandon, dispose of or terminate any rights relating to any Intellectual Property of the Company and its Subsidiaries, other than in the Ordinary Course, or otherwise permit any of its rights relating to any Intellectual Property to lapse (other than in the Ordinary Course, as required under any IP Contract made available to Parent prior to the execution of this Agreement, or registrations for trademarks that are no longer in use by, are not planned to be used in the future by, and are no longer being maintained by Company and its Subsidiaries);</w:t>
      </w:r>
    </w:p>
    <w:p>
      <w:pPr>
        <w:spacing w:after="0" w:line="96" w:lineRule="exact"/>
        <w:rPr>
          <w:rFonts w:ascii="Arial" w:cs="Arial" w:eastAsia="Arial" w:hAnsi="Arial"/>
          <w:sz w:val="17"/>
          <w:szCs w:val="17"/>
          <w:color w:val="auto"/>
        </w:rPr>
      </w:pPr>
    </w:p>
    <w:p>
      <w:pPr>
        <w:jc w:val="both"/>
        <w:ind w:left="880" w:right="639" w:firstLine="870"/>
        <w:spacing w:after="0" w:line="342" w:lineRule="auto"/>
        <w:tabs>
          <w:tab w:leader="none" w:pos="2089" w:val="left"/>
        </w:tabs>
        <w:numPr>
          <w:ilvl w:val="0"/>
          <w:numId w:val="393"/>
        </w:numPr>
        <w:rPr>
          <w:rFonts w:ascii="Arial" w:cs="Arial" w:eastAsia="Arial" w:hAnsi="Arial"/>
          <w:sz w:val="16"/>
          <w:szCs w:val="16"/>
          <w:color w:val="auto"/>
        </w:rPr>
      </w:pPr>
      <w:r>
        <w:rPr>
          <w:rFonts w:ascii="Arial" w:cs="Arial" w:eastAsia="Arial" w:hAnsi="Arial"/>
          <w:sz w:val="16"/>
          <w:szCs w:val="16"/>
          <w:color w:val="auto"/>
        </w:rPr>
        <w:t>take any action, or knowingly fail to take any action, where such action or failure to act would reasonably be expected to prevent the Merger from qualifying for the Intended Tax Treatment; or</w:t>
      </w:r>
    </w:p>
    <w:p>
      <w:pPr>
        <w:spacing w:after="0" w:line="56" w:lineRule="exact"/>
        <w:rPr>
          <w:rFonts w:ascii="Arial" w:cs="Arial" w:eastAsia="Arial" w:hAnsi="Arial"/>
          <w:sz w:val="16"/>
          <w:szCs w:val="16"/>
          <w:color w:val="auto"/>
        </w:rPr>
      </w:pPr>
    </w:p>
    <w:p>
      <w:pPr>
        <w:ind w:left="880" w:right="899" w:firstLine="870"/>
        <w:spacing w:after="0" w:line="308" w:lineRule="auto"/>
        <w:tabs>
          <w:tab w:leader="none" w:pos="2139" w:val="left"/>
        </w:tabs>
        <w:numPr>
          <w:ilvl w:val="0"/>
          <w:numId w:val="393"/>
        </w:numPr>
        <w:rPr>
          <w:rFonts w:ascii="Arial" w:cs="Arial" w:eastAsia="Arial" w:hAnsi="Arial"/>
          <w:sz w:val="17"/>
          <w:szCs w:val="17"/>
          <w:color w:val="auto"/>
        </w:rPr>
      </w:pPr>
      <w:r>
        <w:rPr>
          <w:rFonts w:ascii="Arial" w:cs="Arial" w:eastAsia="Arial" w:hAnsi="Arial"/>
          <w:sz w:val="17"/>
          <w:szCs w:val="17"/>
          <w:color w:val="auto"/>
        </w:rPr>
        <w:t>agree or commit to do, or resolve, authorize or approve any action to do, any of the foregoing, or take any action or omission that would result in any of the foregoing.</w:t>
      </w:r>
    </w:p>
    <w:p>
      <w:pPr>
        <w:spacing w:after="0" w:line="79" w:lineRule="exact"/>
        <w:rPr>
          <w:sz w:val="20"/>
          <w:szCs w:val="20"/>
          <w:color w:val="auto"/>
        </w:rPr>
      </w:pPr>
    </w:p>
    <w:p>
      <w:pPr>
        <w:ind w:left="460" w:right="679"/>
        <w:spacing w:after="0" w:line="308"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 however, that nothing in the</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5.1</w:t>
      </w:r>
      <w:r>
        <w:rPr>
          <w:rFonts w:ascii="Arial" w:cs="Arial" w:eastAsia="Arial" w:hAnsi="Arial"/>
          <w:sz w:val="17"/>
          <w:szCs w:val="17"/>
          <w:i w:val="1"/>
          <w:iCs w:val="1"/>
          <w:color w:val="auto"/>
        </w:rPr>
        <w:t xml:space="preserve"> </w:t>
      </w:r>
      <w:r>
        <w:rPr>
          <w:rFonts w:ascii="Arial" w:cs="Arial" w:eastAsia="Arial" w:hAnsi="Arial"/>
          <w:sz w:val="17"/>
          <w:szCs w:val="17"/>
          <w:color w:val="auto"/>
        </w:rPr>
        <w:t>shall require Company to do or not do anything that would</w:t>
      </w:r>
      <w:r>
        <w:rPr>
          <w:rFonts w:ascii="Arial" w:cs="Arial" w:eastAsia="Arial" w:hAnsi="Arial"/>
          <w:sz w:val="17"/>
          <w:szCs w:val="17"/>
          <w:i w:val="1"/>
          <w:iCs w:val="1"/>
          <w:color w:val="auto"/>
        </w:rPr>
        <w:t xml:space="preserve"> </w:t>
      </w:r>
      <w:r>
        <w:rPr>
          <w:rFonts w:ascii="Arial" w:cs="Arial" w:eastAsia="Arial" w:hAnsi="Arial"/>
          <w:sz w:val="17"/>
          <w:szCs w:val="17"/>
          <w:color w:val="auto"/>
        </w:rPr>
        <w:t>be reasonably expected to violate applicable antitrust or competition Law, including the HSR Act.</w:t>
      </w:r>
    </w:p>
    <w:p>
      <w:pPr>
        <w:spacing w:after="0" w:line="65"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 xml:space="preserve">The Company shall be permitted to request consent from Parent in writing (including by electronic mail) by delivering written notice (including by electronic mail) to any of the individuals specified on Schedule 5.1. For purposes of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Parent shall respond (including by return email) to such request as promptly as practicable, and if Parent does not respond (including by return email) to any request within two Business Days after the Company delivers such written request for consent to Parent (including at the email addresses set forth in Schedule 5.1 or such other email addresses as Parent shall specify in a notice delivered in accordance with </w:t>
      </w:r>
      <w:r>
        <w:rPr>
          <w:rFonts w:ascii="Arial" w:cs="Arial" w:eastAsia="Arial" w:hAnsi="Arial"/>
          <w:sz w:val="16"/>
          <w:szCs w:val="16"/>
          <w:u w:val="single" w:color="auto"/>
          <w:color w:val="auto"/>
        </w:rPr>
        <w:t>Section 10.10</w:t>
      </w:r>
      <w:r>
        <w:rPr>
          <w:rFonts w:ascii="Arial" w:cs="Arial" w:eastAsia="Arial" w:hAnsi="Arial"/>
          <w:sz w:val="16"/>
          <w:szCs w:val="16"/>
          <w:color w:val="auto"/>
        </w:rPr>
        <w:t>), Parent shall be deemed to have provided its prior written consent to the taking of such action.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6" w:name="page387"/>
    <w:bookmarkEnd w:id="38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Access to Information</w:t>
      </w:r>
      <w:r>
        <w:rPr>
          <w:rFonts w:ascii="Arial" w:cs="Arial" w:eastAsia="Arial" w:hAnsi="Arial"/>
          <w:sz w:val="16"/>
          <w:szCs w:val="16"/>
          <w:color w:val="auto"/>
        </w:rPr>
        <w:t xml:space="preserve">. From and after the date hereof until the earlier of the Closing or the termination of this Agreement in accordance with its terms, upon reasonable advance written notice, the Company shall provide to Parent and its authorized Representatives reasonable access (which access will be under the supervision of the Company’s personnel) to the personnel, books, records, properties, financial statements, internal and external audit reports, regulatory reports, Contracts, Permits, commitments and any other reasonably requested documents and other information of the Company and its Subsidiaries during normal business hours (in a manner so as to not interfere with the normal business operations of the Company or any of its Subsidiaries) and use commercially reasonable efforts to cause the employees, legal counsel, accountants and representatives of the Company to reasonably cooperate with the Parent in its investigation of the Company; provided that no investigation pursuant to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shall affect any representation or warranty given by the Company. All of such information shall be treated as confidential information pursuant to the terms of the Non-Disclosure Agreement. Notwithstanding anything herein to the contrary, Parent and Merger Sub shall not, without the prior written consent of the Company, make inquiries of Persons having business relationships with the Company (including suppliers, customers and vendors) regarding the Company or such business relationships. From and after the Closing, the Non-Disclosure Agreement shall terminate and be of no force and effect with respect to any information relating to the Company and its Subsidiaries.</w:t>
      </w:r>
    </w:p>
    <w:p>
      <w:pPr>
        <w:spacing w:after="0" w:line="109" w:lineRule="exact"/>
        <w:rPr>
          <w:sz w:val="20"/>
          <w:szCs w:val="20"/>
          <w:color w:val="auto"/>
        </w:rPr>
      </w:pPr>
    </w:p>
    <w:p>
      <w:pPr>
        <w:ind w:left="460" w:right="519" w:firstLine="432"/>
        <w:spacing w:after="0" w:line="284"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Additional Financial Information</w:t>
      </w:r>
      <w:r>
        <w:rPr>
          <w:rFonts w:ascii="Arial" w:cs="Arial" w:eastAsia="Arial" w:hAnsi="Arial"/>
          <w:sz w:val="16"/>
          <w:szCs w:val="16"/>
          <w:color w:val="auto"/>
        </w:rPr>
        <w:t xml:space="preserve">. Within five Business Days following the execution of this Agreement, the Company shall provide Parent with the Company’s audited financial statements for the twelve month periods ended, December 31, 2020 and 2019 consisting of the audited consolidated balance sheets as of such dates, the audited consolidated income statements for the twelve month period ended on such date, and the audited consolidated cash flow statements for the twelve month period ended on such date (the “Year End Financials”). If the Company does not deliver the Year End Financials within such five Business Day period, Parent shall have the right to terminate this Agreement in accordance with </w:t>
      </w:r>
      <w:r>
        <w:rPr>
          <w:rFonts w:ascii="Arial" w:cs="Arial" w:eastAsia="Arial" w:hAnsi="Arial"/>
          <w:sz w:val="16"/>
          <w:szCs w:val="16"/>
          <w:u w:val="single" w:color="auto"/>
          <w:color w:val="auto"/>
        </w:rPr>
        <w:t>Article IX</w:t>
      </w:r>
      <w:r>
        <w:rPr>
          <w:rFonts w:ascii="Arial" w:cs="Arial" w:eastAsia="Arial" w:hAnsi="Arial"/>
          <w:sz w:val="16"/>
          <w:szCs w:val="16"/>
          <w:color w:val="auto"/>
        </w:rPr>
        <w:t>. Subsequent to the delivery of the Year End Financials, the Company’s consolidated interim financial information for each quarterly period thereafter shall be delivered to Parent no later than 40 calendar days following the end of each quarterly period (the “</w:t>
      </w:r>
      <w:r>
        <w:rPr>
          <w:rFonts w:ascii="Arial" w:cs="Arial" w:eastAsia="Arial" w:hAnsi="Arial"/>
          <w:sz w:val="16"/>
          <w:szCs w:val="16"/>
          <w:u w:val="single" w:color="auto"/>
          <w:color w:val="auto"/>
        </w:rPr>
        <w:t>Required Financial Statements</w:t>
      </w:r>
      <w:r>
        <w:rPr>
          <w:rFonts w:ascii="Arial" w:cs="Arial" w:eastAsia="Arial" w:hAnsi="Arial"/>
          <w:sz w:val="16"/>
          <w:szCs w:val="16"/>
          <w:color w:val="auto"/>
        </w:rPr>
        <w:t xml:space="preserve">”). If the Company does not timely deliver the Required Financial Statements, Parent shall have the right to terminate this Agreement in accordance with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here. All of the financial statements to be delivered pursuant to this </w:t>
      </w:r>
      <w:r>
        <w:rPr>
          <w:rFonts w:ascii="Arial" w:cs="Arial" w:eastAsia="Arial" w:hAnsi="Arial"/>
          <w:sz w:val="16"/>
          <w:szCs w:val="16"/>
          <w:u w:val="single" w:color="auto"/>
          <w:color w:val="auto"/>
        </w:rPr>
        <w:t>Section 5.3</w:t>
      </w:r>
      <w:r>
        <w:rPr>
          <w:rFonts w:ascii="Arial" w:cs="Arial" w:eastAsia="Arial" w:hAnsi="Arial"/>
          <w:sz w:val="16"/>
          <w:szCs w:val="16"/>
          <w:color w:val="auto"/>
        </w:rPr>
        <w:t>, shall be prepared under U.S. GAAP in accordance with requirements of the PCAOB for public companies. The Year End Financials and the Required Financial Statements shall be accompanied by a certificate of the Chief Financial Officer of the Company to the effect that all such financial statements fairly present the financial position and results of operations of the Company as of the date or for the periods indicated, in accordance with U.S. GAAP, except as otherwise indicated in such statements and subject to year-end audit adjustments (other than with respect to the Year End Audited Financials for the period ending December 31, 2019). The Company will promptly provide additional Company financial information reasonably requested by Parent for inclusion in the Proxy Statement and any other filings to be made by Parent with the SEC.</w:t>
      </w:r>
    </w:p>
    <w:p>
      <w:pPr>
        <w:spacing w:after="0" w:line="114" w:lineRule="exact"/>
        <w:rPr>
          <w:sz w:val="20"/>
          <w:szCs w:val="20"/>
          <w:color w:val="auto"/>
        </w:rPr>
      </w:pPr>
    </w:p>
    <w:p>
      <w:pPr>
        <w:ind w:left="460" w:right="739" w:firstLine="432"/>
        <w:spacing w:after="0" w:line="279"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Lock-Up</w:t>
      </w:r>
      <w:r>
        <w:rPr>
          <w:rFonts w:ascii="Arial" w:cs="Arial" w:eastAsia="Arial" w:hAnsi="Arial"/>
          <w:sz w:val="17"/>
          <w:szCs w:val="17"/>
          <w:color w:val="auto"/>
        </w:rPr>
        <w:t xml:space="preserve">. Prior to the Closing, the Company shall cause those persons set forth on </w:t>
      </w:r>
      <w:r>
        <w:rPr>
          <w:rFonts w:ascii="Arial" w:cs="Arial" w:eastAsia="Arial" w:hAnsi="Arial"/>
          <w:sz w:val="17"/>
          <w:szCs w:val="17"/>
          <w:u w:val="single" w:color="auto"/>
          <w:color w:val="auto"/>
        </w:rPr>
        <w:t>Schedule 5.4</w:t>
      </w:r>
      <w:r>
        <w:rPr>
          <w:rFonts w:ascii="Arial" w:cs="Arial" w:eastAsia="Arial" w:hAnsi="Arial"/>
          <w:sz w:val="17"/>
          <w:szCs w:val="17"/>
          <w:color w:val="auto"/>
        </w:rPr>
        <w:t xml:space="preserve"> to enter into an agreement with Parent to be effective as of the Closing, pursuant to which the Merger Consideration shall be subject to a lock-up for a period of 180 days (the “</w:t>
      </w:r>
      <w:r>
        <w:rPr>
          <w:rFonts w:ascii="Arial" w:cs="Arial" w:eastAsia="Arial" w:hAnsi="Arial"/>
          <w:sz w:val="17"/>
          <w:szCs w:val="17"/>
          <w:u w:val="single" w:color="auto"/>
          <w:color w:val="auto"/>
        </w:rPr>
        <w:t>Lock-Up Period</w:t>
      </w:r>
      <w:r>
        <w:rPr>
          <w:rFonts w:ascii="Arial" w:cs="Arial" w:eastAsia="Arial" w:hAnsi="Arial"/>
          <w:sz w:val="17"/>
          <w:szCs w:val="17"/>
          <w:color w:val="auto"/>
        </w:rPr>
        <w:t>”) from the Closing Date (the “</w:t>
      </w:r>
      <w:r>
        <w:rPr>
          <w:rFonts w:ascii="Arial" w:cs="Arial" w:eastAsia="Arial" w:hAnsi="Arial"/>
          <w:sz w:val="17"/>
          <w:szCs w:val="17"/>
          <w:u w:val="single" w:color="auto"/>
          <w:color w:val="auto"/>
        </w:rPr>
        <w:t>Lock-up Agreement</w:t>
      </w:r>
      <w:r>
        <w:rPr>
          <w:rFonts w:ascii="Arial" w:cs="Arial" w:eastAsia="Arial" w:hAnsi="Arial"/>
          <w:sz w:val="17"/>
          <w:szCs w:val="17"/>
          <w:color w:val="auto"/>
        </w:rPr>
        <w:t xml:space="preserve">”) in substantially the form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w:t>
      </w:r>
    </w:p>
    <w:p>
      <w:pPr>
        <w:spacing w:after="0" w:line="90"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Notice of Changes</w:t>
      </w:r>
      <w:r>
        <w:rPr>
          <w:rFonts w:ascii="Arial" w:cs="Arial" w:eastAsia="Arial" w:hAnsi="Arial"/>
          <w:sz w:val="16"/>
          <w:szCs w:val="16"/>
          <w:color w:val="auto"/>
        </w:rPr>
        <w:t xml:space="preserve">. The Company shall give prompt written notice to Parent of (a) any representation or warranty made by the Company contained in this Agreement becoming untrue or inaccurate such that the condition set forth in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would not be satisfied, (b) any breach of any covenant or agreement of the Company contained in this Agreement such that the condition set forth in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would not be satisfied (c) any event, circumstance or development that would reasonably be expected to have a Company Material Adverse Effect and (d) any Proceeding initiated by or against the Company or its Subsidiaries or any of their predecessors or against any officer or director of the Company or any of its Subsidiaries in their capacity as such in an amount in controversy equal to or greater than $500,000 as set out in the filings related to such Proceeding; provided, however, that in each case (i) no such notification shall affect the representations, warranties, covenants, agreements or conditions to the obligations of the Parties under this Agreement and (ii) no such notification shall be deemed to amend or supplement the Disclosure Schedules or to cure any breach of any covenant or agreement or inaccuracy of any representation or warranty.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7" w:name="page388"/>
    <w:bookmarkEnd w:id="38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D&amp;O Insurance; Indemnification of Officers and Directors</w:t>
      </w:r>
      <w:r>
        <w:rPr>
          <w:rFonts w:ascii="Arial" w:cs="Arial" w:eastAsia="Arial" w:hAnsi="Arial"/>
          <w:sz w:val="18"/>
          <w:szCs w:val="18"/>
          <w:color w:val="auto"/>
        </w:rPr>
        <w:t>.</w:t>
      </w:r>
    </w:p>
    <w:p>
      <w:pPr>
        <w:spacing w:after="0" w:line="158" w:lineRule="exact"/>
        <w:rPr>
          <w:sz w:val="20"/>
          <w:szCs w:val="20"/>
          <w:color w:val="auto"/>
        </w:rPr>
      </w:pPr>
    </w:p>
    <w:p>
      <w:pPr>
        <w:ind w:left="460" w:right="499" w:firstLine="858"/>
        <w:spacing w:after="0" w:line="271" w:lineRule="auto"/>
        <w:tabs>
          <w:tab w:leader="none" w:pos="1569" w:val="left"/>
        </w:tabs>
        <w:numPr>
          <w:ilvl w:val="0"/>
          <w:numId w:val="394"/>
        </w:numPr>
        <w:rPr>
          <w:rFonts w:ascii="Arial" w:cs="Arial" w:eastAsia="Arial" w:hAnsi="Arial"/>
          <w:sz w:val="17"/>
          <w:szCs w:val="17"/>
          <w:color w:val="auto"/>
        </w:rPr>
      </w:pPr>
      <w:r>
        <w:rPr>
          <w:rFonts w:ascii="Arial" w:cs="Arial" w:eastAsia="Arial" w:hAnsi="Arial"/>
          <w:sz w:val="17"/>
          <w:szCs w:val="17"/>
          <w:color w:val="auto"/>
        </w:rPr>
        <w:t>From and after the Closing Date through the sixth anniversary of the Closing Date, Parent shall cause (i) the Organizational Documents of Parent to contain provisions no less favorable to the current or former directors, managers, officers or employees of the Company or Parent (collectively, “</w:t>
      </w:r>
      <w:r>
        <w:rPr>
          <w:rFonts w:ascii="Arial" w:cs="Arial" w:eastAsia="Arial" w:hAnsi="Arial"/>
          <w:sz w:val="17"/>
          <w:szCs w:val="17"/>
          <w:u w:val="single" w:color="auto"/>
          <w:color w:val="auto"/>
        </w:rPr>
        <w:t>D&amp;O Indemnitees</w:t>
      </w:r>
      <w:r>
        <w:rPr>
          <w:rFonts w:ascii="Arial" w:cs="Arial" w:eastAsia="Arial" w:hAnsi="Arial"/>
          <w:sz w:val="17"/>
          <w:szCs w:val="17"/>
          <w:color w:val="auto"/>
        </w:rPr>
        <w:t>”) with respect to limitation of certain liabilities, advancement of expenses and indemnification than are set forth as of the date of this Agreement in the Organizational Documents of the Company or Parent, as applicable, which provisions in each case, except as required by Law, shall not be amended, repealed or otherwise modified in a manner that would adversely affect the rights thereunder of the D&amp;O Indemnitees with respect to any acts or omissions occurring at or prior to the Closing.</w:t>
      </w:r>
    </w:p>
    <w:p>
      <w:pPr>
        <w:spacing w:after="0" w:line="110" w:lineRule="exact"/>
        <w:rPr>
          <w:rFonts w:ascii="Arial" w:cs="Arial" w:eastAsia="Arial" w:hAnsi="Arial"/>
          <w:sz w:val="17"/>
          <w:szCs w:val="17"/>
          <w:color w:val="auto"/>
        </w:rPr>
      </w:pPr>
    </w:p>
    <w:p>
      <w:pPr>
        <w:ind w:left="460" w:right="539" w:firstLine="858"/>
        <w:spacing w:after="0" w:line="259" w:lineRule="auto"/>
        <w:tabs>
          <w:tab w:leader="none" w:pos="1579" w:val="left"/>
        </w:tabs>
        <w:numPr>
          <w:ilvl w:val="0"/>
          <w:numId w:val="394"/>
        </w:numPr>
        <w:rPr>
          <w:rFonts w:ascii="Arial" w:cs="Arial" w:eastAsia="Arial" w:hAnsi="Arial"/>
          <w:sz w:val="18"/>
          <w:szCs w:val="18"/>
          <w:color w:val="auto"/>
        </w:rPr>
      </w:pPr>
      <w:r>
        <w:rPr>
          <w:rFonts w:ascii="Arial" w:cs="Arial" w:eastAsia="Arial" w:hAnsi="Arial"/>
          <w:sz w:val="18"/>
          <w:szCs w:val="18"/>
          <w:color w:val="auto"/>
        </w:rPr>
        <w:t>Prior to the Closing Date, Parent may purchase, at the expense of the Surviving Corporation, a directors’ and officers’ liability tail insurance policy on terms and conditions satisfactory to Parent for all of the officers and directors of Parent as of immediately prior to the Merger, with respect to claims arising from facts and events that occurred prior to the Closing Date.</w:t>
      </w:r>
    </w:p>
    <w:p>
      <w:pPr>
        <w:spacing w:after="0" w:line="105" w:lineRule="exact"/>
        <w:rPr>
          <w:rFonts w:ascii="Arial" w:cs="Arial" w:eastAsia="Arial" w:hAnsi="Arial"/>
          <w:sz w:val="18"/>
          <w:szCs w:val="18"/>
          <w:color w:val="auto"/>
        </w:rPr>
      </w:pPr>
    </w:p>
    <w:p>
      <w:pPr>
        <w:ind w:left="460" w:right="599" w:firstLine="858"/>
        <w:spacing w:after="0" w:line="263" w:lineRule="auto"/>
        <w:tabs>
          <w:tab w:leader="none" w:pos="1569" w:val="left"/>
        </w:tabs>
        <w:numPr>
          <w:ilvl w:val="0"/>
          <w:numId w:val="394"/>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are intended to be for the benefit of, and shall be enforceable by, each D&amp;O Indemnitee for all periods ending on or before the Closing Date and may not be changed with respect to any officer or director without his or her written consent.</w:t>
      </w:r>
    </w:p>
    <w:p>
      <w:pPr>
        <w:spacing w:after="0" w:line="116" w:lineRule="exact"/>
        <w:rPr>
          <w:rFonts w:ascii="Arial" w:cs="Arial" w:eastAsia="Arial" w:hAnsi="Arial"/>
          <w:sz w:val="18"/>
          <w:szCs w:val="18"/>
          <w:color w:val="auto"/>
        </w:rPr>
      </w:pPr>
    </w:p>
    <w:p>
      <w:pPr>
        <w:ind w:left="460" w:right="639" w:firstLine="858"/>
        <w:spacing w:after="0" w:line="286" w:lineRule="auto"/>
        <w:tabs>
          <w:tab w:leader="none" w:pos="1579" w:val="left"/>
        </w:tabs>
        <w:numPr>
          <w:ilvl w:val="0"/>
          <w:numId w:val="394"/>
        </w:numPr>
        <w:rPr>
          <w:rFonts w:ascii="Arial" w:cs="Arial" w:eastAsia="Arial" w:hAnsi="Arial"/>
          <w:sz w:val="17"/>
          <w:szCs w:val="17"/>
          <w:color w:val="auto"/>
        </w:rPr>
      </w:pPr>
      <w:r>
        <w:rPr>
          <w:rFonts w:ascii="Arial" w:cs="Arial" w:eastAsia="Arial" w:hAnsi="Arial"/>
          <w:sz w:val="17"/>
          <w:szCs w:val="17"/>
          <w:color w:val="auto"/>
        </w:rPr>
        <w:t>On the Closing Date, Parent shall enter into customary indemnification agreements reasonably satisfactory to each of the Company and Parent with the post-Closing directors and officers of Parent, which indemnification agreements shall continue to be effective following the Closing.</w:t>
      </w:r>
    </w:p>
    <w:p>
      <w:pPr>
        <w:spacing w:after="0" w:line="98"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u w:val="single" w:color="auto"/>
          <w:color w:val="auto"/>
        </w:rPr>
        <w:t>Tax Matters</w:t>
      </w:r>
      <w:r>
        <w:rPr>
          <w:rFonts w:ascii="Arial" w:cs="Arial" w:eastAsia="Arial" w:hAnsi="Arial"/>
          <w:sz w:val="17"/>
          <w:szCs w:val="17"/>
          <w:color w:val="auto"/>
        </w:rPr>
        <w:t>. The Parties shall (and shall cause their respective Affiliates to) cooperate fully, as and to the extent reasonably requested by another Party, in connection with the filing of relevant Tax Returns, and any audit or Tax proceeding. Such cooperation shall include the retention and (upon the another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 OF PARENT AND MERGER SUB</w:t>
      </w:r>
    </w:p>
    <w:p>
      <w:pPr>
        <w:spacing w:after="0" w:line="158"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Operations of Parent Prior to the Closing</w:t>
      </w:r>
      <w:r>
        <w:rPr>
          <w:rFonts w:ascii="Arial" w:cs="Arial" w:eastAsia="Arial" w:hAnsi="Arial"/>
          <w:sz w:val="18"/>
          <w:szCs w:val="18"/>
          <w:color w:val="auto"/>
        </w:rPr>
        <w:t>. Between the date hereof and the Closing, and except as contemplated by this Agreement or with the prior written approval of the Company (which consent shall not be unreasonably withheld, conditioned or delayed and may be given as set forth below), Parent shall, and shall cause Merger Sub (a) to use commercially reasonable efforts to (i) conduct their respective businesses in the Ordinary Course and (ii) keep available the services of their respective officers, and (b) to not take any of the following actions:</w:t>
      </w:r>
    </w:p>
    <w:p>
      <w:pPr>
        <w:spacing w:after="0" w:line="125" w:lineRule="exact"/>
        <w:rPr>
          <w:sz w:val="20"/>
          <w:szCs w:val="20"/>
          <w:color w:val="auto"/>
        </w:rPr>
      </w:pPr>
    </w:p>
    <w:p>
      <w:pPr>
        <w:ind w:left="880" w:right="579" w:firstLine="870"/>
        <w:spacing w:after="0" w:line="263" w:lineRule="auto"/>
        <w:tabs>
          <w:tab w:leader="none" w:pos="1959" w:val="left"/>
        </w:tabs>
        <w:numPr>
          <w:ilvl w:val="0"/>
          <w:numId w:val="395"/>
        </w:numPr>
        <w:rPr>
          <w:rFonts w:ascii="Arial" w:cs="Arial" w:eastAsia="Arial" w:hAnsi="Arial"/>
          <w:sz w:val="18"/>
          <w:szCs w:val="18"/>
          <w:color w:val="auto"/>
        </w:rPr>
      </w:pPr>
      <w:r>
        <w:rPr>
          <w:rFonts w:ascii="Arial" w:cs="Arial" w:eastAsia="Arial" w:hAnsi="Arial"/>
          <w:sz w:val="18"/>
          <w:szCs w:val="18"/>
          <w:color w:val="auto"/>
        </w:rPr>
        <w:t>make any amendment or modification to any of Parent’s Organizational Documents or Merger Sub’s Organizational Documents, other than in connection with an amendment to extend the date by which the Merger may be consummated;</w:t>
      </w:r>
    </w:p>
    <w:p>
      <w:pPr>
        <w:spacing w:after="0" w:line="102" w:lineRule="exact"/>
        <w:rPr>
          <w:rFonts w:ascii="Arial" w:cs="Arial" w:eastAsia="Arial" w:hAnsi="Arial"/>
          <w:sz w:val="18"/>
          <w:szCs w:val="18"/>
          <w:color w:val="auto"/>
        </w:rPr>
      </w:pPr>
    </w:p>
    <w:p>
      <w:pPr>
        <w:ind w:left="880" w:right="479" w:firstLine="870"/>
        <w:spacing w:after="0" w:line="263" w:lineRule="auto"/>
        <w:tabs>
          <w:tab w:leader="none" w:pos="2009"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take any action in violation or contravention of any of Parent’s Organizational Documents, Merger Sub’s Organizational Documents, applicable Law or any applicable rules and regulations of the SEC or Nasdaq;</w:t>
      </w:r>
    </w:p>
    <w:p>
      <w:pPr>
        <w:spacing w:after="0" w:line="116" w:lineRule="exact"/>
        <w:rPr>
          <w:rFonts w:ascii="Arial" w:cs="Arial" w:eastAsia="Arial" w:hAnsi="Arial"/>
          <w:sz w:val="18"/>
          <w:szCs w:val="18"/>
          <w:color w:val="auto"/>
        </w:rPr>
      </w:pPr>
    </w:p>
    <w:p>
      <w:pPr>
        <w:ind w:left="2060" w:hanging="310"/>
        <w:spacing w:after="0"/>
        <w:tabs>
          <w:tab w:leader="none" w:pos="206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terminate or amend any material provision of any Contract to which Parent is a party to;</w:t>
      </w:r>
    </w:p>
    <w:p>
      <w:pPr>
        <w:spacing w:after="0" w:line="180" w:lineRule="exact"/>
        <w:rPr>
          <w:rFonts w:ascii="Arial" w:cs="Arial" w:eastAsia="Arial" w:hAnsi="Arial"/>
          <w:sz w:val="16"/>
          <w:szCs w:val="16"/>
          <w:color w:val="auto"/>
        </w:rPr>
      </w:pPr>
    </w:p>
    <w:p>
      <w:pPr>
        <w:ind w:left="880" w:right="499" w:firstLine="870"/>
        <w:spacing w:after="0" w:line="254" w:lineRule="auto"/>
        <w:tabs>
          <w:tab w:leader="none" w:pos="2049"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authorize for issuance, issue, grant, sell, pledge, dispose of or propose to issue, grant, sell, pledge or dispose of any of its equity securities or any options, warrants, commitments, subscriptions or rights of any kind to acquire or sell any of its equity securities, or other security interests, including any securities convertible into or exchangeable for any of its equity securities or other security interests of any class and any other equity-based awards, or engage in any hedging transaction with a third Person with respect to such equity securities or other security interests, other than in connection with the PIPE Financing;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8" w:name="page389"/>
    <w:bookmarkEnd w:id="38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2000" w:hanging="250"/>
        <w:spacing w:after="0"/>
        <w:tabs>
          <w:tab w:leader="none" w:pos="200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make any redemption or purchase of its equity interests, except pursuant to the Offer;</w:t>
      </w:r>
    </w:p>
    <w:p>
      <w:pPr>
        <w:spacing w:after="0" w:line="169" w:lineRule="exact"/>
        <w:rPr>
          <w:rFonts w:ascii="Arial" w:cs="Arial" w:eastAsia="Arial" w:hAnsi="Arial"/>
          <w:sz w:val="17"/>
          <w:szCs w:val="17"/>
          <w:color w:val="auto"/>
        </w:rPr>
      </w:pPr>
    </w:p>
    <w:p>
      <w:pPr>
        <w:ind w:left="880" w:right="659" w:firstLine="870"/>
        <w:spacing w:after="0" w:line="263" w:lineRule="auto"/>
        <w:tabs>
          <w:tab w:leader="none" w:pos="2049"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amend, modify, waive any provision of, terminate prior to its scheduled expiration date, or otherwise compromise in any way, the Trust Agreement or any other Contract related to the Trust Account;</w:t>
      </w:r>
    </w:p>
    <w:p>
      <w:pPr>
        <w:spacing w:after="0" w:line="116" w:lineRule="exact"/>
        <w:rPr>
          <w:rFonts w:ascii="Arial" w:cs="Arial" w:eastAsia="Arial" w:hAnsi="Arial"/>
          <w:sz w:val="18"/>
          <w:szCs w:val="18"/>
          <w:color w:val="auto"/>
        </w:rPr>
      </w:pPr>
    </w:p>
    <w:p>
      <w:pPr>
        <w:ind w:left="880" w:right="679" w:firstLine="870"/>
        <w:spacing w:after="0" w:line="308" w:lineRule="auto"/>
        <w:tabs>
          <w:tab w:leader="none" w:pos="2099" w:val="left"/>
        </w:tabs>
        <w:numPr>
          <w:ilvl w:val="0"/>
          <w:numId w:val="396"/>
        </w:numPr>
        <w:rPr>
          <w:rFonts w:ascii="Arial" w:cs="Arial" w:eastAsia="Arial" w:hAnsi="Arial"/>
          <w:sz w:val="17"/>
          <w:szCs w:val="17"/>
          <w:color w:val="auto"/>
        </w:rPr>
      </w:pPr>
      <w:r>
        <w:rPr>
          <w:rFonts w:ascii="Arial" w:cs="Arial" w:eastAsia="Arial" w:hAnsi="Arial"/>
          <w:sz w:val="17"/>
          <w:szCs w:val="17"/>
          <w:color w:val="auto"/>
        </w:rPr>
        <w:t>make or allow to be made any reduction or increase in the Trust Amount, other than as expressly permitted by Parent’s Organizational Documents and the Trust Agreement;</w:t>
      </w:r>
    </w:p>
    <w:p>
      <w:pPr>
        <w:spacing w:after="0" w:line="65" w:lineRule="exact"/>
        <w:rPr>
          <w:rFonts w:ascii="Arial" w:cs="Arial" w:eastAsia="Arial" w:hAnsi="Arial"/>
          <w:sz w:val="17"/>
          <w:szCs w:val="17"/>
          <w:color w:val="auto"/>
        </w:rPr>
      </w:pPr>
    </w:p>
    <w:p>
      <w:pPr>
        <w:ind w:left="880" w:right="479" w:firstLine="870"/>
        <w:spacing w:after="0" w:line="277" w:lineRule="auto"/>
        <w:tabs>
          <w:tab w:leader="none" w:pos="2149"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amend, modify, waive any provision of, terminate, or otherwise compromise in any way, any Subscription Agreement;</w:t>
      </w:r>
    </w:p>
    <w:p>
      <w:pPr>
        <w:spacing w:after="0" w:line="102" w:lineRule="exact"/>
        <w:rPr>
          <w:rFonts w:ascii="Arial" w:cs="Arial" w:eastAsia="Arial" w:hAnsi="Arial"/>
          <w:sz w:val="18"/>
          <w:szCs w:val="18"/>
          <w:color w:val="auto"/>
        </w:rPr>
      </w:pPr>
    </w:p>
    <w:p>
      <w:pPr>
        <w:ind w:left="880" w:right="579" w:firstLine="870"/>
        <w:spacing w:after="0" w:line="311" w:lineRule="auto"/>
        <w:tabs>
          <w:tab w:leader="none" w:pos="2049" w:val="left"/>
        </w:tabs>
        <w:numPr>
          <w:ilvl w:val="0"/>
          <w:numId w:val="396"/>
        </w:numPr>
        <w:rPr>
          <w:rFonts w:ascii="Arial" w:cs="Arial" w:eastAsia="Arial" w:hAnsi="Arial"/>
          <w:sz w:val="16"/>
          <w:szCs w:val="16"/>
          <w:color w:val="auto"/>
        </w:rPr>
      </w:pPr>
      <w:r>
        <w:rPr>
          <w:rFonts w:ascii="Arial" w:cs="Arial" w:eastAsia="Arial" w:hAnsi="Arial"/>
          <w:sz w:val="16"/>
          <w:szCs w:val="16"/>
          <w:color w:val="auto"/>
        </w:rPr>
        <w:t>incur any loan or Indebtedness or issue or sell any debt securities or warrants or rights to acquire any debt securities of Parent or Merger Sub or assume, guarantee, endorse or otherwise as an accommodation become responsible for the obligations of any Person for Indebtedness;</w:t>
      </w:r>
    </w:p>
    <w:p>
      <w:pPr>
        <w:spacing w:after="0" w:line="81" w:lineRule="exact"/>
        <w:rPr>
          <w:rFonts w:ascii="Arial" w:cs="Arial" w:eastAsia="Arial" w:hAnsi="Arial"/>
          <w:sz w:val="16"/>
          <w:szCs w:val="16"/>
          <w:color w:val="auto"/>
        </w:rPr>
      </w:pPr>
    </w:p>
    <w:p>
      <w:pPr>
        <w:ind w:left="880" w:right="659" w:firstLine="870"/>
        <w:spacing w:after="0" w:line="263" w:lineRule="auto"/>
        <w:tabs>
          <w:tab w:leader="none" w:pos="1999" w:val="left"/>
        </w:tabs>
        <w:numPr>
          <w:ilvl w:val="0"/>
          <w:numId w:val="396"/>
        </w:numPr>
        <w:rPr>
          <w:rFonts w:ascii="Arial" w:cs="Arial" w:eastAsia="Arial" w:hAnsi="Arial"/>
          <w:sz w:val="18"/>
          <w:szCs w:val="18"/>
          <w:color w:val="auto"/>
        </w:rPr>
      </w:pPr>
      <w:r>
        <w:rPr>
          <w:rFonts w:ascii="Arial" w:cs="Arial" w:eastAsia="Arial" w:hAnsi="Arial"/>
          <w:sz w:val="18"/>
          <w:szCs w:val="18"/>
          <w:color w:val="auto"/>
        </w:rPr>
        <w:t>merge or consolidate with or acquire any other Person or business or be acquired by any other Person or enter into any joint venture, partnership, joint marketing or joint development with another Person;</w:t>
      </w:r>
    </w:p>
    <w:p>
      <w:pPr>
        <w:spacing w:after="0" w:line="102" w:lineRule="exact"/>
        <w:rPr>
          <w:rFonts w:ascii="Arial" w:cs="Arial" w:eastAsia="Arial" w:hAnsi="Arial"/>
          <w:sz w:val="18"/>
          <w:szCs w:val="18"/>
          <w:color w:val="auto"/>
        </w:rPr>
      </w:pPr>
    </w:p>
    <w:p>
      <w:pPr>
        <w:ind w:left="880" w:right="519" w:firstLine="870"/>
        <w:spacing w:after="0" w:line="263" w:lineRule="auto"/>
        <w:tabs>
          <w:tab w:leader="none" w:pos="2049"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take any action or enter into any transaction, the effect of which might reasonably be expected to impair, delay, or prevent any required approvals, including expiration of the waiting period of the HSR Act, under antitrust or competition Law;</w:t>
      </w:r>
    </w:p>
    <w:p>
      <w:pPr>
        <w:spacing w:after="0" w:line="116" w:lineRule="exact"/>
        <w:rPr>
          <w:rFonts w:ascii="Arial" w:cs="Arial" w:eastAsia="Arial" w:hAnsi="Arial"/>
          <w:sz w:val="18"/>
          <w:szCs w:val="18"/>
          <w:color w:val="auto"/>
        </w:rPr>
      </w:pPr>
    </w:p>
    <w:p>
      <w:pPr>
        <w:ind w:left="880" w:right="1039" w:firstLine="870"/>
        <w:spacing w:after="0" w:line="277" w:lineRule="auto"/>
        <w:tabs>
          <w:tab w:leader="none" w:pos="2099"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restructuring, recapitalization or other reorganization;</w:t>
      </w:r>
    </w:p>
    <w:p>
      <w:pPr>
        <w:spacing w:after="0" w:line="102" w:lineRule="exact"/>
        <w:rPr>
          <w:rFonts w:ascii="Arial" w:cs="Arial" w:eastAsia="Arial" w:hAnsi="Arial"/>
          <w:sz w:val="18"/>
          <w:szCs w:val="18"/>
          <w:color w:val="auto"/>
        </w:rPr>
      </w:pPr>
    </w:p>
    <w:p>
      <w:pPr>
        <w:ind w:left="880" w:right="519" w:firstLine="870"/>
        <w:spacing w:after="0" w:line="263" w:lineRule="auto"/>
        <w:tabs>
          <w:tab w:leader="none" w:pos="2149"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adopt any Parent Benefit Arrangements not in existence as of the date hereof (excluding any renewal or replacement of any Parent Benefit Arrangements in existence as of the date hereof in the ordinary course), other than the Equity Incentive Plan;</w:t>
      </w:r>
    </w:p>
    <w:p>
      <w:pPr>
        <w:spacing w:after="0" w:line="102" w:lineRule="exact"/>
        <w:rPr>
          <w:rFonts w:ascii="Arial" w:cs="Arial" w:eastAsia="Arial" w:hAnsi="Arial"/>
          <w:sz w:val="18"/>
          <w:szCs w:val="18"/>
          <w:color w:val="auto"/>
        </w:rPr>
      </w:pPr>
    </w:p>
    <w:p>
      <w:pPr>
        <w:ind w:left="880" w:right="499" w:firstLine="870"/>
        <w:spacing w:after="0" w:line="293" w:lineRule="auto"/>
        <w:tabs>
          <w:tab w:leader="none" w:pos="2139" w:val="left"/>
        </w:tabs>
        <w:numPr>
          <w:ilvl w:val="0"/>
          <w:numId w:val="396"/>
        </w:numPr>
        <w:rPr>
          <w:rFonts w:ascii="Arial" w:cs="Arial" w:eastAsia="Arial" w:hAnsi="Arial"/>
          <w:sz w:val="16"/>
          <w:szCs w:val="16"/>
          <w:color w:val="auto"/>
        </w:rPr>
      </w:pPr>
      <w:r>
        <w:rPr>
          <w:rFonts w:ascii="Arial" w:cs="Arial" w:eastAsia="Arial" w:hAnsi="Arial"/>
          <w:sz w:val="16"/>
          <w:szCs w:val="16"/>
          <w:color w:val="auto"/>
        </w:rPr>
        <w:t>declare, set aside, make or pay any dividend or other distribution, payable in cash, stock, property or otherwise, with respect to any of its equity securities or any options, warrants, commitments, subscriptions or rights of any kind to acquire or sell any of its equity securities, or other security interests, including any securities convertible into or exchangeable for any of its equity securities or other security interests of any class and any other equity-based awards, except for redemptions from the Trust Account that are required pursuant to Parent’s Organizational Documents;</w:t>
      </w:r>
    </w:p>
    <w:p>
      <w:pPr>
        <w:spacing w:after="0" w:line="96" w:lineRule="exact"/>
        <w:rPr>
          <w:rFonts w:ascii="Arial" w:cs="Arial" w:eastAsia="Arial" w:hAnsi="Arial"/>
          <w:sz w:val="16"/>
          <w:szCs w:val="16"/>
          <w:color w:val="auto"/>
        </w:rPr>
      </w:pPr>
    </w:p>
    <w:p>
      <w:pPr>
        <w:ind w:left="880" w:right="499" w:firstLine="870"/>
        <w:spacing w:after="0" w:line="273" w:lineRule="auto"/>
        <w:tabs>
          <w:tab w:leader="none" w:pos="2089" w:val="left"/>
        </w:tabs>
        <w:numPr>
          <w:ilvl w:val="0"/>
          <w:numId w:val="396"/>
        </w:numPr>
        <w:rPr>
          <w:rFonts w:ascii="Arial" w:cs="Arial" w:eastAsia="Arial" w:hAnsi="Arial"/>
          <w:sz w:val="17"/>
          <w:szCs w:val="17"/>
          <w:color w:val="auto"/>
        </w:rPr>
      </w:pPr>
      <w:r>
        <w:rPr>
          <w:rFonts w:ascii="Arial" w:cs="Arial" w:eastAsia="Arial" w:hAnsi="Arial"/>
          <w:sz w:val="17"/>
          <w:szCs w:val="17"/>
          <w:color w:val="auto"/>
        </w:rPr>
        <w:t>reclassify, combine, split, subdivide or redeem, or purchase or otherwise acquire, directly or indirectly, any of its equity securities or any options, warrants, commitments, subscriptions or rights of any kind to acquire or sell any of its equity securities, or other security interests, including any securities convertible into or exchangeable for any of its equity securities or other security interests of any class and any other equity-based awards, except for redemptions from the Trust Account that are required pursuant to Parent’s Organizational Documents;</w:t>
      </w:r>
    </w:p>
    <w:p>
      <w:pPr>
        <w:spacing w:after="0" w:line="110" w:lineRule="exact"/>
        <w:rPr>
          <w:rFonts w:ascii="Arial" w:cs="Arial" w:eastAsia="Arial" w:hAnsi="Arial"/>
          <w:sz w:val="17"/>
          <w:szCs w:val="17"/>
          <w:color w:val="auto"/>
        </w:rPr>
      </w:pPr>
    </w:p>
    <w:p>
      <w:pPr>
        <w:ind w:left="880" w:right="939" w:firstLine="870"/>
        <w:spacing w:after="0" w:line="277" w:lineRule="auto"/>
        <w:tabs>
          <w:tab w:leader="none" w:pos="2139" w:val="left"/>
        </w:tabs>
        <w:numPr>
          <w:ilvl w:val="0"/>
          <w:numId w:val="396"/>
        </w:numPr>
        <w:rPr>
          <w:rFonts w:ascii="Arial" w:cs="Arial" w:eastAsia="Arial" w:hAnsi="Arial"/>
          <w:sz w:val="18"/>
          <w:szCs w:val="18"/>
          <w:color w:val="auto"/>
        </w:rPr>
      </w:pPr>
      <w:r>
        <w:rPr>
          <w:rFonts w:ascii="Arial" w:cs="Arial" w:eastAsia="Arial" w:hAnsi="Arial"/>
          <w:sz w:val="18"/>
          <w:szCs w:val="18"/>
          <w:color w:val="auto"/>
        </w:rPr>
        <w:t>change its fiscal year or any material method of accounting or material accounting practice, except for any such change required by GAAP;</w:t>
      </w:r>
    </w:p>
    <w:p>
      <w:pPr>
        <w:spacing w:after="0" w:line="89" w:lineRule="exact"/>
        <w:rPr>
          <w:rFonts w:ascii="Arial" w:cs="Arial" w:eastAsia="Arial" w:hAnsi="Arial"/>
          <w:sz w:val="18"/>
          <w:szCs w:val="18"/>
          <w:color w:val="auto"/>
        </w:rPr>
      </w:pPr>
    </w:p>
    <w:p>
      <w:pPr>
        <w:jc w:val="both"/>
        <w:ind w:left="880" w:right="839" w:firstLine="870"/>
        <w:spacing w:after="0" w:line="311" w:lineRule="auto"/>
        <w:tabs>
          <w:tab w:leader="none" w:pos="2189" w:val="left"/>
        </w:tabs>
        <w:numPr>
          <w:ilvl w:val="0"/>
          <w:numId w:val="396"/>
        </w:numPr>
        <w:rPr>
          <w:rFonts w:ascii="Arial" w:cs="Arial" w:eastAsia="Arial" w:hAnsi="Arial"/>
          <w:sz w:val="16"/>
          <w:szCs w:val="16"/>
          <w:color w:val="auto"/>
        </w:rPr>
      </w:pPr>
      <w:r>
        <w:rPr>
          <w:rFonts w:ascii="Arial" w:cs="Arial" w:eastAsia="Arial" w:hAnsi="Arial"/>
          <w:sz w:val="16"/>
          <w:szCs w:val="16"/>
          <w:color w:val="auto"/>
        </w:rPr>
        <w:t>make (inconsistent with past practice), revoke or change any material Tax election, adopt or change any material Tax accounting method or period, file an amended material Tax Return, enter into any material closing agreement, settlement or settle any material Tax claim or assessment;</w:t>
      </w:r>
    </w:p>
    <w:p>
      <w:pPr>
        <w:spacing w:after="0" w:line="81" w:lineRule="exact"/>
        <w:rPr>
          <w:rFonts w:ascii="Arial" w:cs="Arial" w:eastAsia="Arial" w:hAnsi="Arial"/>
          <w:sz w:val="16"/>
          <w:szCs w:val="16"/>
          <w:color w:val="auto"/>
        </w:rPr>
      </w:pPr>
    </w:p>
    <w:p>
      <w:pPr>
        <w:ind w:left="880" w:right="479" w:firstLine="870"/>
        <w:spacing w:after="0" w:line="342" w:lineRule="auto"/>
        <w:tabs>
          <w:tab w:leader="none" w:pos="2239" w:val="left"/>
        </w:tabs>
        <w:numPr>
          <w:ilvl w:val="0"/>
          <w:numId w:val="396"/>
        </w:numPr>
        <w:rPr>
          <w:rFonts w:ascii="Arial" w:cs="Arial" w:eastAsia="Arial" w:hAnsi="Arial"/>
          <w:sz w:val="16"/>
          <w:szCs w:val="16"/>
          <w:color w:val="auto"/>
        </w:rPr>
      </w:pPr>
      <w:r>
        <w:rPr>
          <w:rFonts w:ascii="Arial" w:cs="Arial" w:eastAsia="Arial" w:hAnsi="Arial"/>
          <w:sz w:val="16"/>
          <w:szCs w:val="16"/>
          <w:color w:val="auto"/>
        </w:rPr>
        <w:t>take any action, or knowingly fail to take any action, where such action or failure to act would reasonably be expected to prevent the Merger from qualifying for the Intended Tax Treatment; or</w:t>
      </w:r>
    </w:p>
    <w:p>
      <w:pPr>
        <w:spacing w:after="0" w:line="56" w:lineRule="exact"/>
        <w:rPr>
          <w:rFonts w:ascii="Arial" w:cs="Arial" w:eastAsia="Arial" w:hAnsi="Arial"/>
          <w:sz w:val="16"/>
          <w:szCs w:val="16"/>
          <w:color w:val="auto"/>
        </w:rPr>
      </w:pPr>
    </w:p>
    <w:p>
      <w:pPr>
        <w:ind w:left="880" w:right="899" w:firstLine="870"/>
        <w:spacing w:after="0" w:line="308" w:lineRule="auto"/>
        <w:tabs>
          <w:tab w:leader="none" w:pos="2139" w:val="left"/>
        </w:tabs>
        <w:numPr>
          <w:ilvl w:val="0"/>
          <w:numId w:val="396"/>
        </w:numPr>
        <w:rPr>
          <w:rFonts w:ascii="Arial" w:cs="Arial" w:eastAsia="Arial" w:hAnsi="Arial"/>
          <w:sz w:val="17"/>
          <w:szCs w:val="17"/>
          <w:color w:val="auto"/>
        </w:rPr>
      </w:pPr>
      <w:r>
        <w:rPr>
          <w:rFonts w:ascii="Arial" w:cs="Arial" w:eastAsia="Arial" w:hAnsi="Arial"/>
          <w:sz w:val="17"/>
          <w:szCs w:val="17"/>
          <w:color w:val="auto"/>
        </w:rPr>
        <w:t>agree or commit to do, or resolve, authorize or approve any action to do, any of the foregoing, or take any action or omission that would result in any of the foregoing.</w:t>
      </w:r>
    </w:p>
    <w:p>
      <w:pPr>
        <w:spacing w:after="0" w:line="65" w:lineRule="exact"/>
        <w:rPr>
          <w:sz w:val="20"/>
          <w:szCs w:val="20"/>
          <w:color w:val="auto"/>
        </w:rPr>
      </w:pPr>
    </w:p>
    <w:p>
      <w:pPr>
        <w:ind w:left="460" w:right="659" w:firstLine="432"/>
        <w:spacing w:after="0" w:line="274" w:lineRule="auto"/>
        <w:rPr>
          <w:sz w:val="20"/>
          <w:szCs w:val="20"/>
          <w:color w:val="auto"/>
        </w:rPr>
      </w:pPr>
      <w:r>
        <w:rPr>
          <w:rFonts w:ascii="Arial" w:cs="Arial" w:eastAsia="Arial" w:hAnsi="Arial"/>
          <w:sz w:val="17"/>
          <w:szCs w:val="17"/>
          <w:color w:val="auto"/>
        </w:rPr>
        <w:t>Parent shall be permitted to request consent from the Company in writing (including by electronic mail) by delivering written notice (including by electronic mail) to any of the individuals specified on</w:t>
      </w:r>
    </w:p>
    <w:p>
      <w:pPr>
        <w:ind w:left="460" w:right="479"/>
        <w:spacing w:after="0" w:line="255" w:lineRule="auto"/>
        <w:rPr>
          <w:sz w:val="20"/>
          <w:szCs w:val="20"/>
          <w:color w:val="auto"/>
        </w:rPr>
      </w:pPr>
      <w:r>
        <w:rPr>
          <w:rFonts w:ascii="Arial" w:cs="Arial" w:eastAsia="Arial" w:hAnsi="Arial"/>
          <w:sz w:val="18"/>
          <w:szCs w:val="18"/>
          <w:u w:val="single" w:color="auto"/>
          <w:color w:val="auto"/>
        </w:rPr>
        <w:t>Schedule 6.1(b)</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6.1</w:t>
      </w:r>
      <w:r>
        <w:rPr>
          <w:rFonts w:ascii="Arial" w:cs="Arial" w:eastAsia="Arial" w:hAnsi="Arial"/>
          <w:sz w:val="18"/>
          <w:szCs w:val="18"/>
          <w:color w:val="auto"/>
        </w:rPr>
        <w:t>, the Company shall respond (including by return email) to such request as promptly as practicable, and if the Company does not respond (including by return email) to any request within two Business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9" w:name="page390"/>
    <w:bookmarkEnd w:id="38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59" w:lineRule="auto"/>
        <w:rPr>
          <w:sz w:val="20"/>
          <w:szCs w:val="20"/>
          <w:color w:val="auto"/>
        </w:rPr>
      </w:pPr>
      <w:r>
        <w:rPr>
          <w:rFonts w:ascii="Arial" w:cs="Arial" w:eastAsia="Arial" w:hAnsi="Arial"/>
          <w:sz w:val="18"/>
          <w:szCs w:val="18"/>
          <w:color w:val="auto"/>
        </w:rPr>
        <w:t xml:space="preserve">Days after Parent delivers such written request for consent to the Company (including at the email addresses set forth in </w:t>
      </w:r>
      <w:r>
        <w:rPr>
          <w:rFonts w:ascii="Arial" w:cs="Arial" w:eastAsia="Arial" w:hAnsi="Arial"/>
          <w:sz w:val="18"/>
          <w:szCs w:val="18"/>
          <w:u w:val="single" w:color="auto"/>
          <w:color w:val="auto"/>
        </w:rPr>
        <w:t>Schedule 6.1(b)</w:t>
      </w:r>
      <w:r>
        <w:rPr>
          <w:rFonts w:ascii="Arial" w:cs="Arial" w:eastAsia="Arial" w:hAnsi="Arial"/>
          <w:sz w:val="18"/>
          <w:szCs w:val="18"/>
          <w:color w:val="auto"/>
        </w:rPr>
        <w:t xml:space="preserve"> or such other email addresses as Parent shall specify in a notice delivered in accordance with </w:t>
      </w:r>
      <w:r>
        <w:rPr>
          <w:rFonts w:ascii="Arial" w:cs="Arial" w:eastAsia="Arial" w:hAnsi="Arial"/>
          <w:sz w:val="18"/>
          <w:szCs w:val="18"/>
          <w:u w:val="single" w:color="auto"/>
          <w:color w:val="auto"/>
        </w:rPr>
        <w:t>Section 10.10</w:t>
      </w:r>
      <w:r>
        <w:rPr>
          <w:rFonts w:ascii="Arial" w:cs="Arial" w:eastAsia="Arial" w:hAnsi="Arial"/>
          <w:sz w:val="18"/>
          <w:szCs w:val="18"/>
          <w:color w:val="auto"/>
        </w:rPr>
        <w:t>), the Company shall be deemed to have provided its prior written consent to the taking of such action.</w:t>
      </w:r>
    </w:p>
    <w:p>
      <w:pPr>
        <w:spacing w:after="0" w:line="119"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Listing</w:t>
      </w:r>
      <w:r>
        <w:rPr>
          <w:rFonts w:ascii="Arial" w:cs="Arial" w:eastAsia="Arial" w:hAnsi="Arial"/>
          <w:sz w:val="16"/>
          <w:szCs w:val="16"/>
          <w:color w:val="auto"/>
        </w:rPr>
        <w:t>. Parent shall use its commercially reasonable efforts: (i) to maintain its existing listing on The Nasdaq Capital Market until the Closing Date and to obtain approval of the listing of the combined company on The Nasdaq Capital Market; (ii) without derogating from the generality of the requirements of clause “(i)” and to the extent required by the rules and regulations of Nasdaq, to (x) prepare and submit to Nasdaq a notification form for the listing of the shares of Parent Common Stock to be issued in the Merger and</w:t>
      </w:r>
    </w:p>
    <w:p>
      <w:pPr>
        <w:spacing w:after="0" w:line="2" w:lineRule="exact"/>
        <w:rPr>
          <w:sz w:val="20"/>
          <w:szCs w:val="20"/>
          <w:color w:val="auto"/>
        </w:rPr>
      </w:pPr>
    </w:p>
    <w:p>
      <w:pPr>
        <w:ind w:left="460" w:right="479" w:hanging="6"/>
        <w:spacing w:after="0" w:line="269" w:lineRule="auto"/>
        <w:tabs>
          <w:tab w:leader="none" w:pos="715" w:val="left"/>
        </w:tabs>
        <w:numPr>
          <w:ilvl w:val="0"/>
          <w:numId w:val="397"/>
        </w:numPr>
        <w:rPr>
          <w:rFonts w:ascii="Arial" w:cs="Arial" w:eastAsia="Arial" w:hAnsi="Arial"/>
          <w:sz w:val="17"/>
          <w:szCs w:val="17"/>
          <w:color w:val="auto"/>
        </w:rPr>
      </w:pPr>
      <w:r>
        <w:rPr>
          <w:rFonts w:ascii="Arial" w:cs="Arial" w:eastAsia="Arial" w:hAnsi="Arial"/>
          <w:sz w:val="17"/>
          <w:szCs w:val="17"/>
          <w:color w:val="auto"/>
        </w:rPr>
        <w:t>to cause such shares to be approved for listing (subject to notice of issuance) on The Nasdaq Capital Market; and (iii) to the extent required by Nasdaq Marketplace Rule 5110, to file an initial listing application for the Parent Common Stock on Nasdaq (the “Nasdaq Listing Application”) and to cause such Nasdaq Listing Application to be conditionally approved prior to the Effective Time. The Company will cooperate with Parent as reasonably requested by Parent with respect to the Nasdaq Listing Application and promptly furnish to Parent all information concerning the Company and its stockholders that may be required or reasonably requested in connection with any action contemplated by this section.</w:t>
      </w:r>
    </w:p>
    <w:p>
      <w:pPr>
        <w:spacing w:after="0" w:line="113" w:lineRule="exact"/>
        <w:rPr>
          <w:sz w:val="20"/>
          <w:szCs w:val="20"/>
          <w:color w:val="auto"/>
        </w:rPr>
      </w:pPr>
    </w:p>
    <w:p>
      <w:pPr>
        <w:ind w:left="460" w:right="639" w:firstLine="432"/>
        <w:spacing w:after="0" w:line="254"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Trust Account</w:t>
      </w:r>
      <w:r>
        <w:rPr>
          <w:rFonts w:ascii="Arial" w:cs="Arial" w:eastAsia="Arial" w:hAnsi="Arial"/>
          <w:sz w:val="18"/>
          <w:szCs w:val="18"/>
          <w:color w:val="auto"/>
        </w:rPr>
        <w:t>. Parent has established the Trust Account from the proceeds of the IPO and from certain private placements occurring simultaneously with the IPO for the benefit of the Parent Public Stockholders and certain parties (including the underwriters of the IPO). Prior to the Closing, Parent shall disburse monies from the Trust Account only (x) to pay income and other tax obligations from any interest income earned in the Trust Account or (y) to redeem Parent Common Stock in accordance with the provisions of Parent’s Organizational Documents. The Trust Agreement will not be amended or modified prior to the Effective Time.</w:t>
      </w:r>
    </w:p>
    <w:p>
      <w:pPr>
        <w:spacing w:after="0" w:line="114"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Insider Letter Agreement</w:t>
      </w:r>
      <w:r>
        <w:rPr>
          <w:rFonts w:ascii="Arial" w:cs="Arial" w:eastAsia="Arial" w:hAnsi="Arial"/>
          <w:sz w:val="18"/>
          <w:szCs w:val="18"/>
          <w:color w:val="auto"/>
        </w:rPr>
        <w:t>. Parent shall ensure that the Insider Letter Agreement shall not be amended, modified, terminated, waived or supplemented and shall remain in full force and effect, and that the Insiders shall vote in favor of this Agreement and the Merger and the other Parent Proposals in accordance with the terms thereof.</w:t>
      </w:r>
    </w:p>
    <w:p>
      <w:pPr>
        <w:spacing w:after="0" w:line="119"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Parent Public Filings</w:t>
      </w:r>
      <w:r>
        <w:rPr>
          <w:rFonts w:ascii="Arial" w:cs="Arial" w:eastAsia="Arial" w:hAnsi="Arial"/>
          <w:sz w:val="18"/>
          <w:szCs w:val="18"/>
          <w:color w:val="auto"/>
        </w:rPr>
        <w:t>. From the date hereof through the Closing, Parent will keep current and timely file all reports required to be filed or furnished with the SEC and otherwise comply in all material respects with its reporting obligations under applicable Laws.</w:t>
      </w:r>
    </w:p>
    <w:p>
      <w:pPr>
        <w:spacing w:after="0" w:line="116" w:lineRule="exact"/>
        <w:rPr>
          <w:sz w:val="20"/>
          <w:szCs w:val="20"/>
          <w:color w:val="auto"/>
        </w:rPr>
      </w:pPr>
    </w:p>
    <w:p>
      <w:pPr>
        <w:ind w:left="460" w:right="599" w:firstLine="432"/>
        <w:spacing w:after="0" w:line="272" w:lineRule="auto"/>
        <w:rPr>
          <w:sz w:val="20"/>
          <w:szCs w:val="20"/>
          <w:color w:val="auto"/>
        </w:rPr>
      </w:pPr>
      <w:r>
        <w:rPr>
          <w:rFonts w:ascii="Arial" w:cs="Arial" w:eastAsia="Arial" w:hAnsi="Arial"/>
          <w:sz w:val="17"/>
          <w:szCs w:val="17"/>
          <w:color w:val="auto"/>
        </w:rPr>
        <w:t xml:space="preserve">Section 6.6 </w:t>
      </w:r>
      <w:r>
        <w:rPr>
          <w:rFonts w:ascii="Arial" w:cs="Arial" w:eastAsia="Arial" w:hAnsi="Arial"/>
          <w:sz w:val="17"/>
          <w:szCs w:val="17"/>
          <w:u w:val="single" w:color="auto"/>
          <w:color w:val="auto"/>
        </w:rPr>
        <w:t>Section 16 Matters</w:t>
      </w:r>
      <w:r>
        <w:rPr>
          <w:rFonts w:ascii="Arial" w:cs="Arial" w:eastAsia="Arial" w:hAnsi="Arial"/>
          <w:sz w:val="17"/>
          <w:szCs w:val="17"/>
          <w:color w:val="auto"/>
        </w:rPr>
        <w:t>. Prior to the Closing, the board of directors of Parent, or an appropriate committee of “non-employee directors” (as defined in Rule 16b-3 of the Exchange Act) thereof, shall adopt a resolution consistent with the interpretive guidance of the SEC so that the acquisition of Merger Consideration pursuant to this Agreement and the other agreements contemplated hereby, by any person owning securities of the Company who is expected to become a director or officer (as defined under Rule 16a-1(f) under the Exchange Act) of Parent following the Closing shall be an exempt transaction for purposes of Section 16(b) of the Exchange Act pursuant to Rule 16b-3 thereunder.</w:t>
      </w:r>
    </w:p>
    <w:p>
      <w:pPr>
        <w:spacing w:after="0" w:line="96"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u w:val="single" w:color="auto"/>
          <w:color w:val="auto"/>
        </w:rPr>
        <w:t>Notice of Changes</w:t>
      </w:r>
      <w:r>
        <w:rPr>
          <w:rFonts w:ascii="Arial" w:cs="Arial" w:eastAsia="Arial" w:hAnsi="Arial"/>
          <w:sz w:val="17"/>
          <w:szCs w:val="17"/>
          <w:color w:val="auto"/>
        </w:rPr>
        <w:t xml:space="preserve">. Parent shall give prompt written notice to the Company of (a) any representation or warranty made by Parent or Merger Sub contained in this Agreement becoming untrue or inaccurate such that the condition set forth in </w:t>
      </w:r>
      <w:r>
        <w:rPr>
          <w:rFonts w:ascii="Arial" w:cs="Arial" w:eastAsia="Arial" w:hAnsi="Arial"/>
          <w:sz w:val="17"/>
          <w:szCs w:val="17"/>
          <w:u w:val="single" w:color="auto"/>
          <w:color w:val="auto"/>
        </w:rPr>
        <w:t>Section 8.3(a)</w:t>
      </w:r>
      <w:r>
        <w:rPr>
          <w:rFonts w:ascii="Arial" w:cs="Arial" w:eastAsia="Arial" w:hAnsi="Arial"/>
          <w:sz w:val="17"/>
          <w:szCs w:val="17"/>
          <w:color w:val="auto"/>
        </w:rPr>
        <w:t xml:space="preserve"> would not be satisfied, (b) any breach of any covenant or agreement of Parent or Merger Sub contained in this Agreement such that the condition set forth in </w:t>
      </w:r>
      <w:r>
        <w:rPr>
          <w:rFonts w:ascii="Arial" w:cs="Arial" w:eastAsia="Arial" w:hAnsi="Arial"/>
          <w:sz w:val="17"/>
          <w:szCs w:val="17"/>
          <w:u w:val="single" w:color="auto"/>
          <w:color w:val="auto"/>
        </w:rPr>
        <w:t>Section 8.3(b)</w:t>
      </w:r>
      <w:r>
        <w:rPr>
          <w:rFonts w:ascii="Arial" w:cs="Arial" w:eastAsia="Arial" w:hAnsi="Arial"/>
          <w:sz w:val="17"/>
          <w:szCs w:val="17"/>
          <w:color w:val="auto"/>
        </w:rPr>
        <w:t xml:space="preserve"> would not be satisfied, (c) any event, circumstance or development that would reasonably be expected to have a Parent Material Adverse Effect; and (d) any Proceeding initiated by or against the Parent or its Subsidiaries or any of their predecessors or against any officer or director of the Parent or any of its Subsidiaries in their capacity; provided, however, that in each case (i) no such notification shall affect the representations, warranties, covenants, agreements or conditions to the obligations of the Parties under this Agreement and (ii) no such notification shall be deemed to cure any breach of any covenant or agreement or inaccuracy of any representation or warranty.</w:t>
      </w:r>
    </w:p>
    <w:p>
      <w:pPr>
        <w:spacing w:after="0" w:line="114"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 xml:space="preserve">Section 6.8 </w:t>
      </w:r>
      <w:r>
        <w:rPr>
          <w:rFonts w:ascii="Arial" w:cs="Arial" w:eastAsia="Arial" w:hAnsi="Arial"/>
          <w:sz w:val="17"/>
          <w:szCs w:val="17"/>
          <w:u w:val="single" w:color="auto"/>
          <w:color w:val="auto"/>
        </w:rPr>
        <w:t>Adoption of Equity Incentive Plan</w:t>
      </w:r>
      <w:r>
        <w:rPr>
          <w:rFonts w:ascii="Arial" w:cs="Arial" w:eastAsia="Arial" w:hAnsi="Arial"/>
          <w:sz w:val="17"/>
          <w:szCs w:val="17"/>
          <w:color w:val="auto"/>
        </w:rPr>
        <w:t xml:space="preserve">. Prior to the Closing Date, Parent shall approve and adopt an Equity Incentive Plan in substantially the form attached hereto as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(with such changes as may be agreed in writing by Parent and the Company, the “</w:t>
      </w:r>
      <w:r>
        <w:rPr>
          <w:rFonts w:ascii="Arial" w:cs="Arial" w:eastAsia="Arial" w:hAnsi="Arial"/>
          <w:sz w:val="17"/>
          <w:szCs w:val="17"/>
          <w:u w:val="single" w:color="auto"/>
          <w:color w:val="auto"/>
        </w:rPr>
        <w:t>Equity Incentive Plan</w:t>
      </w:r>
      <w:r>
        <w:rPr>
          <w:rFonts w:ascii="Arial" w:cs="Arial" w:eastAsia="Arial" w:hAnsi="Arial"/>
          <w:sz w:val="17"/>
          <w:szCs w:val="17"/>
          <w:color w:val="auto"/>
        </w:rPr>
        <w:t xml:space="preserve">”) and an employee stock purchase plan in substantially in the form attached hereto as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(with such changes as may be agreed in writing by Parent and the Company, the “</w:t>
      </w:r>
      <w:r>
        <w:rPr>
          <w:rFonts w:ascii="Arial" w:cs="Arial" w:eastAsia="Arial" w:hAnsi="Arial"/>
          <w:sz w:val="17"/>
          <w:szCs w:val="17"/>
          <w:u w:val="single" w:color="auto"/>
          <w:color w:val="auto"/>
        </w:rPr>
        <w:t>ESPP</w:t>
      </w:r>
      <w:r>
        <w:rPr>
          <w:rFonts w:ascii="Arial" w:cs="Arial" w:eastAsia="Arial" w:hAnsi="Arial"/>
          <w:sz w:val="17"/>
          <w:szCs w:val="17"/>
          <w:color w:val="auto"/>
        </w:rPr>
        <w:t>”) with share reserves and shares issuable to be included in the respective plans (as applicable) as are mutually agreed to by the parties prior to the Closing, subject to any applicable SEC disclosure requirements in connection therewith.</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0" w:name="page391"/>
    <w:bookmarkEnd w:id="39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ACTIONS PRIOR TO THE CLOSING</w:t>
      </w:r>
    </w:p>
    <w:p>
      <w:pPr>
        <w:spacing w:after="0" w:line="158" w:lineRule="exact"/>
        <w:rPr>
          <w:sz w:val="20"/>
          <w:szCs w:val="20"/>
          <w:color w:val="auto"/>
        </w:rPr>
      </w:pPr>
    </w:p>
    <w:p>
      <w:pPr>
        <w:ind w:left="460" w:right="599" w:firstLine="432"/>
        <w:spacing w:after="0" w:line="284"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No Shop</w:t>
      </w:r>
      <w:r>
        <w:rPr>
          <w:rFonts w:ascii="Arial" w:cs="Arial" w:eastAsia="Arial" w:hAnsi="Arial"/>
          <w:sz w:val="16"/>
          <w:szCs w:val="16"/>
          <w:color w:val="auto"/>
        </w:rPr>
        <w:t xml:space="preserve">. From the date hereof through the earlier of (a) the Closing Date, and (b) the date that this Agreement is properly terminated in accordance with </w:t>
      </w:r>
      <w:r>
        <w:rPr>
          <w:rFonts w:ascii="Arial" w:cs="Arial" w:eastAsia="Arial" w:hAnsi="Arial"/>
          <w:sz w:val="16"/>
          <w:szCs w:val="16"/>
          <w:u w:val="single" w:color="auto"/>
          <w:color w:val="auto"/>
        </w:rPr>
        <w:t>Article VIII</w:t>
      </w:r>
      <w:r>
        <w:rPr>
          <w:rFonts w:ascii="Arial" w:cs="Arial" w:eastAsia="Arial" w:hAnsi="Arial"/>
          <w:sz w:val="16"/>
          <w:szCs w:val="16"/>
          <w:color w:val="auto"/>
        </w:rPr>
        <w:t>, neither the Company, on the one hand, nor the Parent, on the other hand, shall, and such Persons shall use commercially reasonable efforts to cause each of their respective members, officers, directors, Affiliates, managers, consultants, employees, representatives and agents not to, directly or indirectly, (i) encourage, solicit, initiate, engage, participate, enter into discussions or negotiations with, or make any proposal to, any Person concerning any Alternative Transaction, (ii) take any other action intended or designed to facilitate the efforts of any Person relating to a possible Alternative Transaction (including, without limitation, providing any due diligence materials),</w:t>
      </w:r>
    </w:p>
    <w:p>
      <w:pPr>
        <w:spacing w:after="0" w:line="1" w:lineRule="exact"/>
        <w:rPr>
          <w:sz w:val="20"/>
          <w:szCs w:val="20"/>
          <w:color w:val="auto"/>
        </w:rPr>
      </w:pPr>
    </w:p>
    <w:p>
      <w:pPr>
        <w:ind w:left="460" w:right="499" w:hanging="6"/>
        <w:spacing w:after="0" w:line="285" w:lineRule="auto"/>
        <w:tabs>
          <w:tab w:leader="none" w:pos="775" w:val="left"/>
        </w:tabs>
        <w:numPr>
          <w:ilvl w:val="0"/>
          <w:numId w:val="398"/>
        </w:numPr>
        <w:rPr>
          <w:rFonts w:ascii="Arial" w:cs="Arial" w:eastAsia="Arial" w:hAnsi="Arial"/>
          <w:sz w:val="16"/>
          <w:szCs w:val="16"/>
          <w:color w:val="auto"/>
        </w:rPr>
      </w:pPr>
      <w:r>
        <w:rPr>
          <w:rFonts w:ascii="Arial" w:cs="Arial" w:eastAsia="Arial" w:hAnsi="Arial"/>
          <w:sz w:val="16"/>
          <w:szCs w:val="16"/>
          <w:color w:val="auto"/>
        </w:rPr>
        <w:t>grant any waiver, amendment or release under any confidentiality agreement or the anti-takeover laws of any state, or (iv) approve, recommend or enter into any Alternative Transaction or any Contract related to any Alternative Transaction. In the event that there is an unsolicited proposal for, or an indication of an interest in entering into, an Alternative Transaction, communicated orally or in writing to the Company or Parent or any of their respective representatives or agents (each, an “</w:t>
      </w:r>
      <w:r>
        <w:rPr>
          <w:rFonts w:ascii="Arial" w:cs="Arial" w:eastAsia="Arial" w:hAnsi="Arial"/>
          <w:sz w:val="16"/>
          <w:szCs w:val="16"/>
          <w:u w:val="single" w:color="auto"/>
          <w:color w:val="auto"/>
        </w:rPr>
        <w:t>Alternative Proposal</w:t>
      </w:r>
      <w:r>
        <w:rPr>
          <w:rFonts w:ascii="Arial" w:cs="Arial" w:eastAsia="Arial" w:hAnsi="Arial"/>
          <w:sz w:val="16"/>
          <w:szCs w:val="16"/>
          <w:color w:val="auto"/>
        </w:rPr>
        <w:t>”), such party shall as promptly as practicable (and in any event within one Business Day after receipt) advise the other Party orally and in writing of such Alternative Proposal and the material terms and conditions of such Alternative Proposal (including any changes thereto). The Company and Parent shall keep the other Party informed on a reasonably current basis of material developments with respect to any such Alternative Proposal. From and after the date hereof, the Company, on the one hand, and the Parent, on the other hand, shall, instruct their officers and directors to, and such parties shall instruct and cause its representatives to, immediately cease and terminate all discussions and negotiations with any Persons that may be ongoing with respect to an Alternative Transaction.</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Efforts to Consummate the Transactions</w:t>
      </w:r>
      <w:r>
        <w:rPr>
          <w:rFonts w:ascii="Arial" w:cs="Arial" w:eastAsia="Arial" w:hAnsi="Arial"/>
          <w:sz w:val="18"/>
          <w:szCs w:val="18"/>
          <w:color w:val="auto"/>
        </w:rPr>
        <w:t>.</w:t>
      </w:r>
    </w:p>
    <w:p>
      <w:pPr>
        <w:spacing w:after="0" w:line="144" w:lineRule="exact"/>
        <w:rPr>
          <w:sz w:val="20"/>
          <w:szCs w:val="20"/>
          <w:color w:val="auto"/>
        </w:rPr>
      </w:pPr>
    </w:p>
    <w:p>
      <w:pPr>
        <w:ind w:left="460" w:right="499" w:firstLine="858"/>
        <w:spacing w:after="0" w:line="283" w:lineRule="auto"/>
        <w:tabs>
          <w:tab w:leader="none" w:pos="1569" w:val="left"/>
        </w:tabs>
        <w:numPr>
          <w:ilvl w:val="1"/>
          <w:numId w:val="399"/>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herein provided, each of Parent, Merger Sub and the Company shall use reasonable best efforts to take, or cause to be taken, all action and to do, or cause to be done, all things reasonably necessary, proper or advisable to consummate and make effective as promptly as practicable the Merger (including the satisfaction, but not waiver, of the closing conditions set forth in </w:t>
      </w:r>
      <w:r>
        <w:rPr>
          <w:rFonts w:ascii="Arial" w:cs="Arial" w:eastAsia="Arial" w:hAnsi="Arial"/>
          <w:sz w:val="16"/>
          <w:szCs w:val="16"/>
          <w:u w:val="single" w:color="auto"/>
          <w:color w:val="auto"/>
        </w:rPr>
        <w:t>Article VIII</w:t>
      </w:r>
      <w:r>
        <w:rPr>
          <w:rFonts w:ascii="Arial" w:cs="Arial" w:eastAsia="Arial" w:hAnsi="Arial"/>
          <w:sz w:val="16"/>
          <w:szCs w:val="16"/>
          <w:color w:val="auto"/>
        </w:rPr>
        <w:t>). Without limiting the foregoing, Parent will take all action necessary to cause Merger Sub to perform its obligations under this Agreement. Each of Parent, Merger Sub and the Company shall use reasonable best efforts to obtain consents of any Governmental Authority necessary to consummate the Transactions, including to make all filings contemplated under the HSR Act as promptly as practicable and, in any event, shall each file the Notification and Report Form under the HSR Act, if required, no more than ten</w:t>
      </w:r>
    </w:p>
    <w:p>
      <w:pPr>
        <w:spacing w:after="0" w:line="5" w:lineRule="exact"/>
        <w:rPr>
          <w:rFonts w:ascii="Arial" w:cs="Arial" w:eastAsia="Arial" w:hAnsi="Arial"/>
          <w:sz w:val="16"/>
          <w:szCs w:val="16"/>
          <w:color w:val="auto"/>
        </w:rPr>
      </w:pPr>
    </w:p>
    <w:p>
      <w:pPr>
        <w:ind w:left="460" w:right="679" w:hanging="6"/>
        <w:spacing w:after="0" w:line="260" w:lineRule="auto"/>
        <w:tabs>
          <w:tab w:leader="none" w:pos="805" w:val="left"/>
        </w:tabs>
        <w:numPr>
          <w:ilvl w:val="0"/>
          <w:numId w:val="400"/>
        </w:numPr>
        <w:rPr>
          <w:rFonts w:ascii="Arial" w:cs="Arial" w:eastAsia="Arial" w:hAnsi="Arial"/>
          <w:sz w:val="18"/>
          <w:szCs w:val="18"/>
          <w:color w:val="auto"/>
        </w:rPr>
      </w:pPr>
      <w:r>
        <w:rPr>
          <w:rFonts w:ascii="Arial" w:cs="Arial" w:eastAsia="Arial" w:hAnsi="Arial"/>
          <w:sz w:val="18"/>
          <w:szCs w:val="18"/>
          <w:color w:val="auto"/>
        </w:rPr>
        <w:t>Business Days after the as of the date of this Agreement. The parties agree to request at the time of filing early termination of the applicable waiting period under the HSR Act.</w:t>
      </w:r>
    </w:p>
    <w:p>
      <w:pPr>
        <w:spacing w:after="0" w:line="117" w:lineRule="exact"/>
        <w:rPr>
          <w:rFonts w:ascii="Arial" w:cs="Arial" w:eastAsia="Arial" w:hAnsi="Arial"/>
          <w:sz w:val="18"/>
          <w:szCs w:val="18"/>
          <w:color w:val="auto"/>
        </w:rPr>
      </w:pPr>
    </w:p>
    <w:p>
      <w:pPr>
        <w:ind w:left="460" w:right="459" w:firstLine="858"/>
        <w:spacing w:after="0" w:line="285" w:lineRule="auto"/>
        <w:tabs>
          <w:tab w:leader="none" w:pos="1579" w:val="left"/>
        </w:tabs>
        <w:numPr>
          <w:ilvl w:val="1"/>
          <w:numId w:val="400"/>
        </w:numPr>
        <w:rPr>
          <w:rFonts w:ascii="Arial" w:cs="Arial" w:eastAsia="Arial" w:hAnsi="Arial"/>
          <w:sz w:val="16"/>
          <w:szCs w:val="16"/>
          <w:color w:val="auto"/>
        </w:rPr>
      </w:pPr>
      <w:r>
        <w:rPr>
          <w:rFonts w:ascii="Arial" w:cs="Arial" w:eastAsia="Arial" w:hAnsi="Arial"/>
          <w:sz w:val="16"/>
          <w:szCs w:val="16"/>
          <w:color w:val="auto"/>
        </w:rPr>
        <w:t>Without limiting the foregoing, the Parties agree to use reasonable best efforts to (1) promptly notify the other of, and if in writing, furnish the other with copies of (or, in the case of oral communications, advise the other of) any communications from or with any Governmental Authority with respect to the this Agreement or the Transactions contemplated hereby, (2) permit the other to review and discuss in advance, and consider in good faith the view of the other in connection with, any proposed written or oral communication with any Governmental Authority, (3) not participate in any substantive meeting or have any substantive communication with any Governmental Authority unless it has given the other party a reasonable opportunity to consult with it in advance and, to the extent permitted by such Governmental Authority, gives the other the opportunity to attend and participate therein, (4) furnish the other Party’s outside legal counsel with copies of all filings and communications between it and any such Governmental Authority with respect to this Agreement and the transactions contemplated hereby; provided that such material may (a) be redacted as necessary (I) to comply with contractual arrangements, (II) to address legal privilege concerns, or (III) to remove references concerning the valuation of the parties or (b) be designated as “outside counsel only,” which materials and the information contained therein shall be given only to outside counsel and previously-agreed outside economic consultants of the recipient and will not be disclosed by such outside counsel or outside economic consultants to employees, officers, or directors of the recipient without the advance written consent of the party providing such materials; and (5) furnish the other Party’s outside legal counsel with such necessary information and reasonable assistance as the other Party’s outside legal counsel may reasonably request in connection with its preparation of necessary submissions of information to any such Governmental Authority.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1" w:name="page392"/>
    <w:bookmarkEnd w:id="39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858"/>
        <w:spacing w:after="0" w:line="255" w:lineRule="auto"/>
        <w:tabs>
          <w:tab w:leader="none" w:pos="1569" w:val="left"/>
        </w:tabs>
        <w:numPr>
          <w:ilvl w:val="0"/>
          <w:numId w:val="401"/>
        </w:numPr>
        <w:rPr>
          <w:rFonts w:ascii="Arial" w:cs="Arial" w:eastAsia="Arial" w:hAnsi="Arial"/>
          <w:sz w:val="18"/>
          <w:szCs w:val="18"/>
          <w:color w:val="auto"/>
        </w:rPr>
      </w:pPr>
      <w:r>
        <w:rPr>
          <w:rFonts w:ascii="Arial" w:cs="Arial" w:eastAsia="Arial" w:hAnsi="Arial"/>
          <w:sz w:val="18"/>
          <w:szCs w:val="18"/>
          <w:color w:val="auto"/>
        </w:rPr>
        <w:t>In the event any Proceeding by any Governmental Authority or other Person is commenced which questions the validity or legality of the Merger or seeks damages in connection therewith, Parent, Merger Sub and the Company agree to cooperate and use their reasonable best efforts to defend against such Proceeding and, if an injunction or other Order is issued in any such Proceeding, to use reasonable best efforts to have such injunction or other Order lifted, and to cooperate reasonably regarding any other impediment to the consummation of the Merger.</w:t>
      </w:r>
    </w:p>
    <w:p>
      <w:pPr>
        <w:spacing w:after="0" w:line="124" w:lineRule="exact"/>
        <w:rPr>
          <w:rFonts w:ascii="Arial" w:cs="Arial" w:eastAsia="Arial" w:hAnsi="Arial"/>
          <w:sz w:val="18"/>
          <w:szCs w:val="18"/>
          <w:color w:val="auto"/>
        </w:rPr>
      </w:pPr>
    </w:p>
    <w:p>
      <w:pPr>
        <w:ind w:left="460" w:right="499" w:firstLine="858"/>
        <w:spacing w:after="0" w:line="255" w:lineRule="auto"/>
        <w:tabs>
          <w:tab w:leader="none" w:pos="1579" w:val="left"/>
        </w:tabs>
        <w:numPr>
          <w:ilvl w:val="0"/>
          <w:numId w:val="401"/>
        </w:numPr>
        <w:rPr>
          <w:rFonts w:ascii="Arial" w:cs="Arial" w:eastAsia="Arial" w:hAnsi="Arial"/>
          <w:sz w:val="18"/>
          <w:szCs w:val="18"/>
          <w:color w:val="auto"/>
        </w:rPr>
      </w:pPr>
      <w:r>
        <w:rPr>
          <w:rFonts w:ascii="Arial" w:cs="Arial" w:eastAsia="Arial" w:hAnsi="Arial"/>
          <w:sz w:val="18"/>
          <w:szCs w:val="18"/>
          <w:color w:val="auto"/>
        </w:rPr>
        <w:t xml:space="preserve">Notwithstanding the foregoing, nothing in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shall require, or be construed to require, Parent, Merger Sub or the Company or any of their respective Affiliates to agree to (i) sell, hold, divest, discontinue or limit, before or after the Closing Date, any assets, businesses or interests of Parent, Merger Sub or the Company or any of their respective Affiliates; (ii) any conditions relating to, or changes or restrictions in, the operations of any such assets, businesses or interests; or (iii) any modification or waiver of the terms and conditions of this Agreement.</w:t>
      </w:r>
    </w:p>
    <w:p>
      <w:pPr>
        <w:spacing w:after="0" w:line="124" w:lineRule="exact"/>
        <w:rPr>
          <w:rFonts w:ascii="Arial" w:cs="Arial" w:eastAsia="Arial" w:hAnsi="Arial"/>
          <w:sz w:val="18"/>
          <w:szCs w:val="18"/>
          <w:color w:val="auto"/>
        </w:rPr>
      </w:pPr>
    </w:p>
    <w:p>
      <w:pPr>
        <w:ind w:left="460" w:right="479" w:firstLine="858"/>
        <w:spacing w:after="0" w:line="279" w:lineRule="auto"/>
        <w:tabs>
          <w:tab w:leader="none" w:pos="1569" w:val="left"/>
        </w:tabs>
        <w:numPr>
          <w:ilvl w:val="0"/>
          <w:numId w:val="401"/>
        </w:numPr>
        <w:rPr>
          <w:rFonts w:ascii="Arial" w:cs="Arial" w:eastAsia="Arial" w:hAnsi="Arial"/>
          <w:sz w:val="17"/>
          <w:szCs w:val="17"/>
          <w:color w:val="auto"/>
        </w:rPr>
      </w:pPr>
      <w:r>
        <w:rPr>
          <w:rFonts w:ascii="Arial" w:cs="Arial" w:eastAsia="Arial" w:hAnsi="Arial"/>
          <w:sz w:val="17"/>
          <w:szCs w:val="17"/>
          <w:color w:val="auto"/>
        </w:rPr>
        <w:t xml:space="preserve">The Company shall use its commercially reasonable efforts to obtain or provide, as applicable, at the earliest practicable date, all consents, approvals and notices listed in </w:t>
      </w:r>
      <w:r>
        <w:rPr>
          <w:rFonts w:ascii="Arial" w:cs="Arial" w:eastAsia="Arial" w:hAnsi="Arial"/>
          <w:sz w:val="17"/>
          <w:szCs w:val="17"/>
          <w:u w:val="single" w:color="auto"/>
          <w:color w:val="auto"/>
        </w:rPr>
        <w:t>Schedule 7.2(e)</w:t>
      </w:r>
      <w:r>
        <w:rPr>
          <w:rFonts w:ascii="Arial" w:cs="Arial" w:eastAsia="Arial" w:hAnsi="Arial"/>
          <w:sz w:val="17"/>
          <w:szCs w:val="17"/>
          <w:color w:val="auto"/>
        </w:rPr>
        <w:t xml:space="preserve">. The Company shall keep Parent apprised of its efforts undertaken by reason of this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and the results of such efforts including by giving Parent copies of consents obtained and notices provided.</w:t>
      </w:r>
    </w:p>
    <w:p>
      <w:pPr>
        <w:spacing w:after="0" w:line="90"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PIPE Financing</w:t>
      </w:r>
      <w:r>
        <w:rPr>
          <w:rFonts w:ascii="Arial" w:cs="Arial" w:eastAsia="Arial" w:hAnsi="Arial"/>
          <w:sz w:val="16"/>
          <w:szCs w:val="16"/>
          <w:color w:val="auto"/>
        </w:rPr>
        <w:t>. Unless otherwise approved in writing by the Company, which approval shall not be unreasonably withheld, Parent shall not permit any amendment or modification to be made to, any waiver (in whole or in part) of, or provide consent to modify (including consent to terminate), any provision or remedy under, or any replacements of, any of the Subscription Agreements, in each case, other than as a result of any assignment or transfer contemplated therein or permitted thereby. Subject to the immediately preceding sentence and in the event that all conditions in the Subscription Agreements have been satisfied, Parent shall use its commercially reasonable efforts to take, or to cause to be taken, all actions required, necessary or that it otherwise deems to be proper or advisable to consummate the transactions contemplated by the Subscription Agreements on the terms described therein, including to enforce its rights under the Subscription Agreements to cause the PIPE Investors to pay to (or as directed by) Parent the applicable purchase price under each PIPE Investor’s applicable Subscription Agreement in accordance with its terms.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Cooperation with Proxy Statement; Other Filings</w:t>
      </w:r>
      <w:r>
        <w:rPr>
          <w:rFonts w:ascii="Arial" w:cs="Arial" w:eastAsia="Arial" w:hAnsi="Arial"/>
          <w:sz w:val="18"/>
          <w:szCs w:val="18"/>
          <w:color w:val="auto"/>
        </w:rPr>
        <w:t>.</w:t>
      </w:r>
    </w:p>
    <w:p>
      <w:pPr>
        <w:spacing w:after="0" w:line="158" w:lineRule="exact"/>
        <w:rPr>
          <w:sz w:val="20"/>
          <w:szCs w:val="20"/>
          <w:color w:val="auto"/>
        </w:rPr>
      </w:pPr>
    </w:p>
    <w:p>
      <w:pPr>
        <w:ind w:left="460" w:right="499" w:firstLine="858"/>
        <w:spacing w:after="0" w:line="269" w:lineRule="auto"/>
        <w:tabs>
          <w:tab w:leader="none" w:pos="1569" w:val="left"/>
        </w:tabs>
        <w:numPr>
          <w:ilvl w:val="0"/>
          <w:numId w:val="402"/>
        </w:numPr>
        <w:rPr>
          <w:rFonts w:ascii="Arial" w:cs="Arial" w:eastAsia="Arial" w:hAnsi="Arial"/>
          <w:sz w:val="17"/>
          <w:szCs w:val="17"/>
          <w:color w:val="auto"/>
        </w:rPr>
      </w:pPr>
      <w:r>
        <w:rPr>
          <w:rFonts w:ascii="Arial" w:cs="Arial" w:eastAsia="Arial" w:hAnsi="Arial"/>
          <w:sz w:val="17"/>
          <w:szCs w:val="17"/>
          <w:color w:val="auto"/>
        </w:rPr>
        <w:t>The Company shall promptly provide to Parent such information concerning the Company and the Stockholders as is either required by the federal securities Laws, or reasonably requested by Parent for inclusion in the Form S-4 (as hereinafter defined) and Offer Documents (as hereinafter defined). As promptly as practicable after the receipt by Parent from the Company of all such information relating to the Company, Parent shall prepare and file with the SEC, and with all other applicable regulatory bodies, a Registration Statement on Form S-4 (the “</w:t>
      </w:r>
      <w:r>
        <w:rPr>
          <w:rFonts w:ascii="Arial" w:cs="Arial" w:eastAsia="Arial" w:hAnsi="Arial"/>
          <w:sz w:val="17"/>
          <w:szCs w:val="17"/>
          <w:u w:val="single" w:color="auto"/>
          <w:color w:val="auto"/>
        </w:rPr>
        <w:t>Form S-4</w:t>
      </w:r>
      <w:r>
        <w:rPr>
          <w:rFonts w:ascii="Arial" w:cs="Arial" w:eastAsia="Arial" w:hAnsi="Arial"/>
          <w:sz w:val="17"/>
          <w:szCs w:val="17"/>
          <w:color w:val="auto"/>
        </w:rPr>
        <w:t>”), which shall include proxy materials in the form of a proxy statement (the “</w:t>
      </w:r>
      <w:r>
        <w:rPr>
          <w:rFonts w:ascii="Arial" w:cs="Arial" w:eastAsia="Arial" w:hAnsi="Arial"/>
          <w:sz w:val="17"/>
          <w:szCs w:val="17"/>
          <w:u w:val="single" w:color="auto"/>
          <w:color w:val="auto"/>
        </w:rPr>
        <w:t>Proxy Statement</w:t>
      </w:r>
      <w:r>
        <w:rPr>
          <w:rFonts w:ascii="Arial" w:cs="Arial" w:eastAsia="Arial" w:hAnsi="Arial"/>
          <w:sz w:val="17"/>
          <w:szCs w:val="17"/>
          <w:color w:val="auto"/>
        </w:rPr>
        <w:t>”) for the purpose of soliciting proxies from holders of Parent Common Stock to, among other things, vote in favor of the adoption the Parent Proposals at the Parent Stockholder Meeting. All Parent Common Stock issuable in the Merger shall be registered in the Form S-4. Parent shall promptly respond to any SEC comments on the Form S-4.</w:t>
      </w:r>
    </w:p>
    <w:p>
      <w:pPr>
        <w:spacing w:after="0" w:line="104" w:lineRule="exact"/>
        <w:rPr>
          <w:rFonts w:ascii="Arial" w:cs="Arial" w:eastAsia="Arial" w:hAnsi="Arial"/>
          <w:sz w:val="17"/>
          <w:szCs w:val="17"/>
          <w:color w:val="auto"/>
        </w:rPr>
      </w:pPr>
    </w:p>
    <w:p>
      <w:pPr>
        <w:ind w:left="460" w:right="479" w:firstLine="858"/>
        <w:spacing w:after="0" w:line="285" w:lineRule="auto"/>
        <w:tabs>
          <w:tab w:leader="none" w:pos="1579" w:val="left"/>
        </w:tabs>
        <w:numPr>
          <w:ilvl w:val="0"/>
          <w:numId w:val="402"/>
        </w:numPr>
        <w:rPr>
          <w:rFonts w:ascii="Arial" w:cs="Arial" w:eastAsia="Arial" w:hAnsi="Arial"/>
          <w:sz w:val="16"/>
          <w:szCs w:val="16"/>
          <w:color w:val="auto"/>
        </w:rPr>
      </w:pPr>
      <w:r>
        <w:rPr>
          <w:rFonts w:ascii="Arial" w:cs="Arial" w:eastAsia="Arial" w:hAnsi="Arial"/>
          <w:sz w:val="16"/>
          <w:szCs w:val="16"/>
          <w:color w:val="auto"/>
        </w:rPr>
        <w:t>Parent (i) shall permit the Company and its counsel to review and comment on the Form S-4/Proxy Statement, and all exhibits, amendments or supplements thereto (or other related documents); (ii) shall consider any such comments in good faith and shall accept all reasonable additions, deletions or changes suggested by the Company and its counsel in connection therewith; and (iii) shall not file the Form S-4/Proxy Statement, or any exhibit, amendment or supplement thereto without the prior written consent of the Company, not to be unreasonably withheld, conditioned or delayed. As promptly as practicable after receipt thereof, Parent shall provide to the Company and its counsel notice and a copy of all correspondence (or, to the extent such correspondence is oral, a complete summary thereof), including any comments from the SEC or its staff, between Parent or any of its representatives, on the one hand, and the SEC, or its staff or other government officials, on the other hand, with respect to the Form S-4/Proxy Statement, and, in each case, shall consult with the Company and its counsel concerning any such correspondence. Parent shall not file any response letters to any comments from the SEC without the prior written consent of the Company, such consent not to be unreasonably withheld, conditioned or delayed. Parent will advise the Company, promptly after it receives notice thereof, of the time when the Form S-4/Proxy Statement or any amendment or supplement thereto has been filed with the SEC, when all SEC comments to the Form S-4/Proxy Statement have been cleared and when the Form S-4/Proxy Statement will be, and is, declared effective.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2" w:name="page393"/>
    <w:bookmarkEnd w:id="39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858"/>
        <w:spacing w:after="0" w:line="253" w:lineRule="auto"/>
        <w:tabs>
          <w:tab w:leader="none" w:pos="1569" w:val="left"/>
        </w:tabs>
        <w:numPr>
          <w:ilvl w:val="1"/>
          <w:numId w:val="403"/>
        </w:numPr>
        <w:rPr>
          <w:rFonts w:ascii="Arial" w:cs="Arial" w:eastAsia="Arial" w:hAnsi="Arial"/>
          <w:sz w:val="18"/>
          <w:szCs w:val="18"/>
          <w:color w:val="auto"/>
        </w:rPr>
      </w:pPr>
      <w:r>
        <w:rPr>
          <w:rFonts w:ascii="Arial" w:cs="Arial" w:eastAsia="Arial" w:hAnsi="Arial"/>
          <w:sz w:val="18"/>
          <w:szCs w:val="18"/>
          <w:color w:val="auto"/>
        </w:rPr>
        <w:t>Promptly following the date on which the Form S-4/Proxy Statement is declared effective by the SEC (the “</w:t>
      </w:r>
      <w:r>
        <w:rPr>
          <w:rFonts w:ascii="Arial" w:cs="Arial" w:eastAsia="Arial" w:hAnsi="Arial"/>
          <w:sz w:val="18"/>
          <w:szCs w:val="18"/>
          <w:u w:val="single" w:color="auto"/>
          <w:color w:val="auto"/>
        </w:rPr>
        <w:t>Form S-4 Effective Date</w:t>
      </w:r>
      <w:r>
        <w:rPr>
          <w:rFonts w:ascii="Arial" w:cs="Arial" w:eastAsia="Arial" w:hAnsi="Arial"/>
          <w:sz w:val="18"/>
          <w:szCs w:val="18"/>
          <w:color w:val="auto"/>
        </w:rPr>
        <w:t xml:space="preserve">”), Parent shall distribute the Proxy Statement to the holders of Parent Common Stock and, pursuant thereto, shall call a Parent Stockholder Meeting in accordance with its Organizational Documents and the DGCL to (i) solicit proxies from such holders to vote in favor of the adoption of this Agreement and the Merger and the approval of the other matters presented to Parent Stockholders for approval or adoption at Parent Stockholder Meeting, including, without limitation, the Parent Proposals (as hereinafter defined), and (ii) provide its stockholders the opportunity to elect to effect a redemption as contemplated in </w:t>
      </w:r>
      <w:r>
        <w:rPr>
          <w:rFonts w:ascii="Arial" w:cs="Arial" w:eastAsia="Arial" w:hAnsi="Arial"/>
          <w:sz w:val="18"/>
          <w:szCs w:val="18"/>
          <w:u w:val="single" w:color="auto"/>
          <w:color w:val="auto"/>
        </w:rPr>
        <w:t>Section 7.4(f)</w:t>
      </w:r>
      <w:r>
        <w:rPr>
          <w:rFonts w:ascii="Arial" w:cs="Arial" w:eastAsia="Arial" w:hAnsi="Arial"/>
          <w:sz w:val="18"/>
          <w:szCs w:val="18"/>
          <w:color w:val="auto"/>
        </w:rPr>
        <w:t xml:space="preserve"> below. The prospectus included in the Form S-4 shall be distributed to the Company Stockholders in connection with the solicitation of the Company Stockholder Approval.</w:t>
      </w:r>
    </w:p>
    <w:p>
      <w:pPr>
        <w:spacing w:after="0" w:line="126" w:lineRule="exact"/>
        <w:rPr>
          <w:rFonts w:ascii="Arial" w:cs="Arial" w:eastAsia="Arial" w:hAnsi="Arial"/>
          <w:sz w:val="18"/>
          <w:szCs w:val="18"/>
          <w:color w:val="auto"/>
        </w:rPr>
      </w:pPr>
    </w:p>
    <w:p>
      <w:pPr>
        <w:ind w:left="460" w:right="479" w:firstLine="858"/>
        <w:spacing w:after="0" w:line="285" w:lineRule="auto"/>
        <w:tabs>
          <w:tab w:leader="none" w:pos="1579" w:val="left"/>
        </w:tabs>
        <w:numPr>
          <w:ilvl w:val="1"/>
          <w:numId w:val="403"/>
        </w:numPr>
        <w:rPr>
          <w:rFonts w:ascii="Arial" w:cs="Arial" w:eastAsia="Arial" w:hAnsi="Arial"/>
          <w:sz w:val="16"/>
          <w:szCs w:val="16"/>
          <w:color w:val="auto"/>
        </w:rPr>
      </w:pPr>
      <w:r>
        <w:rPr>
          <w:rFonts w:ascii="Arial" w:cs="Arial" w:eastAsia="Arial" w:hAnsi="Arial"/>
          <w:sz w:val="16"/>
          <w:szCs w:val="16"/>
          <w:color w:val="auto"/>
        </w:rPr>
        <w:t>Parent and the Company shall comply with all applicable provisions of and rules under the Securities Act and Exchange Act and all applicable Laws of the State of Delaware and Nasdaq, in the preparation, filing and distribution of the Form S-4/Proxy Statement (or any amendment or supplement thereto), as applicable, the solicitation of proxies under the Proxy Statement and the calling and holding of Parent Stockholder Meeting. Without limiting the foregoing, Parent shall ensure that the Form S-4, as of the Form S-4 Effective Date, and the Proxy Statement, as of the date on which it is first distributed to Parent Stockholders, and as of the date of Parent Stockholder Meeting, does not contain any untrue statement of a material fact or omit to state a material fact necessary in order to make the statements made, in light of the circumstances under which they were made, not misleading (provided that Parent shall not be responsible for the accuracy or completeness of any information relating to the Company or any other information furnished by the Company for inclusion in the Form S-4/Proxy Statement). If at any time prior to Closing, a change in the information relating to Parent or any other information furnished by Parent for inclusion in the Form S-4/Proxy Statement, which would make the preceding sentence incorrect, should be discovered by Parent, it shall promptly notify the Company of such change. If at any time prior to Closing, a change in the information relating to the Company or any other information furnished by the Company for inclusion in the Form S-4/Proxy Statement, which would make the preceding sentence incorrect, should be discovered by the Company, it shall promptly notify Parent of such change. In connection therewith, the Company shall instruct the employees, counsel, financial advisors, auditors and other authorized representatives of the Company to reasonably cooperate with Parent as relevant if required to achieve the foregoing.</w:t>
      </w:r>
    </w:p>
    <w:p>
      <w:pPr>
        <w:spacing w:after="0" w:line="319" w:lineRule="exact"/>
        <w:rPr>
          <w:rFonts w:ascii="Arial" w:cs="Arial" w:eastAsia="Arial" w:hAnsi="Arial"/>
          <w:sz w:val="16"/>
          <w:szCs w:val="16"/>
          <w:color w:val="auto"/>
        </w:rPr>
      </w:pPr>
    </w:p>
    <w:p>
      <w:pPr>
        <w:ind w:left="460" w:right="499" w:firstLine="858"/>
        <w:spacing w:after="0" w:line="283" w:lineRule="auto"/>
        <w:tabs>
          <w:tab w:leader="none" w:pos="1569" w:val="left"/>
        </w:tabs>
        <w:numPr>
          <w:ilvl w:val="1"/>
          <w:numId w:val="403"/>
        </w:numPr>
        <w:rPr>
          <w:rFonts w:ascii="Arial" w:cs="Arial" w:eastAsia="Arial" w:hAnsi="Arial"/>
          <w:sz w:val="16"/>
          <w:szCs w:val="16"/>
          <w:color w:val="auto"/>
        </w:rPr>
      </w:pPr>
      <w:r>
        <w:rPr>
          <w:rFonts w:ascii="Arial" w:cs="Arial" w:eastAsia="Arial" w:hAnsi="Arial"/>
          <w:sz w:val="16"/>
          <w:szCs w:val="16"/>
          <w:color w:val="auto"/>
        </w:rPr>
        <w:t xml:space="preserve">In the Proxy Statement, Parent shall seek, in accordance with Parent’s Organizational Documents and applicable securities Laws, rules and regulations, including the DGCL and rules and regulations of Nasdaq, from the holders of Parent Common Stock, approval of certain proposals, including (i) adoption and approval of the Second Amended and Restated Certificate of Incorporation of Parent set forth in </w:t>
      </w:r>
      <w:r>
        <w:rPr>
          <w:rFonts w:ascii="Arial" w:cs="Arial" w:eastAsia="Arial" w:hAnsi="Arial"/>
          <w:sz w:val="16"/>
          <w:szCs w:val="16"/>
          <w:u w:val="single" w:color="auto"/>
          <w:color w:val="auto"/>
        </w:rPr>
        <w:t>Exhibit E</w:t>
      </w:r>
      <w:r>
        <w:rPr>
          <w:rFonts w:ascii="Arial" w:cs="Arial" w:eastAsia="Arial" w:hAnsi="Arial"/>
          <w:sz w:val="16"/>
          <w:szCs w:val="16"/>
          <w:color w:val="auto"/>
        </w:rPr>
        <w:t>, with effect from the Closing, increasing the number of authorized shares of Parent Common Stock for issuance, and changing Parent’s name to “Tango Therapeutics, Inc.” (including any separate or unbundled proposals as may be required to implement the foregoing); (ii) approval of the issuance of more than 20% of the issued and outstanding shares of Parent Common Stock to the Stockholders in connection with the Merger as well as any other approval that may be required under the Nasdaq rules; (iii) approval of the issuance of more than 20% of the issued and outstanding shares of Parent Common Stock in connection with the PIPE Financing;</w:t>
      </w:r>
    </w:p>
    <w:p>
      <w:pPr>
        <w:spacing w:after="0" w:line="4" w:lineRule="exact"/>
        <w:rPr>
          <w:rFonts w:ascii="Arial" w:cs="Arial" w:eastAsia="Arial" w:hAnsi="Arial"/>
          <w:sz w:val="16"/>
          <w:szCs w:val="16"/>
          <w:color w:val="auto"/>
        </w:rPr>
      </w:pPr>
    </w:p>
    <w:p>
      <w:pPr>
        <w:ind w:left="460" w:right="479" w:hanging="6"/>
        <w:spacing w:after="0" w:line="281" w:lineRule="auto"/>
        <w:tabs>
          <w:tab w:leader="none" w:pos="765" w:val="left"/>
        </w:tabs>
        <w:numPr>
          <w:ilvl w:val="0"/>
          <w:numId w:val="404"/>
        </w:numPr>
        <w:rPr>
          <w:rFonts w:ascii="Arial" w:cs="Arial" w:eastAsia="Arial" w:hAnsi="Arial"/>
          <w:sz w:val="16"/>
          <w:szCs w:val="16"/>
          <w:color w:val="auto"/>
        </w:rPr>
      </w:pPr>
      <w:r>
        <w:rPr>
          <w:rFonts w:ascii="Arial" w:cs="Arial" w:eastAsia="Arial" w:hAnsi="Arial"/>
          <w:sz w:val="16"/>
          <w:szCs w:val="16"/>
          <w:color w:val="auto"/>
        </w:rPr>
        <w:t xml:space="preserve">approval of the appointment of the Company’s Designees to the Post-Closing Board of Directors as contemplated by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(v) approval of the Equity Incentive Plan and the ESPP as provided in </w:t>
      </w:r>
      <w:r>
        <w:rPr>
          <w:rFonts w:ascii="Arial" w:cs="Arial" w:eastAsia="Arial" w:hAnsi="Arial"/>
          <w:sz w:val="16"/>
          <w:szCs w:val="16"/>
          <w:u w:val="single" w:color="auto"/>
          <w:color w:val="auto"/>
        </w:rPr>
        <w:t>Section 6.8</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60" w:right="559" w:hanging="6"/>
        <w:spacing w:after="0" w:line="281" w:lineRule="auto"/>
        <w:tabs>
          <w:tab w:leader="none" w:pos="765" w:val="left"/>
        </w:tabs>
        <w:numPr>
          <w:ilvl w:val="0"/>
          <w:numId w:val="405"/>
        </w:numPr>
        <w:rPr>
          <w:rFonts w:ascii="Arial" w:cs="Arial" w:eastAsia="Arial" w:hAnsi="Arial"/>
          <w:sz w:val="16"/>
          <w:szCs w:val="16"/>
          <w:color w:val="auto"/>
        </w:rPr>
      </w:pPr>
      <w:r>
        <w:rPr>
          <w:rFonts w:ascii="Arial" w:cs="Arial" w:eastAsia="Arial" w:hAnsi="Arial"/>
          <w:sz w:val="16"/>
          <w:szCs w:val="16"/>
          <w:color w:val="auto"/>
        </w:rPr>
        <w:t>approval to adjourn the Parent Stockholder Meeting, if necessary, to permit further solicitation of proxies because there are not sufficient votes to either establish a quorum or to approve and adopt any of the foregoing, provided that, without the consent of the Company, in no event shall Parent adjourn the Parent Stockholders Meeting for more than ten (10) Business Days later than the most recently adjourned meeting; and</w:t>
      </w:r>
    </w:p>
    <w:p>
      <w:pPr>
        <w:spacing w:after="0" w:line="2" w:lineRule="exact"/>
        <w:rPr>
          <w:rFonts w:ascii="Arial" w:cs="Arial" w:eastAsia="Arial" w:hAnsi="Arial"/>
          <w:sz w:val="16"/>
          <w:szCs w:val="16"/>
          <w:color w:val="auto"/>
        </w:rPr>
      </w:pPr>
    </w:p>
    <w:p>
      <w:pPr>
        <w:ind w:left="460" w:right="659" w:hanging="6"/>
        <w:spacing w:after="0" w:line="255" w:lineRule="auto"/>
        <w:tabs>
          <w:tab w:leader="none" w:pos="815"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approval to obtain any and all other mutually agreed upon approvals necessary or advisable to effect the consummation of the Merger (the proposals set forth in the forgoing clauses (i) through (vii) are referred to as the “</w:t>
      </w:r>
      <w:r>
        <w:rPr>
          <w:rFonts w:ascii="Arial" w:cs="Arial" w:eastAsia="Arial" w:hAnsi="Arial"/>
          <w:sz w:val="18"/>
          <w:szCs w:val="18"/>
          <w:u w:val="single" w:color="auto"/>
          <w:color w:val="auto"/>
        </w:rPr>
        <w:t>Parent Proposals</w:t>
      </w:r>
      <w:r>
        <w:rPr>
          <w:rFonts w:ascii="Arial" w:cs="Arial" w:eastAsia="Arial" w:hAnsi="Arial"/>
          <w:sz w:val="18"/>
          <w:szCs w:val="18"/>
          <w:color w:val="auto"/>
        </w:rPr>
        <w:t>”).</w:t>
      </w:r>
    </w:p>
    <w:p>
      <w:pPr>
        <w:spacing w:after="0" w:line="108" w:lineRule="exact"/>
        <w:rPr>
          <w:rFonts w:ascii="Arial" w:cs="Arial" w:eastAsia="Arial" w:hAnsi="Arial"/>
          <w:sz w:val="18"/>
          <w:szCs w:val="18"/>
          <w:color w:val="auto"/>
        </w:rPr>
      </w:pPr>
    </w:p>
    <w:p>
      <w:pPr>
        <w:ind w:left="460" w:right="479" w:firstLine="858"/>
        <w:spacing w:after="0" w:line="269" w:lineRule="auto"/>
        <w:tabs>
          <w:tab w:leader="none" w:pos="1549" w:val="left"/>
        </w:tabs>
        <w:numPr>
          <w:ilvl w:val="1"/>
          <w:numId w:val="405"/>
        </w:numPr>
        <w:rPr>
          <w:rFonts w:ascii="Arial" w:cs="Arial" w:eastAsia="Arial" w:hAnsi="Arial"/>
          <w:sz w:val="17"/>
          <w:szCs w:val="17"/>
          <w:color w:val="auto"/>
        </w:rPr>
      </w:pPr>
      <w:r>
        <w:rPr>
          <w:rFonts w:ascii="Arial" w:cs="Arial" w:eastAsia="Arial" w:hAnsi="Arial"/>
          <w:sz w:val="17"/>
          <w:szCs w:val="17"/>
          <w:color w:val="auto"/>
        </w:rPr>
        <w:t>Parent, with the assistance of the Company, shall use its reasonable best efforts to cause the Form S-4/Proxy Statement to “clear” comments from the SEC and the Form S-4 to become effective as promptly as reasonably practicable. Concurrently with the dissemination of the Proxy Statement, Parent shall commence (within the meaning of Rule 14d-2 under the Exchange Act) an offer to the Parent Public Stockholders to redeem all or a portion of their Parent Common Stock, up to that number of Parent Common Stock that would permit Parent to maintain net tangible assets of at least $5,000,001, all in accordance with and as required by Parent’s Organizational Documents, applicable Law, and any applicable rules and regulations of the SEC (the “</w:t>
      </w:r>
      <w:r>
        <w:rPr>
          <w:rFonts w:ascii="Arial" w:cs="Arial" w:eastAsia="Arial" w:hAnsi="Arial"/>
          <w:sz w:val="17"/>
          <w:szCs w:val="17"/>
          <w:u w:val="single" w:color="auto"/>
          <w:color w:val="auto"/>
        </w:rPr>
        <w:t>Offer</w:t>
      </w:r>
      <w:r>
        <w:rPr>
          <w:rFonts w:ascii="Arial" w:cs="Arial" w:eastAsia="Arial" w:hAnsi="Arial"/>
          <w:sz w:val="17"/>
          <w:szCs w:val="17"/>
          <w:color w:val="auto"/>
        </w:rPr>
        <w:t>”). In accordance with Parent’s Organizational Documents, the proceeds held in the Trust Account will be used for the redemption of Parent Common Stock held by Parent Public Stockholders who have elected to redeem such Parent Common Stock.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3" w:name="page394"/>
    <w:bookmarkEnd w:id="39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firstLine="858"/>
        <w:spacing w:after="0" w:line="296" w:lineRule="auto"/>
        <w:tabs>
          <w:tab w:leader="none" w:pos="1579" w:val="left"/>
        </w:tabs>
        <w:numPr>
          <w:ilvl w:val="0"/>
          <w:numId w:val="406"/>
        </w:numPr>
        <w:rPr>
          <w:rFonts w:ascii="Arial" w:cs="Arial" w:eastAsia="Arial" w:hAnsi="Arial"/>
          <w:sz w:val="16"/>
          <w:szCs w:val="16"/>
          <w:color w:val="auto"/>
        </w:rPr>
      </w:pPr>
      <w:r>
        <w:rPr>
          <w:rFonts w:ascii="Arial" w:cs="Arial" w:eastAsia="Arial" w:hAnsi="Arial"/>
          <w:sz w:val="16"/>
          <w:szCs w:val="16"/>
          <w:color w:val="auto"/>
        </w:rPr>
        <w:t xml:space="preserve">Parent shall extend the Offer for any minimum period required by any rule, regulation, interpretation or position of the SEC, Nasdaq or the respective staff thereof that is applicable to the Offer, and pursuant to Parent’s Organizational Documents. Nothing in this </w:t>
      </w:r>
      <w:r>
        <w:rPr>
          <w:rFonts w:ascii="Arial" w:cs="Arial" w:eastAsia="Arial" w:hAnsi="Arial"/>
          <w:sz w:val="16"/>
          <w:szCs w:val="16"/>
          <w:u w:val="single" w:color="auto"/>
          <w:color w:val="auto"/>
        </w:rPr>
        <w:t>Section 7.4(g)</w:t>
      </w:r>
      <w:r>
        <w:rPr>
          <w:rFonts w:ascii="Arial" w:cs="Arial" w:eastAsia="Arial" w:hAnsi="Arial"/>
          <w:sz w:val="16"/>
          <w:szCs w:val="16"/>
          <w:color w:val="auto"/>
        </w:rPr>
        <w:t xml:space="preserve"> shall (i) impose any obligation on Parent to extend the Offer beyond the Outside Date or (ii) be deemed to impair, limit or otherwise restrict in any manner the right of Parent to terminate this Agreement in accordance with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93" w:lineRule="exact"/>
        <w:rPr>
          <w:rFonts w:ascii="Arial" w:cs="Arial" w:eastAsia="Arial" w:hAnsi="Arial"/>
          <w:sz w:val="16"/>
          <w:szCs w:val="16"/>
          <w:color w:val="auto"/>
        </w:rPr>
      </w:pPr>
    </w:p>
    <w:p>
      <w:pPr>
        <w:ind w:left="460" w:right="599" w:firstLine="858"/>
        <w:spacing w:after="0" w:line="271" w:lineRule="auto"/>
        <w:tabs>
          <w:tab w:leader="none" w:pos="1579" w:val="left"/>
        </w:tabs>
        <w:numPr>
          <w:ilvl w:val="0"/>
          <w:numId w:val="406"/>
        </w:numPr>
        <w:rPr>
          <w:rFonts w:ascii="Arial" w:cs="Arial" w:eastAsia="Arial" w:hAnsi="Arial"/>
          <w:sz w:val="17"/>
          <w:szCs w:val="17"/>
          <w:color w:val="auto"/>
        </w:rPr>
      </w:pPr>
      <w:r>
        <w:rPr>
          <w:rFonts w:ascii="Arial" w:cs="Arial" w:eastAsia="Arial" w:hAnsi="Arial"/>
          <w:sz w:val="17"/>
          <w:szCs w:val="17"/>
          <w:color w:val="auto"/>
        </w:rPr>
        <w:t>Notwithstanding anything else to the contrary in this Agreement or any Transaction Document, Parents may make any public filing with respect to the Merger to the extent required by applicable Law; provided, however, Parent (i) shall permit the Company and its counsel to review and comment on any such filing and all exhibits, amendments or supplements thereto (or other related documents); (ii) shall consider any such comments in good faith and shall accept all reasonable additions, deletions or changes suggested by the Company and its counsel in connection therewith; and (iii) shall not file any such filing or any exhibit, amendment or supplement thereto without the prior written consent of the Company, not to be unreasonably withheld, conditioned or delayed.</w:t>
      </w:r>
    </w:p>
    <w:p>
      <w:pPr>
        <w:spacing w:after="0" w:line="111" w:lineRule="exact"/>
        <w:rPr>
          <w:sz w:val="20"/>
          <w:szCs w:val="20"/>
          <w:color w:val="auto"/>
        </w:rPr>
      </w:pPr>
    </w:p>
    <w:p>
      <w:pPr>
        <w:ind w:left="460" w:right="639" w:firstLine="432"/>
        <w:spacing w:after="0" w:line="293" w:lineRule="auto"/>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u w:val="single" w:color="auto"/>
          <w:color w:val="auto"/>
        </w:rPr>
        <w:t>Stockholder Vote; Recommendation of Parent’s Board of Directors</w:t>
      </w:r>
      <w:r>
        <w:rPr>
          <w:rFonts w:ascii="Arial" w:cs="Arial" w:eastAsia="Arial" w:hAnsi="Arial"/>
          <w:sz w:val="16"/>
          <w:szCs w:val="16"/>
          <w:color w:val="auto"/>
        </w:rPr>
        <w:t>. Parent, through Parent’s board of directors, shall recommend that Parent’s stockholders vote in favor of adopting and approving all Parent Proposals, and Parent shall include such recommendation in the Proxy Statement. Parent’s board of directors shall not withdraw, amend, qualify or modify its recommendation to the shareholders of Parent that they vote in favor of the Parent Proposals (together with any withdrawal, amendment, qualification or modification of its recommendation to the shareholders of Parent, a “</w:t>
      </w:r>
      <w:r>
        <w:rPr>
          <w:rFonts w:ascii="Arial" w:cs="Arial" w:eastAsia="Arial" w:hAnsi="Arial"/>
          <w:sz w:val="16"/>
          <w:szCs w:val="16"/>
          <w:u w:val="single" w:color="auto"/>
          <w:color w:val="auto"/>
        </w:rPr>
        <w:t>Modification in Recommendation</w:t>
      </w:r>
      <w:r>
        <w:rPr>
          <w:rFonts w:ascii="Arial" w:cs="Arial" w:eastAsia="Arial" w:hAnsi="Arial"/>
          <w:sz w:val="16"/>
          <w:szCs w:val="16"/>
          <w:color w:val="auto"/>
        </w:rPr>
        <w:t>”).</w:t>
      </w:r>
    </w:p>
    <w:p>
      <w:pPr>
        <w:spacing w:after="0" w:line="8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Parent Stockholders’ Meeting</w:t>
      </w:r>
      <w:r>
        <w:rPr>
          <w:rFonts w:ascii="Arial" w:cs="Arial" w:eastAsia="Arial" w:hAnsi="Arial"/>
          <w:sz w:val="18"/>
          <w:szCs w:val="18"/>
          <w:color w:val="auto"/>
        </w:rPr>
        <w:t>.</w:t>
      </w:r>
    </w:p>
    <w:p>
      <w:pPr>
        <w:spacing w:after="0" w:line="158" w:lineRule="exact"/>
        <w:rPr>
          <w:sz w:val="20"/>
          <w:szCs w:val="20"/>
          <w:color w:val="auto"/>
        </w:rPr>
      </w:pPr>
    </w:p>
    <w:p>
      <w:pPr>
        <w:ind w:left="460" w:right="499" w:firstLine="858"/>
        <w:spacing w:after="0" w:line="285" w:lineRule="auto"/>
        <w:tabs>
          <w:tab w:leader="none" w:pos="1569" w:val="left"/>
        </w:tabs>
        <w:numPr>
          <w:ilvl w:val="0"/>
          <w:numId w:val="407"/>
        </w:numPr>
        <w:rPr>
          <w:rFonts w:ascii="Arial" w:cs="Arial" w:eastAsia="Arial" w:hAnsi="Arial"/>
          <w:sz w:val="16"/>
          <w:szCs w:val="16"/>
          <w:color w:val="auto"/>
        </w:rPr>
      </w:pPr>
      <w:r>
        <w:rPr>
          <w:rFonts w:ascii="Arial" w:cs="Arial" w:eastAsia="Arial" w:hAnsi="Arial"/>
          <w:sz w:val="16"/>
          <w:szCs w:val="16"/>
          <w:color w:val="auto"/>
        </w:rPr>
        <w:t>Parent shall take all action necessary under applicable Law to, in consultation with the Company, establish a record date for, call, give notice of and hold a meeting of the holders of Parent Common Stock to consider and vote on Parent Proposals at the Parent Stockholders’ Meeting. Parent Stockholders’ Meeting shall be held as promptly as practicable, in accordance with applicable Law and Parent’s Organizational Documents, after the Form S-4 Effective Date, but in no event later than 30 days following the Form S-4 Effective Date. Parent shall take reasonable measures to ensure that all proxies solicited in connection with Parent Stockholders’ Meeting are solicited in compliance with all applicable Law. Notwithstanding anything to the contrary contained herein, if on the date of the Parent Stockholders’ Meeting, or a date preceding the date on which the Parent Stockholders’ Meeting is scheduled, Parent (after consultation with the Company) reasonably believes that (i) it will not receive proxies sufficient to obtain the Parent Required Vote for each Parent Proposal, whether or not a quorum would be present or (ii) it will not have sufficient Parent Common Stock represented (whether in person or by proxy) to constitute a quorum necessary to conduct the business of the Parent Stockholders’ Meeting, Parent may postpone or adjourn, or make one or more successive postponements or adjournments of, the Parent Stockholders’ Meeting in compliance with the DGCL and Parent’s Organizational Documents, as long as the date of the Parent Stockholders’ Meeting is not postponed or adjourned more than an aggregate of 30 calendar days in connection with any postponements or adjournments.</w:t>
      </w:r>
    </w:p>
    <w:p>
      <w:pPr>
        <w:spacing w:after="0" w:line="108" w:lineRule="exact"/>
        <w:rPr>
          <w:rFonts w:ascii="Arial" w:cs="Arial" w:eastAsia="Arial" w:hAnsi="Arial"/>
          <w:sz w:val="16"/>
          <w:szCs w:val="16"/>
          <w:color w:val="auto"/>
        </w:rPr>
      </w:pPr>
    </w:p>
    <w:p>
      <w:pPr>
        <w:ind w:left="460" w:right="559" w:firstLine="858"/>
        <w:spacing w:after="0" w:line="342" w:lineRule="auto"/>
        <w:tabs>
          <w:tab w:leader="none" w:pos="1579" w:val="left"/>
        </w:tabs>
        <w:numPr>
          <w:ilvl w:val="0"/>
          <w:numId w:val="407"/>
        </w:numPr>
        <w:rPr>
          <w:rFonts w:ascii="Arial" w:cs="Arial" w:eastAsia="Arial" w:hAnsi="Arial"/>
          <w:sz w:val="16"/>
          <w:szCs w:val="16"/>
          <w:color w:val="auto"/>
        </w:rPr>
      </w:pPr>
      <w:r>
        <w:rPr>
          <w:rFonts w:ascii="Arial" w:cs="Arial" w:eastAsia="Arial" w:hAnsi="Arial"/>
          <w:sz w:val="16"/>
          <w:szCs w:val="16"/>
          <w:color w:val="auto"/>
        </w:rPr>
        <w:t>Promptly following the execution of this Agreement, Parent shall approve and adopt this Agreement and approve the Merger and the Transactions, in its capacity as the sole stockholder of Merger Sub.</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Form 8-K; Press Releases</w:t>
      </w:r>
      <w:r>
        <w:rPr>
          <w:rFonts w:ascii="Arial" w:cs="Arial" w:eastAsia="Arial" w:hAnsi="Arial"/>
          <w:sz w:val="18"/>
          <w:szCs w:val="18"/>
          <w:color w:val="auto"/>
        </w:rPr>
        <w:t>.</w:t>
      </w:r>
    </w:p>
    <w:p>
      <w:pPr>
        <w:spacing w:after="0" w:line="158" w:lineRule="exact"/>
        <w:rPr>
          <w:sz w:val="20"/>
          <w:szCs w:val="20"/>
          <w:color w:val="auto"/>
        </w:rPr>
      </w:pPr>
    </w:p>
    <w:p>
      <w:pPr>
        <w:ind w:left="460" w:right="499" w:firstLine="858"/>
        <w:spacing w:after="0" w:line="273" w:lineRule="auto"/>
        <w:tabs>
          <w:tab w:leader="none" w:pos="1569" w:val="left"/>
        </w:tabs>
        <w:numPr>
          <w:ilvl w:val="0"/>
          <w:numId w:val="408"/>
        </w:numPr>
        <w:rPr>
          <w:rFonts w:ascii="Arial" w:cs="Arial" w:eastAsia="Arial" w:hAnsi="Arial"/>
          <w:sz w:val="17"/>
          <w:szCs w:val="17"/>
          <w:color w:val="auto"/>
        </w:rPr>
      </w:pPr>
      <w:r>
        <w:rPr>
          <w:rFonts w:ascii="Arial" w:cs="Arial" w:eastAsia="Arial" w:hAnsi="Arial"/>
          <w:sz w:val="17"/>
          <w:szCs w:val="17"/>
          <w:color w:val="auto"/>
        </w:rPr>
        <w:t>As promptly as practicable after execution of this Agreement, but no later than two Business Days thereafter, Parent will file a Current Report on Form 8-K pursuant to the Exchange Act to report the execution of this Agreement, a copy of which has been provided to the Company prior to the date of this Agreement and which the Company may review and comment upon prior to filing. Promptly after the execution of this Agreement, Parent and the Company shall also issue a joint press release announcing the execution of this Agreement, in form and substance mutually acceptable to Parent and the Company.</w:t>
      </w:r>
    </w:p>
    <w:p>
      <w:pPr>
        <w:spacing w:after="0" w:line="110" w:lineRule="exact"/>
        <w:rPr>
          <w:rFonts w:ascii="Arial" w:cs="Arial" w:eastAsia="Arial" w:hAnsi="Arial"/>
          <w:sz w:val="17"/>
          <w:szCs w:val="17"/>
          <w:color w:val="auto"/>
        </w:rPr>
      </w:pPr>
    </w:p>
    <w:p>
      <w:pPr>
        <w:ind w:left="460" w:right="599" w:firstLine="858"/>
        <w:spacing w:after="0" w:line="259" w:lineRule="auto"/>
        <w:tabs>
          <w:tab w:leader="none" w:pos="1579" w:val="left"/>
        </w:tabs>
        <w:numPr>
          <w:ilvl w:val="0"/>
          <w:numId w:val="408"/>
        </w:numPr>
        <w:rPr>
          <w:rFonts w:ascii="Arial" w:cs="Arial" w:eastAsia="Arial" w:hAnsi="Arial"/>
          <w:sz w:val="18"/>
          <w:szCs w:val="18"/>
          <w:color w:val="auto"/>
        </w:rPr>
      </w:pPr>
      <w:r>
        <w:rPr>
          <w:rFonts w:ascii="Arial" w:cs="Arial" w:eastAsia="Arial" w:hAnsi="Arial"/>
          <w:sz w:val="18"/>
          <w:szCs w:val="18"/>
          <w:color w:val="auto"/>
        </w:rPr>
        <w:t>Prior to the Closing, Parent and the Company shall prepare a mutually agreeable press release announcing the consummation of the Merger (the “</w:t>
      </w:r>
      <w:r>
        <w:rPr>
          <w:rFonts w:ascii="Arial" w:cs="Arial" w:eastAsia="Arial" w:hAnsi="Arial"/>
          <w:sz w:val="18"/>
          <w:szCs w:val="18"/>
          <w:u w:val="single" w:color="auto"/>
          <w:color w:val="auto"/>
        </w:rPr>
        <w:t>Closing Press Release</w:t>
      </w:r>
      <w:r>
        <w:rPr>
          <w:rFonts w:ascii="Arial" w:cs="Arial" w:eastAsia="Arial" w:hAnsi="Arial"/>
          <w:sz w:val="18"/>
          <w:szCs w:val="18"/>
          <w:color w:val="auto"/>
        </w:rPr>
        <w:t>”). Concurrently with the Closing, Parent shall distribute the Closing Press Release and, as soon as practicable thereafter, file a Current Report on Form 8-K with the SEC.</w:t>
      </w:r>
    </w:p>
    <w:p>
      <w:pPr>
        <w:spacing w:after="0" w:line="106"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 xml:space="preserve">Section 7.8 </w:t>
      </w:r>
      <w:r>
        <w:rPr>
          <w:rFonts w:ascii="Arial" w:cs="Arial" w:eastAsia="Arial" w:hAnsi="Arial"/>
          <w:sz w:val="16"/>
          <w:szCs w:val="16"/>
          <w:u w:val="single" w:color="auto"/>
          <w:color w:val="auto"/>
        </w:rPr>
        <w:t>Fees and Expenses</w:t>
      </w:r>
      <w:r>
        <w:rPr>
          <w:rFonts w:ascii="Arial" w:cs="Arial" w:eastAsia="Arial" w:hAnsi="Arial"/>
          <w:sz w:val="16"/>
          <w:szCs w:val="16"/>
          <w:color w:val="auto"/>
        </w:rPr>
        <w:t xml:space="preserve">. Except as otherwise set forth in this Agreement, each party hereto shall be responsible for and pay its own expenses incurred in connection with this Agreement and the transactions contemplated hereby, including all fees of its legal counsel, financial advisers and accountants; </w:t>
      </w:r>
      <w:r>
        <w:rPr>
          <w:rFonts w:ascii="Arial" w:cs="Arial" w:eastAsia="Arial" w:hAnsi="Arial"/>
          <w:sz w:val="16"/>
          <w:szCs w:val="16"/>
          <w:u w:val="single" w:color="auto"/>
          <w:color w:val="auto"/>
        </w:rPr>
        <w:t>provided</w:t>
      </w:r>
      <w:r>
        <w:rPr>
          <w:rFonts w:ascii="Arial" w:cs="Arial" w:eastAsia="Arial" w:hAnsi="Arial"/>
          <w:sz w:val="16"/>
          <w:szCs w:val="16"/>
          <w:color w:val="auto"/>
        </w:rPr>
        <w:t>, that if</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4" w:name="page395"/>
    <w:bookmarkEnd w:id="39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75" w:lineRule="auto"/>
        <w:rPr>
          <w:sz w:val="20"/>
          <w:szCs w:val="20"/>
          <w:color w:val="auto"/>
        </w:rPr>
      </w:pPr>
      <w:r>
        <w:rPr>
          <w:rFonts w:ascii="Arial" w:cs="Arial" w:eastAsia="Arial" w:hAnsi="Arial"/>
          <w:sz w:val="17"/>
          <w:szCs w:val="17"/>
          <w:color w:val="auto"/>
        </w:rPr>
        <w:t xml:space="preserve">the Closing shall occur, Parent shall pay or cause to be paid, the Company Transaction Expenses and the Parent Transaction Expenses related to the Merger and the Transactions. Notwithstanding the foregoing, fees for the HSR Filing shall be paid one-half by the Company and one-half by Parent. For the avoidance of doubt, any payments to be made (or to cause to be made) by Parent pursuant to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shall be paid upon consummation of the Merger and release of proceeds from the Trust Account.</w:t>
      </w:r>
    </w:p>
    <w:p>
      <w:pPr>
        <w:spacing w:after="0" w:line="109"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Section 368 Reorganization</w:t>
      </w:r>
      <w:r>
        <w:rPr>
          <w:rFonts w:ascii="Arial" w:cs="Arial" w:eastAsia="Arial" w:hAnsi="Arial"/>
          <w:sz w:val="18"/>
          <w:szCs w:val="18"/>
          <w:color w:val="auto"/>
        </w:rPr>
        <w:t>. Notwithstanding any other provision in this Agreement, the Company Disclosure Schedule or the Parent Disclosure Schedule to the contrary, each of the Parties shall, and shall cause each of their respective Affiliates to, not take any action that would reasonably be expected to prevent or impede the treatment of the Merger as a “reorganization” within the meaning of Section 368(a) of the Code.</w:t>
      </w:r>
    </w:p>
    <w:p>
      <w:pPr>
        <w:spacing w:after="0" w:line="120"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 xml:space="preserve">Section 7.10 </w:t>
      </w:r>
      <w:r>
        <w:rPr>
          <w:rFonts w:ascii="Arial" w:cs="Arial" w:eastAsia="Arial" w:hAnsi="Arial"/>
          <w:sz w:val="17"/>
          <w:szCs w:val="17"/>
          <w:u w:val="single" w:color="auto"/>
          <w:color w:val="auto"/>
        </w:rPr>
        <w:t>Stockholder Litigation</w:t>
      </w:r>
      <w:r>
        <w:rPr>
          <w:rFonts w:ascii="Arial" w:cs="Arial" w:eastAsia="Arial" w:hAnsi="Arial"/>
          <w:sz w:val="17"/>
          <w:szCs w:val="17"/>
          <w:color w:val="auto"/>
        </w:rPr>
        <w:t>. In the event that any litigation related to this Agreement, any Transaction Documents or the transactions contemplated hereby or thereby is brought, or, to the Knowledge of Parent, threatened in writing, against Parent or the Board of Directors of Parent by any of Parent’s stockholders prior to the Closing, Parent shall promptly notify the Company of any such litigation and keep the Company reasonably informed with respect to the status thereof. Parent shall provide the Company the opportunity to participate in (subject to a customary joint defense agreement), but not control, the defense of any such litigation, shall give due consideration to the Company’s advice with respect to such litigation and shall not settle any such litigation without prior written consent of the Company, such consent not to be unreasonably withheld, conditioned or delayed.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PRECEDENT</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Conditions to Each Party’s Obligation to Effect the Merger</w:t>
      </w:r>
      <w:r>
        <w:rPr>
          <w:rFonts w:ascii="Arial" w:cs="Arial" w:eastAsia="Arial" w:hAnsi="Arial"/>
          <w:sz w:val="18"/>
          <w:szCs w:val="18"/>
          <w:color w:val="auto"/>
        </w:rPr>
        <w:t>. The respective obligations of each Party to effect the Merger shall be subject to the satisfaction (or waiver, if permissible under applicable Law) on or prior to the Closing Date of the following conditions:</w:t>
      </w:r>
    </w:p>
    <w:p>
      <w:pPr>
        <w:spacing w:after="0" w:line="116" w:lineRule="exact"/>
        <w:rPr>
          <w:sz w:val="20"/>
          <w:szCs w:val="20"/>
          <w:color w:val="auto"/>
        </w:rPr>
      </w:pPr>
    </w:p>
    <w:p>
      <w:pPr>
        <w:ind w:left="460" w:right="559" w:firstLine="858"/>
        <w:spacing w:after="0" w:line="277" w:lineRule="auto"/>
        <w:tabs>
          <w:tab w:leader="none" w:pos="1569"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There shall not be any Order or Law in effect that restrains, enjoins, prevents, prohibits or make illegal the consummation of the Merger;</w:t>
      </w:r>
    </w:p>
    <w:p>
      <w:pPr>
        <w:spacing w:after="0" w:line="89" w:lineRule="exact"/>
        <w:rPr>
          <w:rFonts w:ascii="Arial" w:cs="Arial" w:eastAsia="Arial" w:hAnsi="Arial"/>
          <w:sz w:val="18"/>
          <w:szCs w:val="18"/>
          <w:color w:val="auto"/>
        </w:rPr>
      </w:pPr>
    </w:p>
    <w:p>
      <w:pPr>
        <w:ind w:left="460" w:right="699" w:firstLine="858"/>
        <w:spacing w:after="0" w:line="263" w:lineRule="auto"/>
        <w:tabs>
          <w:tab w:leader="none" w:pos="1579" w:val="left"/>
        </w:tabs>
        <w:numPr>
          <w:ilvl w:val="0"/>
          <w:numId w:val="409"/>
        </w:numPr>
        <w:rPr>
          <w:rFonts w:ascii="Arial" w:cs="Arial" w:eastAsia="Arial" w:hAnsi="Arial"/>
          <w:sz w:val="18"/>
          <w:szCs w:val="18"/>
          <w:color w:val="auto"/>
        </w:rPr>
      </w:pPr>
      <w:r>
        <w:rPr>
          <w:rFonts w:ascii="Arial" w:cs="Arial" w:eastAsia="Arial" w:hAnsi="Arial"/>
          <w:sz w:val="18"/>
          <w:szCs w:val="18"/>
          <w:color w:val="auto"/>
        </w:rPr>
        <w:t xml:space="preserve">The Merger and each of the Parent Proposals (other than the Parent Proposals described in </w:t>
      </w:r>
      <w:r>
        <w:rPr>
          <w:rFonts w:ascii="Arial" w:cs="Arial" w:eastAsia="Arial" w:hAnsi="Arial"/>
          <w:sz w:val="18"/>
          <w:szCs w:val="18"/>
          <w:u w:val="single" w:color="auto"/>
          <w:color w:val="auto"/>
        </w:rPr>
        <w:t>Section 7.4(e)(v)-(vii)</w:t>
      </w:r>
      <w:r>
        <w:rPr>
          <w:rFonts w:ascii="Arial" w:cs="Arial" w:eastAsia="Arial" w:hAnsi="Arial"/>
          <w:sz w:val="18"/>
          <w:szCs w:val="18"/>
          <w:color w:val="auto"/>
        </w:rPr>
        <w:t>) have been approved by the Parent Required Vote in accordance with the provisions of Parent’s Organizational Documents and the DGCL;</w:t>
      </w:r>
    </w:p>
    <w:p>
      <w:pPr>
        <w:spacing w:after="0" w:line="116" w:lineRule="exact"/>
        <w:rPr>
          <w:rFonts w:ascii="Arial" w:cs="Arial" w:eastAsia="Arial" w:hAnsi="Arial"/>
          <w:sz w:val="18"/>
          <w:szCs w:val="18"/>
          <w:color w:val="auto"/>
        </w:rPr>
      </w:pPr>
    </w:p>
    <w:p>
      <w:pPr>
        <w:jc w:val="both"/>
        <w:ind w:left="460" w:right="979" w:firstLine="858"/>
        <w:spacing w:after="0" w:line="263" w:lineRule="auto"/>
        <w:tabs>
          <w:tab w:leader="none" w:pos="1569"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Parent’s initial listing application in connection with the Transactions shall have been approved by Nasdaq so that immediately following the Merger, Parent satisfies any applicable initial and continuing listing requirements of Nasdaq;</w:t>
      </w:r>
    </w:p>
    <w:p>
      <w:pPr>
        <w:spacing w:after="0" w:line="116" w:lineRule="exact"/>
        <w:rPr>
          <w:rFonts w:ascii="Arial" w:cs="Arial" w:eastAsia="Arial" w:hAnsi="Arial"/>
          <w:sz w:val="18"/>
          <w:szCs w:val="18"/>
          <w:color w:val="auto"/>
        </w:rPr>
      </w:pPr>
    </w:p>
    <w:p>
      <w:pPr>
        <w:ind w:left="460" w:right="819" w:firstLine="858"/>
        <w:spacing w:after="0" w:line="308" w:lineRule="auto"/>
        <w:tabs>
          <w:tab w:leader="none" w:pos="1579" w:val="left"/>
        </w:tabs>
        <w:numPr>
          <w:ilvl w:val="0"/>
          <w:numId w:val="409"/>
        </w:numPr>
        <w:rPr>
          <w:rFonts w:ascii="Arial" w:cs="Arial" w:eastAsia="Arial" w:hAnsi="Arial"/>
          <w:sz w:val="17"/>
          <w:szCs w:val="17"/>
          <w:color w:val="auto"/>
        </w:rPr>
      </w:pPr>
      <w:r>
        <w:rPr>
          <w:rFonts w:ascii="Arial" w:cs="Arial" w:eastAsia="Arial" w:hAnsi="Arial"/>
          <w:sz w:val="17"/>
          <w:szCs w:val="17"/>
          <w:color w:val="auto"/>
        </w:rPr>
        <w:t>After giving effect to all redemptions of Parent Common Stock pursuant to the Offer, Parent shall have net tangible assets of at least $5,000,001 upon consummation of the Merger;</w:t>
      </w:r>
    </w:p>
    <w:p>
      <w:pPr>
        <w:spacing w:after="0" w:line="65" w:lineRule="exact"/>
        <w:rPr>
          <w:rFonts w:ascii="Arial" w:cs="Arial" w:eastAsia="Arial" w:hAnsi="Arial"/>
          <w:sz w:val="17"/>
          <w:szCs w:val="17"/>
          <w:color w:val="auto"/>
        </w:rPr>
      </w:pPr>
    </w:p>
    <w:p>
      <w:pPr>
        <w:ind w:left="460" w:right="639" w:firstLine="858"/>
        <w:spacing w:after="0" w:line="277" w:lineRule="auto"/>
        <w:tabs>
          <w:tab w:leader="none" w:pos="1569"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All consents, approvals and actions of, filings with and notices to any Governmental Authority required to consummate the Transactions shall have been made or obtained;</w:t>
      </w:r>
    </w:p>
    <w:p>
      <w:pPr>
        <w:spacing w:after="0" w:line="102" w:lineRule="exact"/>
        <w:rPr>
          <w:rFonts w:ascii="Arial" w:cs="Arial" w:eastAsia="Arial" w:hAnsi="Arial"/>
          <w:sz w:val="18"/>
          <w:szCs w:val="18"/>
          <w:color w:val="auto"/>
        </w:rPr>
      </w:pPr>
    </w:p>
    <w:p>
      <w:pPr>
        <w:ind w:left="1540" w:hanging="222"/>
        <w:spacing w:after="0"/>
        <w:tabs>
          <w:tab w:leader="none" w:pos="1540" w:val="left"/>
        </w:tabs>
        <w:numPr>
          <w:ilvl w:val="0"/>
          <w:numId w:val="409"/>
        </w:numPr>
        <w:rPr>
          <w:rFonts w:ascii="Arial" w:cs="Arial" w:eastAsia="Arial" w:hAnsi="Arial"/>
          <w:sz w:val="17"/>
          <w:szCs w:val="17"/>
          <w:color w:val="auto"/>
        </w:rPr>
      </w:pPr>
      <w:r>
        <w:rPr>
          <w:rFonts w:ascii="Arial" w:cs="Arial" w:eastAsia="Arial" w:hAnsi="Arial"/>
          <w:sz w:val="17"/>
          <w:szCs w:val="17"/>
          <w:color w:val="auto"/>
        </w:rPr>
        <w:t>The Offer shall have been completed in accordance with the terms hereof and the Proxy</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Statement; and</w:t>
      </w:r>
    </w:p>
    <w:p>
      <w:pPr>
        <w:spacing w:after="0" w:line="143" w:lineRule="exact"/>
        <w:rPr>
          <w:rFonts w:ascii="Arial" w:cs="Arial" w:eastAsia="Arial" w:hAnsi="Arial"/>
          <w:sz w:val="17"/>
          <w:szCs w:val="17"/>
          <w:color w:val="auto"/>
        </w:rPr>
      </w:pPr>
    </w:p>
    <w:p>
      <w:pPr>
        <w:jc w:val="both"/>
        <w:ind w:left="460" w:right="559" w:firstLine="858"/>
        <w:spacing w:after="0" w:line="311" w:lineRule="auto"/>
        <w:tabs>
          <w:tab w:leader="none" w:pos="1579" w:val="left"/>
        </w:tabs>
        <w:numPr>
          <w:ilvl w:val="0"/>
          <w:numId w:val="409"/>
        </w:numPr>
        <w:rPr>
          <w:rFonts w:ascii="Arial" w:cs="Arial" w:eastAsia="Arial" w:hAnsi="Arial"/>
          <w:sz w:val="16"/>
          <w:szCs w:val="16"/>
          <w:color w:val="auto"/>
        </w:rPr>
      </w:pPr>
      <w:r>
        <w:rPr>
          <w:rFonts w:ascii="Arial" w:cs="Arial" w:eastAsia="Arial" w:hAnsi="Arial"/>
          <w:sz w:val="16"/>
          <w:szCs w:val="16"/>
          <w:color w:val="auto"/>
        </w:rPr>
        <w:t>All required filings under the HSR Act shall have been completed and any applicable waiting period, any extensions thereof, and any commitments by the parties not to close before a certain date under a timing agreement entered into with a Governmental Authority shall have expired or otherwise been terminated.</w:t>
      </w:r>
    </w:p>
    <w:p>
      <w:pPr>
        <w:spacing w:after="0" w:line="68"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Conditions to Obligations of Parent and Merger Sub</w:t>
      </w:r>
      <w:r>
        <w:rPr>
          <w:rFonts w:ascii="Arial" w:cs="Arial" w:eastAsia="Arial" w:hAnsi="Arial"/>
          <w:sz w:val="18"/>
          <w:szCs w:val="18"/>
          <w:color w:val="auto"/>
        </w:rPr>
        <w:t>. The obligations of Parent and Merger Sub to effect the Merger are further subject to the satisfaction (or waiver, if permissible under applicable Law) on or prior to the Closing Date of the following conditions:</w:t>
      </w:r>
    </w:p>
    <w:p>
      <w:pPr>
        <w:spacing w:after="0" w:line="116" w:lineRule="exact"/>
        <w:rPr>
          <w:sz w:val="20"/>
          <w:szCs w:val="20"/>
          <w:color w:val="auto"/>
        </w:rPr>
      </w:pPr>
    </w:p>
    <w:p>
      <w:pPr>
        <w:ind w:left="460" w:right="479" w:firstLine="858"/>
        <w:spacing w:after="0" w:line="257" w:lineRule="auto"/>
        <w:tabs>
          <w:tab w:leader="none" w:pos="1569" w:val="left"/>
        </w:tabs>
        <w:numPr>
          <w:ilvl w:val="0"/>
          <w:numId w:val="410"/>
        </w:numPr>
        <w:rPr>
          <w:rFonts w:ascii="Arial" w:cs="Arial" w:eastAsia="Arial" w:hAnsi="Arial"/>
          <w:sz w:val="18"/>
          <w:szCs w:val="18"/>
          <w:color w:val="auto"/>
        </w:rPr>
      </w:pPr>
      <w:r>
        <w:rPr>
          <w:rFonts w:ascii="Arial" w:cs="Arial" w:eastAsia="Arial" w:hAnsi="Arial"/>
          <w:sz w:val="18"/>
          <w:szCs w:val="18"/>
          <w:color w:val="auto"/>
        </w:rPr>
        <w:t xml:space="preserve">The Fundamental Representations (other than </w:t>
      </w:r>
      <w:r>
        <w:rPr>
          <w:rFonts w:ascii="Arial" w:cs="Arial" w:eastAsia="Arial" w:hAnsi="Arial"/>
          <w:sz w:val="18"/>
          <w:szCs w:val="18"/>
          <w:u w:val="single" w:color="auto"/>
          <w:color w:val="auto"/>
        </w:rPr>
        <w:t>Section 3.5(a)</w:t>
      </w:r>
      <w:r>
        <w:rPr>
          <w:rFonts w:ascii="Arial" w:cs="Arial" w:eastAsia="Arial" w:hAnsi="Arial"/>
          <w:sz w:val="18"/>
          <w:szCs w:val="18"/>
          <w:color w:val="auto"/>
        </w:rPr>
        <w:t xml:space="preserve">) set forth in this Agreement shall be true and correct in all material respects as of the date hereof and as of the Closing, except the Fundamental Representations (other than </w:t>
      </w:r>
      <w:r>
        <w:rPr>
          <w:rFonts w:ascii="Arial" w:cs="Arial" w:eastAsia="Arial" w:hAnsi="Arial"/>
          <w:sz w:val="18"/>
          <w:szCs w:val="18"/>
          <w:u w:val="single" w:color="auto"/>
          <w:color w:val="auto"/>
        </w:rPr>
        <w:t>Section 3.5(a)</w:t>
      </w:r>
      <w:r>
        <w:rPr>
          <w:rFonts w:ascii="Arial" w:cs="Arial" w:eastAsia="Arial" w:hAnsi="Arial"/>
          <w:sz w:val="18"/>
          <w:szCs w:val="18"/>
          <w:color w:val="auto"/>
        </w:rPr>
        <w:t xml:space="preserve">) made as of an earlier date or time, which need be true and correct only as of such earlier date or time. </w:t>
      </w:r>
      <w:r>
        <w:rPr>
          <w:rFonts w:ascii="Arial" w:cs="Arial" w:eastAsia="Arial" w:hAnsi="Arial"/>
          <w:sz w:val="18"/>
          <w:szCs w:val="18"/>
          <w:u w:val="single" w:color="auto"/>
          <w:color w:val="auto"/>
        </w:rPr>
        <w:t>Section 3.5(a)</w:t>
      </w:r>
      <w:r>
        <w:rPr>
          <w:rFonts w:ascii="Arial" w:cs="Arial" w:eastAsia="Arial" w:hAnsi="Arial"/>
          <w:sz w:val="18"/>
          <w:szCs w:val="18"/>
          <w:color w:val="auto"/>
        </w:rPr>
        <w:t xml:space="preserve"> shall be true and correct in all material respects as of the date hereof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5" w:name="page396"/>
    <w:bookmarkEnd w:id="39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90" w:lineRule="auto"/>
        <w:rPr>
          <w:sz w:val="20"/>
          <w:szCs w:val="20"/>
          <w:color w:val="auto"/>
        </w:rPr>
      </w:pPr>
      <w:r>
        <w:rPr>
          <w:rFonts w:ascii="Arial" w:cs="Arial" w:eastAsia="Arial" w:hAnsi="Arial"/>
          <w:sz w:val="16"/>
          <w:szCs w:val="16"/>
          <w:color w:val="auto"/>
        </w:rPr>
        <w:t xml:space="preserve">as of the Closing, except (i) for the portions of </w:t>
      </w:r>
      <w:r>
        <w:rPr>
          <w:rFonts w:ascii="Arial" w:cs="Arial" w:eastAsia="Arial" w:hAnsi="Arial"/>
          <w:sz w:val="16"/>
          <w:szCs w:val="16"/>
          <w:u w:val="single" w:color="auto"/>
          <w:color w:val="auto"/>
        </w:rPr>
        <w:t>Section 3.5(a)</w:t>
      </w:r>
      <w:r>
        <w:rPr>
          <w:rFonts w:ascii="Arial" w:cs="Arial" w:eastAsia="Arial" w:hAnsi="Arial"/>
          <w:sz w:val="16"/>
          <w:szCs w:val="16"/>
          <w:color w:val="auto"/>
        </w:rPr>
        <w:t xml:space="preserve"> made as of an earlier date or time, which need be true and correct only as of such earlier date or time and (ii) for breaches of </w:t>
      </w:r>
      <w:r>
        <w:rPr>
          <w:rFonts w:ascii="Arial" w:cs="Arial" w:eastAsia="Arial" w:hAnsi="Arial"/>
          <w:sz w:val="16"/>
          <w:szCs w:val="16"/>
          <w:u w:val="single" w:color="auto"/>
          <w:color w:val="auto"/>
        </w:rPr>
        <w:t>Section 3.5(a)</w:t>
      </w:r>
      <w:r>
        <w:rPr>
          <w:rFonts w:ascii="Arial" w:cs="Arial" w:eastAsia="Arial" w:hAnsi="Arial"/>
          <w:sz w:val="16"/>
          <w:szCs w:val="16"/>
          <w:color w:val="auto"/>
        </w:rPr>
        <w:t xml:space="preserve"> that, in the aggregate, would not result in a misrepresentation as to securities of the Company valued at less than $250,000. The representations of the Company set forth in this Agreement other than the Fundamental Representations shall be true and correct as of the date hereof and as the Closing except (i) for representations and warranties that speak as of a specific date or time (which need be true and correct only as of such date or time) and (ii) for breaches of the representations and warranties of the Company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(other than the Fundamental Representations) that, in the aggregate, would not have a Company Material Adverse Effect;</w:t>
      </w:r>
    </w:p>
    <w:p>
      <w:pPr>
        <w:spacing w:after="0" w:line="98" w:lineRule="exact"/>
        <w:rPr>
          <w:sz w:val="20"/>
          <w:szCs w:val="20"/>
          <w:color w:val="auto"/>
        </w:rPr>
      </w:pPr>
    </w:p>
    <w:p>
      <w:pPr>
        <w:ind w:left="460" w:right="1079" w:firstLine="858"/>
        <w:spacing w:after="0" w:line="277" w:lineRule="auto"/>
        <w:tabs>
          <w:tab w:leader="none" w:pos="1579"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Company shall have performed in all material respects all obligations required to be performed by it under this Agreement at or prior to the Closing Date;</w:t>
      </w:r>
    </w:p>
    <w:p>
      <w:pPr>
        <w:spacing w:after="0" w:line="102" w:lineRule="exact"/>
        <w:rPr>
          <w:rFonts w:ascii="Arial" w:cs="Arial" w:eastAsia="Arial" w:hAnsi="Arial"/>
          <w:sz w:val="18"/>
          <w:szCs w:val="18"/>
          <w:color w:val="auto"/>
        </w:rPr>
      </w:pPr>
    </w:p>
    <w:p>
      <w:pPr>
        <w:ind w:left="460" w:right="979" w:firstLine="858"/>
        <w:spacing w:after="0" w:line="342" w:lineRule="auto"/>
        <w:tabs>
          <w:tab w:leader="none" w:pos="1569" w:val="left"/>
        </w:tabs>
        <w:numPr>
          <w:ilvl w:val="0"/>
          <w:numId w:val="411"/>
        </w:numPr>
        <w:rPr>
          <w:rFonts w:ascii="Arial" w:cs="Arial" w:eastAsia="Arial" w:hAnsi="Arial"/>
          <w:sz w:val="16"/>
          <w:szCs w:val="16"/>
          <w:color w:val="auto"/>
        </w:rPr>
      </w:pPr>
      <w:r>
        <w:rPr>
          <w:rFonts w:ascii="Arial" w:cs="Arial" w:eastAsia="Arial" w:hAnsi="Arial"/>
          <w:sz w:val="16"/>
          <w:szCs w:val="16"/>
          <w:color w:val="auto"/>
        </w:rPr>
        <w:t>Since the date of this Agreement, here shall not be any event that is continuing that would individually, or in the aggregate, reasonably be expected to have a Company Material Adverse Effect;</w:t>
      </w:r>
    </w:p>
    <w:p>
      <w:pPr>
        <w:spacing w:after="0" w:line="42" w:lineRule="exact"/>
        <w:rPr>
          <w:rFonts w:ascii="Arial" w:cs="Arial" w:eastAsia="Arial" w:hAnsi="Arial"/>
          <w:sz w:val="16"/>
          <w:szCs w:val="16"/>
          <w:color w:val="auto"/>
        </w:rPr>
      </w:pPr>
    </w:p>
    <w:p>
      <w:pPr>
        <w:ind w:left="460" w:right="499" w:firstLine="858"/>
        <w:spacing w:after="0" w:line="342" w:lineRule="auto"/>
        <w:tabs>
          <w:tab w:leader="none" w:pos="1579" w:val="left"/>
        </w:tabs>
        <w:numPr>
          <w:ilvl w:val="0"/>
          <w:numId w:val="411"/>
        </w:numPr>
        <w:rPr>
          <w:rFonts w:ascii="Arial" w:cs="Arial" w:eastAsia="Arial" w:hAnsi="Arial"/>
          <w:sz w:val="16"/>
          <w:szCs w:val="16"/>
          <w:color w:val="auto"/>
        </w:rPr>
      </w:pPr>
      <w:r>
        <w:rPr>
          <w:rFonts w:ascii="Arial" w:cs="Arial" w:eastAsia="Arial" w:hAnsi="Arial"/>
          <w:sz w:val="16"/>
          <w:szCs w:val="16"/>
          <w:color w:val="auto"/>
        </w:rPr>
        <w:t xml:space="preserve">Parent shall have received a certificate, signed by the chief executive officer or chief financial officer of the Company, certifying as to the matters set forth in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8.2(c)</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1560" w:hanging="242"/>
        <w:spacing w:after="0"/>
        <w:tabs>
          <w:tab w:leader="none" w:pos="156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Company Preferred Stock Conversion shall have been consummated;</w:t>
      </w:r>
    </w:p>
    <w:p>
      <w:pPr>
        <w:spacing w:after="0" w:line="157" w:lineRule="exact"/>
        <w:rPr>
          <w:rFonts w:ascii="Arial" w:cs="Arial" w:eastAsia="Arial" w:hAnsi="Arial"/>
          <w:sz w:val="18"/>
          <w:szCs w:val="18"/>
          <w:color w:val="auto"/>
        </w:rPr>
      </w:pPr>
    </w:p>
    <w:p>
      <w:pPr>
        <w:ind w:left="460" w:right="1039" w:firstLine="858"/>
        <w:spacing w:after="0" w:line="277" w:lineRule="auto"/>
        <w:tabs>
          <w:tab w:leader="none" w:pos="1549"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Company shall have executed and delivered to the Parent a copy of each Transaction Document to which it is a party;</w:t>
      </w:r>
    </w:p>
    <w:p>
      <w:pPr>
        <w:spacing w:after="0" w:line="89" w:lineRule="exact"/>
        <w:rPr>
          <w:rFonts w:ascii="Arial" w:cs="Arial" w:eastAsia="Arial" w:hAnsi="Arial"/>
          <w:sz w:val="18"/>
          <w:szCs w:val="18"/>
          <w:color w:val="auto"/>
        </w:rPr>
      </w:pPr>
    </w:p>
    <w:p>
      <w:pPr>
        <w:ind w:left="460" w:right="699" w:firstLine="858"/>
        <w:spacing w:after="0" w:line="277" w:lineRule="auto"/>
        <w:tabs>
          <w:tab w:leader="none" w:pos="1579" w:val="left"/>
        </w:tabs>
        <w:numPr>
          <w:ilvl w:val="0"/>
          <w:numId w:val="411"/>
        </w:numPr>
        <w:rPr>
          <w:rFonts w:ascii="Arial" w:cs="Arial" w:eastAsia="Arial" w:hAnsi="Arial"/>
          <w:sz w:val="18"/>
          <w:szCs w:val="18"/>
          <w:color w:val="auto"/>
        </w:rPr>
      </w:pPr>
      <w:r>
        <w:rPr>
          <w:rFonts w:ascii="Arial" w:cs="Arial" w:eastAsia="Arial" w:hAnsi="Arial"/>
          <w:sz w:val="18"/>
          <w:szCs w:val="18"/>
          <w:color w:val="auto"/>
        </w:rPr>
        <w:t xml:space="preserve">The Stockholders set forth on </w:t>
      </w:r>
      <w:r>
        <w:rPr>
          <w:rFonts w:ascii="Arial" w:cs="Arial" w:eastAsia="Arial" w:hAnsi="Arial"/>
          <w:sz w:val="18"/>
          <w:szCs w:val="18"/>
          <w:u w:val="single" w:color="auto"/>
          <w:color w:val="auto"/>
        </w:rPr>
        <w:t>Schedule 8.2(g)</w:t>
      </w:r>
      <w:r>
        <w:rPr>
          <w:rFonts w:ascii="Arial" w:cs="Arial" w:eastAsia="Arial" w:hAnsi="Arial"/>
          <w:sz w:val="18"/>
          <w:szCs w:val="18"/>
          <w:color w:val="auto"/>
        </w:rPr>
        <w:t xml:space="preserve"> shall have executed and delivered to Parent the applicable Lock-Up Agreements;</w:t>
      </w:r>
    </w:p>
    <w:p>
      <w:pPr>
        <w:spacing w:after="0" w:line="102" w:lineRule="exact"/>
        <w:rPr>
          <w:rFonts w:ascii="Arial" w:cs="Arial" w:eastAsia="Arial" w:hAnsi="Arial"/>
          <w:sz w:val="18"/>
          <w:szCs w:val="18"/>
          <w:color w:val="auto"/>
        </w:rPr>
      </w:pPr>
    </w:p>
    <w:p>
      <w:pPr>
        <w:jc w:val="both"/>
        <w:ind w:left="460" w:right="479" w:firstLine="858"/>
        <w:spacing w:after="0" w:line="263" w:lineRule="auto"/>
        <w:tabs>
          <w:tab w:leader="none" w:pos="1579" w:val="left"/>
        </w:tabs>
        <w:numPr>
          <w:ilvl w:val="0"/>
          <w:numId w:val="411"/>
        </w:numPr>
        <w:rPr>
          <w:rFonts w:ascii="Arial" w:cs="Arial" w:eastAsia="Arial" w:hAnsi="Arial"/>
          <w:sz w:val="18"/>
          <w:szCs w:val="18"/>
          <w:color w:val="auto"/>
        </w:rPr>
      </w:pPr>
      <w:r>
        <w:rPr>
          <w:rFonts w:ascii="Arial" w:cs="Arial" w:eastAsia="Arial" w:hAnsi="Arial"/>
          <w:sz w:val="18"/>
          <w:szCs w:val="18"/>
          <w:color w:val="auto"/>
        </w:rPr>
        <w:t>Parent shall have received a certificate, signed by an officer of the Company, certifying that true, complete and correct copies of the Organizational Documents of the Company and each of its Subsidiaries, as in effect on the Closing Date, are attached to such certificate;</w:t>
      </w:r>
    </w:p>
    <w:p>
      <w:pPr>
        <w:spacing w:after="0" w:line="116" w:lineRule="exact"/>
        <w:rPr>
          <w:rFonts w:ascii="Arial" w:cs="Arial" w:eastAsia="Arial" w:hAnsi="Arial"/>
          <w:sz w:val="18"/>
          <w:szCs w:val="18"/>
          <w:color w:val="auto"/>
        </w:rPr>
      </w:pPr>
    </w:p>
    <w:p>
      <w:pPr>
        <w:ind w:left="460" w:right="539" w:firstLine="858"/>
        <w:spacing w:after="0" w:line="286" w:lineRule="auto"/>
        <w:tabs>
          <w:tab w:leader="none" w:pos="1539" w:val="left"/>
        </w:tabs>
        <w:numPr>
          <w:ilvl w:val="0"/>
          <w:numId w:val="411"/>
        </w:numPr>
        <w:rPr>
          <w:rFonts w:ascii="Arial" w:cs="Arial" w:eastAsia="Arial" w:hAnsi="Arial"/>
          <w:sz w:val="17"/>
          <w:szCs w:val="17"/>
          <w:color w:val="auto"/>
        </w:rPr>
      </w:pPr>
      <w:r>
        <w:rPr>
          <w:rFonts w:ascii="Arial" w:cs="Arial" w:eastAsia="Arial" w:hAnsi="Arial"/>
          <w:sz w:val="17"/>
          <w:szCs w:val="17"/>
          <w:color w:val="auto"/>
        </w:rPr>
        <w:t xml:space="preserve">Parent shall have received copies of third party consents set forth on </w:t>
      </w:r>
      <w:r>
        <w:rPr>
          <w:rFonts w:ascii="Arial" w:cs="Arial" w:eastAsia="Arial" w:hAnsi="Arial"/>
          <w:sz w:val="17"/>
          <w:szCs w:val="17"/>
          <w:u w:val="single" w:color="auto"/>
          <w:color w:val="auto"/>
        </w:rPr>
        <w:t>Schedule 8.2(j)</w:t>
      </w:r>
      <w:r>
        <w:rPr>
          <w:rFonts w:ascii="Arial" w:cs="Arial" w:eastAsia="Arial" w:hAnsi="Arial"/>
          <w:sz w:val="17"/>
          <w:szCs w:val="17"/>
          <w:color w:val="auto"/>
        </w:rPr>
        <w:t xml:space="preserve"> in form and substance reasonably satisfactory to the Parent, and no such consents have been revoked and the PIPE Financing and such listing shall have been approved by Nasdaq subject to official notice of issuance;</w:t>
      </w:r>
    </w:p>
    <w:p>
      <w:pPr>
        <w:spacing w:after="0" w:line="84" w:lineRule="exact"/>
        <w:rPr>
          <w:rFonts w:ascii="Arial" w:cs="Arial" w:eastAsia="Arial" w:hAnsi="Arial"/>
          <w:sz w:val="17"/>
          <w:szCs w:val="17"/>
          <w:color w:val="auto"/>
        </w:rPr>
      </w:pPr>
    </w:p>
    <w:p>
      <w:pPr>
        <w:ind w:left="460" w:right="519" w:firstLine="858"/>
        <w:spacing w:after="0" w:line="275" w:lineRule="auto"/>
        <w:tabs>
          <w:tab w:leader="none" w:pos="1539" w:val="left"/>
        </w:tabs>
        <w:numPr>
          <w:ilvl w:val="0"/>
          <w:numId w:val="411"/>
        </w:numPr>
        <w:rPr>
          <w:rFonts w:ascii="Arial" w:cs="Arial" w:eastAsia="Arial" w:hAnsi="Arial"/>
          <w:sz w:val="17"/>
          <w:szCs w:val="17"/>
          <w:color w:val="auto"/>
        </w:rPr>
      </w:pPr>
      <w:r>
        <w:rPr>
          <w:rFonts w:ascii="Arial" w:cs="Arial" w:eastAsia="Arial" w:hAnsi="Arial"/>
          <w:sz w:val="17"/>
          <w:szCs w:val="17"/>
          <w:color w:val="auto"/>
        </w:rPr>
        <w:t>Parent shall have received a certificate, signed by an officer of the Company, certifying that true, complete and correct copies of the resolutions of the directors of the Company authorizing the execution and delivery of this Agreement and the other Transaction Documents to which it is a party and performance by the Company of the Transactions, including the Merger, having been duly and validly adopted and being in full force and effect as of the Closing Date, are attached to such certificate; and</w:t>
      </w:r>
    </w:p>
    <w:p>
      <w:pPr>
        <w:spacing w:after="0" w:line="108" w:lineRule="exact"/>
        <w:rPr>
          <w:rFonts w:ascii="Arial" w:cs="Arial" w:eastAsia="Arial" w:hAnsi="Arial"/>
          <w:sz w:val="17"/>
          <w:szCs w:val="17"/>
          <w:color w:val="auto"/>
        </w:rPr>
      </w:pPr>
    </w:p>
    <w:p>
      <w:pPr>
        <w:ind w:left="460" w:right="739" w:firstLine="858"/>
        <w:spacing w:after="0" w:line="277" w:lineRule="auto"/>
        <w:tabs>
          <w:tab w:leader="none" w:pos="1579"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Company shall have delivered to Parent a certificate of good standing with respect to the Company from State of Delaware.</w:t>
      </w:r>
    </w:p>
    <w:p>
      <w:pPr>
        <w:spacing w:after="0" w:line="103"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Conditions to Obligation of the Company</w:t>
      </w:r>
      <w:r>
        <w:rPr>
          <w:rFonts w:ascii="Arial" w:cs="Arial" w:eastAsia="Arial" w:hAnsi="Arial"/>
          <w:sz w:val="18"/>
          <w:szCs w:val="18"/>
          <w:color w:val="auto"/>
        </w:rPr>
        <w:t>. The obligation of the Company and the Stockholders to effect the Merger is further subject to the satisfaction (or waiver, if permissible under applicable Law) on or prior to the Closing Date of the following conditions:</w:t>
      </w:r>
    </w:p>
    <w:p>
      <w:pPr>
        <w:spacing w:after="0" w:line="103" w:lineRule="exact"/>
        <w:rPr>
          <w:sz w:val="20"/>
          <w:szCs w:val="20"/>
          <w:color w:val="auto"/>
        </w:rPr>
      </w:pPr>
    </w:p>
    <w:p>
      <w:pPr>
        <w:ind w:left="460" w:right="479" w:firstLine="858"/>
        <w:spacing w:after="0" w:line="287" w:lineRule="auto"/>
        <w:tabs>
          <w:tab w:leader="none" w:pos="1569" w:val="left"/>
        </w:tabs>
        <w:numPr>
          <w:ilvl w:val="1"/>
          <w:numId w:val="412"/>
        </w:numPr>
        <w:rPr>
          <w:rFonts w:ascii="Arial" w:cs="Arial" w:eastAsia="Arial" w:hAnsi="Arial"/>
          <w:sz w:val="16"/>
          <w:szCs w:val="16"/>
          <w:color w:val="auto"/>
        </w:rPr>
      </w:pPr>
      <w:r>
        <w:rPr>
          <w:rFonts w:ascii="Arial" w:cs="Arial" w:eastAsia="Arial" w:hAnsi="Arial"/>
          <w:sz w:val="16"/>
          <w:szCs w:val="16"/>
          <w:color w:val="auto"/>
        </w:rPr>
        <w:t>The representations and warranties of Parent and Merger Sub set forth in this Agreement shall be true and correct in all material respects, on and as of the Closing Date, as though made on and as of the Closing Date, except (i) to the extent of changes or developments contemplated by the terms of this Agreement and</w:t>
      </w:r>
    </w:p>
    <w:p>
      <w:pPr>
        <w:spacing w:after="0" w:line="2" w:lineRule="exact"/>
        <w:rPr>
          <w:rFonts w:ascii="Arial" w:cs="Arial" w:eastAsia="Arial" w:hAnsi="Arial"/>
          <w:sz w:val="16"/>
          <w:szCs w:val="16"/>
          <w:color w:val="auto"/>
        </w:rPr>
      </w:pPr>
    </w:p>
    <w:p>
      <w:pPr>
        <w:ind w:left="460" w:right="919" w:hanging="6"/>
        <w:spacing w:after="0" w:line="260" w:lineRule="auto"/>
        <w:tabs>
          <w:tab w:leader="none" w:pos="725" w:val="left"/>
        </w:tabs>
        <w:numPr>
          <w:ilvl w:val="0"/>
          <w:numId w:val="413"/>
        </w:numPr>
        <w:rPr>
          <w:rFonts w:ascii="Arial" w:cs="Arial" w:eastAsia="Arial" w:hAnsi="Arial"/>
          <w:sz w:val="18"/>
          <w:szCs w:val="18"/>
          <w:color w:val="auto"/>
        </w:rPr>
      </w:pPr>
      <w:r>
        <w:rPr>
          <w:rFonts w:ascii="Arial" w:cs="Arial" w:eastAsia="Arial" w:hAnsi="Arial"/>
          <w:sz w:val="18"/>
          <w:szCs w:val="18"/>
          <w:color w:val="auto"/>
        </w:rPr>
        <w:t>for such representations and warranties that speak as of a specific date or time (which need be true and correct only as of such date or time);</w:t>
      </w:r>
    </w:p>
    <w:p>
      <w:pPr>
        <w:spacing w:after="0" w:line="117" w:lineRule="exact"/>
        <w:rPr>
          <w:rFonts w:ascii="Arial" w:cs="Arial" w:eastAsia="Arial" w:hAnsi="Arial"/>
          <w:sz w:val="18"/>
          <w:szCs w:val="18"/>
          <w:color w:val="auto"/>
        </w:rPr>
      </w:pPr>
    </w:p>
    <w:p>
      <w:pPr>
        <w:ind w:left="460" w:right="659" w:firstLine="858"/>
        <w:spacing w:after="0" w:line="277" w:lineRule="auto"/>
        <w:tabs>
          <w:tab w:leader="none" w:pos="1579" w:val="left"/>
        </w:tabs>
        <w:numPr>
          <w:ilvl w:val="1"/>
          <w:numId w:val="413"/>
        </w:numPr>
        <w:rPr>
          <w:rFonts w:ascii="Arial" w:cs="Arial" w:eastAsia="Arial" w:hAnsi="Arial"/>
          <w:sz w:val="18"/>
          <w:szCs w:val="18"/>
          <w:color w:val="auto"/>
        </w:rPr>
      </w:pPr>
      <w:r>
        <w:rPr>
          <w:rFonts w:ascii="Arial" w:cs="Arial" w:eastAsia="Arial" w:hAnsi="Arial"/>
          <w:sz w:val="18"/>
          <w:szCs w:val="18"/>
          <w:color w:val="auto"/>
        </w:rPr>
        <w:t>Parent and Merger Sub shall have performed in all material respects all obligations required to be performed by them under this Agreement at or prior to the Closing Date;</w:t>
      </w:r>
    </w:p>
    <w:p>
      <w:pPr>
        <w:spacing w:after="0" w:line="102" w:lineRule="exact"/>
        <w:rPr>
          <w:rFonts w:ascii="Arial" w:cs="Arial" w:eastAsia="Arial" w:hAnsi="Arial"/>
          <w:sz w:val="18"/>
          <w:szCs w:val="18"/>
          <w:color w:val="auto"/>
        </w:rPr>
      </w:pPr>
    </w:p>
    <w:p>
      <w:pPr>
        <w:ind w:left="460" w:right="979" w:firstLine="858"/>
        <w:spacing w:after="0" w:line="342" w:lineRule="auto"/>
        <w:tabs>
          <w:tab w:leader="none" w:pos="1569" w:val="left"/>
        </w:tabs>
        <w:numPr>
          <w:ilvl w:val="1"/>
          <w:numId w:val="413"/>
        </w:numPr>
        <w:rPr>
          <w:rFonts w:ascii="Arial" w:cs="Arial" w:eastAsia="Arial" w:hAnsi="Arial"/>
          <w:sz w:val="16"/>
          <w:szCs w:val="16"/>
          <w:color w:val="auto"/>
        </w:rPr>
      </w:pPr>
      <w:r>
        <w:rPr>
          <w:rFonts w:ascii="Arial" w:cs="Arial" w:eastAsia="Arial" w:hAnsi="Arial"/>
          <w:sz w:val="16"/>
          <w:szCs w:val="16"/>
          <w:color w:val="auto"/>
        </w:rPr>
        <w:t>Since the date of this Agreement, here shall not be any event that is continuing that would individually, or in the aggregate, reasonably be expected to have a Parent Material Adverse Effect;</w:t>
      </w:r>
    </w:p>
    <w:p>
      <w:pPr>
        <w:spacing w:after="0" w:line="42" w:lineRule="exact"/>
        <w:rPr>
          <w:rFonts w:ascii="Arial" w:cs="Arial" w:eastAsia="Arial" w:hAnsi="Arial"/>
          <w:sz w:val="16"/>
          <w:szCs w:val="16"/>
          <w:color w:val="auto"/>
        </w:rPr>
      </w:pPr>
    </w:p>
    <w:p>
      <w:pPr>
        <w:ind w:left="460" w:right="479" w:firstLine="858"/>
        <w:spacing w:after="0" w:line="277" w:lineRule="auto"/>
        <w:tabs>
          <w:tab w:leader="none" w:pos="1579" w:val="left"/>
        </w:tabs>
        <w:numPr>
          <w:ilvl w:val="1"/>
          <w:numId w:val="413"/>
        </w:numPr>
        <w:rPr>
          <w:rFonts w:ascii="Arial" w:cs="Arial" w:eastAsia="Arial" w:hAnsi="Arial"/>
          <w:sz w:val="18"/>
          <w:szCs w:val="18"/>
          <w:color w:val="auto"/>
        </w:rPr>
      </w:pPr>
      <w:r>
        <w:rPr>
          <w:rFonts w:ascii="Arial" w:cs="Arial" w:eastAsia="Arial" w:hAnsi="Arial"/>
          <w:sz w:val="18"/>
          <w:szCs w:val="18"/>
          <w:color w:val="auto"/>
        </w:rPr>
        <w:t>Parent shall have executed and delivered to the Company copy of each Transaction Document to which it is a party;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6" w:name="page397"/>
    <w:bookmarkEnd w:id="39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599" w:firstLine="858"/>
        <w:spacing w:after="0" w:line="286" w:lineRule="auto"/>
        <w:tabs>
          <w:tab w:leader="none" w:pos="1569" w:val="left"/>
        </w:tabs>
        <w:numPr>
          <w:ilvl w:val="1"/>
          <w:numId w:val="414"/>
        </w:numPr>
        <w:rPr>
          <w:rFonts w:ascii="Arial" w:cs="Arial" w:eastAsia="Arial" w:hAnsi="Arial"/>
          <w:sz w:val="16"/>
          <w:szCs w:val="16"/>
          <w:color w:val="auto"/>
        </w:rPr>
      </w:pPr>
      <w:r>
        <w:rPr>
          <w:rFonts w:ascii="Arial" w:cs="Arial" w:eastAsia="Arial" w:hAnsi="Arial"/>
          <w:sz w:val="16"/>
          <w:szCs w:val="16"/>
          <w:color w:val="auto"/>
        </w:rPr>
        <w:t>Parent shall have delivered to the Company a certificate, signed by an officer of the Company, certifying true, complete and correct copies of (i) the resolutions duly adopted by the Parent Required Vote at the Parent Stockholders’ Meeting and by the sole stockholder of the Merger Sub approving the Merger and the consummation of the Transactions contemplated by this Agreement and the other Transaction Documents;</w:t>
      </w:r>
    </w:p>
    <w:p>
      <w:pPr>
        <w:spacing w:after="0" w:line="1" w:lineRule="exact"/>
        <w:rPr>
          <w:rFonts w:ascii="Arial" w:cs="Arial" w:eastAsia="Arial" w:hAnsi="Arial"/>
          <w:sz w:val="16"/>
          <w:szCs w:val="16"/>
          <w:color w:val="auto"/>
        </w:rPr>
      </w:pPr>
    </w:p>
    <w:p>
      <w:pPr>
        <w:ind w:left="460" w:right="559" w:hanging="6"/>
        <w:spacing w:after="0" w:line="252" w:lineRule="auto"/>
        <w:tabs>
          <w:tab w:leader="none" w:pos="725" w:val="left"/>
        </w:tabs>
        <w:numPr>
          <w:ilvl w:val="0"/>
          <w:numId w:val="415"/>
        </w:numPr>
        <w:rPr>
          <w:rFonts w:ascii="Arial" w:cs="Arial" w:eastAsia="Arial" w:hAnsi="Arial"/>
          <w:sz w:val="18"/>
          <w:szCs w:val="18"/>
          <w:color w:val="auto"/>
        </w:rPr>
      </w:pPr>
      <w:r>
        <w:rPr>
          <w:rFonts w:ascii="Arial" w:cs="Arial" w:eastAsia="Arial" w:hAnsi="Arial"/>
          <w:sz w:val="18"/>
          <w:szCs w:val="18"/>
          <w:color w:val="auto"/>
        </w:rPr>
        <w:t>certified copies of the resolutions duly adopted by Parent’s board of directors and Merger Sub’s board of directors authorizing the execution, delivery and performance of this Agreement and the other Transaction Documents to which each is a party and performance by Parent and the Merger Sub of the Transactions, including the Merger, each having been duly and validly adopted and being in full force and effect as of the Closing Date; and (iii) written resignations, in forms satisfactory to the Company, dated as of the Closing Date and effective as of the Closing, executed by (X) all officers of Parent and (Y) all persons serving as directors of Parent immediately prior to the Closing;</w:t>
      </w:r>
    </w:p>
    <w:p>
      <w:pPr>
        <w:spacing w:after="0" w:line="124" w:lineRule="exact"/>
        <w:rPr>
          <w:rFonts w:ascii="Arial" w:cs="Arial" w:eastAsia="Arial" w:hAnsi="Arial"/>
          <w:sz w:val="18"/>
          <w:szCs w:val="18"/>
          <w:color w:val="auto"/>
        </w:rPr>
      </w:pPr>
    </w:p>
    <w:p>
      <w:pPr>
        <w:ind w:left="460" w:right="539" w:firstLine="858"/>
        <w:spacing w:after="0" w:line="263" w:lineRule="auto"/>
        <w:tabs>
          <w:tab w:leader="none" w:pos="1549" w:val="left"/>
        </w:tabs>
        <w:numPr>
          <w:ilvl w:val="1"/>
          <w:numId w:val="415"/>
        </w:numPr>
        <w:rPr>
          <w:rFonts w:ascii="Arial" w:cs="Arial" w:eastAsia="Arial" w:hAnsi="Arial"/>
          <w:sz w:val="18"/>
          <w:szCs w:val="18"/>
          <w:color w:val="auto"/>
        </w:rPr>
      </w:pPr>
      <w:r>
        <w:rPr>
          <w:rFonts w:ascii="Arial" w:cs="Arial" w:eastAsia="Arial" w:hAnsi="Arial"/>
          <w:sz w:val="18"/>
          <w:szCs w:val="18"/>
          <w:color w:val="auto"/>
        </w:rPr>
        <w:t>Parent shall have delivered to the Company a certificate, signed by an officer of Parent, certifying that true, complete and correct copies of the Organizational Documents of Parent and Merger Sub, as in effect on the Closing Date, are attached to such certificate;</w:t>
      </w:r>
    </w:p>
    <w:p>
      <w:pPr>
        <w:spacing w:after="0" w:line="116" w:lineRule="exact"/>
        <w:rPr>
          <w:rFonts w:ascii="Arial" w:cs="Arial" w:eastAsia="Arial" w:hAnsi="Arial"/>
          <w:sz w:val="18"/>
          <w:szCs w:val="18"/>
          <w:color w:val="auto"/>
        </w:rPr>
      </w:pPr>
    </w:p>
    <w:p>
      <w:pPr>
        <w:ind w:left="460" w:right="619" w:firstLine="858"/>
        <w:spacing w:after="0" w:line="277" w:lineRule="auto"/>
        <w:tabs>
          <w:tab w:leader="none" w:pos="1579" w:val="left"/>
        </w:tabs>
        <w:numPr>
          <w:ilvl w:val="1"/>
          <w:numId w:val="415"/>
        </w:numPr>
        <w:rPr>
          <w:rFonts w:ascii="Arial" w:cs="Arial" w:eastAsia="Arial" w:hAnsi="Arial"/>
          <w:sz w:val="18"/>
          <w:szCs w:val="18"/>
          <w:color w:val="auto"/>
        </w:rPr>
      </w:pPr>
      <w:r>
        <w:rPr>
          <w:rFonts w:ascii="Arial" w:cs="Arial" w:eastAsia="Arial" w:hAnsi="Arial"/>
          <w:sz w:val="18"/>
          <w:szCs w:val="18"/>
          <w:color w:val="auto"/>
        </w:rPr>
        <w:t>Parent shall have delivered to the Company certificates of good standing with respect to Parent and Merger Sub from their respective applicable jurisdictions of incorporation;</w:t>
      </w:r>
    </w:p>
    <w:p>
      <w:pPr>
        <w:spacing w:after="0" w:line="89" w:lineRule="exact"/>
        <w:rPr>
          <w:rFonts w:ascii="Arial" w:cs="Arial" w:eastAsia="Arial" w:hAnsi="Arial"/>
          <w:sz w:val="18"/>
          <w:szCs w:val="18"/>
          <w:color w:val="auto"/>
        </w:rPr>
      </w:pPr>
    </w:p>
    <w:p>
      <w:pPr>
        <w:ind w:left="460" w:right="499" w:firstLine="858"/>
        <w:spacing w:after="0" w:line="286" w:lineRule="auto"/>
        <w:tabs>
          <w:tab w:leader="none" w:pos="1579" w:val="left"/>
        </w:tabs>
        <w:numPr>
          <w:ilvl w:val="1"/>
          <w:numId w:val="415"/>
        </w:numPr>
        <w:rPr>
          <w:rFonts w:ascii="Arial" w:cs="Arial" w:eastAsia="Arial" w:hAnsi="Arial"/>
          <w:sz w:val="17"/>
          <w:szCs w:val="17"/>
          <w:color w:val="auto"/>
        </w:rPr>
      </w:pPr>
      <w:r>
        <w:rPr>
          <w:rFonts w:ascii="Arial" w:cs="Arial" w:eastAsia="Arial" w:hAnsi="Arial"/>
          <w:sz w:val="17"/>
          <w:szCs w:val="17"/>
          <w:color w:val="auto"/>
        </w:rPr>
        <w:t xml:space="preserve">Parent and any person that is currently an Affiliate of the Company that will be deemed an Affiliate of Parent after Closing shall have entered into an amended and restated registration rights agreement in substantially the form attached hereto as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w:t>
      </w:r>
    </w:p>
    <w:p>
      <w:pPr>
        <w:spacing w:after="0" w:line="97" w:lineRule="exact"/>
        <w:rPr>
          <w:rFonts w:ascii="Arial" w:cs="Arial" w:eastAsia="Arial" w:hAnsi="Arial"/>
          <w:sz w:val="17"/>
          <w:szCs w:val="17"/>
          <w:color w:val="auto"/>
        </w:rPr>
      </w:pPr>
    </w:p>
    <w:p>
      <w:pPr>
        <w:ind w:left="460" w:right="519" w:firstLine="858"/>
        <w:spacing w:after="0" w:line="263" w:lineRule="auto"/>
        <w:tabs>
          <w:tab w:leader="none" w:pos="1539" w:val="left"/>
        </w:tabs>
        <w:numPr>
          <w:ilvl w:val="1"/>
          <w:numId w:val="415"/>
        </w:numPr>
        <w:rPr>
          <w:rFonts w:ascii="Arial" w:cs="Arial" w:eastAsia="Arial" w:hAnsi="Arial"/>
          <w:sz w:val="18"/>
          <w:szCs w:val="18"/>
          <w:color w:val="auto"/>
        </w:rPr>
      </w:pPr>
      <w:r>
        <w:rPr>
          <w:rFonts w:ascii="Arial" w:cs="Arial" w:eastAsia="Arial" w:hAnsi="Arial"/>
          <w:sz w:val="18"/>
          <w:szCs w:val="18"/>
          <w:color w:val="auto"/>
        </w:rPr>
        <w:t>A supplemental listing shall have been filed with Nasdaq as of the Closing Date to list the shares constituting the Merger Consideration and such listing shall have been approved by Nasdaq, subject to official notice of issuance;</w:t>
      </w:r>
    </w:p>
    <w:p>
      <w:pPr>
        <w:spacing w:after="0" w:line="116" w:lineRule="exact"/>
        <w:rPr>
          <w:rFonts w:ascii="Arial" w:cs="Arial" w:eastAsia="Arial" w:hAnsi="Arial"/>
          <w:sz w:val="18"/>
          <w:szCs w:val="18"/>
          <w:color w:val="auto"/>
        </w:rPr>
      </w:pPr>
    </w:p>
    <w:p>
      <w:pPr>
        <w:jc w:val="both"/>
        <w:ind w:left="460" w:right="559" w:firstLine="858"/>
        <w:spacing w:after="0" w:line="259" w:lineRule="auto"/>
        <w:tabs>
          <w:tab w:leader="none" w:pos="1539" w:val="left"/>
        </w:tabs>
        <w:numPr>
          <w:ilvl w:val="1"/>
          <w:numId w:val="415"/>
        </w:numPr>
        <w:rPr>
          <w:rFonts w:ascii="Arial" w:cs="Arial" w:eastAsia="Arial" w:hAnsi="Arial"/>
          <w:sz w:val="18"/>
          <w:szCs w:val="18"/>
          <w:color w:val="auto"/>
        </w:rPr>
      </w:pPr>
      <w:r>
        <w:rPr>
          <w:rFonts w:ascii="Arial" w:cs="Arial" w:eastAsia="Arial" w:hAnsi="Arial"/>
          <w:sz w:val="18"/>
          <w:szCs w:val="18"/>
          <w:color w:val="auto"/>
        </w:rPr>
        <w:t>Except for shares of Parent Common Stock (i) issued pursuant to the PIPE Financing, and (ii) to be issued pursuant to this Agreement, from the date of this Agreement through the Closing, no shares of Parent Common Stock shall have been issued to any Person in an amount or on terms other than those approved with the prior written consent of the Company;</w:t>
      </w:r>
    </w:p>
    <w:p>
      <w:pPr>
        <w:spacing w:after="0" w:line="105" w:lineRule="exact"/>
        <w:rPr>
          <w:rFonts w:ascii="Arial" w:cs="Arial" w:eastAsia="Arial" w:hAnsi="Arial"/>
          <w:sz w:val="18"/>
          <w:szCs w:val="18"/>
          <w:color w:val="auto"/>
        </w:rPr>
      </w:pPr>
    </w:p>
    <w:p>
      <w:pPr>
        <w:ind w:left="1580" w:hanging="262"/>
        <w:spacing w:after="0"/>
        <w:tabs>
          <w:tab w:leader="none" w:pos="1580" w:val="left"/>
        </w:tabs>
        <w:numPr>
          <w:ilvl w:val="1"/>
          <w:numId w:val="415"/>
        </w:numPr>
        <w:rPr>
          <w:rFonts w:ascii="Arial" w:cs="Arial" w:eastAsia="Arial" w:hAnsi="Arial"/>
          <w:sz w:val="16"/>
          <w:szCs w:val="16"/>
          <w:color w:val="auto"/>
        </w:rPr>
      </w:pPr>
      <w:r>
        <w:rPr>
          <w:rFonts w:ascii="Arial" w:cs="Arial" w:eastAsia="Arial" w:hAnsi="Arial"/>
          <w:sz w:val="16"/>
          <w:szCs w:val="16"/>
          <w:color w:val="auto"/>
        </w:rPr>
        <w:t>The Company shall have received the Resignation Letters of each of the directors and officers of</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Parent;</w:t>
      </w:r>
    </w:p>
    <w:p>
      <w:pPr>
        <w:spacing w:after="0" w:line="143" w:lineRule="exact"/>
        <w:rPr>
          <w:rFonts w:ascii="Arial" w:cs="Arial" w:eastAsia="Arial" w:hAnsi="Arial"/>
          <w:sz w:val="16"/>
          <w:szCs w:val="16"/>
          <w:color w:val="auto"/>
        </w:rPr>
      </w:pPr>
    </w:p>
    <w:p>
      <w:pPr>
        <w:ind w:left="1540" w:hanging="222"/>
        <w:spacing w:after="0"/>
        <w:tabs>
          <w:tab w:leader="none" w:pos="1540" w:val="left"/>
        </w:tabs>
        <w:numPr>
          <w:ilvl w:val="1"/>
          <w:numId w:val="415"/>
        </w:numPr>
        <w:rPr>
          <w:rFonts w:ascii="Arial" w:cs="Arial" w:eastAsia="Arial" w:hAnsi="Arial"/>
          <w:sz w:val="15"/>
          <w:szCs w:val="15"/>
          <w:color w:val="auto"/>
        </w:rPr>
      </w:pPr>
      <w:r>
        <w:rPr>
          <w:rFonts w:ascii="Arial" w:cs="Arial" w:eastAsia="Arial" w:hAnsi="Arial"/>
          <w:sz w:val="15"/>
          <w:szCs w:val="15"/>
          <w:color w:val="auto"/>
        </w:rPr>
        <w:t>The Parent board of directors shall have adopted and approved the Parent Amended and Restated</w:t>
      </w:r>
    </w:p>
    <w:p>
      <w:pPr>
        <w:spacing w:after="0" w:line="57"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Bylaws;</w:t>
      </w:r>
    </w:p>
    <w:p>
      <w:pPr>
        <w:spacing w:after="0" w:line="143" w:lineRule="exact"/>
        <w:rPr>
          <w:rFonts w:ascii="Arial" w:cs="Arial" w:eastAsia="Arial" w:hAnsi="Arial"/>
          <w:sz w:val="15"/>
          <w:szCs w:val="15"/>
          <w:color w:val="auto"/>
        </w:rPr>
      </w:pPr>
    </w:p>
    <w:p>
      <w:pPr>
        <w:ind w:left="1620" w:hanging="302"/>
        <w:spacing w:after="0"/>
        <w:tabs>
          <w:tab w:leader="none" w:pos="162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The Closing Parent Cash shall be no less than $300,000,000; and</w:t>
      </w:r>
    </w:p>
    <w:p>
      <w:pPr>
        <w:spacing w:after="0" w:line="144" w:lineRule="exact"/>
        <w:rPr>
          <w:rFonts w:ascii="Arial" w:cs="Arial" w:eastAsia="Arial" w:hAnsi="Arial"/>
          <w:sz w:val="18"/>
          <w:szCs w:val="18"/>
          <w:color w:val="auto"/>
        </w:rPr>
      </w:pPr>
    </w:p>
    <w:p>
      <w:pPr>
        <w:ind w:left="460" w:right="499" w:firstLine="858"/>
        <w:spacing w:after="0" w:line="311" w:lineRule="auto"/>
        <w:tabs>
          <w:tab w:leader="none" w:pos="1579" w:val="left"/>
        </w:tabs>
        <w:numPr>
          <w:ilvl w:val="1"/>
          <w:numId w:val="415"/>
        </w:numPr>
        <w:rPr>
          <w:rFonts w:ascii="Arial" w:cs="Arial" w:eastAsia="Arial" w:hAnsi="Arial"/>
          <w:sz w:val="16"/>
          <w:szCs w:val="16"/>
          <w:color w:val="auto"/>
        </w:rPr>
      </w:pPr>
      <w:r>
        <w:rPr>
          <w:rFonts w:ascii="Arial" w:cs="Arial" w:eastAsia="Arial" w:hAnsi="Arial"/>
          <w:sz w:val="16"/>
          <w:szCs w:val="16"/>
          <w:color w:val="auto"/>
        </w:rPr>
        <w:t>Parent shall have taken all action necessary, including causing the executive officers of Parent to resign, so that the individuals serving as executive officers of Parent immediately after the Closing will be the same individuals (in the same offices) as those of the Company immediately prior to the Closing.</w:t>
      </w:r>
    </w:p>
    <w:p>
      <w:pPr>
        <w:spacing w:after="0" w:line="81"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 xml:space="preserve">If the Closing occurs, all Closing conditions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that have not been fully satisfied as of the Closing will be deemed to have been waived by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TERMINATION</w:t>
      </w:r>
    </w:p>
    <w:p>
      <w:pPr>
        <w:spacing w:after="0" w:line="144"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Transactions abandoned at any time prior to the Effective Time:</w:t>
      </w:r>
    </w:p>
    <w:p>
      <w:pPr>
        <w:spacing w:after="0" w:line="103" w:lineRule="exact"/>
        <w:rPr>
          <w:sz w:val="20"/>
          <w:szCs w:val="20"/>
          <w:color w:val="auto"/>
        </w:rPr>
      </w:pPr>
    </w:p>
    <w:p>
      <w:pPr>
        <w:ind w:left="460" w:right="959" w:firstLine="858"/>
        <w:spacing w:after="0" w:line="277" w:lineRule="auto"/>
        <w:tabs>
          <w:tab w:leader="none" w:pos="1569" w:val="left"/>
        </w:tabs>
        <w:numPr>
          <w:ilvl w:val="0"/>
          <w:numId w:val="416"/>
        </w:numPr>
        <w:rPr>
          <w:rFonts w:ascii="Arial" w:cs="Arial" w:eastAsia="Arial" w:hAnsi="Arial"/>
          <w:sz w:val="18"/>
          <w:szCs w:val="18"/>
          <w:color w:val="auto"/>
        </w:rPr>
      </w:pPr>
      <w:r>
        <w:rPr>
          <w:rFonts w:ascii="Arial" w:cs="Arial" w:eastAsia="Arial" w:hAnsi="Arial"/>
          <w:sz w:val="18"/>
          <w:szCs w:val="18"/>
          <w:color w:val="auto"/>
        </w:rPr>
        <w:t>by the mutual written consent of the Company and Parent duly authorized by each of their respective boards of directors;</w:t>
      </w:r>
    </w:p>
    <w:p>
      <w:pPr>
        <w:spacing w:after="0" w:line="102" w:lineRule="exact"/>
        <w:rPr>
          <w:rFonts w:ascii="Arial" w:cs="Arial" w:eastAsia="Arial" w:hAnsi="Arial"/>
          <w:sz w:val="18"/>
          <w:szCs w:val="18"/>
          <w:color w:val="auto"/>
        </w:rPr>
      </w:pPr>
    </w:p>
    <w:p>
      <w:pPr>
        <w:ind w:left="460" w:right="499" w:firstLine="858"/>
        <w:spacing w:after="0" w:line="259" w:lineRule="auto"/>
        <w:tabs>
          <w:tab w:leader="none" w:pos="1579" w:val="left"/>
        </w:tabs>
        <w:numPr>
          <w:ilvl w:val="0"/>
          <w:numId w:val="416"/>
        </w:numPr>
        <w:rPr>
          <w:rFonts w:ascii="Arial" w:cs="Arial" w:eastAsia="Arial" w:hAnsi="Arial"/>
          <w:sz w:val="18"/>
          <w:szCs w:val="18"/>
          <w:color w:val="auto"/>
        </w:rPr>
      </w:pPr>
      <w:r>
        <w:rPr>
          <w:rFonts w:ascii="Arial" w:cs="Arial" w:eastAsia="Arial" w:hAnsi="Arial"/>
          <w:sz w:val="18"/>
          <w:szCs w:val="18"/>
          <w:color w:val="auto"/>
        </w:rPr>
        <w:t xml:space="preserve">by Parent, if any of the representations or warranties of the Company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not be true and correct, or if the Company has failed to perform any covenant or agreement on the part of the Company set forth in this Agreement (including an obligation to consummate the Closing), in each case such that the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7" w:name="page398"/>
    <w:bookmarkEnd w:id="39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54" w:lineRule="auto"/>
        <w:rPr>
          <w:sz w:val="20"/>
          <w:szCs w:val="20"/>
          <w:color w:val="auto"/>
        </w:rPr>
      </w:pPr>
      <w:r>
        <w:rPr>
          <w:rFonts w:ascii="Arial" w:cs="Arial" w:eastAsia="Arial" w:hAnsi="Arial"/>
          <w:sz w:val="18"/>
          <w:szCs w:val="18"/>
          <w:color w:val="auto"/>
        </w:rPr>
        <w:t xml:space="preserve">conditions to Closing set forth in either </w:t>
      </w:r>
      <w:r>
        <w:rPr>
          <w:rFonts w:ascii="Arial" w:cs="Arial" w:eastAsia="Arial" w:hAnsi="Arial"/>
          <w:sz w:val="18"/>
          <w:szCs w:val="18"/>
          <w:u w:val="single" w:color="auto"/>
          <w:color w:val="auto"/>
        </w:rPr>
        <w:t>Section 8.2(a)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8.2(c)</w:t>
      </w:r>
      <w:r>
        <w:rPr>
          <w:rFonts w:ascii="Arial" w:cs="Arial" w:eastAsia="Arial" w:hAnsi="Arial"/>
          <w:sz w:val="18"/>
          <w:szCs w:val="18"/>
          <w:color w:val="auto"/>
        </w:rPr>
        <w:t xml:space="preserve"> would not be satisfied and the breach or breaches causing such representations or warranties not to be true and correct, or the failure to perform any covenant or agreement, as applicable, are not cured (or waived by Parent) by the earlier of (i) the Outside Date or (ii) 30 days after written notice thereof is delivered to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Parent shall not have the right to terminate this Agreement pursuant to this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if Parent or Merger Sub is then in material breach of any representation, warranty, covenant, or obligation hereunder, which breach has not been cured.</w:t>
      </w:r>
    </w:p>
    <w:p>
      <w:pPr>
        <w:spacing w:after="0" w:line="127" w:lineRule="exact"/>
        <w:rPr>
          <w:sz w:val="20"/>
          <w:szCs w:val="20"/>
          <w:color w:val="auto"/>
        </w:rPr>
      </w:pPr>
    </w:p>
    <w:p>
      <w:pPr>
        <w:ind w:left="460" w:right="579" w:firstLine="858"/>
        <w:spacing w:after="0" w:line="289" w:lineRule="auto"/>
        <w:tabs>
          <w:tab w:leader="none" w:pos="1569" w:val="left"/>
        </w:tabs>
        <w:numPr>
          <w:ilvl w:val="0"/>
          <w:numId w:val="417"/>
        </w:numPr>
        <w:rPr>
          <w:rFonts w:ascii="Arial" w:cs="Arial" w:eastAsia="Arial" w:hAnsi="Arial"/>
          <w:sz w:val="16"/>
          <w:szCs w:val="16"/>
          <w:color w:val="auto"/>
        </w:rPr>
      </w:pPr>
      <w:r>
        <w:rPr>
          <w:rFonts w:ascii="Arial" w:cs="Arial" w:eastAsia="Arial" w:hAnsi="Arial"/>
          <w:sz w:val="16"/>
          <w:szCs w:val="16"/>
          <w:color w:val="auto"/>
        </w:rPr>
        <w:t xml:space="preserve">by the Company, if any of the representations or warranties of Parent or Merger Sub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not be true and correct, or if either Parent or Merger Sub has failed to perform any covenant or agreement on the part of Parent or Merger Sub set forth in this Agreement (including an obligation to consummate the Closing), in each case such that the conditions to Closing set forth in either </w:t>
      </w:r>
      <w:r>
        <w:rPr>
          <w:rFonts w:ascii="Arial" w:cs="Arial" w:eastAsia="Arial" w:hAnsi="Arial"/>
          <w:sz w:val="16"/>
          <w:szCs w:val="16"/>
          <w:u w:val="single" w:color="auto"/>
          <w:color w:val="auto"/>
        </w:rPr>
        <w:t>Section 8.3(a)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8.3(b)</w:t>
      </w:r>
      <w:r>
        <w:rPr>
          <w:rFonts w:ascii="Arial" w:cs="Arial" w:eastAsia="Arial" w:hAnsi="Arial"/>
          <w:sz w:val="16"/>
          <w:szCs w:val="16"/>
          <w:color w:val="auto"/>
        </w:rPr>
        <w:t xml:space="preserve"> would not be satisfied and the breach or breaches causing such representations or warranties not to be true and correct, or the failure to perform any covenant or agreement, as applicable, are not cured (or waived by the Company) by the earlier of (i) the Outside Date or (ii) 30 days after written notice thereof is delivered to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not then in breach of this Agreement so as to cause the conditions to Closing set forth in </w:t>
      </w:r>
      <w:r>
        <w:rPr>
          <w:rFonts w:ascii="Arial" w:cs="Arial" w:eastAsia="Arial" w:hAnsi="Arial"/>
          <w:sz w:val="16"/>
          <w:szCs w:val="16"/>
          <w:u w:val="single" w:color="auto"/>
          <w:color w:val="auto"/>
        </w:rPr>
        <w:t>Section 8.3(a)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8.3(b)</w:t>
      </w:r>
      <w:r>
        <w:rPr>
          <w:rFonts w:ascii="Arial" w:cs="Arial" w:eastAsia="Arial" w:hAnsi="Arial"/>
          <w:sz w:val="16"/>
          <w:szCs w:val="16"/>
          <w:color w:val="auto"/>
        </w:rPr>
        <w:t xml:space="preserve"> from being satisfied;</w:t>
      </w:r>
    </w:p>
    <w:p>
      <w:pPr>
        <w:spacing w:after="0" w:line="98" w:lineRule="exact"/>
        <w:rPr>
          <w:rFonts w:ascii="Arial" w:cs="Arial" w:eastAsia="Arial" w:hAnsi="Arial"/>
          <w:sz w:val="16"/>
          <w:szCs w:val="16"/>
          <w:color w:val="auto"/>
        </w:rPr>
      </w:pPr>
    </w:p>
    <w:p>
      <w:pPr>
        <w:ind w:left="1580" w:hanging="262"/>
        <w:spacing w:after="0"/>
        <w:tabs>
          <w:tab w:leader="none" w:pos="158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by either the Company or Parent:</w:t>
      </w:r>
    </w:p>
    <w:p>
      <w:pPr>
        <w:spacing w:after="0" w:line="144" w:lineRule="exact"/>
        <w:rPr>
          <w:rFonts w:ascii="Arial" w:cs="Arial" w:eastAsia="Arial" w:hAnsi="Arial"/>
          <w:sz w:val="18"/>
          <w:szCs w:val="18"/>
          <w:color w:val="auto"/>
        </w:rPr>
      </w:pPr>
    </w:p>
    <w:p>
      <w:pPr>
        <w:ind w:left="880" w:right="479" w:firstLine="870"/>
        <w:spacing w:after="0" w:line="275" w:lineRule="auto"/>
        <w:tabs>
          <w:tab w:leader="none" w:pos="1959" w:val="left"/>
        </w:tabs>
        <w:numPr>
          <w:ilvl w:val="1"/>
          <w:numId w:val="417"/>
        </w:numPr>
        <w:rPr>
          <w:rFonts w:ascii="Arial" w:cs="Arial" w:eastAsia="Arial" w:hAnsi="Arial"/>
          <w:sz w:val="17"/>
          <w:szCs w:val="17"/>
          <w:color w:val="auto"/>
        </w:rPr>
      </w:pPr>
      <w:r>
        <w:rPr>
          <w:rFonts w:ascii="Arial" w:cs="Arial" w:eastAsia="Arial" w:hAnsi="Arial"/>
          <w:sz w:val="17"/>
          <w:szCs w:val="17"/>
          <w:color w:val="auto"/>
        </w:rPr>
        <w:t>on or after September 30, 2021 (the “</w:t>
      </w:r>
      <w:r>
        <w:rPr>
          <w:rFonts w:ascii="Arial" w:cs="Arial" w:eastAsia="Arial" w:hAnsi="Arial"/>
          <w:sz w:val="17"/>
          <w:szCs w:val="17"/>
          <w:u w:val="single" w:color="auto"/>
          <w:color w:val="auto"/>
        </w:rPr>
        <w:t>Outside Date</w:t>
      </w:r>
      <w:r>
        <w:rPr>
          <w:rFonts w:ascii="Arial" w:cs="Arial" w:eastAsia="Arial" w:hAnsi="Arial"/>
          <w:sz w:val="17"/>
          <w:szCs w:val="17"/>
          <w:color w:val="auto"/>
        </w:rPr>
        <w:t xml:space="preserve">”), if the Merger shall not have been consummated prior to the Outside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right to terminate this Agreement under this </w:t>
      </w:r>
      <w:r>
        <w:rPr>
          <w:rFonts w:ascii="Arial" w:cs="Arial" w:eastAsia="Arial" w:hAnsi="Arial"/>
          <w:sz w:val="17"/>
          <w:szCs w:val="17"/>
          <w:u w:val="single" w:color="auto"/>
          <w:color w:val="auto"/>
        </w:rPr>
        <w:t>Section 9.1(d)(i)</w:t>
      </w:r>
      <w:r>
        <w:rPr>
          <w:rFonts w:ascii="Arial" w:cs="Arial" w:eastAsia="Arial" w:hAnsi="Arial"/>
          <w:sz w:val="17"/>
          <w:szCs w:val="17"/>
          <w:color w:val="auto"/>
        </w:rPr>
        <w:t xml:space="preserve"> shall not be available to a Party if the failure of the Merger to have been consummated on or before the Outside Date was due to such Party’s breach of or failure to perform any of its representations, warranties, covenants or agreements set forth in this Agreement;</w:t>
      </w:r>
    </w:p>
    <w:p>
      <w:pPr>
        <w:spacing w:after="0" w:line="108" w:lineRule="exact"/>
        <w:rPr>
          <w:rFonts w:ascii="Arial" w:cs="Arial" w:eastAsia="Arial" w:hAnsi="Arial"/>
          <w:sz w:val="17"/>
          <w:szCs w:val="17"/>
          <w:color w:val="auto"/>
        </w:rPr>
      </w:pPr>
    </w:p>
    <w:p>
      <w:pPr>
        <w:ind w:left="880" w:right="479" w:firstLine="870"/>
        <w:spacing w:after="0" w:line="257" w:lineRule="auto"/>
        <w:tabs>
          <w:tab w:leader="none" w:pos="2009" w:val="left"/>
        </w:tabs>
        <w:numPr>
          <w:ilvl w:val="1"/>
          <w:numId w:val="417"/>
        </w:numPr>
        <w:rPr>
          <w:rFonts w:ascii="Arial" w:cs="Arial" w:eastAsia="Arial" w:hAnsi="Arial"/>
          <w:sz w:val="18"/>
          <w:szCs w:val="18"/>
          <w:color w:val="auto"/>
        </w:rPr>
      </w:pPr>
      <w:r>
        <w:rPr>
          <w:rFonts w:ascii="Arial" w:cs="Arial" w:eastAsia="Arial" w:hAnsi="Arial"/>
          <w:sz w:val="18"/>
          <w:szCs w:val="18"/>
          <w:color w:val="auto"/>
        </w:rPr>
        <w:t xml:space="preserve">if any Order having the effect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shall be in effect and shall have become final and non-appealable;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9.1(d)(ii)</w:t>
      </w:r>
      <w:r>
        <w:rPr>
          <w:rFonts w:ascii="Arial" w:cs="Arial" w:eastAsia="Arial" w:hAnsi="Arial"/>
          <w:sz w:val="18"/>
          <w:szCs w:val="18"/>
          <w:color w:val="auto"/>
        </w:rPr>
        <w:t xml:space="preserve"> shall not be available to a Party if such Order was due to such Party’s breach of or failure to perform any of its representations, warranties, covenants or agreements set forth in this Agreement;</w:t>
      </w:r>
    </w:p>
    <w:p>
      <w:pPr>
        <w:spacing w:after="0" w:line="120" w:lineRule="exact"/>
        <w:rPr>
          <w:rFonts w:ascii="Arial" w:cs="Arial" w:eastAsia="Arial" w:hAnsi="Arial"/>
          <w:sz w:val="18"/>
          <w:szCs w:val="18"/>
          <w:color w:val="auto"/>
        </w:rPr>
      </w:pPr>
    </w:p>
    <w:p>
      <w:pPr>
        <w:ind w:left="2060" w:hanging="310"/>
        <w:spacing w:after="0"/>
        <w:tabs>
          <w:tab w:leader="none" w:pos="2060" w:val="left"/>
        </w:tabs>
        <w:numPr>
          <w:ilvl w:val="1"/>
          <w:numId w:val="417"/>
        </w:numPr>
        <w:rPr>
          <w:rFonts w:ascii="Arial" w:cs="Arial" w:eastAsia="Arial" w:hAnsi="Arial"/>
          <w:sz w:val="16"/>
          <w:szCs w:val="16"/>
          <w:color w:val="auto"/>
        </w:rPr>
      </w:pPr>
      <w:r>
        <w:rPr>
          <w:rFonts w:ascii="Arial" w:cs="Arial" w:eastAsia="Arial" w:hAnsi="Arial"/>
          <w:sz w:val="16"/>
          <w:szCs w:val="16"/>
          <w:color w:val="auto"/>
        </w:rPr>
        <w:t xml:space="preserve">if any of the Parent Proposals (other than the Parent Proposals described in </w:t>
      </w:r>
      <w:r>
        <w:rPr>
          <w:rFonts w:ascii="Arial" w:cs="Arial" w:eastAsia="Arial" w:hAnsi="Arial"/>
          <w:sz w:val="16"/>
          <w:szCs w:val="16"/>
          <w:u w:val="single" w:color="auto"/>
          <w:color w:val="auto"/>
        </w:rPr>
        <w:t>Section 7.4(e)</w:t>
      </w:r>
    </w:p>
    <w:p>
      <w:pPr>
        <w:spacing w:after="0" w:line="46" w:lineRule="exact"/>
        <w:rPr>
          <w:rFonts w:ascii="Arial" w:cs="Arial" w:eastAsia="Arial" w:hAnsi="Arial"/>
          <w:sz w:val="16"/>
          <w:szCs w:val="16"/>
          <w:color w:val="auto"/>
        </w:rPr>
      </w:pPr>
    </w:p>
    <w:p>
      <w:pPr>
        <w:ind w:left="880" w:right="659"/>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(v)-(vii)</w:t>
      </w:r>
      <w:r>
        <w:rPr>
          <w:rFonts w:ascii="Arial" w:cs="Arial" w:eastAsia="Arial" w:hAnsi="Arial"/>
          <w:sz w:val="18"/>
          <w:szCs w:val="18"/>
          <w:color w:val="auto"/>
        </w:rPr>
        <w:t>) shall fail to receive the Parent Required Vote for approval at the Parent Stockholders’ Meeting (unless such Parent Stockholders Meeting has been adjourned or postponed, in which case at the final adjournment or postponement thereof); or</w:t>
      </w:r>
    </w:p>
    <w:p>
      <w:pPr>
        <w:spacing w:after="0" w:line="108" w:lineRule="exact"/>
        <w:rPr>
          <w:rFonts w:ascii="Arial" w:cs="Arial" w:eastAsia="Arial" w:hAnsi="Arial"/>
          <w:sz w:val="16"/>
          <w:szCs w:val="16"/>
          <w:color w:val="auto"/>
        </w:rPr>
      </w:pPr>
    </w:p>
    <w:p>
      <w:pPr>
        <w:ind w:left="1560" w:hanging="242"/>
        <w:spacing w:after="0"/>
        <w:tabs>
          <w:tab w:leader="none" w:pos="15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by the Company if there has been a Modification in Recommendation.</w:t>
      </w:r>
    </w:p>
    <w:p>
      <w:pPr>
        <w:spacing w:after="0" w:line="157" w:lineRule="exact"/>
        <w:rPr>
          <w:rFonts w:ascii="Arial" w:cs="Arial" w:eastAsia="Arial" w:hAnsi="Arial"/>
          <w:sz w:val="18"/>
          <w:szCs w:val="18"/>
          <w:color w:val="auto"/>
        </w:rPr>
      </w:pPr>
    </w:p>
    <w:p>
      <w:pPr>
        <w:ind w:left="460" w:right="659" w:firstLine="858"/>
        <w:spacing w:after="0" w:line="257" w:lineRule="auto"/>
        <w:tabs>
          <w:tab w:leader="none" w:pos="1549" w:val="left"/>
        </w:tabs>
        <w:numPr>
          <w:ilvl w:val="0"/>
          <w:numId w:val="417"/>
        </w:numPr>
        <w:rPr>
          <w:rFonts w:ascii="Arial" w:cs="Arial" w:eastAsia="Arial" w:hAnsi="Arial"/>
          <w:sz w:val="18"/>
          <w:szCs w:val="18"/>
          <w:color w:val="auto"/>
        </w:rPr>
      </w:pPr>
      <w:r>
        <w:rPr>
          <w:rFonts w:ascii="Arial" w:cs="Arial" w:eastAsia="Arial" w:hAnsi="Arial"/>
          <w:sz w:val="18"/>
          <w:szCs w:val="18"/>
          <w:color w:val="auto"/>
        </w:rPr>
        <w:t xml:space="preserve">by Parent if the Company Stockholder Approval shall not have been obtained within five (5) Business Days of the delivery to the Company Stockholders of the prospectus that is part of the Form S-4, provided that the termination right under this </w:t>
      </w:r>
      <w:r>
        <w:rPr>
          <w:rFonts w:ascii="Arial" w:cs="Arial" w:eastAsia="Arial" w:hAnsi="Arial"/>
          <w:sz w:val="18"/>
          <w:szCs w:val="18"/>
          <w:u w:val="single" w:color="auto"/>
          <w:color w:val="auto"/>
        </w:rPr>
        <w:t>Section 9.1(f)</w:t>
      </w:r>
      <w:r>
        <w:rPr>
          <w:rFonts w:ascii="Arial" w:cs="Arial" w:eastAsia="Arial" w:hAnsi="Arial"/>
          <w:sz w:val="18"/>
          <w:szCs w:val="18"/>
          <w:color w:val="auto"/>
        </w:rPr>
        <w:t xml:space="preserve"> shall be of no further force or effect if such Company Stockholder Approval is delivered to Parent prior to the termination of the Agreement (even if after the five (5) Business Day period provided above).</w:t>
      </w:r>
    </w:p>
    <w:p>
      <w:pPr>
        <w:spacing w:after="0" w:line="120"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In the event of the termination of this Agreement as provided in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(other than termination pursuant to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written notice thereof shall be given by the Party desiring to terminate to the other Party or Parties, specifying the provision hereof pursuant to which such termination is made, and this Agreement shall following such delivery become null and void (other than the provisions of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(excluding the last sentence of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9.2</w:t>
      </w:r>
      <w:r>
        <w:rPr>
          <w:rFonts w:ascii="Arial" w:cs="Arial" w:eastAsia="Arial" w:hAnsi="Arial"/>
          <w:sz w:val="16"/>
          <w:szCs w:val="16"/>
          <w:color w:val="auto"/>
        </w:rPr>
        <w:t>)), and there shall be no Liability on the part of Parent, Merger Sub or the Company or their respective directors, officers and Affiliates; provided, however, that nothing in this Agreement will relieve any Party from Liability for any fraud, intentional misrepresentation or Willful Breach. For avoidance of doubt, the termination of this Agreement shall not affect the obligations of Parent or its Affiliates under the Non-Disclosure Agreement.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8" w:name="page399"/>
    <w:bookmarkEnd w:id="39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158" w:lineRule="exact"/>
        <w:rPr>
          <w:sz w:val="20"/>
          <w:szCs w:val="20"/>
          <w:color w:val="auto"/>
        </w:rPr>
      </w:pPr>
    </w:p>
    <w:p>
      <w:pPr>
        <w:ind w:left="460" w:right="1379" w:firstLine="432"/>
        <w:spacing w:after="0" w:line="342"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Amendment or Supplement</w:t>
      </w:r>
      <w:r>
        <w:rPr>
          <w:rFonts w:ascii="Arial" w:cs="Arial" w:eastAsia="Arial" w:hAnsi="Arial"/>
          <w:sz w:val="16"/>
          <w:szCs w:val="16"/>
          <w:color w:val="auto"/>
        </w:rPr>
        <w:t>. This Agreement may only be amended, modified or supplemented by a duly authorized written agreement signed by each of the Parties.</w:t>
      </w:r>
    </w:p>
    <w:p>
      <w:pPr>
        <w:spacing w:after="0" w:line="56" w:lineRule="exact"/>
        <w:rPr>
          <w:sz w:val="20"/>
          <w:szCs w:val="20"/>
          <w:color w:val="auto"/>
        </w:rPr>
      </w:pPr>
    </w:p>
    <w:p>
      <w:pPr>
        <w:ind w:left="460" w:right="699" w:firstLine="432"/>
        <w:spacing w:after="0" w:line="287"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Extension of Time, Waiver, Etc</w:t>
      </w:r>
      <w:r>
        <w:rPr>
          <w:rFonts w:ascii="Arial" w:cs="Arial" w:eastAsia="Arial" w:hAnsi="Arial"/>
          <w:sz w:val="16"/>
          <w:szCs w:val="16"/>
          <w:color w:val="auto"/>
        </w:rPr>
        <w:t>. At any time prior to the Effective Time, any Party may, subject to applicable Law, (a) waive any inaccuracies in the representations and warranties of any other Party hereto, (b) extend the time for the performance of any of the obligations or acts of any other Party hereto or</w:t>
      </w:r>
    </w:p>
    <w:p>
      <w:pPr>
        <w:spacing w:after="0" w:line="2" w:lineRule="exact"/>
        <w:rPr>
          <w:sz w:val="20"/>
          <w:szCs w:val="20"/>
          <w:color w:val="auto"/>
        </w:rPr>
      </w:pPr>
    </w:p>
    <w:p>
      <w:pPr>
        <w:ind w:left="460" w:right="479" w:hanging="6"/>
        <w:spacing w:after="0" w:line="252" w:lineRule="auto"/>
        <w:tabs>
          <w:tab w:leader="none" w:pos="705" w:val="left"/>
        </w:tabs>
        <w:numPr>
          <w:ilvl w:val="0"/>
          <w:numId w:val="418"/>
        </w:numPr>
        <w:rPr>
          <w:rFonts w:ascii="Arial" w:cs="Arial" w:eastAsia="Arial" w:hAnsi="Arial"/>
          <w:sz w:val="18"/>
          <w:szCs w:val="18"/>
          <w:color w:val="auto"/>
        </w:rPr>
      </w:pPr>
      <w:r>
        <w:rPr>
          <w:rFonts w:ascii="Arial" w:cs="Arial" w:eastAsia="Arial" w:hAnsi="Arial"/>
          <w:sz w:val="18"/>
          <w:szCs w:val="18"/>
          <w:color w:val="auto"/>
        </w:rPr>
        <w:t>waive compliance by the other Party with any of the agreements contained herein or any of such Party’s conditions. Notwithstanding the foregoing, no failure or delay by the Company, Parent or Merger Sub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113"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Neither this Agreement nor any of the rights, interests or obligations hereunder shall be assigned, in whole or in part, by operation of Law or otherwise, by any of the Parties without the prior written consent of the other Parties. This Agreement shall be binding upon, inure to the benefit of, and be enforceable by, the Parties and their respective successors and permitted assigns. Any purported assignment not permitted under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shall be null and void.</w:t>
      </w:r>
    </w:p>
    <w:p>
      <w:pPr>
        <w:spacing w:after="0" w:line="109"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Counterparts; Facsimile; Electronic Transmission</w:t>
      </w:r>
      <w:r>
        <w:rPr>
          <w:rFonts w:ascii="Arial" w:cs="Arial" w:eastAsia="Arial" w:hAnsi="Arial"/>
          <w:sz w:val="18"/>
          <w:szCs w:val="18"/>
          <w:color w:val="auto"/>
        </w:rPr>
        <w:t>. This Agreement may be executed in counterparts (each of which shall be deemed to be an original but all of which taken together shall constitute one and the same agreement) and shall become effective when one or more counterparts have been signed by each of the Parties and delivered to the other Parties. The exchange of copies of this Agreement and of signature pages by facsimile or electronic transmission shall constitute effective execution and delivery of this Agreement as to the Parties and may be used in lieu of the original Agreement for all purposes. Signatures of the Parties transmitted by facsimile or electronic transmission shall be deemed to be their original signatures for all purposes.</w:t>
      </w:r>
    </w:p>
    <w:p>
      <w:pPr>
        <w:spacing w:after="0" w:line="124" w:lineRule="exact"/>
        <w:rPr>
          <w:sz w:val="20"/>
          <w:szCs w:val="20"/>
          <w:color w:val="auto"/>
        </w:rPr>
      </w:pPr>
    </w:p>
    <w:p>
      <w:pPr>
        <w:ind w:left="460" w:right="759" w:firstLine="432"/>
        <w:spacing w:after="0" w:line="25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Entire Agreement; No Third-Party Beneficiaries</w:t>
      </w:r>
      <w:r>
        <w:rPr>
          <w:rFonts w:ascii="Arial" w:cs="Arial" w:eastAsia="Arial" w:hAnsi="Arial"/>
          <w:sz w:val="18"/>
          <w:szCs w:val="18"/>
          <w:color w:val="auto"/>
        </w:rPr>
        <w:t>. This Agreement, the Confidentiality Agreement and the Transaction Documents (a) constitute the entire agreement, and supersede all other prior agreements and understandings, both written and oral, among the Parties, or any of them, with respect to the subject matter hereof and thereof and (b) are not intended to and shall not confer any rights upon any Person other than the Parties.</w:t>
      </w:r>
    </w:p>
    <w:p>
      <w:pPr>
        <w:spacing w:after="0" w:line="107"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claims or causes of action that may be based upon, arise out of, or related to this Agreement, the transactions contemplated hereby or the negotiation, execution or performance of this Agreement shall be governed by, and construed in accordance with, the Laws of the State of Delaware, regardless of the Laws that might otherwise govern under applicable principles of conflicts of Laws thereof.</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Specific Enforcement</w:t>
      </w:r>
      <w:r>
        <w:rPr>
          <w:rFonts w:ascii="Arial" w:cs="Arial" w:eastAsia="Arial" w:hAnsi="Arial"/>
          <w:sz w:val="18"/>
          <w:szCs w:val="18"/>
          <w:color w:val="auto"/>
        </w:rPr>
        <w:t>.</w:t>
      </w:r>
    </w:p>
    <w:p>
      <w:pPr>
        <w:spacing w:after="0" w:line="158" w:lineRule="exact"/>
        <w:rPr>
          <w:sz w:val="20"/>
          <w:szCs w:val="20"/>
          <w:color w:val="auto"/>
        </w:rPr>
      </w:pPr>
    </w:p>
    <w:p>
      <w:pPr>
        <w:ind w:left="460" w:right="459" w:firstLine="858"/>
        <w:spacing w:after="0" w:line="289" w:lineRule="auto"/>
        <w:tabs>
          <w:tab w:leader="none" w:pos="1569" w:val="left"/>
        </w:tabs>
        <w:numPr>
          <w:ilvl w:val="0"/>
          <w:numId w:val="419"/>
        </w:numPr>
        <w:rPr>
          <w:rFonts w:ascii="Arial" w:cs="Arial" w:eastAsia="Arial" w:hAnsi="Arial"/>
          <w:sz w:val="16"/>
          <w:szCs w:val="16"/>
          <w:color w:val="auto"/>
        </w:rPr>
      </w:pPr>
      <w:r>
        <w:rPr>
          <w:rFonts w:ascii="Arial" w:cs="Arial" w:eastAsia="Arial" w:hAnsi="Arial"/>
          <w:sz w:val="16"/>
          <w:szCs w:val="16"/>
          <w:color w:val="auto"/>
        </w:rPr>
        <w:t xml:space="preserve">The Parties hereby agree that irreparable damage for which monetary damages, even if available, would not be an adequate remedy, would occur in the event that any provision of this Agreement (including failing to take such actions as are required of it hereunder to consummate the Merger or the other Transactions) is not performed in accordance with its specific terms or is otherwise breached. Accordingly, the Parties agree that each Party shall be entitled to an injunction or injunctions, or any other appropriate form of specific performance or equitable relief, to prevent breaches of this Agreement and to enforce specifically the terms and provisions hereof in any court of competent jurisdiction in accordance with </w:t>
      </w:r>
      <w:r>
        <w:rPr>
          <w:rFonts w:ascii="Arial" w:cs="Arial" w:eastAsia="Arial" w:hAnsi="Arial"/>
          <w:sz w:val="16"/>
          <w:szCs w:val="16"/>
          <w:u w:val="single" w:color="auto"/>
          <w:color w:val="auto"/>
        </w:rPr>
        <w:t>Section 10.8</w:t>
      </w:r>
      <w:r>
        <w:rPr>
          <w:rFonts w:ascii="Arial" w:cs="Arial" w:eastAsia="Arial" w:hAnsi="Arial"/>
          <w:sz w:val="16"/>
          <w:szCs w:val="16"/>
          <w:color w:val="auto"/>
        </w:rPr>
        <w:t>, this being in addition to any other remedy to which they are entitled under the terms of this Agreement at Law or in equity (and each Party hereby waives any requirement for the securing or posting of any bond in connection with such remedy).</w:t>
      </w:r>
    </w:p>
    <w:p>
      <w:pPr>
        <w:spacing w:after="0" w:line="85" w:lineRule="exact"/>
        <w:rPr>
          <w:rFonts w:ascii="Arial" w:cs="Arial" w:eastAsia="Arial" w:hAnsi="Arial"/>
          <w:sz w:val="16"/>
          <w:szCs w:val="16"/>
          <w:color w:val="auto"/>
        </w:rPr>
      </w:pPr>
    </w:p>
    <w:p>
      <w:pPr>
        <w:ind w:left="460" w:right="559" w:firstLine="858"/>
        <w:spacing w:after="0" w:line="272" w:lineRule="auto"/>
        <w:tabs>
          <w:tab w:leader="none" w:pos="1579" w:val="left"/>
        </w:tabs>
        <w:numPr>
          <w:ilvl w:val="0"/>
          <w:numId w:val="419"/>
        </w:numPr>
        <w:rPr>
          <w:rFonts w:ascii="Arial" w:cs="Arial" w:eastAsia="Arial" w:hAnsi="Arial"/>
          <w:sz w:val="17"/>
          <w:szCs w:val="17"/>
          <w:color w:val="auto"/>
        </w:rPr>
      </w:pPr>
      <w:r>
        <w:rPr>
          <w:rFonts w:ascii="Arial" w:cs="Arial" w:eastAsia="Arial" w:hAnsi="Arial"/>
          <w:sz w:val="17"/>
          <w:szCs w:val="17"/>
          <w:color w:val="auto"/>
        </w:rPr>
        <w:t>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 Any Party seeking an injunction or injunctions to prevent breaches or threatened breaches of, or to enforce compliance with this Agreement when expressly available pursuant to the terms of this Agreement shall not be required to provide any bond or other security in connection with any such Order or injunction.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9" w:name="page400"/>
    <w:bookmarkEnd w:id="39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firstLine="432"/>
        <w:spacing w:after="0" w:line="287"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Consent to Jurisdiction</w:t>
      </w:r>
      <w:r>
        <w:rPr>
          <w:rFonts w:ascii="Arial" w:cs="Arial" w:eastAsia="Arial" w:hAnsi="Arial"/>
          <w:sz w:val="16"/>
          <w:szCs w:val="16"/>
          <w:color w:val="auto"/>
        </w:rPr>
        <w:t xml:space="preserve">. Any Proceeding based upon, arising out of or related to this Agreement or the transactions contemplated hereby must be brought in the Court of Chancery of the State of Delaware (or, to the extent such court does not have subject matter jurisdiction, the Superior Court of the State of Delaware), or, if it has or can acquire jurisdiction, in the United States District Court for the District of Delaware, and each of the parties irrevocably (i) submits to the exclusive jurisdiction of each such court in any such proceeding or Proceeding, (ii) waives any objection it may now or hereafter have to personal jurisdiction, venue or to convenience of forum, (iii) agrees that all claims in respect of the Proceeding shall be heard and determined only in any such court, and (iv) agrees not to bring any Proceeding arising out of or relating to this Agreement or the transactions contemplated hereby in any other court. Nothing herein contained shall be deemed to affect the right of any party to serve process in any manner permitted by Law or to commence Proceedings or otherwise proceed against any other party in any other jurisdiction, in each case, to enforce judgments obtained in any Proceeding brought pursuant to this </w:t>
      </w:r>
      <w:r>
        <w:rPr>
          <w:rFonts w:ascii="Arial" w:cs="Arial" w:eastAsia="Arial" w:hAnsi="Arial"/>
          <w:sz w:val="16"/>
          <w:szCs w:val="16"/>
          <w:u w:val="single" w:color="auto"/>
          <w:color w:val="auto"/>
        </w:rPr>
        <w:t>Section 10.8</w:t>
      </w:r>
      <w:r>
        <w:rPr>
          <w:rFonts w:ascii="Arial" w:cs="Arial" w:eastAsia="Arial" w:hAnsi="Arial"/>
          <w:sz w:val="16"/>
          <w:szCs w:val="16"/>
          <w:color w:val="auto"/>
        </w:rPr>
        <w:t>.</w:t>
      </w:r>
    </w:p>
    <w:p>
      <w:pPr>
        <w:spacing w:after="0" w:line="100"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 xml:space="preserve">Section 10.9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TO THIS AGREEMENT HEREBY IRREVOCABLY WAIVES ALL RIGHTS TO TRIAL BY JURY IN ANY PROCEEDING BROUGHT TO RESOLVE ANY DISPUTE BETWEEN OR AMONG ANY OF THE PARTIES (WHETHER ARISING IN CONTRACT, TORT OR OTHERWISE) ARISING OUT OF, CONNECTED WITH, RELATED OR INCIDENTAL TO THIS AGREEMENT, THE TRANSACTIONS CONTEMPLATED BY THIS AGREEMENT AND/OR THE RELATIONSHIPS ESTABLISHED AMONG THE PARTIES UNDER THIS AGREEMENT. THE PARTIES HERETO FURTHER WARRANT AND REPRESENT THAT EACH HAS REVIEWED THIS WAIVER WITH ITS LEGAL COUNSEL, AND THAT EACH KNOWINGLY AND VOLUNTARILY WAIVES ITS JURY TRIAL RIGHTS FOLLOWING CONSULTATION WITH LEGAL COUNSEL.</w:t>
      </w:r>
    </w:p>
    <w:p>
      <w:pPr>
        <w:spacing w:after="0" w:line="113"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Except as otherwise permitted by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all notices and other communications under this Agreement shall be in writing and shall be deemed given (a) when delivered personally by hand (with written confirmation of receipt), by 5:00PM Eastern Time on a Business Day, addressee’s day and time, on the date of delivery, and otherwise on the first Business Day after such delivery, (b) when sent by email (with written confirmation of transmission) if by 5:00PM Eastern Time on a Business Day, addressee’s day and time, and otherwise on the first Business Day after the date of such written confirmation; (c) when delivered after posting in the United States mail having been sent registered or certified mail return receipt requested, postage prepared; or (d) one Business Day following the day sent by overnight courier (with written confirmation of receipt), in each case at the following addresses (or to such other address as a Party may have specified by notice given to the other Parties pursuant to this </w:t>
      </w:r>
      <w:r>
        <w:rPr>
          <w:rFonts w:ascii="Arial" w:cs="Arial" w:eastAsia="Arial" w:hAnsi="Arial"/>
          <w:sz w:val="16"/>
          <w:szCs w:val="16"/>
          <w:u w:val="single" w:color="auto"/>
          <w:color w:val="auto"/>
        </w:rPr>
        <w:t>Section 10.10</w:t>
      </w:r>
      <w:r>
        <w:rPr>
          <w:rFonts w:ascii="Arial" w:cs="Arial" w:eastAsia="Arial" w:hAnsi="Arial"/>
          <w:sz w:val="16"/>
          <w:szCs w:val="16"/>
          <w:color w:val="auto"/>
        </w:rPr>
        <w:t>):</w:t>
      </w:r>
    </w:p>
    <w:p>
      <w:pPr>
        <w:spacing w:after="0" w:line="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to Parent or Merger Sub:</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BCTG Acquisition Corp.</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12860 El Camino Real, Suite 300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Aaron Davis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[REDACTED]</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a copy to (which shall not constitute notice):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Loeb &amp; Loeb</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345 Park Avenue, 19</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Floor</w:t>
      </w:r>
    </w:p>
    <w:p>
      <w:pPr>
        <w:ind w:left="880"/>
        <w:spacing w:after="0"/>
        <w:rPr>
          <w:sz w:val="20"/>
          <w:szCs w:val="20"/>
          <w:color w:val="auto"/>
        </w:rPr>
      </w:pPr>
      <w:r>
        <w:rPr>
          <w:rFonts w:ascii="Arial" w:cs="Arial" w:eastAsia="Arial" w:hAnsi="Arial"/>
          <w:sz w:val="18"/>
          <w:szCs w:val="18"/>
          <w:color w:val="auto"/>
        </w:rPr>
        <w:t>New York, NY 10154</w:t>
      </w:r>
    </w:p>
    <w:p>
      <w:pPr>
        <w:spacing w:after="0" w:line="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Mitchell S. Nussbaum, Esq.</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mnussbaum@loeb.com</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to the Company:</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Tango Therapeutics, Inc.</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100 Binney Street, Suite 700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Barbara Weber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bweber@tangotx.com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0" w:name="page401"/>
    <w:bookmarkEnd w:id="40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a copy to (which shall not constitute notice):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Mitchell S. Bloom, William D. Collins &amp; Laurie A. Burlingame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MBloom@Goodwinlaw.com; Wcollins@Goodwinlaw.com;</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LBulingame@goodwinlaw.com</w:t>
      </w:r>
    </w:p>
    <w:p>
      <w:pPr>
        <w:spacing w:after="0" w:line="143"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 xml:space="preserve">Section 10.11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or other provision is invalid, illegal or incapable of being enforced, the Parties shall negotiate in good faith to modify this Agreement so as to effect the original intent of the Parties as closely as possible to the fullest extent permitted by applicable Law in an acceptable manner to the end that the Transactions are fulfilled to the extent possible.</w:t>
      </w:r>
    </w:p>
    <w:p>
      <w:pPr>
        <w:spacing w:after="0" w:line="96"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Remedies</w:t>
      </w:r>
      <w:r>
        <w:rPr>
          <w:rFonts w:ascii="Arial" w:cs="Arial" w:eastAsia="Arial" w:hAnsi="Arial"/>
          <w:sz w:val="18"/>
          <w:szCs w:val="18"/>
          <w:color w:val="auto"/>
        </w:rPr>
        <w:t>. Except as otherwise provided in this Agreement, any and all remedies expressly conferred upon a Party to this Agreement will be cumulative with, and not exclusive of, any other remedy contained in this Agreement, at Law or in equity. The exercise by a Party to this Agreement of any one remedy will not preclude the exercise by it of any other remedy.</w:t>
      </w:r>
    </w:p>
    <w:p>
      <w:pPr>
        <w:spacing w:after="0" w:line="119"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 xml:space="preserve">Section 10.13 </w:t>
      </w:r>
      <w:r>
        <w:rPr>
          <w:rFonts w:ascii="Arial" w:cs="Arial" w:eastAsia="Arial" w:hAnsi="Arial"/>
          <w:sz w:val="17"/>
          <w:szCs w:val="17"/>
          <w:u w:val="single" w:color="auto"/>
          <w:color w:val="auto"/>
        </w:rPr>
        <w:t>Waiver</w:t>
      </w:r>
      <w:r>
        <w:rPr>
          <w:rFonts w:ascii="Arial" w:cs="Arial" w:eastAsia="Arial" w:hAnsi="Arial"/>
          <w:sz w:val="17"/>
          <w:szCs w:val="17"/>
          <w:color w:val="auto"/>
        </w:rPr>
        <w:t>. The Company understands that the Parent has established the Trust Account for the benefit of the Public Stockholders and the underwriters of the IPO pursuant to the Trust Agreement and that Parent may disburse monies from the Trust Account only for the purposes set forth in the Trust Agreement and the Parent Organizational Documents. For and in consideration of the Parent agreeing to enter into this Agreement, the Company and the Stockholders hereby agree that they do not have any right, title, interest or claim of any kind in or to any monies in the Trust Account and hereby agree that they will not seek recourse against the Trust Account for any claim they may have in the future as a result of, or arising out of, any negotiations, contracts or agreements with the Parent.</w:t>
      </w:r>
    </w:p>
    <w:p>
      <w:pPr>
        <w:spacing w:after="0" w:line="111"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have the meanings ascribed thereto below:</w:t>
      </w:r>
    </w:p>
    <w:p>
      <w:pPr>
        <w:spacing w:after="0" w:line="89"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as to any Person, any (i) officer or director of such Person, (ii) spouse, parent, sibling or descendant (including adopted or stepchildren) of such Person (or a spouse, parent, sibling or descendant (including adopted or stepchildren) of any director or officer of such Person), and (iii) any other Person that, directly or indirectly, controls, or is controlled by, or is under common control with, such Person. For this purpose, “control” (including, with its correlative meanings, “controlled by” and “under common control with”) shall include the possession, directly or indirectly, of the power to direct or cause the direction of management or policies of a Person, whether through the ownership of voting securities, by contract or otherwise. For the avoidance of doubt, no holder of Company Capital Stock shall be deemed an Affiliate of the Company solely in respect of such share ownership in the Company.</w:t>
      </w:r>
    </w:p>
    <w:p>
      <w:pPr>
        <w:spacing w:after="0" w:line="113"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Fully Diluted Company Common Stock</w:t>
      </w:r>
      <w:r>
        <w:rPr>
          <w:rFonts w:ascii="Arial" w:cs="Arial" w:eastAsia="Arial" w:hAnsi="Arial"/>
          <w:sz w:val="16"/>
          <w:szCs w:val="16"/>
          <w:color w:val="auto"/>
        </w:rPr>
        <w:t>” means, without duplication, (a) the aggregate number of shares of Company Common Stock that are (i) issued and outstanding immediately prior to the Effective Time after giving effect to the Company Preferred Stock Conversion or (ii) issuable upon, or subject to, the exercise of Company Options (whether or not then vested or exercisable) that are issued and outstanding immediately prior to the Effective Time calculated using the treasury stock method of accounting, minus (b) the shares of Company Common Stock held in treasury outstanding immediately prior to the Effective Time.</w:t>
      </w:r>
    </w:p>
    <w:p>
      <w:pPr>
        <w:spacing w:after="0" w:line="97"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Transaction</w:t>
      </w:r>
      <w:r>
        <w:rPr>
          <w:rFonts w:ascii="Arial" w:cs="Arial" w:eastAsia="Arial" w:hAnsi="Arial"/>
          <w:sz w:val="18"/>
          <w:szCs w:val="18"/>
          <w:color w:val="auto"/>
        </w:rPr>
        <w:t>” mean any of the following transactions involving the Company or the Parent (other than the transactions contemplated by this Agreement): (i) any merger, acquisition consolidation, recapitalization, share exchange, business combination or other similar transaction, public investment or public offering, or (ii) any sale, lease, exchange, transfer or other disposition of a material portion of the assets of such Person (other than sales of inventory in the Ordinary Course) or any class or series of the capital stock, membership interests or other equity interests of the Company or Parent in a single transaction or series of transactions (other than the PIPE Financing).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1" w:name="page402"/>
    <w:bookmarkEnd w:id="40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39" w:firstLine="432"/>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Assets</w:t>
      </w:r>
      <w:r>
        <w:rPr>
          <w:rFonts w:ascii="Arial" w:cs="Arial" w:eastAsia="Arial" w:hAnsi="Arial"/>
          <w:sz w:val="16"/>
          <w:szCs w:val="16"/>
          <w:color w:val="auto"/>
        </w:rPr>
        <w:t>” means, with respect to any Person, all of the assets, rights, interests and other properties, real, personal and mixed, tangible and intangible, owned, leased, subleased or licensed by such Person.</w:t>
      </w:r>
    </w:p>
    <w:p>
      <w:pPr>
        <w:spacing w:after="0" w:line="5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Purchase Price</w:t>
      </w:r>
      <w:r>
        <w:rPr>
          <w:rFonts w:ascii="Arial" w:cs="Arial" w:eastAsia="Arial" w:hAnsi="Arial"/>
          <w:sz w:val="18"/>
          <w:szCs w:val="18"/>
          <w:color w:val="auto"/>
        </w:rPr>
        <w:t>” means $550,000,000.00.</w:t>
      </w:r>
    </w:p>
    <w:p>
      <w:pPr>
        <w:spacing w:after="0" w:line="158" w:lineRule="exact"/>
        <w:rPr>
          <w:sz w:val="20"/>
          <w:szCs w:val="20"/>
          <w:color w:val="auto"/>
        </w:rPr>
      </w:pPr>
    </w:p>
    <w:p>
      <w:pPr>
        <w:ind w:left="460" w:right="739" w:firstLine="432"/>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except a Saturday, a Sunday or any other day on which the Securities and Exchange Commission or banks in the City of New York are authorized or required by Law to be closed.</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CARES Act</w:t>
      </w:r>
      <w:r>
        <w:rPr>
          <w:rFonts w:ascii="Arial" w:cs="Arial" w:eastAsia="Arial" w:hAnsi="Arial"/>
          <w:sz w:val="17"/>
          <w:szCs w:val="17"/>
          <w:color w:val="auto"/>
        </w:rPr>
        <w:t>” means the Coronavirus Aid, Relief, and Economic Security Act, P.L. 116-136 (2020).</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Company Indebtedness</w:t>
      </w:r>
      <w:r>
        <w:rPr>
          <w:rFonts w:ascii="Arial" w:cs="Arial" w:eastAsia="Arial" w:hAnsi="Arial"/>
          <w:sz w:val="17"/>
          <w:szCs w:val="17"/>
          <w:color w:val="auto"/>
        </w:rPr>
        <w:t>” shall mean the Indebtedness of the Company as of the Closing.</w:t>
      </w:r>
    </w:p>
    <w:p>
      <w:pPr>
        <w:spacing w:after="0" w:line="169" w:lineRule="exact"/>
        <w:rPr>
          <w:sz w:val="20"/>
          <w:szCs w:val="20"/>
          <w:color w:val="auto"/>
        </w:rPr>
      </w:pPr>
    </w:p>
    <w:p>
      <w:pPr>
        <w:jc w:val="both"/>
        <w:ind w:left="460" w:right="679" w:firstLine="43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Parent Cash</w:t>
      </w:r>
      <w:r>
        <w:rPr>
          <w:rFonts w:ascii="Arial" w:cs="Arial" w:eastAsia="Arial" w:hAnsi="Arial"/>
          <w:sz w:val="18"/>
          <w:szCs w:val="18"/>
          <w:color w:val="auto"/>
        </w:rPr>
        <w:t xml:space="preserve">” means an amount equal to (a) the sum of (i) the Trust Amount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PIPE Investment Amount actually received by the Parent prior to or substantially concurrently with Closing, minus (b) any Parent Transaction Expenses that remain unpaid as of the Closing.</w:t>
      </w:r>
    </w:p>
    <w:p>
      <w:pPr>
        <w:spacing w:after="0" w:line="103"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the rules and regulations promulgated thereunder.</w:t>
      </w:r>
    </w:p>
    <w:p>
      <w:pPr>
        <w:spacing w:after="0" w:line="103"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Capital Stock</w:t>
      </w:r>
      <w:r>
        <w:rPr>
          <w:rFonts w:ascii="Arial" w:cs="Arial" w:eastAsia="Arial" w:hAnsi="Arial"/>
          <w:sz w:val="18"/>
          <w:szCs w:val="18"/>
          <w:color w:val="auto"/>
        </w:rPr>
        <w:t>” means the shares of the Company Common Stock and the Company Preferred Stock.</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Common Stock</w:t>
      </w:r>
      <w:r>
        <w:rPr>
          <w:rFonts w:ascii="Arial" w:cs="Arial" w:eastAsia="Arial" w:hAnsi="Arial"/>
          <w:sz w:val="16"/>
          <w:szCs w:val="16"/>
          <w:color w:val="auto"/>
        </w:rPr>
        <w:t>” means shares of the Company’s common stock, par value $0.001 per share.</w:t>
      </w:r>
    </w:p>
    <w:p>
      <w:pPr>
        <w:spacing w:after="0" w:line="167"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xml:space="preserve">” means any change, development, circumstance, effect, event or fact that has had, or would reasonably be expected to have, a material adverse effect upon the financial condition, business, liabilities or results of operations of the Company and its Subsidiaries,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change, development, circumstance, effect, event or fact arising from or related to:</w:t>
      </w:r>
    </w:p>
    <w:p>
      <w:pPr>
        <w:spacing w:after="0" w:line="1" w:lineRule="exact"/>
        <w:rPr>
          <w:sz w:val="20"/>
          <w:szCs w:val="20"/>
          <w:color w:val="auto"/>
        </w:rPr>
      </w:pPr>
    </w:p>
    <w:p>
      <w:pPr>
        <w:ind w:left="460" w:right="559" w:hanging="6"/>
        <w:spacing w:after="0" w:line="281" w:lineRule="auto"/>
        <w:tabs>
          <w:tab w:leader="none" w:pos="675" w:val="left"/>
        </w:tabs>
        <w:numPr>
          <w:ilvl w:val="0"/>
          <w:numId w:val="420"/>
        </w:numPr>
        <w:rPr>
          <w:rFonts w:ascii="Arial" w:cs="Arial" w:eastAsia="Arial" w:hAnsi="Arial"/>
          <w:sz w:val="16"/>
          <w:szCs w:val="16"/>
          <w:color w:val="auto"/>
        </w:rPr>
      </w:pPr>
      <w:r>
        <w:rPr>
          <w:rFonts w:ascii="Arial" w:cs="Arial" w:eastAsia="Arial" w:hAnsi="Arial"/>
          <w:sz w:val="16"/>
          <w:szCs w:val="16"/>
          <w:color w:val="auto"/>
        </w:rPr>
        <w:t>conditions affecting the economy, financial, credit, debt, capital, or securities markets generally (including with respect to or as a result of COVID-19), (ii) global, national or regional political conditions, including national or international hostilities, acts of terror or acts of war, sabotage or terrorism or military actions or any escalation or worsening of any hostilities, acts of war, sabotage or terrorism or military actions, (iii) changes or proposed changes in GAAP, (iv) changes or proposed changes in any Law or other binding directives issued by any Governmental Authority, (v) general conditions in the industry in which the Company and its Subsidiaries operate (including with respect to or as a result of COVID-19), (vi) actions or omissions taken by Parent or its Affiliates, (vii) actions or omissions taken by the Company or any of its Subsidiaries that is required by this Agreement or any Transaction Document or taken with the prior written consent of Parent, (viii) the public announcement of the Transactions or the identity of Parent or the Company in connection with the Transaction,</w:t>
      </w:r>
    </w:p>
    <w:p>
      <w:pPr>
        <w:spacing w:after="0" w:line="5" w:lineRule="exact"/>
        <w:rPr>
          <w:rFonts w:ascii="Arial" w:cs="Arial" w:eastAsia="Arial" w:hAnsi="Arial"/>
          <w:sz w:val="16"/>
          <w:szCs w:val="16"/>
          <w:color w:val="auto"/>
        </w:rPr>
      </w:pPr>
    </w:p>
    <w:p>
      <w:pPr>
        <w:ind w:left="460" w:right="479" w:hanging="6"/>
        <w:spacing w:after="0" w:line="268" w:lineRule="auto"/>
        <w:tabs>
          <w:tab w:leader="none" w:pos="765" w:val="left"/>
        </w:tabs>
        <w:numPr>
          <w:ilvl w:val="0"/>
          <w:numId w:val="421"/>
        </w:numPr>
        <w:rPr>
          <w:rFonts w:ascii="Arial" w:cs="Arial" w:eastAsia="Arial" w:hAnsi="Arial"/>
          <w:sz w:val="17"/>
          <w:szCs w:val="17"/>
          <w:color w:val="auto"/>
        </w:rPr>
      </w:pPr>
      <w:r>
        <w:rPr>
          <w:rFonts w:ascii="Arial" w:cs="Arial" w:eastAsia="Arial" w:hAnsi="Arial"/>
          <w:sz w:val="17"/>
          <w:szCs w:val="17"/>
          <w:color w:val="auto"/>
        </w:rPr>
        <w:t>any failure to meet any projections, forecasts, guidance, estimates, milestones, budgets or financial or operating predictions of revenue, earnings, cash flow or cash position (it being understood that the event that caused such failure may be taken into account in determining whether a “Company Material Adverse Effect” has occurred), (x) pandemics, earthquakes, hurricanes, tornados or other natural disasters, or (xi) the failure by the Company to take any action that is prohibited by this Agreement unless Parent has consented in writing to the taking thereof, shall not be taken into account in determining whether a “Company Material Adverse Effect” has occurred, unless, such change, development, circumstance, effect, event or fact has a disproportionate effect on the Company and its Subsidiaries, taken as a whole, compared to other Persons in the industry or geographic regions in which the Company or its Subsidiaries conducts business, but only to the extent of such disproportionate effect.</w:t>
      </w:r>
    </w:p>
    <w:p>
      <w:pPr>
        <w:spacing w:after="0" w:line="111"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means any option to purchase shares of Company Common Stock issued under the Company Stock Plan, whether vested or unvested.</w:t>
      </w:r>
    </w:p>
    <w:p>
      <w:pPr>
        <w:spacing w:after="0" w:line="103" w:lineRule="exact"/>
        <w:rPr>
          <w:sz w:val="20"/>
          <w:szCs w:val="20"/>
          <w:color w:val="auto"/>
        </w:rPr>
      </w:pPr>
    </w:p>
    <w:p>
      <w:pPr>
        <w:ind w:left="460" w:right="105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Preferred Stock</w:t>
      </w:r>
      <w:r>
        <w:rPr>
          <w:rFonts w:ascii="Arial" w:cs="Arial" w:eastAsia="Arial" w:hAnsi="Arial"/>
          <w:sz w:val="18"/>
          <w:szCs w:val="18"/>
          <w:color w:val="auto"/>
        </w:rPr>
        <w:t>” means the Company Series A Preferred Stock, the Company Series B Preferred Stock and the Company Series B-1 Preferred Stock.</w:t>
      </w:r>
    </w:p>
    <w:p>
      <w:pPr>
        <w:spacing w:after="0" w:line="89"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Restricted Stock</w:t>
      </w:r>
      <w:r>
        <w:rPr>
          <w:rFonts w:ascii="Arial" w:cs="Arial" w:eastAsia="Arial" w:hAnsi="Arial"/>
          <w:sz w:val="18"/>
          <w:szCs w:val="18"/>
          <w:color w:val="auto"/>
        </w:rPr>
        <w:t>” means any outstanding shares of Company Common Stock that are unvested or subject to a risk of forfeiture or repurchase option in favor of the Company.</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Stockholders</w:t>
      </w:r>
      <w:r>
        <w:rPr>
          <w:rFonts w:ascii="Arial" w:cs="Arial" w:eastAsia="Arial" w:hAnsi="Arial"/>
          <w:sz w:val="18"/>
          <w:szCs w:val="18"/>
          <w:color w:val="auto"/>
        </w:rPr>
        <w:t>” means the holders of the Company Capital Stock.</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Plan</w:t>
      </w:r>
      <w:r>
        <w:rPr>
          <w:rFonts w:ascii="Arial" w:cs="Arial" w:eastAsia="Arial" w:hAnsi="Arial"/>
          <w:sz w:val="16"/>
          <w:szCs w:val="16"/>
          <w:color w:val="auto"/>
        </w:rPr>
        <w:t>” means the Company’s 2017 Stock and Grant Plan, as amended from time to time.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2" w:name="page403"/>
    <w:bookmarkEnd w:id="40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979" w:firstLine="4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Transaction Expenses</w:t>
      </w:r>
      <w:r>
        <w:rPr>
          <w:rFonts w:ascii="Arial" w:cs="Arial" w:eastAsia="Arial" w:hAnsi="Arial"/>
          <w:sz w:val="18"/>
          <w:szCs w:val="18"/>
          <w:color w:val="auto"/>
        </w:rPr>
        <w:t>” means (i) the fees and disbursements of outside counsel to the Company incurred in connection with the Transactions and (ii) the fees and expenses of any other agents, advisors, consultants, experts, financial advisors, accountants and other service providers engaged by the Company in connection with the Transactions.</w:t>
      </w:r>
    </w:p>
    <w:p>
      <w:pPr>
        <w:spacing w:after="0" w:line="119" w:lineRule="exact"/>
        <w:rPr>
          <w:sz w:val="20"/>
          <w:szCs w:val="20"/>
          <w:color w:val="auto"/>
        </w:rPr>
      </w:pPr>
    </w:p>
    <w:p>
      <w:pPr>
        <w:ind w:left="460" w:right="859" w:firstLine="43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means any and all written and oral agreements, contracts, deeds, arrangements, purchase orders, binding commitments and understandings, and other instruments and interests therein, and all amendments thereof.</w:t>
      </w:r>
    </w:p>
    <w:p>
      <w:pPr>
        <w:spacing w:after="0" w:line="116"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 Law</w:t>
      </w:r>
      <w:r>
        <w:rPr>
          <w:rFonts w:ascii="Arial" w:cs="Arial" w:eastAsia="Arial" w:hAnsi="Arial"/>
          <w:sz w:val="18"/>
          <w:szCs w:val="18"/>
          <w:color w:val="auto"/>
        </w:rPr>
        <w:t>” shall mean the CARES Act, the Families First Coronavirus Response Act of 2020 or any other Law intended to address the consequences of COVID-19.</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Disclosure Schedules</w:t>
      </w:r>
      <w:r>
        <w:rPr>
          <w:rFonts w:ascii="Arial" w:cs="Arial" w:eastAsia="Arial" w:hAnsi="Arial"/>
          <w:sz w:val="17"/>
          <w:szCs w:val="17"/>
          <w:color w:val="auto"/>
        </w:rPr>
        <w:t>” means the Disclosure Schedules delivered to Parent on the date hereof.</w:t>
      </w:r>
    </w:p>
    <w:p>
      <w:pPr>
        <w:spacing w:after="0" w:line="169" w:lineRule="exact"/>
        <w:rPr>
          <w:sz w:val="20"/>
          <w:szCs w:val="20"/>
          <w:color w:val="auto"/>
        </w:rPr>
      </w:pPr>
    </w:p>
    <w:p>
      <w:pPr>
        <w:ind w:left="460" w:right="659" w:firstLine="432"/>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and Safety Requirements</w:t>
      </w:r>
      <w:r>
        <w:rPr>
          <w:rFonts w:ascii="Arial" w:cs="Arial" w:eastAsia="Arial" w:hAnsi="Arial"/>
          <w:sz w:val="16"/>
          <w:szCs w:val="16"/>
          <w:color w:val="auto"/>
        </w:rPr>
        <w:t>” means all Laws and Orders concerning public health and safety, worker health and safety, and pollution or protection of the environment, including all those relating to the presence, use, production, generation, handling, transportation, treatment, storage, disposal, distribution, labeling, testing, processing, discharge, release, threatened release, control or cleanup of any hazardous materials, substances or wastes, chemical substances or mixtures, pesticides, pollutants, contaminants, toxic chemicals, petroleum products or byproducts, asbestos, polychlorinated biphenyls, noise or radiation.</w:t>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Ratio</w:t>
      </w:r>
      <w:r>
        <w:rPr>
          <w:rFonts w:ascii="Arial" w:cs="Arial" w:eastAsia="Arial" w:hAnsi="Arial"/>
          <w:sz w:val="17"/>
          <w:szCs w:val="17"/>
          <w:color w:val="auto"/>
        </w:rPr>
        <w:t>” means the quotient obtained by dividing (a) the Per Share Merger Consideration by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$10.00.</w:t>
      </w:r>
    </w:p>
    <w:p>
      <w:pPr>
        <w:spacing w:after="0" w:line="143"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Representations</w:t>
      </w:r>
      <w:r>
        <w:rPr>
          <w:rFonts w:ascii="Arial" w:cs="Arial" w:eastAsia="Arial" w:hAnsi="Arial"/>
          <w:sz w:val="18"/>
          <w:szCs w:val="18"/>
          <w:color w:val="auto"/>
        </w:rPr>
        <w:t xml:space="preserve">” means the representations and warranties of the Company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(Organization, Qualification and Standing),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t>
      </w:r>
      <w:r>
        <w:rPr>
          <w:rFonts w:ascii="Arial" w:cs="Arial" w:eastAsia="Arial" w:hAnsi="Arial"/>
          <w:sz w:val="18"/>
          <w:szCs w:val="18"/>
          <w:u w:val="single" w:color="auto"/>
          <w:color w:val="auto"/>
        </w:rPr>
        <w:t>Authority; Enforceability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3.5(a)</w:t>
      </w:r>
      <w:r>
        <w:rPr>
          <w:rFonts w:ascii="Arial" w:cs="Arial" w:eastAsia="Arial" w:hAnsi="Arial"/>
          <w:sz w:val="18"/>
          <w:szCs w:val="18"/>
          <w:color w:val="auto"/>
        </w:rPr>
        <w:t xml:space="preserve"> (Capitalization), </w:t>
      </w:r>
      <w:r>
        <w:rPr>
          <w:rFonts w:ascii="Arial" w:cs="Arial" w:eastAsia="Arial" w:hAnsi="Arial"/>
          <w:sz w:val="18"/>
          <w:szCs w:val="18"/>
          <w:u w:val="single" w:color="auto"/>
          <w:color w:val="auto"/>
        </w:rPr>
        <w:t>Section 3.16(a), (b) and (d)</w:t>
      </w:r>
      <w:r>
        <w:rPr>
          <w:rFonts w:ascii="Arial" w:cs="Arial" w:eastAsia="Arial" w:hAnsi="Arial"/>
          <w:sz w:val="18"/>
          <w:szCs w:val="18"/>
          <w:color w:val="auto"/>
        </w:rPr>
        <w:t xml:space="preserve"> (Intellectual Property) and </w:t>
      </w:r>
      <w:r>
        <w:rPr>
          <w:rFonts w:ascii="Arial" w:cs="Arial" w:eastAsia="Arial" w:hAnsi="Arial"/>
          <w:sz w:val="18"/>
          <w:szCs w:val="18"/>
          <w:u w:val="single" w:color="auto"/>
          <w:color w:val="auto"/>
        </w:rPr>
        <w:t>Section 3.28</w:t>
      </w:r>
      <w:r>
        <w:rPr>
          <w:rFonts w:ascii="Arial" w:cs="Arial" w:eastAsia="Arial" w:hAnsi="Arial"/>
          <w:sz w:val="18"/>
          <w:szCs w:val="18"/>
          <w:color w:val="auto"/>
        </w:rPr>
        <w:t xml:space="preserve"> (Brokers and Other Advisors).</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w:t>
      </w:r>
    </w:p>
    <w:p>
      <w:pPr>
        <w:spacing w:after="0" w:line="144"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any United States, non-United States or multi-national government entity, body or authority, including (i) any United States federal, state or local government (including any town, village, municipality, district or other similar governmental or administrative jurisdiction or subdivision thereof, whether incorporated or unincorporated), (ii) any non-United States or multi-national government or governmental authority or any political subdivision thereof, (iii) any United States, non-United States or multi-national regulatory or administrative entity, authority, instrumentality, jurisdiction, agency, body or commission, exercising, or entitled or purporting to exercise, any administrative, executive, judicial, legislative, police, regulatory, or taxing authority or power, including any court, tribunal, commission or arbitrator, (iv) any self-regulatory organization or (v) any official of any of the foregoing acting in such capacity.</w:t>
      </w:r>
    </w:p>
    <w:p>
      <w:pPr>
        <w:spacing w:after="0" w:line="99" w:lineRule="exact"/>
        <w:rPr>
          <w:sz w:val="20"/>
          <w:szCs w:val="20"/>
          <w:color w:val="auto"/>
        </w:rPr>
      </w:pPr>
    </w:p>
    <w:p>
      <w:pPr>
        <w:ind w:left="460" w:right="559" w:firstLine="432"/>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Health Care Laws</w:t>
      </w:r>
      <w:r>
        <w:rPr>
          <w:rFonts w:ascii="Arial" w:cs="Arial" w:eastAsia="Arial" w:hAnsi="Arial"/>
          <w:sz w:val="16"/>
          <w:szCs w:val="16"/>
          <w:color w:val="auto"/>
        </w:rPr>
        <w:t>” means all applicable Laws pertaining to the health care regulatory matters to the extent applicable to the Company’s business as currently conducted, including: (i) the Medicare statute (Title XVIII of the Social Security Act, 42 U.S.C. § 1395 et seq.), the Medicaid statute (Title XIX of the Social Security Act, 42 U.S.C. § 1396 et seq.), including the Medicare Part D program and the Medicare Advantage program and any other federal, state or local governmental health care programs, including applicable program requirements; (ii) any criminal Laws relating to health care, including all criminal false claims statutes (e.g., 18 U.S.C. Sections 287 and 1001); (iii) the Civil Monetary Penalties Law, 42 U.S.C. §§ 1320a-7a and 1320a-7b;</w:t>
      </w:r>
    </w:p>
    <w:p>
      <w:pPr>
        <w:spacing w:after="0" w:line="2" w:lineRule="exact"/>
        <w:rPr>
          <w:sz w:val="20"/>
          <w:szCs w:val="20"/>
          <w:color w:val="auto"/>
        </w:rPr>
      </w:pPr>
    </w:p>
    <w:p>
      <w:pPr>
        <w:ind w:left="460" w:right="539" w:hanging="6"/>
        <w:spacing w:after="0" w:line="268" w:lineRule="auto"/>
        <w:tabs>
          <w:tab w:leader="none" w:pos="765" w:val="left"/>
        </w:tabs>
        <w:numPr>
          <w:ilvl w:val="0"/>
          <w:numId w:val="422"/>
        </w:numPr>
        <w:rPr>
          <w:rFonts w:ascii="Arial" w:cs="Arial" w:eastAsia="Arial" w:hAnsi="Arial"/>
          <w:sz w:val="17"/>
          <w:szCs w:val="17"/>
          <w:color w:val="auto"/>
        </w:rPr>
      </w:pPr>
      <w:r>
        <w:rPr>
          <w:rFonts w:ascii="Arial" w:cs="Arial" w:eastAsia="Arial" w:hAnsi="Arial"/>
          <w:sz w:val="17"/>
          <w:szCs w:val="17"/>
          <w:color w:val="auto"/>
        </w:rPr>
        <w:t>all applicable Laws concerning the privacy and/or security of Sensitive Data, including the Health Insurance Portability and Accountability Act of 1996, 42 U.S.C. §§ 1320d-1329d-8 and state data breach notification Laws; (v) all applicable Laws relating to health care fraud and abuse, including but not limited to the civil False Claims Act of 1863 (31 U.S.C. Section § 3729 et seq.), the federal Anti-Kickback Statute (42 U.S.C. § 1320a-7b(b) et seq.), and the Stark Act (42 U.S.C. § 1395nn); (vi) all federal and state self-referral prohibitions, state anti-kickback, illegal remuneration and provider conflict of interest Laws; (vii) the Physician Payments Sunshine Law (42 U.S. § 1320-a7h); (viii) the Clinical Laboratories Improvements Act of 1967 and Amendments of 1988 and the regulations, rules and guidance promulgated thereunder (“CLIA”); (ix) all applicable state Laws governing laboratory licensure; and (x) all other applicable quality, safety certification and accreditation standards and requirements.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has the meaning set forth in the definition of “Privacy Laws”.</w:t>
      </w:r>
    </w:p>
    <w:p>
      <w:pPr>
        <w:spacing w:after="0" w:line="18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Annex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3" w:name="page404"/>
    <w:bookmarkEnd w:id="40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99" w:firstLine="432"/>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without duplication, the following obligations of a Person, whether or not contingent, in respect of: (a) any indebtedness for borrowed money, (b) any obligation evidenced by bonds, debentures, notes, or other similar instruments, (c) any reimbursement obligation with respect to mortgages, letters of credit (including standby letters of credit to the extent drawn upon), bankers’ acceptances or similar facilities issued for the account of the Company or its Subsidiaries (inclusive of any current portion thereof),</w:t>
      </w:r>
    </w:p>
    <w:p>
      <w:pPr>
        <w:spacing w:after="0" w:line="2" w:lineRule="exact"/>
        <w:rPr>
          <w:sz w:val="20"/>
          <w:szCs w:val="20"/>
          <w:color w:val="auto"/>
        </w:rPr>
      </w:pPr>
    </w:p>
    <w:p>
      <w:pPr>
        <w:ind w:left="460" w:right="519" w:hanging="6"/>
        <w:spacing w:after="0" w:line="287" w:lineRule="auto"/>
        <w:tabs>
          <w:tab w:leader="none" w:pos="715" w:val="left"/>
        </w:tabs>
        <w:numPr>
          <w:ilvl w:val="0"/>
          <w:numId w:val="423"/>
        </w:numPr>
        <w:rPr>
          <w:rFonts w:ascii="Arial" w:cs="Arial" w:eastAsia="Arial" w:hAnsi="Arial"/>
          <w:sz w:val="16"/>
          <w:szCs w:val="16"/>
          <w:color w:val="auto"/>
        </w:rPr>
      </w:pPr>
      <w:r>
        <w:rPr>
          <w:rFonts w:ascii="Arial" w:cs="Arial" w:eastAsia="Arial" w:hAnsi="Arial"/>
          <w:sz w:val="16"/>
          <w:szCs w:val="16"/>
          <w:color w:val="auto"/>
        </w:rPr>
        <w:t>any unfunded or underfunded liabilities pursuant to any retirement or nonqualified deferred compensation plan or arrangement and any earned but unpaid compensation (including salary, bonuses and paid time off) for any period prior to the Closing Date; and (e) any obligation of the type referred to in clauses (a) through (c) of another Person the payment of which the Company or any of its Subsidiaries has guaranteed or for which the Company or any of its Subsidiaries is responsible or liable, directly or indirectly, jointly or severally, as obligor or guarantor. For purposes of calculating “Indebtedness”, any amount that is conditioned upon the Closing shall be included in the calculation of Indebtedness as though the Closing occurred immediately prior to such calculation. For the avoidance of doubt, Indebtedness shall not include any deferred revenue of the Company.</w:t>
      </w:r>
    </w:p>
    <w:p>
      <w:pPr>
        <w:spacing w:after="0" w:line="102"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Insiders</w:t>
      </w:r>
      <w:r>
        <w:rPr>
          <w:rFonts w:ascii="Arial" w:cs="Arial" w:eastAsia="Arial" w:hAnsi="Arial"/>
          <w:sz w:val="18"/>
          <w:szCs w:val="18"/>
          <w:color w:val="auto"/>
        </w:rPr>
        <w:t xml:space="preserve">” means the Parent’s Sponsor, officers, directors and any holder of Parent Common Stock as set forth on </w:t>
      </w:r>
      <w:r>
        <w:rPr>
          <w:rFonts w:ascii="Arial" w:cs="Arial" w:eastAsia="Arial" w:hAnsi="Arial"/>
          <w:sz w:val="18"/>
          <w:szCs w:val="18"/>
          <w:u w:val="single" w:color="auto"/>
          <w:color w:val="auto"/>
        </w:rPr>
        <w:t>Schedule 10.14(a)</w:t>
      </w:r>
      <w:r>
        <w:rPr>
          <w:rFonts w:ascii="Arial" w:cs="Arial" w:eastAsia="Arial" w:hAnsi="Arial"/>
          <w:sz w:val="18"/>
          <w:szCs w:val="18"/>
          <w:color w:val="auto"/>
        </w:rPr>
        <w:t>.</w:t>
      </w:r>
    </w:p>
    <w:p>
      <w:pPr>
        <w:spacing w:after="0" w:line="103"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all of the worldwide intellectual property and proprietary rights associated with any of the following, whether registered, unregistered or registrable, to the extent recognized in a particular jurisdiction: (a) trademarks and service marks, trade dress, product configurations, trade names and other indications of origin, applications or registrations in any jurisdiction pertaining to the foregoing and all goodwill associated therewith; (b) discoveries, inventions, ideas, Know-How, systems, technology, whether patentable or not, and all issued patents, industrial designs, and utility models, and all applications pertaining to the foregoing, in any jurisdiction, including re-issues, continuations, divisionals, continuations-in-part, re-examinations, renewals, counterparts, extensions, validations, and other extensions of legal protestation pertaining thereto;</w:t>
      </w:r>
    </w:p>
    <w:p>
      <w:pPr>
        <w:spacing w:after="0" w:line="1" w:lineRule="exact"/>
        <w:rPr>
          <w:sz w:val="20"/>
          <w:szCs w:val="20"/>
          <w:color w:val="auto"/>
        </w:rPr>
      </w:pPr>
    </w:p>
    <w:p>
      <w:pPr>
        <w:ind w:left="700" w:hanging="246"/>
        <w:spacing w:after="0"/>
        <w:tabs>
          <w:tab w:leader="none" w:pos="700" w:val="left"/>
        </w:tabs>
        <w:numPr>
          <w:ilvl w:val="0"/>
          <w:numId w:val="424"/>
        </w:numPr>
        <w:rPr>
          <w:rFonts w:ascii="Arial" w:cs="Arial" w:eastAsia="Arial" w:hAnsi="Arial"/>
          <w:sz w:val="17"/>
          <w:szCs w:val="17"/>
          <w:color w:val="auto"/>
        </w:rPr>
      </w:pPr>
      <w:r>
        <w:rPr>
          <w:rFonts w:ascii="Arial" w:cs="Arial" w:eastAsia="Arial" w:hAnsi="Arial"/>
          <w:sz w:val="17"/>
          <w:szCs w:val="17"/>
          <w:color w:val="auto"/>
        </w:rPr>
        <w:t>trade secrets and other rights in confidential and other nonpublic information that derive economic value</w:t>
      </w:r>
    </w:p>
    <w:p>
      <w:pPr>
        <w:spacing w:after="0" w:line="20" w:lineRule="exact"/>
        <w:rPr>
          <w:rFonts w:ascii="Arial" w:cs="Arial" w:eastAsia="Arial" w:hAnsi="Arial"/>
          <w:sz w:val="17"/>
          <w:szCs w:val="17"/>
          <w:color w:val="auto"/>
        </w:rPr>
      </w:pPr>
    </w:p>
    <w:p>
      <w:pPr>
        <w:ind w:left="460" w:right="539"/>
        <w:spacing w:after="0" w:line="253" w:lineRule="auto"/>
        <w:rPr>
          <w:rFonts w:ascii="Arial" w:cs="Arial" w:eastAsia="Arial" w:hAnsi="Arial"/>
          <w:sz w:val="17"/>
          <w:szCs w:val="17"/>
          <w:color w:val="auto"/>
        </w:rPr>
      </w:pPr>
      <w:r>
        <w:rPr>
          <w:rFonts w:ascii="Arial" w:cs="Arial" w:eastAsia="Arial" w:hAnsi="Arial"/>
          <w:sz w:val="18"/>
          <w:szCs w:val="18"/>
          <w:color w:val="auto"/>
        </w:rPr>
        <w:t>from not being generally known and not being readily ascertainable by proper means, including the right in any jurisdiction to limit the use or disclosure thereof; (d) software; (e) copyrights in writings, designs, software, mask works, content and any other original works of authorship in any medium, including applications or registrations in any jurisdiction for the foregoing; (f) data and databases; and (g) internet websites, domain names and applications and registrations pertaining thereto.</w:t>
      </w:r>
    </w:p>
    <w:p>
      <w:pPr>
        <w:spacing w:after="0" w:line="110"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Contracts</w:t>
      </w:r>
      <w:r>
        <w:rPr>
          <w:rFonts w:ascii="Arial" w:cs="Arial" w:eastAsia="Arial" w:hAnsi="Arial"/>
          <w:sz w:val="18"/>
          <w:szCs w:val="18"/>
          <w:color w:val="auto"/>
        </w:rPr>
        <w:t>” means, collectively, any and all Contracts under which the Company or any of its Subsidiaries (i) is granted a right (including option rights, rights of first offer, first refusal, first negotiation, etc.) in or to any Intellectual Property of a third Person, (ii) grants a right (including option rights, rights of first offer, first refusal, first negotiation, etc.) to a third Person in or to any Owned Intellectual Property or (iii) has entered into an agreement not to assert or sue with respect to any Intellectual Property (including settlement agreements and co-existence arrangements), in each case excluding (A) non-exclusive licenses and subscriptions to commercially available software or technology used for internal use by the Company, with a dollar value individually not in excess of $150,000, (B) any Contract related to Public Software, or (C) any Contract under which the Company or any of its Subsidiaries licenses any of the Owned Intellectual Property in the Ordinary Course.</w:t>
      </w:r>
    </w:p>
    <w:p>
      <w:pPr>
        <w:spacing w:after="0" w:line="127"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initial public offering of the Parent pursuant to a prospectus dated September 2, 2020 (the “</w:t>
      </w:r>
      <w:r>
        <w:rPr>
          <w:rFonts w:ascii="Arial" w:cs="Arial" w:eastAsia="Arial" w:hAnsi="Arial"/>
          <w:sz w:val="18"/>
          <w:szCs w:val="18"/>
          <w:u w:val="single" w:color="auto"/>
          <w:color w:val="auto"/>
        </w:rPr>
        <w:t>Prospectus</w:t>
      </w:r>
      <w:r>
        <w:rPr>
          <w:rFonts w:ascii="Arial" w:cs="Arial" w:eastAsia="Arial" w:hAnsi="Arial"/>
          <w:sz w:val="18"/>
          <w:szCs w:val="18"/>
          <w:color w:val="auto"/>
        </w:rPr>
        <w:t>”).</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Key Employee</w:t>
      </w:r>
      <w:r>
        <w:rPr>
          <w:rFonts w:ascii="Arial" w:cs="Arial" w:eastAsia="Arial" w:hAnsi="Arial"/>
          <w:sz w:val="17"/>
          <w:szCs w:val="17"/>
          <w:color w:val="auto"/>
        </w:rPr>
        <w:t>” means any employee of the Company at the level of Senior Vice President or above.</w:t>
      </w:r>
    </w:p>
    <w:p>
      <w:pPr>
        <w:spacing w:after="0" w:line="156" w:lineRule="exact"/>
        <w:rPr>
          <w:sz w:val="20"/>
          <w:szCs w:val="20"/>
          <w:color w:val="auto"/>
        </w:rPr>
      </w:pPr>
    </w:p>
    <w:p>
      <w:pPr>
        <w:ind w:left="460" w:right="659" w:firstLine="432"/>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Know-How</w:t>
      </w:r>
      <w:r>
        <w:rPr>
          <w:rFonts w:ascii="Arial" w:cs="Arial" w:eastAsia="Arial" w:hAnsi="Arial"/>
          <w:sz w:val="16"/>
          <w:szCs w:val="16"/>
          <w:color w:val="auto"/>
        </w:rPr>
        <w:t>” means all information, unpatented inventions (whether or not patentable), improvements, practices, algorithms, formulae, trade secrets, techniques, methods, procedures, knowledge, results, protocols, processes, models, designs, drawings, specifications, materials and any other information related to the development, marketing, pricing, distribution, cost, sales and manufacturing of products.</w:t>
      </w:r>
    </w:p>
    <w:p>
      <w:pPr>
        <w:spacing w:after="0" w:line="90"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means, (a) in the case of any Person other than the Company that is not an individual, with respect to any matter in question, the actual knowledge, after due inquiry, of such Person’s executive officers and (b) in the case of the Company, the actual knowledge, after due inquiry, of the persons set forth on </w:t>
      </w:r>
      <w:r>
        <w:rPr>
          <w:rFonts w:ascii="Arial" w:cs="Arial" w:eastAsia="Arial" w:hAnsi="Arial"/>
          <w:sz w:val="18"/>
          <w:szCs w:val="18"/>
          <w:u w:val="single" w:color="auto"/>
          <w:color w:val="auto"/>
        </w:rPr>
        <w:t>Schedule 10.14(b)</w:t>
      </w:r>
      <w:r>
        <w:rPr>
          <w:rFonts w:ascii="Arial" w:cs="Arial" w:eastAsia="Arial" w:hAnsi="Arial"/>
          <w:sz w:val="18"/>
          <w:szCs w:val="18"/>
          <w:color w:val="auto"/>
        </w:rPr>
        <w: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4" w:name="page405"/>
    <w:bookmarkEnd w:id="40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federal, state, local, municipal, foreign or other law, statute, constitution, ordinance, code, rule or regulation, issued, enacted, adopted, promulgated, implemented or otherwise put into effect by or under the authority of any Governmental Authority.</w:t>
      </w:r>
    </w:p>
    <w:p>
      <w:pPr>
        <w:spacing w:after="0" w:line="116" w:lineRule="exact"/>
        <w:rPr>
          <w:sz w:val="20"/>
          <w:szCs w:val="20"/>
          <w:color w:val="auto"/>
        </w:rPr>
      </w:pPr>
    </w:p>
    <w:p>
      <w:pPr>
        <w:ind w:left="460" w:right="1119" w:firstLine="43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means any liability, obligation or commitment of any nature whatsoever, asserted or unasserted, known or unknown, absolute or contingent, accrued or unaccrued, matured or unmatured or otherwise.</w:t>
      </w:r>
    </w:p>
    <w:p>
      <w:pPr>
        <w:spacing w:after="0" w:line="116"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Intellectual Property</w:t>
      </w:r>
      <w:r>
        <w:rPr>
          <w:rFonts w:ascii="Arial" w:cs="Arial" w:eastAsia="Arial" w:hAnsi="Arial"/>
          <w:sz w:val="18"/>
          <w:szCs w:val="18"/>
          <w:color w:val="auto"/>
        </w:rPr>
        <w:t>” means all Intellectual Property of a third Person that is licensed to the Company or any of its Subsidiaries.</w:t>
      </w:r>
    </w:p>
    <w:p>
      <w:pPr>
        <w:spacing w:after="0" w:line="89"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security interest, pledge, bailment (in the nature of a pledge or for purposes of security), mortgage, deed of trust, the grant of a power to confess judgment, conditional sale or title retention agreement (including any lease in the nature thereof), charge, encumbrance, easement, reservation, restriction, cloud, right of first refusal or first offer, third-party-claim, encroachment, encumbrance, right-of-way, option, or other similar arrangement or interest in real or personal property, but excluding Intellectual Property licenses and covenants not to sue.</w:t>
      </w:r>
    </w:p>
    <w:p>
      <w:pPr>
        <w:spacing w:after="0" w:line="125"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 any claims, losses, royalties, Liabilities, damages, deficiencies, interest and penalties, costs and expenses (including reasonable expenses of investigation and reasonable attorneys’ fees and expenses in connection with any Proceeding).</w:t>
      </w:r>
    </w:p>
    <w:p>
      <w:pPr>
        <w:spacing w:after="0" w:line="116" w:lineRule="exact"/>
        <w:rPr>
          <w:sz w:val="20"/>
          <w:szCs w:val="20"/>
          <w:color w:val="auto"/>
        </w:rPr>
      </w:pPr>
    </w:p>
    <w:p>
      <w:pPr>
        <w:ind w:left="460" w:right="109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means a number of shares of Parent Common Stock equal to the quotient obtained by dividing (i) the Base Purchase Price by (ii) $10.00.</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Capital Market.</w:t>
      </w:r>
    </w:p>
    <w:p>
      <w:pPr>
        <w:spacing w:after="0" w:line="158"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Non-Disclosure Agreement</w:t>
      </w:r>
      <w:r>
        <w:rPr>
          <w:rFonts w:ascii="Arial" w:cs="Arial" w:eastAsia="Arial" w:hAnsi="Arial"/>
          <w:sz w:val="18"/>
          <w:szCs w:val="18"/>
          <w:color w:val="auto"/>
        </w:rPr>
        <w:t>” means that certain Non-Disclosure and Confidentiality Agreement dated as of January 8, 2021 by and between the Parent and the Company.</w:t>
      </w:r>
    </w:p>
    <w:p>
      <w:pPr>
        <w:spacing w:after="0" w:line="103" w:lineRule="exact"/>
        <w:rPr>
          <w:sz w:val="20"/>
          <w:szCs w:val="20"/>
          <w:color w:val="auto"/>
        </w:rPr>
      </w:pPr>
    </w:p>
    <w:p>
      <w:pPr>
        <w:jc w:val="both"/>
        <w:ind w:left="460" w:right="559" w:firstLine="432"/>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Open Source License</w:t>
      </w:r>
      <w:r>
        <w:rPr>
          <w:rFonts w:ascii="Arial" w:cs="Arial" w:eastAsia="Arial" w:hAnsi="Arial"/>
          <w:sz w:val="16"/>
          <w:szCs w:val="16"/>
          <w:color w:val="auto"/>
        </w:rPr>
        <w:t>” means any license meeting the Open Source Definition (as promulgated by the Open Source Initiative) or the Free Software Definition (as promulgated by the Free Software Foundation), or any substantially similar license, including any license approved by the Open Source Initiative, or any Creative Commons License. For the avoidance of doubt, “Open Source Licenses” include Copyleft Licenses.</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Optionholder</w:t>
      </w:r>
      <w:r>
        <w:rPr>
          <w:rFonts w:ascii="Arial" w:cs="Arial" w:eastAsia="Arial" w:hAnsi="Arial"/>
          <w:sz w:val="18"/>
          <w:szCs w:val="18"/>
          <w:color w:val="auto"/>
        </w:rPr>
        <w:t>” means the holder of any Company Options.</w:t>
      </w:r>
    </w:p>
    <w:p>
      <w:pPr>
        <w:spacing w:after="0" w:line="158" w:lineRule="exact"/>
        <w:rPr>
          <w:sz w:val="20"/>
          <w:szCs w:val="20"/>
          <w:color w:val="auto"/>
        </w:rPr>
      </w:pPr>
    </w:p>
    <w:p>
      <w:pPr>
        <w:ind w:left="460" w:right="639" w:firstLine="43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Order</w:t>
      </w:r>
      <w:r>
        <w:rPr>
          <w:rFonts w:ascii="Arial" w:cs="Arial" w:eastAsia="Arial" w:hAnsi="Arial"/>
          <w:sz w:val="17"/>
          <w:szCs w:val="17"/>
          <w:color w:val="auto"/>
        </w:rPr>
        <w:t>” means any order, decision, ruling, charge, writ, judgment, injunction, decree, stipulation, award or binding determination issued, promulgated or entered by or with any Governmental Authority.</w:t>
      </w:r>
    </w:p>
    <w:p>
      <w:pPr>
        <w:spacing w:after="0" w:line="79"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w:t>
      </w:r>
      <w:r>
        <w:rPr>
          <w:rFonts w:ascii="Arial" w:cs="Arial" w:eastAsia="Arial" w:hAnsi="Arial"/>
          <w:sz w:val="18"/>
          <w:szCs w:val="18"/>
          <w:color w:val="auto"/>
        </w:rPr>
        <w:t>” means in the ordinary course of business of the Person, consistent with past practice before the date hereof.</w:t>
      </w:r>
    </w:p>
    <w:p>
      <w:pPr>
        <w:spacing w:after="0" w:line="89"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the certificate or articles of incorporation and bylaws of a Person, as in effect from time to time including any amendments thereto.</w:t>
      </w:r>
    </w:p>
    <w:p>
      <w:pPr>
        <w:spacing w:after="0" w:line="103"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Intellectual Property</w:t>
      </w:r>
      <w:r>
        <w:rPr>
          <w:rFonts w:ascii="Arial" w:cs="Arial" w:eastAsia="Arial" w:hAnsi="Arial"/>
          <w:sz w:val="18"/>
          <w:szCs w:val="18"/>
          <w:color w:val="auto"/>
        </w:rPr>
        <w:t>” means all Intellectual Property owned or purported to be by the Company or any of its Subsidiaries.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Common Stock”</w:t>
      </w:r>
      <w:r>
        <w:rPr>
          <w:rFonts w:ascii="Arial" w:cs="Arial" w:eastAsia="Arial" w:hAnsi="Arial"/>
          <w:sz w:val="17"/>
          <w:szCs w:val="17"/>
          <w:color w:val="auto"/>
        </w:rPr>
        <w:t xml:space="preserve"> means the shares of common stock, par value $0.0001 per share of Parent.</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Financial Statements</w:t>
      </w:r>
      <w:r>
        <w:rPr>
          <w:rFonts w:ascii="Arial" w:cs="Arial" w:eastAsia="Arial" w:hAnsi="Arial"/>
          <w:sz w:val="16"/>
          <w:szCs w:val="16"/>
          <w:color w:val="auto"/>
        </w:rPr>
        <w:t>” means the audited financial statements of the Parent as of September 30,</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2020 for the period from May 21, 2020 (date of inception) through September 30, 2020.</w:t>
      </w:r>
    </w:p>
    <w:p>
      <w:pPr>
        <w:spacing w:after="0" w:line="143"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Material Adverse Effect</w:t>
      </w:r>
      <w:r>
        <w:rPr>
          <w:rFonts w:ascii="Arial" w:cs="Arial" w:eastAsia="Arial" w:hAnsi="Arial"/>
          <w:sz w:val="17"/>
          <w:szCs w:val="17"/>
          <w:color w:val="auto"/>
        </w:rPr>
        <w:t xml:space="preserve">” means any change, development, circumstance, effect, event or fact that has had, or would reasonably be expected to have, a material adverse effect upon the financial condition, business, liabilities or results of operations of Parent and its Subsidiaries, taken as a whole;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change, development, circumstance, effect, event or fact arising from or related to: (i) conditions affecting the economy, financial, credit, debt, capital, or securities markets generally (including with respect to or as a result of COVID-19), (ii) global, national or regional political conditions, including national or international hostilities, acts of terror or acts of war, sabotage or terrorism or military actions or any escalation or worsening of any hostilities, acts of war, sabotage or terrorism or military actions, (iii) changes or proposed changes in GAAP, (iv) changes or proposed changes in any Law or other binding directives issued by any Governmental Authority, (v) general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5" w:name="page406"/>
    <w:bookmarkEnd w:id="40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86" w:lineRule="auto"/>
        <w:rPr>
          <w:sz w:val="20"/>
          <w:szCs w:val="20"/>
          <w:color w:val="auto"/>
        </w:rPr>
      </w:pPr>
      <w:r>
        <w:rPr>
          <w:rFonts w:ascii="Arial" w:cs="Arial" w:eastAsia="Arial" w:hAnsi="Arial"/>
          <w:sz w:val="16"/>
          <w:szCs w:val="16"/>
          <w:color w:val="auto"/>
        </w:rPr>
        <w:t>conditions in the industry in which Parent and its Subsidiaries operate (including with respect to or as a result of COVID-19), (vi) actions or omissions taken by the Company or its Affiliates, (vi) actions or omissions taken by Parent or any of its Subsidiaries that is required by this Agreement or any Transaction Document or taken with the prior written consent of the Company, (vii) the public announcement of the Transactions or the identity of Parent or the Company in connection with the Transaction, (viii) any failure to meet any projections, forecasts, guidance, estimates, milestones, budgets or financial or operating predictions of revenue, earnings, cash flow or cash position (it being understood that the event that caused such failure may be taken into account in determining whether a “Parent Material Adverse Effect” has occurred) or (ix) the failure by Parent to take any action that is prohibited by this Agreement unless the Company has consented in writing to the taking thereof, shall not be taken into account in determining whether a “Parent Material Adverse Effect” has occurred, unless, such change, development, circumstance, effect, event or fact has a disproportionate effect on Parent and its Subsidiaries, taken as a whole, compared to other Persons in the industry or geographic regions in which Parent or its Subsidiaries conducts business, but only to the extent of such disproportionate effect.</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Preferred Stock</w:t>
      </w:r>
      <w:r>
        <w:rPr>
          <w:rFonts w:ascii="Arial" w:cs="Arial" w:eastAsia="Arial" w:hAnsi="Arial"/>
          <w:sz w:val="18"/>
          <w:szCs w:val="18"/>
          <w:color w:val="auto"/>
        </w:rPr>
        <w:t>” means the preferred stock of Parent, par value $0.0001.</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Public Stockholders</w:t>
      </w:r>
      <w:r>
        <w:rPr>
          <w:rFonts w:ascii="Arial" w:cs="Arial" w:eastAsia="Arial" w:hAnsi="Arial"/>
          <w:sz w:val="16"/>
          <w:szCs w:val="16"/>
          <w:color w:val="auto"/>
        </w:rPr>
        <w:t>” the stockholders of Parent who purchased Parent Common Stock in the IPO.</w:t>
      </w:r>
    </w:p>
    <w:p>
      <w:pPr>
        <w:spacing w:after="0" w:line="167"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Share Redemption</w:t>
      </w:r>
      <w:r>
        <w:rPr>
          <w:rFonts w:ascii="Arial" w:cs="Arial" w:eastAsia="Arial" w:hAnsi="Arial"/>
          <w:sz w:val="18"/>
          <w:szCs w:val="18"/>
          <w:color w:val="auto"/>
        </w:rPr>
        <w:t>” means the election of an eligible (as determined in accordance with Parent’s Governing Documents) holder of Parent Common Stock to redeem all or a portion of the shares of Parent Common Stock held by such holder at a per-share price, payable in cash, equal to a pro rata share of the aggregate amount on deposit in the Trust Account (including any interest earned on the funds held in the Trust Account) (as determined in accordance with Parent’s Governing Documents) in connection with the Parent Proposals.</w:t>
      </w:r>
    </w:p>
    <w:p>
      <w:pPr>
        <w:spacing w:after="0" w:line="125"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Share Redemption Amount</w:t>
      </w:r>
      <w:r>
        <w:rPr>
          <w:rFonts w:ascii="Arial" w:cs="Arial" w:eastAsia="Arial" w:hAnsi="Arial"/>
          <w:sz w:val="18"/>
          <w:szCs w:val="18"/>
          <w:color w:val="auto"/>
        </w:rPr>
        <w:t>” means the aggregate amount payable with respect to all Parent Share Redemptions.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Stockholder</w:t>
      </w:r>
      <w:r>
        <w:rPr>
          <w:rFonts w:ascii="Arial" w:cs="Arial" w:eastAsia="Arial" w:hAnsi="Arial"/>
          <w:sz w:val="18"/>
          <w:szCs w:val="18"/>
          <w:color w:val="auto"/>
        </w:rPr>
        <w:t>” means the holders of the Parent Common Stock.</w:t>
      </w:r>
    </w:p>
    <w:p>
      <w:pPr>
        <w:spacing w:after="0" w:line="144" w:lineRule="exact"/>
        <w:rPr>
          <w:sz w:val="20"/>
          <w:szCs w:val="20"/>
          <w:color w:val="auto"/>
        </w:rPr>
      </w:pPr>
    </w:p>
    <w:p>
      <w:pPr>
        <w:ind w:left="460" w:right="659" w:firstLine="432"/>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Stockholder Meeting</w:t>
      </w:r>
      <w:r>
        <w:rPr>
          <w:rFonts w:ascii="Arial" w:cs="Arial" w:eastAsia="Arial" w:hAnsi="Arial"/>
          <w:sz w:val="17"/>
          <w:szCs w:val="17"/>
          <w:color w:val="auto"/>
        </w:rPr>
        <w:t>” the meeting of stockholders of Parent Common Stock to be called for the purpose of soliciting proxies from the stockholders of Parent Common Stock to, among other things, vote in favor of the adoption of this Agreement, the approval of the Merger and the Parent Proposals.</w:t>
      </w:r>
    </w:p>
    <w:p>
      <w:pPr>
        <w:spacing w:after="0" w:line="98" w:lineRule="exact"/>
        <w:rPr>
          <w:sz w:val="20"/>
          <w:szCs w:val="20"/>
          <w:color w:val="auto"/>
        </w:rPr>
      </w:pPr>
    </w:p>
    <w:p>
      <w:pPr>
        <w:jc w:val="both"/>
        <w:ind w:left="460" w:right="739" w:firstLine="432"/>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Transaction Expenses</w:t>
      </w:r>
      <w:r>
        <w:rPr>
          <w:rFonts w:ascii="Arial" w:cs="Arial" w:eastAsia="Arial" w:hAnsi="Arial"/>
          <w:sz w:val="16"/>
          <w:szCs w:val="16"/>
          <w:color w:val="auto"/>
        </w:rPr>
        <w:t>” means all fees, expenses and disbursements incurred by or on behalf of Merger Sub or Parent for outside counsel, agents, advisors, consultants, experts, financial advisors and other service providers engaged by or on behalf of Parent or Merger Sub in connection with the Transactions.</w:t>
      </w:r>
    </w:p>
    <w:p>
      <w:pPr>
        <w:spacing w:after="0" w:line="81"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Merger Consideration</w:t>
      </w:r>
      <w:r>
        <w:rPr>
          <w:rFonts w:ascii="Arial" w:cs="Arial" w:eastAsia="Arial" w:hAnsi="Arial"/>
          <w:sz w:val="18"/>
          <w:szCs w:val="18"/>
          <w:color w:val="auto"/>
        </w:rPr>
        <w:t>” means the quotient obtained by dividing (a) the Base Purchase Price, by (b) the number of Aggregate Fully Diluted Company Common Stock.</w:t>
      </w:r>
    </w:p>
    <w:p>
      <w:pPr>
        <w:spacing w:after="0" w:line="89"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w:t>
      </w:r>
      <w:r>
        <w:rPr>
          <w:rFonts w:ascii="Arial" w:cs="Arial" w:eastAsia="Arial" w:hAnsi="Arial"/>
          <w:sz w:val="18"/>
          <w:szCs w:val="18"/>
          <w:color w:val="auto"/>
        </w:rPr>
        <w:t>” means any permit, license, authorization, registration, franchise, approval, consent, certificate, variance and similar right obtained, or required to be obtained for the conduct of the Company’s business as currently conducted, from any Governmental Authority.</w:t>
      </w:r>
    </w:p>
    <w:p>
      <w:pPr>
        <w:spacing w:after="0" w:line="116" w:lineRule="exact"/>
        <w:rPr>
          <w:sz w:val="20"/>
          <w:szCs w:val="20"/>
          <w:color w:val="auto"/>
        </w:rPr>
      </w:pPr>
    </w:p>
    <w:p>
      <w:pPr>
        <w:ind w:left="460" w:right="639" w:firstLine="432"/>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only (a) Liens for Taxes not yet due and delinquent or being contested in good faith by appropriate proceedings and for which appropriate and adequate reserves have been created in the applicable financial statements in accordance with GAAP; (b) workers or unemployment compensation Liens arising in the Ordinary Course; (c) mechanic’s, materialman’s, supplier’s, vendor’s or similar Liens arising in the Ordinary Course securing amounts that are past due and being contested in good faith, and for which appropriate and adequate reserves have been created in the applicable financial statements, or not delinquent;</w:t>
      </w:r>
    </w:p>
    <w:p>
      <w:pPr>
        <w:spacing w:after="0" w:line="4" w:lineRule="exact"/>
        <w:rPr>
          <w:sz w:val="20"/>
          <w:szCs w:val="20"/>
          <w:color w:val="auto"/>
        </w:rPr>
      </w:pPr>
    </w:p>
    <w:p>
      <w:pPr>
        <w:ind w:left="460" w:right="499" w:hanging="6"/>
        <w:spacing w:after="0" w:line="287" w:lineRule="auto"/>
        <w:tabs>
          <w:tab w:leader="none" w:pos="715" w:val="left"/>
        </w:tabs>
        <w:numPr>
          <w:ilvl w:val="0"/>
          <w:numId w:val="425"/>
        </w:numPr>
        <w:rPr>
          <w:rFonts w:ascii="Arial" w:cs="Arial" w:eastAsia="Arial" w:hAnsi="Arial"/>
          <w:sz w:val="16"/>
          <w:szCs w:val="16"/>
          <w:color w:val="auto"/>
        </w:rPr>
      </w:pPr>
      <w:r>
        <w:rPr>
          <w:rFonts w:ascii="Arial" w:cs="Arial" w:eastAsia="Arial" w:hAnsi="Arial"/>
          <w:sz w:val="16"/>
          <w:szCs w:val="16"/>
          <w:color w:val="auto"/>
        </w:rPr>
        <w:t>zoning ordinances, easements and other restrictions of legal record affecting real property which would be revealed by a survey or a search of public records and would not, individually or in the aggregate, materially interfere with the value or usefulness of such real property to the respective businesses of the Company or any of its Subsidiaries as presently conducted; (e) title of a lessor under a capital or operating lease; (f) Liens arising under Indebtedness to be paid at Closing; (g) Liens imposed by applicable securities Laws; (h) such imperfections of title, easements, encumbrances, Liens or restrictions that do not materially impair or interfere with the current use of the Company’s or its Subsidiary’s Assets that are subject thereto; and (i) rights of first refusal, rights of first offer, proxy, voting trusts, voting agreements or similar arrangements.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6" w:name="page407"/>
    <w:bookmarkEnd w:id="40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59" w:firstLine="432"/>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a corporation, a limited liability company, a partnership, an association, joint stock company, joint venture, a trust or any other entity, including a Governmental Authority.</w:t>
      </w:r>
    </w:p>
    <w:p>
      <w:pPr>
        <w:spacing w:after="0" w:line="56"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Personal Data</w:t>
      </w:r>
      <w:r>
        <w:rPr>
          <w:rFonts w:ascii="Arial" w:cs="Arial" w:eastAsia="Arial" w:hAnsi="Arial"/>
          <w:sz w:val="16"/>
          <w:szCs w:val="16"/>
          <w:color w:val="auto"/>
        </w:rPr>
        <w:t>” means, with respect to any natural Person, such Person’s name, street address, telephone number, e-mail address, photograph, social security number, tax identification number, driver’s license number, passport number, credit card number, bank account number and other financial information, customer or account numbers, account access codes and passwords, any other information that allows the identification of such Person or enables access to such Person’s financial information or that is defined as “personal data,” “personally identifiable information,” “personal information” or similar term under any applicable Laws.</w:t>
      </w:r>
    </w:p>
    <w:p>
      <w:pPr>
        <w:spacing w:after="0" w:line="97" w:lineRule="exact"/>
        <w:rPr>
          <w:sz w:val="20"/>
          <w:szCs w:val="20"/>
          <w:color w:val="auto"/>
        </w:rPr>
      </w:pPr>
    </w:p>
    <w:p>
      <w:pPr>
        <w:ind w:left="460" w:right="99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Investment Amount</w:t>
      </w:r>
      <w:r>
        <w:rPr>
          <w:rFonts w:ascii="Arial" w:cs="Arial" w:eastAsia="Arial" w:hAnsi="Arial"/>
          <w:sz w:val="18"/>
          <w:szCs w:val="18"/>
          <w:color w:val="auto"/>
        </w:rPr>
        <w:t>” means the purchase of shares of Parent Common Stock pursuant to the Subscription Agreements.</w:t>
      </w:r>
    </w:p>
    <w:p>
      <w:pPr>
        <w:spacing w:after="0" w:line="89" w:lineRule="exact"/>
        <w:rPr>
          <w:sz w:val="20"/>
          <w:szCs w:val="20"/>
          <w:color w:val="auto"/>
        </w:rPr>
      </w:pPr>
    </w:p>
    <w:p>
      <w:pPr>
        <w:ind w:left="460" w:right="659" w:firstLine="432"/>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Privacy Laws</w:t>
      </w:r>
      <w:r>
        <w:rPr>
          <w:rFonts w:ascii="Arial" w:cs="Arial" w:eastAsia="Arial" w:hAnsi="Arial"/>
          <w:sz w:val="17"/>
          <w:szCs w:val="17"/>
          <w:color w:val="auto"/>
        </w:rPr>
        <w:t>” means all applicable United States state and federal Laws relating to privacy and protection of Personal Data and/or Protected Health Information, including the Gramm-Leach-Bliley Act of 1999; the Identity Theft Red Flag Rules under the Fair and Accurate Credit Transactions Act of 2003; the Health Insurance Portability and Accountability Act of 1996 (“</w:t>
      </w:r>
      <w:r>
        <w:rPr>
          <w:rFonts w:ascii="Arial" w:cs="Arial" w:eastAsia="Arial" w:hAnsi="Arial"/>
          <w:sz w:val="17"/>
          <w:szCs w:val="17"/>
          <w:u w:val="single" w:color="auto"/>
          <w:color w:val="auto"/>
        </w:rPr>
        <w:t>HIPAA</w:t>
      </w:r>
      <w:r>
        <w:rPr>
          <w:rFonts w:ascii="Arial" w:cs="Arial" w:eastAsia="Arial" w:hAnsi="Arial"/>
          <w:sz w:val="17"/>
          <w:szCs w:val="17"/>
          <w:color w:val="auto"/>
        </w:rPr>
        <w:t>”); the Health Information Technology for Economic and Clinical Health Act; the Privacy Act of 1974; the Family Education Rights and Privacy Act of 1974; the Right to Financial Privacy Act of 1978; the Privacy Protection Act of 1980; the Fair Credit Reporting Act of 1970; the Electronic Communications Privacy Act of 1986; and any and all similar state and federal Laws relating to privacy, security, data protection, data availability and destruction and data breach, including security incident notification.</w:t>
      </w:r>
    </w:p>
    <w:p>
      <w:pPr>
        <w:spacing w:after="0" w:line="113"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action, suit, proceeding, complaint, claim, charge, hearing, labor dispute, inquiry or investigation before or by a Governmental Authority or an arbitrator.</w:t>
      </w:r>
    </w:p>
    <w:p>
      <w:pPr>
        <w:spacing w:after="0" w:line="103" w:lineRule="exact"/>
        <w:rPr>
          <w:sz w:val="20"/>
          <w:szCs w:val="20"/>
          <w:color w:val="auto"/>
        </w:rPr>
      </w:pPr>
    </w:p>
    <w:p>
      <w:pPr>
        <w:ind w:left="460" w:right="87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Protected Health Information</w:t>
      </w:r>
      <w:r>
        <w:rPr>
          <w:rFonts w:ascii="Arial" w:cs="Arial" w:eastAsia="Arial" w:hAnsi="Arial"/>
          <w:sz w:val="18"/>
          <w:szCs w:val="18"/>
          <w:color w:val="auto"/>
        </w:rPr>
        <w:t>” has the meaning given to such term under HIPAA, including all such information in electronic form.</w:t>
      </w:r>
    </w:p>
    <w:p>
      <w:pPr>
        <w:spacing w:after="0" w:line="89"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Software</w:t>
      </w:r>
      <w:r>
        <w:rPr>
          <w:rFonts w:ascii="Arial" w:cs="Arial" w:eastAsia="Arial" w:hAnsi="Arial"/>
          <w:sz w:val="16"/>
          <w:szCs w:val="16"/>
          <w:color w:val="auto"/>
        </w:rPr>
        <w:t xml:space="preserve">” means any software or content subject to an Open Source License, coding and other materials that are distributed as “free software” (as defined by the Free Software Foundation), “open source software” (meaning software distributed under any license approved by the Open Source Initiative as set forth at </w:t>
      </w:r>
      <w:r>
        <w:rPr>
          <w:rFonts w:ascii="Arial" w:cs="Arial" w:eastAsia="Arial" w:hAnsi="Arial"/>
          <w:sz w:val="16"/>
          <w:szCs w:val="16"/>
          <w:i w:val="1"/>
          <w:iCs w:val="1"/>
          <w:color w:val="auto"/>
        </w:rPr>
        <w:t>www.opensource.org</w:t>
      </w:r>
      <w:r>
        <w:rPr>
          <w:rFonts w:ascii="Arial" w:cs="Arial" w:eastAsia="Arial" w:hAnsi="Arial"/>
          <w:sz w:val="16"/>
          <w:szCs w:val="16"/>
          <w:color w:val="auto"/>
        </w:rPr>
        <w:t>) or under a similar licensing or distribution model (including under a GNU General Public</w:t>
      </w:r>
      <w:r>
        <w:rPr>
          <w:rFonts w:ascii="Arial" w:cs="Arial" w:eastAsia="Arial" w:hAnsi="Arial"/>
          <w:sz w:val="16"/>
          <w:szCs w:val="16"/>
          <w:i w:val="1"/>
          <w:iCs w:val="1"/>
          <w:color w:val="auto"/>
        </w:rPr>
        <w:t xml:space="preserve"> </w:t>
      </w:r>
      <w:r>
        <w:rPr>
          <w:rFonts w:ascii="Arial" w:cs="Arial" w:eastAsia="Arial" w:hAnsi="Arial"/>
          <w:sz w:val="16"/>
          <w:szCs w:val="16"/>
          <w:color w:val="auto"/>
        </w:rPr>
        <w:t>License (GPL), a GNU Lesser General Public License (LGPL), GNU Affero General Public License (AGPL), a Mozilla Public License (MPL), a BSD license, an Artistic License, a Netscape Public License, a Sun Community Source License (SCSL), a Sun Industry Standards License (SISL) and an Apache License.</w:t>
      </w:r>
    </w:p>
    <w:p>
      <w:pPr>
        <w:spacing w:after="0" w:line="99" w:lineRule="exact"/>
        <w:rPr>
          <w:sz w:val="20"/>
          <w:szCs w:val="20"/>
          <w:color w:val="auto"/>
        </w:rPr>
      </w:pPr>
    </w:p>
    <w:p>
      <w:pPr>
        <w:ind w:left="460" w:right="579" w:firstLine="432"/>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w:t>
      </w:r>
      <w:r>
        <w:rPr>
          <w:rFonts w:ascii="Arial" w:cs="Arial" w:eastAsia="Arial" w:hAnsi="Arial"/>
          <w:sz w:val="17"/>
          <w:szCs w:val="17"/>
          <w:color w:val="auto"/>
        </w:rPr>
        <w:t>” means, with respect to any Person, each of such Person’s “</w:t>
      </w:r>
      <w:r>
        <w:rPr>
          <w:rFonts w:ascii="Arial" w:cs="Arial" w:eastAsia="Arial" w:hAnsi="Arial"/>
          <w:sz w:val="17"/>
          <w:szCs w:val="17"/>
          <w:u w:val="single" w:color="auto"/>
          <w:color w:val="auto"/>
        </w:rPr>
        <w:t>Representative</w:t>
      </w:r>
      <w:r>
        <w:rPr>
          <w:rFonts w:ascii="Arial" w:cs="Arial" w:eastAsia="Arial" w:hAnsi="Arial"/>
          <w:sz w:val="17"/>
          <w:szCs w:val="17"/>
          <w:color w:val="auto"/>
        </w:rPr>
        <w:t>” means, with respect to any Person, each of such Person’s Affiliates and its and their directors, officers, and employees, shareholders (if such Person is a corporation, a company limited by shares or similar entity), participants or members (if such Person is a limited liability company or similar entity), partners (if such person is a partnership or similar entity), attorneys-in-fact, financial advisers, counsel, and other agents and third-party representatives, including independent contractors such as sales representatives, consultants, intermediaries, contractors, and distributors and anyone acting on behalf of the Person.</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158"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Sensitive Data</w:t>
      </w:r>
      <w:r>
        <w:rPr>
          <w:rFonts w:ascii="Arial" w:cs="Arial" w:eastAsia="Arial" w:hAnsi="Arial"/>
          <w:sz w:val="17"/>
          <w:szCs w:val="17"/>
          <w:color w:val="auto"/>
        </w:rPr>
        <w:t>” means all confidential information, classified information, proprietary information, trade secrets and any other information, the security or confidentiality of which is protected by Law or Contract, that is collected, maintained, stored, transmitted, used, disclosed or otherwise processed by the Company. Sensitive Data also includes Personal Data which is held, stored, collected, transmitted, transferred (including cross-border transfers), disclosed, sold or used by the Company or its Subsidiaries.</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w:t>
      </w:r>
      <w:r>
        <w:rPr>
          <w:rFonts w:ascii="Arial" w:cs="Arial" w:eastAsia="Arial" w:hAnsi="Arial"/>
          <w:sz w:val="18"/>
          <w:szCs w:val="18"/>
          <w:color w:val="auto"/>
        </w:rPr>
        <w:t>” means the holders of Company Capital Stock.</w:t>
      </w:r>
    </w:p>
    <w:p>
      <w:pPr>
        <w:spacing w:after="0" w:line="144"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when used with respect to any Party, shall mean any corporation, limited liability company, partnership, association, trust or other entity the accounts of which would be consolidated with those of such Party in such Party’s consolidated financial statements if such financial statements were prepared in accordance with GAAP, as well as any other corporation, limited liability company, partnership, association, trust or other entity of which</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7" w:name="page408"/>
    <w:bookmarkEnd w:id="40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spacing w:after="0" w:line="259" w:lineRule="auto"/>
        <w:rPr>
          <w:sz w:val="20"/>
          <w:szCs w:val="20"/>
          <w:color w:val="auto"/>
        </w:rPr>
      </w:pPr>
      <w:r>
        <w:rPr>
          <w:rFonts w:ascii="Arial" w:cs="Arial" w:eastAsia="Arial" w:hAnsi="Arial"/>
          <w:sz w:val="18"/>
          <w:szCs w:val="18"/>
          <w:color w:val="auto"/>
        </w:rPr>
        <w:t>securities or other ownership interests representing more than 50% of the equity or more than 50% of the ordinary voting power (or, in the case of a partnership, more than 50% of the general partnership interests) are, as of such date, owned by such Party or one or more Subsidiaries of such Party or by such Party and one or more Subsidiaries of such Party.</w:t>
      </w:r>
    </w:p>
    <w:p>
      <w:pPr>
        <w:spacing w:after="0" w:line="119" w:lineRule="exact"/>
        <w:rPr>
          <w:sz w:val="20"/>
          <w:szCs w:val="20"/>
          <w:color w:val="auto"/>
        </w:rPr>
      </w:pPr>
    </w:p>
    <w:p>
      <w:pPr>
        <w:ind w:left="460" w:right="699" w:firstLine="432"/>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means any and all federal, state, local, foreign and other taxes, levies, fees, imposts, duties and charges of whatever kind in the nature of a tax (including any interest, penalties or additions to the tax imposed in connection therewith or with respect thereto), including taxes imposed on, or measured by, income, franchise, profits or gross receipts, and also </w:t>
      </w:r>
      <w:r>
        <w:rPr>
          <w:rFonts w:ascii="Arial" w:cs="Arial" w:eastAsia="Arial" w:hAnsi="Arial"/>
          <w:sz w:val="16"/>
          <w:szCs w:val="16"/>
          <w:i w:val="1"/>
          <w:iCs w:val="1"/>
          <w:color w:val="auto"/>
        </w:rPr>
        <w:t>ad valorem</w:t>
      </w:r>
      <w:r>
        <w:rPr>
          <w:rFonts w:ascii="Arial" w:cs="Arial" w:eastAsia="Arial" w:hAnsi="Arial"/>
          <w:sz w:val="16"/>
          <w:szCs w:val="16"/>
          <w:color w:val="auto"/>
        </w:rPr>
        <w:t>, value added, sales, use, service, real or personal property, capital stock, license, payroll, withholding, employment, social security, workers’ compensation, utility, unemployment compensation, severance, production, excise, stamp, occupation, premium, windfall profits, transfer and gains taxes and customs duties, whether disputed or not.</w:t>
      </w:r>
    </w:p>
    <w:p>
      <w:pPr>
        <w:spacing w:after="0" w:line="99" w:lineRule="exact"/>
        <w:rPr>
          <w:sz w:val="20"/>
          <w:szCs w:val="20"/>
          <w:color w:val="auto"/>
        </w:rPr>
      </w:pPr>
    </w:p>
    <w:p>
      <w:pPr>
        <w:jc w:val="both"/>
        <w:ind w:left="460" w:right="559" w:firstLine="4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all returns, reports, information statements and other documentation (including any additional or supporting material) filed or maintained, or required to be filed or maintained, in connection with the calculation, determination, assessment, claim for refund or collection of any Tax, including any amendment or attachment thereto.</w:t>
      </w:r>
    </w:p>
    <w:p>
      <w:pPr>
        <w:spacing w:after="0" w:line="106" w:lineRule="exact"/>
        <w:rPr>
          <w:sz w:val="20"/>
          <w:szCs w:val="20"/>
          <w:color w:val="auto"/>
        </w:rPr>
      </w:pPr>
    </w:p>
    <w:p>
      <w:pPr>
        <w:ind w:left="460" w:right="739" w:firstLine="432"/>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Documents</w:t>
      </w:r>
      <w:r>
        <w:rPr>
          <w:rFonts w:ascii="Arial" w:cs="Arial" w:eastAsia="Arial" w:hAnsi="Arial"/>
          <w:sz w:val="17"/>
          <w:szCs w:val="17"/>
          <w:color w:val="auto"/>
        </w:rPr>
        <w:t>” means, collectively, this Agreement, the Registration Rights Agreement, the Lock-up Agreement, and each other agreement, document, instrument or certificate contemplated by this Agreement to be executed in connection with the transactions contemplated hereby.</w:t>
      </w:r>
    </w:p>
    <w:p>
      <w:pPr>
        <w:spacing w:after="0" w:line="98" w:lineRule="exact"/>
        <w:rPr>
          <w:sz w:val="20"/>
          <w:szCs w:val="20"/>
          <w:color w:val="auto"/>
        </w:rPr>
      </w:pPr>
    </w:p>
    <w:p>
      <w:pPr>
        <w:ind w:left="460" w:right="559" w:firstLine="432"/>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Transactions</w:t>
      </w:r>
      <w:r>
        <w:rPr>
          <w:rFonts w:ascii="Arial" w:cs="Arial" w:eastAsia="Arial" w:hAnsi="Arial"/>
          <w:sz w:val="16"/>
          <w:szCs w:val="16"/>
          <w:color w:val="auto"/>
        </w:rPr>
        <w:t>” refers collectively to this Agreement and the other Transaction Documents and the transactions contemplated hereby and thereby, including the Merger and the transactions contemplated thereby.</w:t>
      </w:r>
    </w:p>
    <w:p>
      <w:pPr>
        <w:spacing w:after="0" w:line="56"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Amount</w:t>
      </w:r>
      <w:r>
        <w:rPr>
          <w:rFonts w:ascii="Arial" w:cs="Arial" w:eastAsia="Arial" w:hAnsi="Arial"/>
          <w:sz w:val="18"/>
          <w:szCs w:val="18"/>
          <w:color w:val="auto"/>
        </w:rPr>
        <w:t xml:space="preserve">” means the amount of cash available in the Trust Account following the Parent Stockholder Meeting, after deducting the amount required to satisfy the Parent Share Redemption Amount (but prior to payment of (x) any deferred underwriting commissions being held in the Trust Account, and (y) any Parent Transaction Expenses (including transaction expenses incurred, accrued, paid or payable by Parent’s Affiliates on Parent’s behalf), as contemplated by </w:t>
      </w:r>
      <w:r>
        <w:rPr>
          <w:rFonts w:ascii="Arial" w:cs="Arial" w:eastAsia="Arial" w:hAnsi="Arial"/>
          <w:sz w:val="18"/>
          <w:szCs w:val="18"/>
          <w:u w:val="single" w:color="auto"/>
          <w:color w:val="auto"/>
        </w:rPr>
        <w:t>Section 7.8</w:t>
      </w:r>
      <w:r>
        <w:rPr>
          <w:rFonts w:ascii="Arial" w:cs="Arial" w:eastAsia="Arial" w:hAnsi="Arial"/>
          <w:sz w:val="18"/>
          <w:szCs w:val="18"/>
          <w:color w:val="auto"/>
        </w:rPr>
        <w:t>).</w:t>
      </w:r>
    </w:p>
    <w:p>
      <w:pPr>
        <w:spacing w:after="0" w:line="107"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Willful Breach</w:t>
      </w:r>
      <w:r>
        <w:rPr>
          <w:rFonts w:ascii="Arial" w:cs="Arial" w:eastAsia="Arial" w:hAnsi="Arial"/>
          <w:sz w:val="17"/>
          <w:szCs w:val="17"/>
          <w:color w:val="auto"/>
        </w:rPr>
        <w:t>” means, with respect to any agreement, a party’s knowing and intentional material breach of any of its representations or warranties as set forth in such agreement, or such party’s material breach of any of its covenants or other agreements set forth in such agreement, which material breach constitutes, or is a consequence of, a purposeful act or failure to act by such party with the knowledge that the taking of such act or failure to take such act would cause a material breach of such agreement.</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158" w:lineRule="exact"/>
        <w:rPr>
          <w:sz w:val="20"/>
          <w:szCs w:val="20"/>
          <w:color w:val="auto"/>
        </w:rPr>
      </w:pPr>
    </w:p>
    <w:p>
      <w:pPr>
        <w:ind w:left="460" w:right="479" w:firstLine="858"/>
        <w:spacing w:after="0" w:line="284" w:lineRule="auto"/>
        <w:tabs>
          <w:tab w:leader="none" w:pos="1569" w:val="left"/>
        </w:tabs>
        <w:numPr>
          <w:ilvl w:val="0"/>
          <w:numId w:val="426"/>
        </w:numPr>
        <w:rPr>
          <w:rFonts w:ascii="Arial" w:cs="Arial" w:eastAsia="Arial" w:hAnsi="Arial"/>
          <w:sz w:val="16"/>
          <w:szCs w:val="16"/>
          <w:color w:val="auto"/>
        </w:rPr>
      </w:pPr>
      <w:r>
        <w:rPr>
          <w:rFonts w:ascii="Arial" w:cs="Arial" w:eastAsia="Arial" w:hAnsi="Arial"/>
          <w:sz w:val="16"/>
          <w:szCs w:val="16"/>
          <w:color w:val="auto"/>
        </w:rPr>
        <w:t>When a reference is made in this Agreement to an Article, a Section, Exhibit or Schedule, such reference shall be to an Article of, a Section of, or an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and all rules and regulations promulgated thereunder, unless the context requires otherwise. References to a Person are also to its permitted successors and assigns. The word “or” shall not be exclusive. Any reference in this Agreement to a “day” or a number of “days” (without explicit reference to “Business Days”) shall be interpreted as a reference to a calendar day or number of calendar days. If any action is to be taken or given on or by a particular calendar day, and such calendar day is not a Business Day, then such action may be deferred until the next Business Day. All references to “$” or “dollars” shall mean United States Dollars.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8" w:name="page409"/>
    <w:bookmarkEnd w:id="40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858"/>
        <w:spacing w:after="0" w:line="259" w:lineRule="auto"/>
        <w:tabs>
          <w:tab w:leader="none" w:pos="1579"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119"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 xml:space="preserve">Section 10.16 </w:t>
      </w:r>
      <w:r>
        <w:rPr>
          <w:rFonts w:ascii="Arial" w:cs="Arial" w:eastAsia="Arial" w:hAnsi="Arial"/>
          <w:sz w:val="16"/>
          <w:szCs w:val="16"/>
          <w:u w:val="single" w:color="auto"/>
          <w:color w:val="auto"/>
        </w:rPr>
        <w:t>Publicity</w:t>
      </w:r>
      <w:r>
        <w:rPr>
          <w:rFonts w:ascii="Arial" w:cs="Arial" w:eastAsia="Arial" w:hAnsi="Arial"/>
          <w:sz w:val="16"/>
          <w:szCs w:val="16"/>
          <w:color w:val="auto"/>
        </w:rPr>
        <w:t xml:space="preserve">. Except as required by any Governmental Authority or Law including any applicable securities Law or stock exchange rule, or as otherwise contemplated by this Agreement, in each such case the party making the announcement shall use commercially reasonable efforts to consult with the other party in advance as to its form, content and timing, or as contemplated by this Agreement, the Parties agree that neither they nor their agents shall issue any press release or make any other public disclosure concerning the Transactions without the prior approval of the other Party hereto, which approval shall not be unreasonably withheld. If a Party is required to make such a disclosure as required by Law, the Parties will use their commercially reasonable efforts to cause a mutually agreeable release or public disclosure to be issued. Notwithstanding the foregoing, no party shall be required to obtain consent pursuant to this </w:t>
      </w:r>
      <w:r>
        <w:rPr>
          <w:rFonts w:ascii="Arial" w:cs="Arial" w:eastAsia="Arial" w:hAnsi="Arial"/>
          <w:sz w:val="16"/>
          <w:szCs w:val="16"/>
          <w:u w:val="single" w:color="auto"/>
          <w:color w:val="auto"/>
        </w:rPr>
        <w:t>Section 10.16</w:t>
      </w:r>
      <w:r>
        <w:rPr>
          <w:rFonts w:ascii="Arial" w:cs="Arial" w:eastAsia="Arial" w:hAnsi="Arial"/>
          <w:sz w:val="16"/>
          <w:szCs w:val="16"/>
          <w:color w:val="auto"/>
        </w:rPr>
        <w:t xml:space="preserve"> to the extent any proposed release or statement is substantially equivalent to the information that has previously been made public without breach of the obligation under this </w:t>
      </w:r>
      <w:r>
        <w:rPr>
          <w:rFonts w:ascii="Arial" w:cs="Arial" w:eastAsia="Arial" w:hAnsi="Arial"/>
          <w:sz w:val="16"/>
          <w:szCs w:val="16"/>
          <w:u w:val="single" w:color="auto"/>
          <w:color w:val="auto"/>
        </w:rPr>
        <w:t>Section 10.16</w:t>
      </w:r>
      <w:r>
        <w:rPr>
          <w:rFonts w:ascii="Arial" w:cs="Arial" w:eastAsia="Arial" w:hAnsi="Arial"/>
          <w:sz w:val="16"/>
          <w:szCs w:val="16"/>
          <w:color w:val="auto"/>
        </w:rPr>
        <w:t>.</w:t>
      </w:r>
    </w:p>
    <w:p>
      <w:pPr>
        <w:spacing w:after="0" w:line="104" w:lineRule="exact"/>
        <w:rPr>
          <w:sz w:val="20"/>
          <w:szCs w:val="20"/>
          <w:color w:val="auto"/>
        </w:rPr>
      </w:pPr>
    </w:p>
    <w:p>
      <w:pPr>
        <w:ind w:left="460" w:right="619" w:firstLine="432"/>
        <w:spacing w:after="0" w:line="271" w:lineRule="auto"/>
        <w:rPr>
          <w:sz w:val="20"/>
          <w:szCs w:val="20"/>
          <w:color w:val="auto"/>
        </w:rPr>
      </w:pPr>
      <w:r>
        <w:rPr>
          <w:rFonts w:ascii="Arial" w:cs="Arial" w:eastAsia="Arial" w:hAnsi="Arial"/>
          <w:sz w:val="17"/>
          <w:szCs w:val="17"/>
          <w:color w:val="auto"/>
        </w:rPr>
        <w:t xml:space="preserve">Section 10.17 </w:t>
      </w:r>
      <w:r>
        <w:rPr>
          <w:rFonts w:ascii="Arial" w:cs="Arial" w:eastAsia="Arial" w:hAnsi="Arial"/>
          <w:sz w:val="17"/>
          <w:szCs w:val="17"/>
          <w:u w:val="single" w:color="auto"/>
          <w:color w:val="auto"/>
        </w:rPr>
        <w:t>Nonsurvival of Representations</w:t>
      </w:r>
      <w:r>
        <w:rPr>
          <w:rFonts w:ascii="Arial" w:cs="Arial" w:eastAsia="Arial" w:hAnsi="Arial"/>
          <w:sz w:val="17"/>
          <w:szCs w:val="17"/>
          <w:color w:val="auto"/>
        </w:rPr>
        <w:t xml:space="preserve">. None of the representations, warranties, covenants, obligations or other agreements in this Agreement or in any certificate, statement or instrument delivered pursuant to this Agreement, including any rights arising out of any breach of such representations, warranties, covenants, obligations, agreements and other provisions, shall survive the Closing and shall terminate and expire upon the occurrence of the Effective Time (and there shall be no Liability after the Closing in respect thereof), except for (a) those covenants and agreements contained herein that by their terms expressly apply in whole or in part after the Closing and then only with respect to any breaches occurring on or after the Closing and (b) this </w:t>
      </w:r>
      <w:r>
        <w:rPr>
          <w:rFonts w:ascii="Arial" w:cs="Arial" w:eastAsia="Arial" w:hAnsi="Arial"/>
          <w:sz w:val="17"/>
          <w:szCs w:val="17"/>
          <w:u w:val="single" w:color="auto"/>
          <w:color w:val="auto"/>
        </w:rPr>
        <w:t>Article X</w:t>
      </w:r>
      <w:r>
        <w:rPr>
          <w:rFonts w:ascii="Arial" w:cs="Arial" w:eastAsia="Arial" w:hAnsi="Arial"/>
          <w:sz w:val="17"/>
          <w:szCs w:val="17"/>
          <w:color w:val="auto"/>
        </w:rPr>
        <w:t>.</w:t>
      </w:r>
    </w:p>
    <w:p>
      <w:pPr>
        <w:spacing w:after="0" w:line="97"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Non-Recourse</w:t>
      </w:r>
      <w:r>
        <w:rPr>
          <w:rFonts w:ascii="Arial" w:cs="Arial" w:eastAsia="Arial" w:hAnsi="Arial"/>
          <w:sz w:val="18"/>
          <w:szCs w:val="18"/>
          <w:color w:val="auto"/>
        </w:rPr>
        <w:t>. Except in the case of claims against a Person in respect of such Person’s actual fraud:</w:t>
      </w:r>
    </w:p>
    <w:p>
      <w:pPr>
        <w:spacing w:after="0" w:line="103" w:lineRule="exact"/>
        <w:rPr>
          <w:sz w:val="20"/>
          <w:szCs w:val="20"/>
          <w:color w:val="auto"/>
        </w:rPr>
      </w:pPr>
    </w:p>
    <w:p>
      <w:pPr>
        <w:ind w:left="460" w:right="479" w:firstLine="858"/>
        <w:spacing w:after="0" w:line="259" w:lineRule="auto"/>
        <w:tabs>
          <w:tab w:leader="none" w:pos="1569" w:val="left"/>
        </w:tabs>
        <w:numPr>
          <w:ilvl w:val="0"/>
          <w:numId w:val="428"/>
        </w:numPr>
        <w:rPr>
          <w:rFonts w:ascii="Arial" w:cs="Arial" w:eastAsia="Arial" w:hAnsi="Arial"/>
          <w:sz w:val="18"/>
          <w:szCs w:val="18"/>
          <w:color w:val="auto"/>
        </w:rPr>
      </w:pPr>
      <w:r>
        <w:rPr>
          <w:rFonts w:ascii="Arial" w:cs="Arial" w:eastAsia="Arial" w:hAnsi="Arial"/>
          <w:sz w:val="18"/>
          <w:szCs w:val="18"/>
          <w:color w:val="auto"/>
        </w:rPr>
        <w:t>Solely with respect to the Company, Parent and Merger Sub, this Agreement may only be enforced against, and any claim or cause of action based upon, arising out of, or related to this Agreement or the transactions contemplated hereby may only be brought against, the Company, Parent and Merger Sub as named parties hereto; and</w:t>
      </w:r>
    </w:p>
    <w:p>
      <w:pPr>
        <w:spacing w:after="0" w:line="119" w:lineRule="exact"/>
        <w:rPr>
          <w:rFonts w:ascii="Arial" w:cs="Arial" w:eastAsia="Arial" w:hAnsi="Arial"/>
          <w:sz w:val="18"/>
          <w:szCs w:val="18"/>
          <w:color w:val="auto"/>
        </w:rPr>
      </w:pPr>
    </w:p>
    <w:p>
      <w:pPr>
        <w:ind w:left="460" w:right="499" w:firstLine="858"/>
        <w:spacing w:after="0" w:line="270" w:lineRule="auto"/>
        <w:tabs>
          <w:tab w:leader="none" w:pos="1579" w:val="left"/>
        </w:tabs>
        <w:numPr>
          <w:ilvl w:val="0"/>
          <w:numId w:val="428"/>
        </w:numPr>
        <w:rPr>
          <w:rFonts w:ascii="Arial" w:cs="Arial" w:eastAsia="Arial" w:hAnsi="Arial"/>
          <w:sz w:val="17"/>
          <w:szCs w:val="17"/>
          <w:color w:val="auto"/>
        </w:rPr>
      </w:pPr>
      <w:r>
        <w:rPr>
          <w:rFonts w:ascii="Arial" w:cs="Arial" w:eastAsia="Arial" w:hAnsi="Arial"/>
          <w:sz w:val="17"/>
          <w:szCs w:val="17"/>
          <w:color w:val="auto"/>
        </w:rPr>
        <w:t>except to the extent a party hereto (and then only to the extent of the specific obligations undertaken by such party hereto), (i) no past, present or future director, officer, employee, incorporator, member, partner, stockholder, Affiliate, agent, attorney, advisor or representative or Affiliate of the Company, Parent or Merger Sub and (ii)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Parent or Merger Sub under this Agreement for any claim based on, arising out of, or related to this Agreement or the transactions contemplated hereby.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9" w:name="page410"/>
    <w:bookmarkEnd w:id="40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IN WITNESS WHEREOF, the Parties have caused this Agreement to be duly executed and delivered as of the date first above written.</w:t>
      </w:r>
    </w:p>
    <w:p>
      <w:pPr>
        <w:spacing w:after="0" w:line="17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BCTG ACQUISITION CORP.</w:t>
      </w:r>
    </w:p>
    <w:p>
      <w:pPr>
        <w:spacing w:after="0" w:line="18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48895</wp:posOffset>
            </wp:positionV>
            <wp:extent cx="223710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w:t>
      </w:r>
    </w:p>
    <w:p>
      <w:pPr>
        <w:spacing w:after="0" w:line="36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BCTG MERGER SUB INC.</w:t>
      </w:r>
    </w:p>
    <w:p>
      <w:pPr>
        <w:spacing w:after="0" w:line="18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48895</wp:posOffset>
            </wp:positionV>
            <wp:extent cx="223710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w:t>
      </w:r>
    </w:p>
    <w:p>
      <w:pPr>
        <w:spacing w:after="0" w:line="36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TANGO THERAPEUTICS, INC.</w:t>
      </w:r>
    </w:p>
    <w:p>
      <w:pPr>
        <w:spacing w:after="0" w:line="18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48895</wp:posOffset>
            </wp:positionV>
            <wp:extent cx="223710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Agreement and Plan of Merger]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0" w:name="page411"/>
    <w:bookmarkEnd w:id="41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Exhibit A</w:t>
      </w:r>
    </w:p>
    <w:p>
      <w:pPr>
        <w:spacing w:after="0" w:line="162"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April [__], 2021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Tango Therapeutics,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 Binney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[___]</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 Company Support Agreement</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This letter (this “</w:t>
      </w:r>
      <w:r>
        <w:rPr>
          <w:rFonts w:ascii="Arial" w:cs="Arial" w:eastAsia="Arial" w:hAnsi="Arial"/>
          <w:sz w:val="17"/>
          <w:szCs w:val="17"/>
          <w:u w:val="single" w:color="auto"/>
          <w:color w:val="auto"/>
        </w:rPr>
        <w:t>Support Agreement</w:t>
      </w:r>
      <w:r>
        <w:rPr>
          <w:rFonts w:ascii="Arial" w:cs="Arial" w:eastAsia="Arial" w:hAnsi="Arial"/>
          <w:sz w:val="17"/>
          <w:szCs w:val="17"/>
          <w:color w:val="auto"/>
        </w:rPr>
        <w:t>”) is being delivered by each of the stockholders (the “</w:t>
      </w:r>
      <w:r>
        <w:rPr>
          <w:rFonts w:ascii="Arial" w:cs="Arial" w:eastAsia="Arial" w:hAnsi="Arial"/>
          <w:sz w:val="17"/>
          <w:szCs w:val="17"/>
          <w:u w:val="single" w:color="auto"/>
          <w:color w:val="auto"/>
        </w:rPr>
        <w:t>Stockholder</w:t>
      </w:r>
      <w:r>
        <w:rPr>
          <w:rFonts w:ascii="Arial" w:cs="Arial" w:eastAsia="Arial" w:hAnsi="Arial"/>
          <w:sz w:val="17"/>
          <w:szCs w:val="17"/>
          <w:color w:val="auto"/>
        </w:rPr>
        <w:t>”), of Tango Therapeutics,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listed on the signature pages attached hereto to the Company and BCTG Acquisition Corp., a Delaware corporation (the “</w:t>
      </w:r>
      <w:r>
        <w:rPr>
          <w:rFonts w:ascii="Arial" w:cs="Arial" w:eastAsia="Arial" w:hAnsi="Arial"/>
          <w:sz w:val="17"/>
          <w:szCs w:val="17"/>
          <w:u w:val="single" w:color="auto"/>
          <w:color w:val="auto"/>
        </w:rPr>
        <w:t>Parent</w:t>
      </w:r>
      <w:r>
        <w:rPr>
          <w:rFonts w:ascii="Arial" w:cs="Arial" w:eastAsia="Arial" w:hAnsi="Arial"/>
          <w:sz w:val="17"/>
          <w:szCs w:val="17"/>
          <w:color w:val="auto"/>
        </w:rPr>
        <w:t>”), in accordance with that Merger Agreement dated as of the date hereof, by and among the Company, Parent and BCTG Merger Sub Inc., a Delaware corporation and wholly-owned subsidiary of the Parent (“</w:t>
      </w:r>
      <w:r>
        <w:rPr>
          <w:rFonts w:ascii="Arial" w:cs="Arial" w:eastAsia="Arial" w:hAnsi="Arial"/>
          <w:sz w:val="17"/>
          <w:szCs w:val="17"/>
          <w:u w:val="single" w:color="auto"/>
          <w:color w:val="auto"/>
        </w:rPr>
        <w:t>Merger Sub</w:t>
      </w:r>
      <w:r>
        <w:rPr>
          <w:rFonts w:ascii="Arial" w:cs="Arial" w:eastAsia="Arial" w:hAnsi="Arial"/>
          <w:sz w:val="17"/>
          <w:szCs w:val="17"/>
          <w:color w:val="auto"/>
        </w:rPr>
        <w:t>”) (the “</w:t>
      </w:r>
      <w:r>
        <w:rPr>
          <w:rFonts w:ascii="Arial" w:cs="Arial" w:eastAsia="Arial" w:hAnsi="Arial"/>
          <w:sz w:val="17"/>
          <w:szCs w:val="17"/>
          <w:u w:val="single" w:color="auto"/>
          <w:color w:val="auto"/>
        </w:rPr>
        <w:t>Merger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Capitalized terms used but not otherwise defined herein shall have the respective meanings ascribed to such terms in the Merger Agreement. As used herein, the term “Section” shall, unless otherwise specified, refer to the specified Section of this Support Agreement.</w:t>
      </w:r>
    </w:p>
    <w:p>
      <w:pPr>
        <w:spacing w:after="0" w:line="111"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7"/>
          <w:szCs w:val="17"/>
          <w:color w:val="auto"/>
        </w:rPr>
        <w:t>Each Stockholder is currently the record owner of the shares of Company Capital Stock (the “</w:t>
      </w:r>
      <w:r>
        <w:rPr>
          <w:rFonts w:ascii="Arial" w:cs="Arial" w:eastAsia="Arial" w:hAnsi="Arial"/>
          <w:sz w:val="17"/>
          <w:szCs w:val="17"/>
          <w:u w:val="single" w:color="auto"/>
          <w:color w:val="auto"/>
        </w:rPr>
        <w:t>Stockholder</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set forth opposite such Stockholder’s name on Exhibit A attached hereto, representing the voting power of the Company’s security holders necessary to approve the Transactions.</w:t>
      </w:r>
    </w:p>
    <w:p>
      <w:pPr>
        <w:spacing w:after="0" w:line="84" w:lineRule="exact"/>
        <w:rPr>
          <w:sz w:val="20"/>
          <w:szCs w:val="20"/>
          <w:color w:val="auto"/>
        </w:rPr>
      </w:pPr>
    </w:p>
    <w:p>
      <w:pPr>
        <w:ind w:left="460" w:right="779" w:firstLine="432"/>
        <w:spacing w:after="0" w:line="263" w:lineRule="auto"/>
        <w:rPr>
          <w:sz w:val="20"/>
          <w:szCs w:val="20"/>
          <w:color w:val="auto"/>
        </w:rPr>
      </w:pPr>
      <w:r>
        <w:rPr>
          <w:rFonts w:ascii="Arial" w:cs="Arial" w:eastAsia="Arial" w:hAnsi="Arial"/>
          <w:sz w:val="18"/>
          <w:szCs w:val="18"/>
          <w:color w:val="auto"/>
        </w:rPr>
        <w:t>In order to induce the Parent to enter into the Merger Agreement and for other good and valuable consideration, the receipt and sufficiency of which are hereby acknowledged, the Stockholder hereby agrees with the Parent and the Company as follows:</w:t>
      </w:r>
    </w:p>
    <w:p>
      <w:pPr>
        <w:spacing w:after="0" w:line="116" w:lineRule="exact"/>
        <w:rPr>
          <w:sz w:val="20"/>
          <w:szCs w:val="20"/>
          <w:color w:val="auto"/>
        </w:rPr>
      </w:pPr>
    </w:p>
    <w:p>
      <w:pPr>
        <w:ind w:left="1320" w:right="539" w:hanging="434"/>
        <w:spacing w:after="0" w:line="293" w:lineRule="auto"/>
        <w:tabs>
          <w:tab w:leader="none" w:pos="1293" w:val="left"/>
        </w:tabs>
        <w:numPr>
          <w:ilvl w:val="0"/>
          <w:numId w:val="429"/>
        </w:numPr>
        <w:rPr>
          <w:rFonts w:ascii="Arial" w:cs="Arial" w:eastAsia="Arial" w:hAnsi="Arial"/>
          <w:sz w:val="16"/>
          <w:szCs w:val="16"/>
          <w:color w:val="auto"/>
        </w:rPr>
      </w:pPr>
      <w:r>
        <w:rPr>
          <w:rFonts w:ascii="Arial" w:cs="Arial" w:eastAsia="Arial" w:hAnsi="Arial"/>
          <w:sz w:val="16"/>
          <w:szCs w:val="16"/>
          <w:u w:val="single" w:color="auto"/>
          <w:color w:val="auto"/>
        </w:rPr>
        <w:t>Voting Agreements</w:t>
      </w:r>
      <w:r>
        <w:rPr>
          <w:rFonts w:ascii="Arial" w:cs="Arial" w:eastAsia="Arial" w:hAnsi="Arial"/>
          <w:sz w:val="16"/>
          <w:szCs w:val="16"/>
          <w:color w:val="auto"/>
        </w:rPr>
        <w:t>. The Stockholder, in its capacity as a stockholder of the Company, covenants and agrees that, at any meeting of the Company’s stockholders related to the transactions contemplated by the Merger Agreement (the “</w:t>
      </w:r>
      <w:r>
        <w:rPr>
          <w:rFonts w:ascii="Arial" w:cs="Arial" w:eastAsia="Arial" w:hAnsi="Arial"/>
          <w:sz w:val="16"/>
          <w:szCs w:val="16"/>
          <w:u w:val="single" w:color="auto"/>
          <w:color w:val="auto"/>
        </w:rPr>
        <w:t>Transactions</w:t>
      </w:r>
      <w:r>
        <w:rPr>
          <w:rFonts w:ascii="Arial" w:cs="Arial" w:eastAsia="Arial" w:hAnsi="Arial"/>
          <w:sz w:val="16"/>
          <w:szCs w:val="16"/>
          <w:color w:val="auto"/>
        </w:rPr>
        <w:t>”), whether annual or special and whether or not an adjourned or postponed meeting, and however called, and in connection with any written consent of the Company’s stockholders related to the Transactions (all such meetings or consents collectively referred to herein as the “</w:t>
      </w:r>
      <w:r>
        <w:rPr>
          <w:rFonts w:ascii="Arial" w:cs="Arial" w:eastAsia="Arial" w:hAnsi="Arial"/>
          <w:sz w:val="16"/>
          <w:szCs w:val="16"/>
          <w:u w:val="single" w:color="auto"/>
          <w:color w:val="auto"/>
        </w:rPr>
        <w:t>Meeting</w:t>
      </w:r>
      <w:r>
        <w:rPr>
          <w:rFonts w:ascii="Arial" w:cs="Arial" w:eastAsia="Arial" w:hAnsi="Arial"/>
          <w:sz w:val="16"/>
          <w:szCs w:val="16"/>
          <w:color w:val="auto"/>
        </w:rPr>
        <w:t>”), the Stockholder shall:</w:t>
      </w:r>
    </w:p>
    <w:p>
      <w:pPr>
        <w:spacing w:after="0" w:line="96" w:lineRule="exact"/>
        <w:rPr>
          <w:rFonts w:ascii="Arial" w:cs="Arial" w:eastAsia="Arial" w:hAnsi="Arial"/>
          <w:sz w:val="16"/>
          <w:szCs w:val="16"/>
          <w:color w:val="auto"/>
        </w:rPr>
      </w:pPr>
    </w:p>
    <w:p>
      <w:pPr>
        <w:ind w:left="1760" w:right="559" w:hanging="442"/>
        <w:spacing w:after="0" w:line="277" w:lineRule="auto"/>
        <w:tabs>
          <w:tab w:leader="none" w:pos="1723" w:val="left"/>
        </w:tabs>
        <w:numPr>
          <w:ilvl w:val="1"/>
          <w:numId w:val="429"/>
        </w:numPr>
        <w:rPr>
          <w:rFonts w:ascii="Arial" w:cs="Arial" w:eastAsia="Arial" w:hAnsi="Arial"/>
          <w:sz w:val="18"/>
          <w:szCs w:val="18"/>
          <w:color w:val="auto"/>
        </w:rPr>
      </w:pPr>
      <w:r>
        <w:rPr>
          <w:rFonts w:ascii="Arial" w:cs="Arial" w:eastAsia="Arial" w:hAnsi="Arial"/>
          <w:sz w:val="18"/>
          <w:szCs w:val="18"/>
          <w:color w:val="auto"/>
        </w:rPr>
        <w:t>when the Meeting is held, appear at the Meeting or otherwise cause the Stockholder Shares to be counted as present thereat for the purpose of establishing a quorum;</w:t>
      </w:r>
    </w:p>
    <w:p>
      <w:pPr>
        <w:spacing w:after="0" w:line="89" w:lineRule="exact"/>
        <w:rPr>
          <w:rFonts w:ascii="Arial" w:cs="Arial" w:eastAsia="Arial" w:hAnsi="Arial"/>
          <w:sz w:val="18"/>
          <w:szCs w:val="18"/>
          <w:color w:val="auto"/>
        </w:rPr>
      </w:pPr>
    </w:p>
    <w:p>
      <w:pPr>
        <w:ind w:left="1760" w:right="479" w:hanging="442"/>
        <w:spacing w:after="0" w:line="257" w:lineRule="auto"/>
        <w:tabs>
          <w:tab w:leader="none" w:pos="1733" w:val="left"/>
        </w:tabs>
        <w:numPr>
          <w:ilvl w:val="1"/>
          <w:numId w:val="429"/>
        </w:numPr>
        <w:rPr>
          <w:rFonts w:ascii="Arial" w:cs="Arial" w:eastAsia="Arial" w:hAnsi="Arial"/>
          <w:sz w:val="18"/>
          <w:szCs w:val="18"/>
          <w:color w:val="auto"/>
        </w:rPr>
      </w:pPr>
      <w:r>
        <w:rPr>
          <w:rFonts w:ascii="Arial" w:cs="Arial" w:eastAsia="Arial" w:hAnsi="Arial"/>
          <w:sz w:val="18"/>
          <w:szCs w:val="18"/>
          <w:color w:val="auto"/>
        </w:rPr>
        <w:t>vote (or execute and return an action by written consent), or cause to be voted at the Meeting (or validly execute and return and cause such consent to be granted with respect to), all of the Stockholder Shares in favor of each of the proposals relating to the Transactions and any other matters necessary or reasonably requested by the Company for consummation of the Merger and the Transactions;</w:t>
      </w:r>
    </w:p>
    <w:p>
      <w:pPr>
        <w:spacing w:after="0" w:line="120" w:lineRule="exact"/>
        <w:rPr>
          <w:rFonts w:ascii="Arial" w:cs="Arial" w:eastAsia="Arial" w:hAnsi="Arial"/>
          <w:sz w:val="18"/>
          <w:szCs w:val="18"/>
          <w:color w:val="auto"/>
        </w:rPr>
      </w:pPr>
    </w:p>
    <w:p>
      <w:pPr>
        <w:ind w:left="1760" w:right="1099" w:hanging="442"/>
        <w:spacing w:after="0" w:line="259" w:lineRule="auto"/>
        <w:tabs>
          <w:tab w:leader="none" w:pos="1723" w:val="left"/>
        </w:tabs>
        <w:numPr>
          <w:ilvl w:val="1"/>
          <w:numId w:val="429"/>
        </w:numPr>
        <w:rPr>
          <w:rFonts w:ascii="Arial" w:cs="Arial" w:eastAsia="Arial" w:hAnsi="Arial"/>
          <w:sz w:val="18"/>
          <w:szCs w:val="18"/>
          <w:color w:val="auto"/>
        </w:rPr>
      </w:pPr>
      <w:r>
        <w:rPr>
          <w:rFonts w:ascii="Arial" w:cs="Arial" w:eastAsia="Arial" w:hAnsi="Arial"/>
          <w:sz w:val="18"/>
          <w:szCs w:val="18"/>
          <w:color w:val="auto"/>
        </w:rPr>
        <w:t>authorize and approve the Merger to the extent the approval of any of the Company’s stockholders is required or applicable pursuant to the Company’s Third Amended and Restated Certificate of Incorporation, as amended from time to time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Charter</w:t>
      </w:r>
      <w:r>
        <w:rPr>
          <w:rFonts w:ascii="Arial" w:cs="Arial" w:eastAsia="Arial" w:hAnsi="Arial"/>
          <w:sz w:val="18"/>
          <w:szCs w:val="18"/>
          <w:color w:val="auto"/>
        </w:rPr>
        <w:t>”);</w:t>
      </w:r>
    </w:p>
    <w:p>
      <w:pPr>
        <w:spacing w:after="0" w:line="119" w:lineRule="exact"/>
        <w:rPr>
          <w:rFonts w:ascii="Arial" w:cs="Arial" w:eastAsia="Arial" w:hAnsi="Arial"/>
          <w:sz w:val="18"/>
          <w:szCs w:val="18"/>
          <w:color w:val="auto"/>
        </w:rPr>
      </w:pPr>
    </w:p>
    <w:p>
      <w:pPr>
        <w:ind w:left="1760" w:right="739" w:hanging="442"/>
        <w:spacing w:after="0" w:line="277" w:lineRule="auto"/>
        <w:tabs>
          <w:tab w:leader="none" w:pos="1733" w:val="left"/>
        </w:tabs>
        <w:numPr>
          <w:ilvl w:val="1"/>
          <w:numId w:val="429"/>
        </w:numPr>
        <w:rPr>
          <w:rFonts w:ascii="Arial" w:cs="Arial" w:eastAsia="Arial" w:hAnsi="Arial"/>
          <w:sz w:val="18"/>
          <w:szCs w:val="18"/>
          <w:color w:val="auto"/>
        </w:rPr>
      </w:pPr>
      <w:r>
        <w:rPr>
          <w:rFonts w:ascii="Arial" w:cs="Arial" w:eastAsia="Arial" w:hAnsi="Arial"/>
          <w:sz w:val="18"/>
          <w:szCs w:val="18"/>
          <w:color w:val="auto"/>
        </w:rPr>
        <w:t>convert each share of Company Preferred Stock into shares of Company Common Stock in accordance with the terms of the Company Charter;</w:t>
      </w:r>
    </w:p>
    <w:p>
      <w:pPr>
        <w:spacing w:after="0" w:line="89" w:lineRule="exact"/>
        <w:rPr>
          <w:rFonts w:ascii="Arial" w:cs="Arial" w:eastAsia="Arial" w:hAnsi="Arial"/>
          <w:sz w:val="18"/>
          <w:szCs w:val="18"/>
          <w:color w:val="auto"/>
        </w:rPr>
      </w:pPr>
    </w:p>
    <w:p>
      <w:pPr>
        <w:ind w:left="1760" w:right="719" w:hanging="442"/>
        <w:spacing w:after="0" w:line="308" w:lineRule="auto"/>
        <w:tabs>
          <w:tab w:leader="none" w:pos="1723" w:val="left"/>
        </w:tabs>
        <w:numPr>
          <w:ilvl w:val="1"/>
          <w:numId w:val="429"/>
        </w:numPr>
        <w:rPr>
          <w:rFonts w:ascii="Arial" w:cs="Arial" w:eastAsia="Arial" w:hAnsi="Arial"/>
          <w:sz w:val="17"/>
          <w:szCs w:val="17"/>
          <w:color w:val="auto"/>
        </w:rPr>
      </w:pPr>
      <w:r>
        <w:rPr>
          <w:rFonts w:ascii="Arial" w:cs="Arial" w:eastAsia="Arial" w:hAnsi="Arial"/>
          <w:sz w:val="17"/>
          <w:szCs w:val="17"/>
          <w:color w:val="auto"/>
        </w:rPr>
        <w:t>authorize and approve any amendment to the Company Charter that is deemed necessary or advisable by the Company for purposes of effecting the Transactions;</w:t>
      </w:r>
    </w:p>
    <w:p>
      <w:pPr>
        <w:spacing w:after="0" w:line="78" w:lineRule="exact"/>
        <w:rPr>
          <w:rFonts w:ascii="Arial" w:cs="Arial" w:eastAsia="Arial" w:hAnsi="Arial"/>
          <w:sz w:val="17"/>
          <w:szCs w:val="17"/>
          <w:color w:val="auto"/>
        </w:rPr>
      </w:pPr>
    </w:p>
    <w:p>
      <w:pPr>
        <w:ind w:left="1760" w:right="539" w:hanging="442"/>
        <w:spacing w:after="0" w:line="259" w:lineRule="auto"/>
        <w:tabs>
          <w:tab w:leader="none" w:pos="1748" w:val="left"/>
        </w:tabs>
        <w:numPr>
          <w:ilvl w:val="1"/>
          <w:numId w:val="429"/>
        </w:numPr>
        <w:rPr>
          <w:rFonts w:ascii="Arial" w:cs="Arial" w:eastAsia="Arial" w:hAnsi="Arial"/>
          <w:sz w:val="18"/>
          <w:szCs w:val="18"/>
          <w:color w:val="auto"/>
        </w:rPr>
      </w:pPr>
      <w:r>
        <w:rPr>
          <w:rFonts w:ascii="Arial" w:cs="Arial" w:eastAsia="Arial" w:hAnsi="Arial"/>
          <w:sz w:val="18"/>
          <w:szCs w:val="18"/>
          <w:color w:val="auto"/>
        </w:rPr>
        <w:t>vote (or execute and return an action by written consent), or cause to be voted at the Meeting (or validly execute and return and cause such consent to be granted with respect to), all of the Stockholder Shares against any action that would reasonably be expected to (x) impede, interfere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1" w:name="page412"/>
    <w:bookmarkEnd w:id="41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760" w:right="559"/>
        <w:spacing w:after="0" w:line="257" w:lineRule="auto"/>
        <w:rPr>
          <w:sz w:val="20"/>
          <w:szCs w:val="20"/>
          <w:color w:val="auto"/>
        </w:rPr>
      </w:pPr>
      <w:r>
        <w:rPr>
          <w:rFonts w:ascii="Arial" w:cs="Arial" w:eastAsia="Arial" w:hAnsi="Arial"/>
          <w:sz w:val="18"/>
          <w:szCs w:val="18"/>
          <w:color w:val="auto"/>
        </w:rPr>
        <w:t>with, delay, postpone or adversely affect the Merger or any of the Transactions, (y) result in a breach of any covenant, representation or warranty or other obligation or agreement of the Company under the Merger Agreement, or (z) result in a breach of any covenant, representation or warranty or other obligation or agreement of the Stockholder contained in this Support Agreement;</w:t>
      </w:r>
    </w:p>
    <w:p>
      <w:pPr>
        <w:spacing w:after="0" w:line="120" w:lineRule="exact"/>
        <w:rPr>
          <w:sz w:val="20"/>
          <w:szCs w:val="20"/>
          <w:color w:val="auto"/>
        </w:rPr>
      </w:pPr>
    </w:p>
    <w:p>
      <w:pPr>
        <w:ind w:left="1760" w:right="619" w:hanging="442"/>
        <w:spacing w:after="0" w:line="263" w:lineRule="auto"/>
        <w:tabs>
          <w:tab w:leader="none" w:pos="1733" w:val="left"/>
        </w:tabs>
        <w:numPr>
          <w:ilvl w:val="1"/>
          <w:numId w:val="430"/>
        </w:numPr>
        <w:rPr>
          <w:rFonts w:ascii="Arial" w:cs="Arial" w:eastAsia="Arial" w:hAnsi="Arial"/>
          <w:sz w:val="18"/>
          <w:szCs w:val="18"/>
          <w:color w:val="auto"/>
        </w:rPr>
      </w:pPr>
      <w:r>
        <w:rPr>
          <w:rFonts w:ascii="Arial" w:cs="Arial" w:eastAsia="Arial" w:hAnsi="Arial"/>
          <w:sz w:val="18"/>
          <w:szCs w:val="18"/>
          <w:color w:val="auto"/>
        </w:rPr>
        <w:t>exercise the drag-along rights, if applicable to the Merger, set forth in Section 3 of the Company’s Second Amended and Restated Stockholders Agreement, dated as of August 17, 2020; and</w:t>
      </w:r>
    </w:p>
    <w:p>
      <w:pPr>
        <w:spacing w:after="0" w:line="116" w:lineRule="exact"/>
        <w:rPr>
          <w:rFonts w:ascii="Arial" w:cs="Arial" w:eastAsia="Arial" w:hAnsi="Arial"/>
          <w:sz w:val="18"/>
          <w:szCs w:val="18"/>
          <w:color w:val="auto"/>
        </w:rPr>
      </w:pPr>
    </w:p>
    <w:p>
      <w:pPr>
        <w:ind w:left="1760" w:right="479" w:hanging="442"/>
        <w:spacing w:after="0" w:line="275" w:lineRule="auto"/>
        <w:tabs>
          <w:tab w:leader="none" w:pos="1733" w:val="left"/>
        </w:tabs>
        <w:numPr>
          <w:ilvl w:val="1"/>
          <w:numId w:val="430"/>
        </w:numPr>
        <w:rPr>
          <w:rFonts w:ascii="Arial" w:cs="Arial" w:eastAsia="Arial" w:hAnsi="Arial"/>
          <w:sz w:val="17"/>
          <w:szCs w:val="17"/>
          <w:color w:val="auto"/>
        </w:rPr>
      </w:pPr>
      <w:r>
        <w:rPr>
          <w:rFonts w:ascii="Arial" w:cs="Arial" w:eastAsia="Arial" w:hAnsi="Arial"/>
          <w:sz w:val="17"/>
          <w:szCs w:val="17"/>
          <w:color w:val="auto"/>
        </w:rPr>
        <w:t>in any other circumstances upon which a consent or other approval is required under the Company’s Organizational Documents or the Company Financing Agreements (as defined below) or otherwise sought with respect to the Merger Agreement or the Transactions, to vote, consent or approve (or cause to be voted, consented or approved) all of such Stockholder’s Stockholder Shares held at such time in favor thereof.</w:t>
      </w:r>
    </w:p>
    <w:p>
      <w:pPr>
        <w:spacing w:after="0" w:line="95" w:lineRule="exact"/>
        <w:rPr>
          <w:rFonts w:ascii="Arial" w:cs="Arial" w:eastAsia="Arial" w:hAnsi="Arial"/>
          <w:sz w:val="17"/>
          <w:szCs w:val="17"/>
          <w:color w:val="auto"/>
        </w:rPr>
      </w:pPr>
    </w:p>
    <w:p>
      <w:pPr>
        <w:ind w:left="1320" w:right="499" w:hanging="434"/>
        <w:spacing w:after="0" w:line="254" w:lineRule="auto"/>
        <w:tabs>
          <w:tab w:leader="none" w:pos="1293" w:val="left"/>
        </w:tabs>
        <w:numPr>
          <w:ilvl w:val="0"/>
          <w:numId w:val="431"/>
        </w:numPr>
        <w:rPr>
          <w:rFonts w:ascii="Arial" w:cs="Arial" w:eastAsia="Arial" w:hAnsi="Arial"/>
          <w:sz w:val="18"/>
          <w:szCs w:val="18"/>
          <w:color w:val="auto"/>
        </w:rPr>
      </w:pPr>
      <w:r>
        <w:rPr>
          <w:rFonts w:ascii="Arial" w:cs="Arial" w:eastAsia="Arial" w:hAnsi="Arial"/>
          <w:sz w:val="18"/>
          <w:szCs w:val="18"/>
          <w:u w:val="single" w:color="auto"/>
          <w:color w:val="auto"/>
        </w:rPr>
        <w:t>No Challenge</w:t>
      </w:r>
      <w:r>
        <w:rPr>
          <w:rFonts w:ascii="Arial" w:cs="Arial" w:eastAsia="Arial" w:hAnsi="Arial"/>
          <w:sz w:val="18"/>
          <w:szCs w:val="18"/>
          <w:color w:val="auto"/>
        </w:rPr>
        <w:t>. Each Stockholder agrees not to commence, join in, facilitate, assist or encourage, and agrees to take all actions necessary to opt out of any class in any class action with respect to, any claim, derivative or otherwise, against the Parent, Merger Sub, the Company or any of their respective successors or directors (a) challenging the validity of, or seeking to enjoin the operation of, any provision of this Agreement or the Merger Agreement or (b) alleging a breach of any fiduciary duty of any person in connection with the evaluation, negotiation or entry into the Merger Agreement.</w:t>
      </w:r>
    </w:p>
    <w:p>
      <w:pPr>
        <w:spacing w:after="0" w:line="127" w:lineRule="exact"/>
        <w:rPr>
          <w:rFonts w:ascii="Arial" w:cs="Arial" w:eastAsia="Arial" w:hAnsi="Arial"/>
          <w:sz w:val="18"/>
          <w:szCs w:val="18"/>
          <w:color w:val="auto"/>
        </w:rPr>
      </w:pPr>
    </w:p>
    <w:p>
      <w:pPr>
        <w:ind w:left="1320" w:right="799" w:hanging="434"/>
        <w:spacing w:after="0" w:line="277" w:lineRule="auto"/>
        <w:tabs>
          <w:tab w:leader="none" w:pos="1293" w:val="left"/>
        </w:tabs>
        <w:numPr>
          <w:ilvl w:val="0"/>
          <w:numId w:val="431"/>
        </w:numPr>
        <w:rPr>
          <w:rFonts w:ascii="Arial" w:cs="Arial" w:eastAsia="Arial" w:hAnsi="Arial"/>
          <w:sz w:val="18"/>
          <w:szCs w:val="18"/>
          <w:color w:val="auto"/>
        </w:rPr>
      </w:pPr>
      <w:r>
        <w:rPr>
          <w:rFonts w:ascii="Arial" w:cs="Arial" w:eastAsia="Arial" w:hAnsi="Arial"/>
          <w:sz w:val="18"/>
          <w:szCs w:val="18"/>
          <w:u w:val="single" w:color="auto"/>
          <w:color w:val="auto"/>
        </w:rPr>
        <w:t>Closing Date Deliverables</w:t>
      </w:r>
      <w:r>
        <w:rPr>
          <w:rFonts w:ascii="Arial" w:cs="Arial" w:eastAsia="Arial" w:hAnsi="Arial"/>
          <w:sz w:val="18"/>
          <w:szCs w:val="18"/>
          <w:color w:val="auto"/>
        </w:rPr>
        <w:t xml:space="preserve">: Each Stockholder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will deliver, substantially simultaneously with the Effective Time:</w:t>
      </w:r>
    </w:p>
    <w:p>
      <w:pPr>
        <w:spacing w:after="0" w:line="102" w:lineRule="exact"/>
        <w:rPr>
          <w:rFonts w:ascii="Arial" w:cs="Arial" w:eastAsia="Arial" w:hAnsi="Arial"/>
          <w:sz w:val="18"/>
          <w:szCs w:val="18"/>
          <w:color w:val="auto"/>
        </w:rPr>
      </w:pPr>
    </w:p>
    <w:p>
      <w:pPr>
        <w:ind w:left="1760" w:right="559" w:hanging="442"/>
        <w:spacing w:after="0" w:line="277" w:lineRule="auto"/>
        <w:tabs>
          <w:tab w:leader="none" w:pos="1723" w:val="left"/>
        </w:tabs>
        <w:numPr>
          <w:ilvl w:val="1"/>
          <w:numId w:val="431"/>
        </w:numPr>
        <w:rPr>
          <w:rFonts w:ascii="Arial" w:cs="Arial" w:eastAsia="Arial" w:hAnsi="Arial"/>
          <w:sz w:val="18"/>
          <w:szCs w:val="18"/>
          <w:color w:val="auto"/>
        </w:rPr>
      </w:pPr>
      <w:r>
        <w:rPr>
          <w:rFonts w:ascii="Arial" w:cs="Arial" w:eastAsia="Arial" w:hAnsi="Arial"/>
          <w:sz w:val="18"/>
          <w:szCs w:val="18"/>
          <w:color w:val="auto"/>
        </w:rPr>
        <w:t>a duly-executed copy of the Lock-Up Agreement substantially in the form attached as Exhibit D to the Merger Agreement; and</w:t>
      </w:r>
    </w:p>
    <w:p>
      <w:pPr>
        <w:spacing w:after="0" w:line="89" w:lineRule="exact"/>
        <w:rPr>
          <w:rFonts w:ascii="Arial" w:cs="Arial" w:eastAsia="Arial" w:hAnsi="Arial"/>
          <w:sz w:val="18"/>
          <w:szCs w:val="18"/>
          <w:color w:val="auto"/>
        </w:rPr>
      </w:pPr>
    </w:p>
    <w:p>
      <w:pPr>
        <w:ind w:left="1760" w:right="1299" w:hanging="442"/>
        <w:spacing w:after="0" w:line="342" w:lineRule="auto"/>
        <w:tabs>
          <w:tab w:leader="none" w:pos="1733" w:val="left"/>
        </w:tabs>
        <w:numPr>
          <w:ilvl w:val="1"/>
          <w:numId w:val="431"/>
        </w:numPr>
        <w:rPr>
          <w:rFonts w:ascii="Arial" w:cs="Arial" w:eastAsia="Arial" w:hAnsi="Arial"/>
          <w:sz w:val="16"/>
          <w:szCs w:val="16"/>
          <w:color w:val="auto"/>
        </w:rPr>
      </w:pPr>
      <w:r>
        <w:rPr>
          <w:rFonts w:ascii="Arial" w:cs="Arial" w:eastAsia="Arial" w:hAnsi="Arial"/>
          <w:sz w:val="16"/>
          <w:szCs w:val="16"/>
          <w:color w:val="auto"/>
        </w:rPr>
        <w:t>a duly-executed copy of the Amended and Restated Registration Rights Agreement substantially in the form attached as Exhibit G to the Merger Agreement.</w:t>
      </w:r>
    </w:p>
    <w:p>
      <w:pPr>
        <w:spacing w:after="0" w:line="56" w:lineRule="exact"/>
        <w:rPr>
          <w:rFonts w:ascii="Arial" w:cs="Arial" w:eastAsia="Arial" w:hAnsi="Arial"/>
          <w:sz w:val="16"/>
          <w:szCs w:val="16"/>
          <w:color w:val="auto"/>
        </w:rPr>
      </w:pPr>
    </w:p>
    <w:p>
      <w:pPr>
        <w:ind w:left="1320" w:right="519" w:hanging="434"/>
        <w:spacing w:after="0" w:line="269" w:lineRule="auto"/>
        <w:tabs>
          <w:tab w:leader="none" w:pos="1293" w:val="left"/>
        </w:tabs>
        <w:numPr>
          <w:ilvl w:val="0"/>
          <w:numId w:val="431"/>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Each Stockholder hereby irrevocably and unconditionally (i) waives any rights of appraisal, dissenter’s rights and any similar rights relating to the Merger Agreement and the consummation by the parties of the transactions contemplated thereby, including the Merger, that such Stockholder may have under applicable law (including Section 262 of the DGCL or otherwise), (ii) consents to, on behalf of itself, and each other holder of Company Preferred Stock and irrevocably and unconditionally waives any and all rights such Stockholder may have with respect to, the conversion of all outstanding shares of Company Preferred Stock into shares of Company Common Stock, with such conversion to be in accordance with the terms of the Company Charter and effective as of immediately prior to the Effective Time of the Merger, and (iii) waives, on behalf of themselves and each other holder of Company Capital Stock (including Company Preferred Stock), its right to certain payments upon liquidation of the Company pursuant to Article IV, Section 2 of the Company Charter.</w:t>
      </w:r>
    </w:p>
    <w:p>
      <w:pPr>
        <w:spacing w:after="0" w:line="111" w:lineRule="exact"/>
        <w:rPr>
          <w:rFonts w:ascii="Arial" w:cs="Arial" w:eastAsia="Arial" w:hAnsi="Arial"/>
          <w:sz w:val="17"/>
          <w:szCs w:val="17"/>
          <w:color w:val="auto"/>
        </w:rPr>
      </w:pPr>
    </w:p>
    <w:p>
      <w:pPr>
        <w:ind w:left="1320" w:right="479" w:hanging="434"/>
        <w:spacing w:after="0" w:line="285" w:lineRule="auto"/>
        <w:tabs>
          <w:tab w:leader="none" w:pos="1293" w:val="left"/>
        </w:tabs>
        <w:numPr>
          <w:ilvl w:val="0"/>
          <w:numId w:val="431"/>
        </w:numPr>
        <w:rPr>
          <w:rFonts w:ascii="Arial" w:cs="Arial" w:eastAsia="Arial" w:hAnsi="Arial"/>
          <w:sz w:val="16"/>
          <w:szCs w:val="16"/>
          <w:color w:val="auto"/>
        </w:rPr>
      </w:pPr>
      <w:r>
        <w:rPr>
          <w:rFonts w:ascii="Arial" w:cs="Arial" w:eastAsia="Arial" w:hAnsi="Arial"/>
          <w:sz w:val="16"/>
          <w:szCs w:val="16"/>
          <w:u w:val="single" w:color="auto"/>
          <w:color w:val="auto"/>
        </w:rPr>
        <w:t>Termination of Company Financing Agreements, Related Agreements</w:t>
      </w:r>
      <w:r>
        <w:rPr>
          <w:rFonts w:ascii="Arial" w:cs="Arial" w:eastAsia="Arial" w:hAnsi="Arial"/>
          <w:sz w:val="16"/>
          <w:szCs w:val="16"/>
          <w:color w:val="auto"/>
        </w:rPr>
        <w:t xml:space="preserve">. Each Stockholder, by this Agreement with respect to its Stockholder Shares, severally and not jointly, hereby agrees to terminate, subject to the Closing and effective as of the Effective Time, (a) all Affiliate agreements to which such Stockholder is party that are set forth on Section 3.24 of the Company Disclosure Schedule, including those certain agreements set forth on Exhibit B attached hereto, if applicable to such Stockholder (the “ </w:t>
      </w:r>
      <w:r>
        <w:rPr>
          <w:rFonts w:ascii="Arial" w:cs="Arial" w:eastAsia="Arial" w:hAnsi="Arial"/>
          <w:sz w:val="16"/>
          <w:szCs w:val="16"/>
          <w:u w:val="single" w:color="auto"/>
          <w:color w:val="auto"/>
        </w:rPr>
        <w:t>Company Financing Agreements</w:t>
      </w:r>
      <w:r>
        <w:rPr>
          <w:rFonts w:ascii="Arial" w:cs="Arial" w:eastAsia="Arial" w:hAnsi="Arial"/>
          <w:sz w:val="16"/>
          <w:szCs w:val="16"/>
          <w:color w:val="auto"/>
        </w:rPr>
        <w:t xml:space="preserve"> ”); (b) any management rights or side letters between the Company and such Stockholder; and (c) any rights under any letter or agreement providing for redemption rights, put rights, purchase rights or other similar rights not generally available to stockholders of the Company (clauses (a) through (c), collectively, the “ </w:t>
      </w:r>
      <w:r>
        <w:rPr>
          <w:rFonts w:ascii="Arial" w:cs="Arial" w:eastAsia="Arial" w:hAnsi="Arial"/>
          <w:sz w:val="16"/>
          <w:szCs w:val="16"/>
          <w:u w:val="single" w:color="auto"/>
          <w:color w:val="auto"/>
        </w:rPr>
        <w:t>Terminating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Rights</w:t>
      </w:r>
      <w:r>
        <w:rPr>
          <w:rFonts w:ascii="Arial" w:cs="Arial" w:eastAsia="Arial" w:hAnsi="Arial"/>
          <w:sz w:val="16"/>
          <w:szCs w:val="16"/>
          <w:color w:val="auto"/>
        </w:rPr>
        <w:t xml:space="preserve"> ”) between such Stockholder and the Company, but excluding, (i) for the avoidance of doubt, any rights such Stockholder may have that relate to any commercial or employment agreements or arrangements between such Stockholder and the Company or any Subsidiary thereof, which shall survive the Closing in accordance with their terms, and (ii) any indemnification, advancement of expenses and exculpation rights of any Stockholder or any of its Affiliates set forth in the foregoing documents, which shall survive the Closing in accordance with their terms; provided that all Terminating Rights between the Company and any other holder of Company Capital Stock shall also terminate at such time.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2" w:name="page413"/>
    <w:bookmarkEnd w:id="41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699" w:hanging="434"/>
        <w:spacing w:after="0" w:line="263" w:lineRule="auto"/>
        <w:tabs>
          <w:tab w:leader="none" w:pos="1293" w:val="left"/>
        </w:tabs>
        <w:numPr>
          <w:ilvl w:val="0"/>
          <w:numId w:val="432"/>
        </w:numPr>
        <w:rPr>
          <w:rFonts w:ascii="Arial" w:cs="Arial" w:eastAsia="Arial" w:hAnsi="Arial"/>
          <w:sz w:val="18"/>
          <w:szCs w:val="18"/>
          <w:color w:val="auto"/>
        </w:rPr>
      </w:pPr>
      <w:r>
        <w:rPr>
          <w:rFonts w:ascii="Arial" w:cs="Arial" w:eastAsia="Arial" w:hAnsi="Arial"/>
          <w:sz w:val="18"/>
          <w:szCs w:val="18"/>
          <w:u w:val="single" w:color="auto"/>
          <w:color w:val="auto"/>
        </w:rPr>
        <w:t>Stop Transfers; Certificates</w:t>
      </w:r>
      <w:r>
        <w:rPr>
          <w:rFonts w:ascii="Arial" w:cs="Arial" w:eastAsia="Arial" w:hAnsi="Arial"/>
          <w:sz w:val="18"/>
          <w:szCs w:val="18"/>
          <w:color w:val="auto"/>
        </w:rPr>
        <w:t>. The Stockholder agrees it shall not request that the Company register the transfer (book entry or otherwise) of any of the Stockholder Shares if such transfer is not permitted by this Support Agreement.</w:t>
      </w:r>
    </w:p>
    <w:p>
      <w:pPr>
        <w:spacing w:after="0" w:line="116" w:lineRule="exact"/>
        <w:rPr>
          <w:rFonts w:ascii="Arial" w:cs="Arial" w:eastAsia="Arial" w:hAnsi="Arial"/>
          <w:sz w:val="18"/>
          <w:szCs w:val="18"/>
          <w:color w:val="auto"/>
        </w:rPr>
      </w:pPr>
    </w:p>
    <w:p>
      <w:pPr>
        <w:ind w:left="1320" w:right="459" w:hanging="434"/>
        <w:spacing w:after="0" w:line="273" w:lineRule="auto"/>
        <w:tabs>
          <w:tab w:leader="none" w:pos="1293" w:val="left"/>
        </w:tabs>
        <w:numPr>
          <w:ilvl w:val="0"/>
          <w:numId w:val="432"/>
        </w:numPr>
        <w:rPr>
          <w:rFonts w:ascii="Arial" w:cs="Arial" w:eastAsia="Arial" w:hAnsi="Arial"/>
          <w:sz w:val="17"/>
          <w:szCs w:val="17"/>
          <w:color w:val="auto"/>
        </w:rPr>
      </w:pPr>
      <w:r>
        <w:rPr>
          <w:rFonts w:ascii="Arial" w:cs="Arial" w:eastAsia="Arial" w:hAnsi="Arial"/>
          <w:sz w:val="17"/>
          <w:szCs w:val="17"/>
          <w:u w:val="single" w:color="auto"/>
          <w:color w:val="auto"/>
        </w:rPr>
        <w:t>Damages; Remedies</w:t>
      </w:r>
      <w:r>
        <w:rPr>
          <w:rFonts w:ascii="Arial" w:cs="Arial" w:eastAsia="Arial" w:hAnsi="Arial"/>
          <w:sz w:val="17"/>
          <w:szCs w:val="17"/>
          <w:color w:val="auto"/>
        </w:rPr>
        <w:t>. The Stockholder hereby agrees and acknowledges that (i) Parent and Company shall each would be irreparably injured in the event of a breach by the Stockholder of its obligations under this Support Agreement, (ii) monetary damages would not be an adequate remedy for such breach, and (iii) the non-breaching party shall be entitled to injunctive relief, in addition to any other remedy that such party may have in law or in equity, in the event of such breach or threatened breach, without the need to post a bond or other collateral security.</w:t>
      </w:r>
    </w:p>
    <w:p>
      <w:pPr>
        <w:spacing w:after="0" w:line="110" w:lineRule="exact"/>
        <w:rPr>
          <w:rFonts w:ascii="Arial" w:cs="Arial" w:eastAsia="Arial" w:hAnsi="Arial"/>
          <w:sz w:val="17"/>
          <w:szCs w:val="17"/>
          <w:color w:val="auto"/>
        </w:rPr>
      </w:pPr>
    </w:p>
    <w:p>
      <w:pPr>
        <w:ind w:left="1320" w:right="559" w:hanging="434"/>
        <w:spacing w:after="0" w:line="272" w:lineRule="auto"/>
        <w:tabs>
          <w:tab w:leader="none" w:pos="1293" w:val="left"/>
        </w:tabs>
        <w:numPr>
          <w:ilvl w:val="0"/>
          <w:numId w:val="432"/>
        </w:numPr>
        <w:rPr>
          <w:rFonts w:ascii="Arial" w:cs="Arial" w:eastAsia="Arial" w:hAnsi="Arial"/>
          <w:sz w:val="17"/>
          <w:szCs w:val="17"/>
          <w:color w:val="auto"/>
        </w:rPr>
      </w:pPr>
      <w:r>
        <w:rPr>
          <w:rFonts w:ascii="Arial" w:cs="Arial" w:eastAsia="Arial" w:hAnsi="Arial"/>
          <w:sz w:val="17"/>
          <w:szCs w:val="17"/>
          <w:u w:val="single" w:color="auto"/>
          <w:color w:val="auto"/>
        </w:rPr>
        <w:t>Transfer Restrictions</w:t>
      </w:r>
      <w:r>
        <w:rPr>
          <w:rFonts w:ascii="Arial" w:cs="Arial" w:eastAsia="Arial" w:hAnsi="Arial"/>
          <w:sz w:val="17"/>
          <w:szCs w:val="17"/>
          <w:color w:val="auto"/>
        </w:rPr>
        <w:t>. Hereafter unto the earlier to occur of (i) the Effective Time, and (ii) such date and time as the Merger Agreement shall be terminated in accordance with Section 9.1 thereof, the Stockholder agrees that it shall not sell, assign or otherwise transfer any of the Stockholder Shares except in accordance with the Merger Agreement; provided, however, that nothing herein shall prohibit a transfer to an Affiliate of the Stockholder or direct or indirect transfers of equity or other interests in the Stockholder if such Affiliate executed a joinder to this Support Agreement in connection with such transfer.</w:t>
      </w:r>
    </w:p>
    <w:p>
      <w:pPr>
        <w:spacing w:after="0" w:line="96" w:lineRule="exact"/>
        <w:rPr>
          <w:rFonts w:ascii="Arial" w:cs="Arial" w:eastAsia="Arial" w:hAnsi="Arial"/>
          <w:sz w:val="17"/>
          <w:szCs w:val="17"/>
          <w:color w:val="auto"/>
        </w:rPr>
      </w:pPr>
    </w:p>
    <w:p>
      <w:pPr>
        <w:ind w:left="1320" w:right="519" w:hanging="434"/>
        <w:spacing w:after="0" w:line="286" w:lineRule="auto"/>
        <w:tabs>
          <w:tab w:leader="none" w:pos="1293" w:val="left"/>
        </w:tabs>
        <w:numPr>
          <w:ilvl w:val="0"/>
          <w:numId w:val="432"/>
        </w:numPr>
        <w:rPr>
          <w:rFonts w:ascii="Arial" w:cs="Arial" w:eastAsia="Arial" w:hAnsi="Arial"/>
          <w:sz w:val="16"/>
          <w:szCs w:val="16"/>
          <w:color w:val="auto"/>
        </w:rPr>
      </w:pPr>
      <w:r>
        <w:rPr>
          <w:rFonts w:ascii="Arial" w:cs="Arial" w:eastAsia="Arial" w:hAnsi="Arial"/>
          <w:sz w:val="16"/>
          <w:szCs w:val="16"/>
          <w:color w:val="auto"/>
        </w:rPr>
        <w:t>During the period commencing on the date hereof and ending on the earlier to occur of (i) the Effective Time, and (ii) such date and time as the Merger Agreement shall be terminated in accordance with Section 9.1 thereof, in the event that, (a) any shares of Company Capital Stock or other equity securities of Company are issued to the Stockholder after the date of this Support Agreement pursuant to any stock dividend, stock split, recapitalization, reclassification, combination or exchange of Company securities owned by the Stockholder, (b) the Stockholder purchases or otherwise acquires beneficial ownership of any shares of Company Capital Stock or other equity securities of Company after the date of this Support Agreement, or (c) the Stockholder acquires the right to vote or share in the voting of any Company Capital Stock or other equity securities of Company after the date of this Support Agreement (such Company Capital Stock or other equity securities of Parent, collectively the “</w:t>
      </w:r>
      <w:r>
        <w:rPr>
          <w:rFonts w:ascii="Arial" w:cs="Arial" w:eastAsia="Arial" w:hAnsi="Arial"/>
          <w:sz w:val="16"/>
          <w:szCs w:val="16"/>
          <w:u w:val="single" w:color="auto"/>
          <w:color w:val="auto"/>
        </w:rPr>
        <w:t>New Securities</w:t>
      </w:r>
      <w:r>
        <w:rPr>
          <w:rFonts w:ascii="Arial" w:cs="Arial" w:eastAsia="Arial" w:hAnsi="Arial"/>
          <w:sz w:val="16"/>
          <w:szCs w:val="16"/>
          <w:color w:val="auto"/>
        </w:rPr>
        <w:t>”), then such New Securities acquired or purchased by the Stockholder shall be subject to the terms of this Support Agreement to the same extent as if they constituted the Stockholder Shares as of the date hereof.</w:t>
      </w:r>
    </w:p>
    <w:p>
      <w:pPr>
        <w:spacing w:after="0" w:line="106" w:lineRule="exact"/>
        <w:rPr>
          <w:rFonts w:ascii="Arial" w:cs="Arial" w:eastAsia="Arial" w:hAnsi="Arial"/>
          <w:sz w:val="16"/>
          <w:szCs w:val="16"/>
          <w:color w:val="auto"/>
        </w:rPr>
      </w:pPr>
    </w:p>
    <w:p>
      <w:pPr>
        <w:ind w:left="1320" w:right="499" w:hanging="434"/>
        <w:spacing w:after="0" w:line="288" w:lineRule="auto"/>
        <w:tabs>
          <w:tab w:leader="none" w:pos="1293" w:val="left"/>
        </w:tabs>
        <w:numPr>
          <w:ilvl w:val="0"/>
          <w:numId w:val="432"/>
        </w:numPr>
        <w:rPr>
          <w:rFonts w:ascii="Arial" w:cs="Arial" w:eastAsia="Arial" w:hAnsi="Arial"/>
          <w:sz w:val="16"/>
          <w:szCs w:val="16"/>
          <w:color w:val="auto"/>
        </w:rPr>
      </w:pPr>
      <w:r>
        <w:rPr>
          <w:rFonts w:ascii="Arial" w:cs="Arial" w:eastAsia="Arial" w:hAnsi="Arial"/>
          <w:sz w:val="16"/>
          <w:szCs w:val="16"/>
          <w:u w:val="single" w:color="auto"/>
          <w:color w:val="auto"/>
        </w:rPr>
        <w:t>Consent to Disclosure</w:t>
      </w:r>
      <w:r>
        <w:rPr>
          <w:rFonts w:ascii="Arial" w:cs="Arial" w:eastAsia="Arial" w:hAnsi="Arial"/>
          <w:sz w:val="16"/>
          <w:szCs w:val="16"/>
          <w:color w:val="auto"/>
        </w:rPr>
        <w:t>. Each Stockholder hereby consents to the publication and disclosure in the Form S-4 and the Proxy Statement (and, as and to the extent otherwise required by applicable securities Laws or the SEC or any other securities authorities, any other documents or communications provided by the Parent or the Company to any Governmental Authority or to securityholders of the Parent) of such Stockholder’s identity and beneficial ownership of Stockholder Shares and the nature of such Stockholder’s commitments, arrangements and understandings under and relating to this Agreement and, if deemed appropriate by the Parent or the Company, a copy of this Agreement. Each Stockholder will promptly provide any information reasonably requested by the Parent or the Company for any regulatory application or filing made or approval sought in connection with the Transactions (including filings with the SEC).</w:t>
      </w:r>
    </w:p>
    <w:p>
      <w:pPr>
        <w:spacing w:after="0" w:line="100" w:lineRule="exact"/>
        <w:rPr>
          <w:rFonts w:ascii="Arial" w:cs="Arial" w:eastAsia="Arial" w:hAnsi="Arial"/>
          <w:sz w:val="16"/>
          <w:szCs w:val="16"/>
          <w:color w:val="auto"/>
        </w:rPr>
      </w:pPr>
    </w:p>
    <w:p>
      <w:pPr>
        <w:ind w:left="1320" w:right="679" w:hanging="434"/>
        <w:spacing w:after="0" w:line="291" w:lineRule="auto"/>
        <w:tabs>
          <w:tab w:leader="none" w:pos="1286" w:val="left"/>
        </w:tabs>
        <w:numPr>
          <w:ilvl w:val="0"/>
          <w:numId w:val="432"/>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w:t>
      </w:r>
      <w:r>
        <w:rPr>
          <w:rFonts w:ascii="Arial" w:cs="Arial" w:eastAsia="Arial" w:hAnsi="Arial"/>
          <w:sz w:val="16"/>
          <w:szCs w:val="16"/>
          <w:color w:val="auto"/>
        </w:rPr>
        <w:t>. This Support Agreement and the other agreements referenced herein constitute the entire agreement and understanding of the parties hereto in respect of the subject matter hereof and supersede all prior understandings, agreements or representations by or among the parties hereto, written or oral, to the extent they relate in any way to the subject matter hereof or the transactions contemplated hereby. This Support Agreement may not be changed, amended, modified or waived (other than to correct a typographical error) as to any particular provision, except by a written instrument executed by all parties hereto.</w:t>
      </w:r>
    </w:p>
    <w:p>
      <w:pPr>
        <w:spacing w:after="0" w:line="85" w:lineRule="exact"/>
        <w:rPr>
          <w:rFonts w:ascii="Arial" w:cs="Arial" w:eastAsia="Arial" w:hAnsi="Arial"/>
          <w:sz w:val="16"/>
          <w:szCs w:val="16"/>
          <w:color w:val="auto"/>
        </w:rPr>
      </w:pPr>
    </w:p>
    <w:p>
      <w:pPr>
        <w:ind w:left="1320" w:right="559" w:hanging="434"/>
        <w:spacing w:after="0" w:line="255" w:lineRule="auto"/>
        <w:tabs>
          <w:tab w:leader="none" w:pos="1293" w:val="left"/>
        </w:tabs>
        <w:numPr>
          <w:ilvl w:val="0"/>
          <w:numId w:val="432"/>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No party hereto may, except as set forth herein, assign either this Support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Support Agreement shall be binding on the Stockholder and its successors, heirs, personal representatives and assigns and permitted transferees.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3" w:name="page414"/>
    <w:bookmarkEnd w:id="41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799" w:hanging="434"/>
        <w:spacing w:after="0" w:line="311" w:lineRule="auto"/>
        <w:tabs>
          <w:tab w:leader="none" w:pos="1293" w:val="left"/>
        </w:tabs>
        <w:numPr>
          <w:ilvl w:val="0"/>
          <w:numId w:val="433"/>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Support Agreement may be executed in any number of original, electronic or facsimile counterparts and each of such counterparts shall for all purposes be deemed to be an original, and all such counterparts shall together constitute but one and the same instrument.</w:t>
      </w:r>
    </w:p>
    <w:p>
      <w:pPr>
        <w:spacing w:after="0" w:line="81" w:lineRule="exact"/>
        <w:rPr>
          <w:rFonts w:ascii="Arial" w:cs="Arial" w:eastAsia="Arial" w:hAnsi="Arial"/>
          <w:sz w:val="16"/>
          <w:szCs w:val="16"/>
          <w:color w:val="auto"/>
        </w:rPr>
      </w:pPr>
    </w:p>
    <w:p>
      <w:pPr>
        <w:ind w:left="1320" w:right="519" w:hanging="434"/>
        <w:spacing w:after="0" w:line="273" w:lineRule="auto"/>
        <w:tabs>
          <w:tab w:leader="none" w:pos="1293" w:val="left"/>
        </w:tabs>
        <w:numPr>
          <w:ilvl w:val="0"/>
          <w:numId w:val="43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This Support Agreement shall be deemed severable, and the invalidity or unenforceability of any term or provision hereof shall not affect the validity or enforceability of this Support Agreement or of any other term or provision hereof. Furthermore, in lieu of any such invalid or unenforceable term or provision, the parties hereto intend that there shall be added as a part of this Support Agreement a provision as similar in terms to such invalid or unenforceable provision as may be possible and be valid and enforceable.</w:t>
      </w:r>
    </w:p>
    <w:p>
      <w:pPr>
        <w:spacing w:after="0" w:line="110" w:lineRule="exact"/>
        <w:rPr>
          <w:rFonts w:ascii="Arial" w:cs="Arial" w:eastAsia="Arial" w:hAnsi="Arial"/>
          <w:sz w:val="17"/>
          <w:szCs w:val="17"/>
          <w:color w:val="auto"/>
        </w:rPr>
      </w:pPr>
    </w:p>
    <w:p>
      <w:pPr>
        <w:ind w:left="1320" w:right="459" w:hanging="434"/>
        <w:spacing w:after="0" w:line="284" w:lineRule="auto"/>
        <w:tabs>
          <w:tab w:leader="none" w:pos="1293" w:val="left"/>
        </w:tabs>
        <w:numPr>
          <w:ilvl w:val="0"/>
          <w:numId w:val="433"/>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 Waiver</w:t>
      </w:r>
      <w:r>
        <w:rPr>
          <w:rFonts w:ascii="Arial" w:cs="Arial" w:eastAsia="Arial" w:hAnsi="Arial"/>
          <w:sz w:val="16"/>
          <w:szCs w:val="16"/>
          <w:color w:val="auto"/>
        </w:rPr>
        <w:t>. This Support Agreement, and all claims or causes of action based upon, arising out of, or related to this Support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Any Proceeding based upon, arising out of or related to this Support Agreement or the transactions contemplated hereby shall be brought in the federal or state courts located in of the State of Delaware in the Court of Chancery of the State of Delaware, or (and only if) such court finds it lacks subject matter jurisdiction, the Superior Court of the State of Delaware (Complex Commercial Division), and each of the parties irrevocably submits to the exclusive jurisdiction of each such court in any such Proceeding, waives any objection it may now or hereafter have to personal jurisdiction, venue or to convenience of forum, agrees that all claims in respect of the Proceeding shall be heard and determined only in any such court, and agrees not to bring any Proceeding arising out of or relating to this Support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Proceeding brought pursuant to this Section 15. The prevailing party in any such Proceeding (as determined by a court of competent jurisdiction) shall be entitled to be reimbursed by the non-prevailing party for its reasonable and documented out-of-pocket expenses, including reasonable attorneys’ fees, incurred with respect to such Proceeding. EACH OF THE PARTIES HERETO HEREBY IRREVOCABLY WAIVES ANY AND ALL RIGHT TO TRIAL BY JURY IN ANY PROCEEDING BASED UPON, ARISING OUT OF OR RELATED TO THIS SUPPORT AGREEMENT OR THE TRANSACTIONS CONTEMPLATED HEREBY.</w:t>
      </w:r>
    </w:p>
    <w:p>
      <w:pPr>
        <w:spacing w:after="0" w:line="311" w:lineRule="exact"/>
        <w:rPr>
          <w:rFonts w:ascii="Arial" w:cs="Arial" w:eastAsia="Arial" w:hAnsi="Arial"/>
          <w:sz w:val="16"/>
          <w:szCs w:val="16"/>
          <w:color w:val="auto"/>
        </w:rPr>
      </w:pPr>
    </w:p>
    <w:p>
      <w:pPr>
        <w:ind w:left="1320" w:right="519" w:hanging="434"/>
        <w:spacing w:after="0" w:line="275" w:lineRule="auto"/>
        <w:tabs>
          <w:tab w:leader="none" w:pos="1293" w:val="left"/>
        </w:tabs>
        <w:numPr>
          <w:ilvl w:val="0"/>
          <w:numId w:val="433"/>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Any notice, consent or request to be given in connection with any of the terms or provisions of this Support Agreement shall be in writing and shall be sent or given in accordance with the terms of Section 10.9 of the Merger Agreement to the applicable party, with respect to the Parent, at the address set forth in Section 11.6 of the Merger Agreement, and, with respect to Stockholder, at the address set forth on Stockholder’s signature page.</w:t>
      </w:r>
    </w:p>
    <w:p>
      <w:pPr>
        <w:spacing w:after="0" w:line="108" w:lineRule="exact"/>
        <w:rPr>
          <w:rFonts w:ascii="Arial" w:cs="Arial" w:eastAsia="Arial" w:hAnsi="Arial"/>
          <w:sz w:val="17"/>
          <w:szCs w:val="17"/>
          <w:color w:val="auto"/>
        </w:rPr>
      </w:pPr>
    </w:p>
    <w:p>
      <w:pPr>
        <w:ind w:left="1320" w:right="479" w:hanging="434"/>
        <w:spacing w:after="0" w:line="254" w:lineRule="auto"/>
        <w:tabs>
          <w:tab w:leader="none" w:pos="1293" w:val="left"/>
        </w:tabs>
        <w:numPr>
          <w:ilvl w:val="0"/>
          <w:numId w:val="43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Support Agreement and the obligations of each Stockholder under this Agreement shall automatically terminate upon the earliest of: (i) the Effective Time; (ii) the termination of the Merger Agreement in accordance with Section 9.1 thereof; and (iii) the mutual agreement of the Company and each Stockholder. Upon termination or expiration of this Agreement, no party shall have any further obligations or liabilities under this Agreement; provided, however, such termination or expiration shall not relieve any party from liability for any willful breach of this Agreement occurring prior to its termination.</w:t>
      </w:r>
    </w:p>
    <w:p>
      <w:pPr>
        <w:spacing w:after="0" w:line="127" w:lineRule="exact"/>
        <w:rPr>
          <w:rFonts w:ascii="Arial" w:cs="Arial" w:eastAsia="Arial" w:hAnsi="Arial"/>
          <w:sz w:val="18"/>
          <w:szCs w:val="18"/>
          <w:color w:val="auto"/>
        </w:rPr>
      </w:pPr>
    </w:p>
    <w:p>
      <w:pPr>
        <w:ind w:left="1320" w:right="479" w:hanging="434"/>
        <w:spacing w:after="0" w:line="277" w:lineRule="auto"/>
        <w:tabs>
          <w:tab w:leader="none" w:pos="1293" w:val="left"/>
        </w:tabs>
        <w:numPr>
          <w:ilvl w:val="0"/>
          <w:numId w:val="433"/>
        </w:numPr>
        <w:rPr>
          <w:rFonts w:ascii="Arial" w:cs="Arial" w:eastAsia="Arial" w:hAnsi="Arial"/>
          <w:sz w:val="18"/>
          <w:szCs w:val="18"/>
          <w:color w:val="auto"/>
        </w:rPr>
      </w:pPr>
      <w:r>
        <w:rPr>
          <w:rFonts w:ascii="Arial" w:cs="Arial" w:eastAsia="Arial" w:hAnsi="Arial"/>
          <w:sz w:val="18"/>
          <w:szCs w:val="18"/>
          <w:u w:val="single" w:color="auto"/>
          <w:color w:val="auto"/>
        </w:rPr>
        <w:t>Stockholder Representations</w:t>
      </w:r>
      <w:r>
        <w:rPr>
          <w:rFonts w:ascii="Arial" w:cs="Arial" w:eastAsia="Arial" w:hAnsi="Arial"/>
          <w:sz w:val="18"/>
          <w:szCs w:val="18"/>
          <w:color w:val="auto"/>
        </w:rPr>
        <w:t>: The Stockholder represents and warrants to Parent and Company, as of the date hereof and as of the Closing Date, that:</w:t>
      </w:r>
    </w:p>
    <w:p>
      <w:pPr>
        <w:spacing w:after="0" w:line="89" w:lineRule="exact"/>
        <w:rPr>
          <w:rFonts w:ascii="Arial" w:cs="Arial" w:eastAsia="Arial" w:hAnsi="Arial"/>
          <w:sz w:val="18"/>
          <w:szCs w:val="18"/>
          <w:color w:val="auto"/>
        </w:rPr>
      </w:pPr>
    </w:p>
    <w:p>
      <w:pPr>
        <w:ind w:left="1760" w:right="739" w:hanging="442"/>
        <w:spacing w:after="0" w:line="263" w:lineRule="auto"/>
        <w:tabs>
          <w:tab w:leader="none" w:pos="1723" w:val="left"/>
        </w:tabs>
        <w:numPr>
          <w:ilvl w:val="1"/>
          <w:numId w:val="433"/>
        </w:numPr>
        <w:rPr>
          <w:rFonts w:ascii="Arial" w:cs="Arial" w:eastAsia="Arial" w:hAnsi="Arial"/>
          <w:sz w:val="18"/>
          <w:szCs w:val="18"/>
          <w:color w:val="auto"/>
        </w:rPr>
      </w:pPr>
      <w:r>
        <w:rPr>
          <w:rFonts w:ascii="Arial" w:cs="Arial" w:eastAsia="Arial" w:hAnsi="Arial"/>
          <w:sz w:val="18"/>
          <w:szCs w:val="18"/>
          <w:color w:val="auto"/>
        </w:rPr>
        <w:t>it has never been suspended or expelled from membership in any securities or commodities exchange or association or had a securities or commodities license or registration denied, suspended or revoked;</w:t>
      </w:r>
    </w:p>
    <w:p>
      <w:pPr>
        <w:spacing w:after="0" w:line="116" w:lineRule="exact"/>
        <w:rPr>
          <w:rFonts w:ascii="Arial" w:cs="Arial" w:eastAsia="Arial" w:hAnsi="Arial"/>
          <w:sz w:val="18"/>
          <w:szCs w:val="18"/>
          <w:color w:val="auto"/>
        </w:rPr>
      </w:pPr>
    </w:p>
    <w:p>
      <w:pPr>
        <w:ind w:left="1760" w:right="639" w:hanging="442"/>
        <w:spacing w:after="0" w:line="263" w:lineRule="auto"/>
        <w:tabs>
          <w:tab w:leader="none" w:pos="1733" w:val="left"/>
        </w:tabs>
        <w:numPr>
          <w:ilvl w:val="1"/>
          <w:numId w:val="433"/>
        </w:numPr>
        <w:rPr>
          <w:rFonts w:ascii="Arial" w:cs="Arial" w:eastAsia="Arial" w:hAnsi="Arial"/>
          <w:sz w:val="18"/>
          <w:szCs w:val="18"/>
          <w:color w:val="auto"/>
        </w:rPr>
      </w:pPr>
      <w:r>
        <w:rPr>
          <w:rFonts w:ascii="Arial" w:cs="Arial" w:eastAsia="Arial" w:hAnsi="Arial"/>
          <w:sz w:val="18"/>
          <w:szCs w:val="18"/>
          <w:color w:val="auto"/>
        </w:rPr>
        <w:t>it has full right and power, without violating any agreement to which it is bound (including, without limitation, any non-competition or non-solicitation agreement with any employer or former employer), to enter into this Support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4" w:name="page415"/>
    <w:bookmarkEnd w:id="41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760" w:right="499"/>
        <w:spacing w:after="0" w:line="275" w:lineRule="auto"/>
        <w:rPr>
          <w:sz w:val="20"/>
          <w:szCs w:val="20"/>
          <w:color w:val="auto"/>
        </w:rPr>
      </w:pPr>
      <w:r>
        <w:rPr>
          <w:rFonts w:ascii="Arial" w:cs="Arial" w:eastAsia="Arial" w:hAnsi="Arial"/>
          <w:sz w:val="17"/>
          <w:szCs w:val="17"/>
          <w:color w:val="auto"/>
        </w:rPr>
        <w:t>c. it is duly organized, validly existing and in good standing under the Laws of the jurisdiction in which it is organized, and the execution, delivery and performance of this Support Agreement and the consummation of the transactions contemplated hereby are within the Stockholder’s limited liability company powers and have been duly authorized by all necessary limited liability company actions on the part of the Stockholder;</w:t>
      </w:r>
    </w:p>
    <w:p>
      <w:pPr>
        <w:spacing w:after="0" w:line="108" w:lineRule="exact"/>
        <w:rPr>
          <w:sz w:val="20"/>
          <w:szCs w:val="20"/>
          <w:color w:val="auto"/>
        </w:rPr>
      </w:pPr>
    </w:p>
    <w:p>
      <w:pPr>
        <w:ind w:left="1760" w:right="559" w:hanging="442"/>
        <w:spacing w:after="0" w:line="254" w:lineRule="auto"/>
        <w:tabs>
          <w:tab w:leader="none" w:pos="1733"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this Support Agreement has been duly executed and delivered by the Stockholder and, assuming due authorization, execution and delivery by the other parties to this Support Agreement, this Support Agreement constitutes a legally valid and binding obligation of the Stockholder, enforceable against the Stockholder in accordance with the terms hereof (except as enforceability may be limited by bankruptcy Laws, other similar Laws affecting creditors’ rights and general principles of equity affecting the availability of specific performance and other equitable remedies);</w:t>
      </w:r>
    </w:p>
    <w:p>
      <w:pPr>
        <w:spacing w:after="0" w:line="127" w:lineRule="exact"/>
        <w:rPr>
          <w:rFonts w:ascii="Arial" w:cs="Arial" w:eastAsia="Arial" w:hAnsi="Arial"/>
          <w:sz w:val="18"/>
          <w:szCs w:val="18"/>
          <w:color w:val="auto"/>
        </w:rPr>
      </w:pPr>
    </w:p>
    <w:p>
      <w:pPr>
        <w:ind w:left="1760" w:right="479" w:hanging="442"/>
        <w:spacing w:after="0" w:line="272" w:lineRule="auto"/>
        <w:tabs>
          <w:tab w:leader="none" w:pos="1723" w:val="left"/>
        </w:tabs>
        <w:numPr>
          <w:ilvl w:val="1"/>
          <w:numId w:val="434"/>
        </w:numPr>
        <w:rPr>
          <w:rFonts w:ascii="Arial" w:cs="Arial" w:eastAsia="Arial" w:hAnsi="Arial"/>
          <w:sz w:val="17"/>
          <w:szCs w:val="17"/>
          <w:color w:val="auto"/>
        </w:rPr>
      </w:pPr>
      <w:r>
        <w:rPr>
          <w:rFonts w:ascii="Arial" w:cs="Arial" w:eastAsia="Arial" w:hAnsi="Arial"/>
          <w:sz w:val="17"/>
          <w:szCs w:val="17"/>
          <w:color w:val="auto"/>
        </w:rPr>
        <w:t>the execution and delivery of this Support Agreement by the Stockholder does not, and the performance by the Stockholder of its obligations hereunder will not, (i) conflict with or result in a violation of the organizational documents of the Stockholder, or (ii) require any consent or approval from any third party that has not been given or other action that has not been taken by any third party, in each case, to the extent such consent, approval or other action would prevent, enjoin or materially delay the performance by the Stockholder of its obligations under this Support Agreement;</w:t>
      </w:r>
    </w:p>
    <w:p>
      <w:pPr>
        <w:spacing w:after="0" w:line="96" w:lineRule="exact"/>
        <w:rPr>
          <w:rFonts w:ascii="Arial" w:cs="Arial" w:eastAsia="Arial" w:hAnsi="Arial"/>
          <w:sz w:val="17"/>
          <w:szCs w:val="17"/>
          <w:color w:val="auto"/>
        </w:rPr>
      </w:pPr>
    </w:p>
    <w:p>
      <w:pPr>
        <w:ind w:left="1760" w:right="579" w:hanging="442"/>
        <w:spacing w:after="0" w:line="275" w:lineRule="auto"/>
        <w:tabs>
          <w:tab w:leader="none" w:pos="1748" w:val="left"/>
        </w:tabs>
        <w:numPr>
          <w:ilvl w:val="1"/>
          <w:numId w:val="434"/>
        </w:numPr>
        <w:rPr>
          <w:rFonts w:ascii="Arial" w:cs="Arial" w:eastAsia="Arial" w:hAnsi="Arial"/>
          <w:sz w:val="17"/>
          <w:szCs w:val="17"/>
          <w:color w:val="auto"/>
        </w:rPr>
      </w:pPr>
      <w:r>
        <w:rPr>
          <w:rFonts w:ascii="Arial" w:cs="Arial" w:eastAsia="Arial" w:hAnsi="Arial"/>
          <w:sz w:val="17"/>
          <w:szCs w:val="17"/>
          <w:color w:val="auto"/>
        </w:rPr>
        <w:t>there are no Proceedings pending against the Stockholder or, to the knowledge of the Stockholder, threatened against the Stockholder, before (or, in the case of threatened Proceedings, that would be before) any arbitrator or any Governmental Authority, which in any manner challenges or seeks to prevent, enjoin or materially delay the performance by the Stockholder of its obligations under this Support Agreement;</w:t>
      </w:r>
    </w:p>
    <w:p>
      <w:pPr>
        <w:spacing w:after="0" w:line="108" w:lineRule="exact"/>
        <w:rPr>
          <w:rFonts w:ascii="Arial" w:cs="Arial" w:eastAsia="Arial" w:hAnsi="Arial"/>
          <w:sz w:val="17"/>
          <w:szCs w:val="17"/>
          <w:color w:val="auto"/>
        </w:rPr>
      </w:pPr>
    </w:p>
    <w:p>
      <w:pPr>
        <w:jc w:val="both"/>
        <w:ind w:left="1760" w:right="939" w:hanging="442"/>
        <w:spacing w:after="0" w:line="263" w:lineRule="auto"/>
        <w:tabs>
          <w:tab w:leader="none" w:pos="1733"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the Stockholder has had the opportunity to read the Merger Agreement and this Support Agreement and has had the opportunity to consult with tax and legal advisors of its own choosing;</w:t>
      </w:r>
    </w:p>
    <w:p>
      <w:pPr>
        <w:spacing w:after="0" w:line="116" w:lineRule="exact"/>
        <w:rPr>
          <w:rFonts w:ascii="Arial" w:cs="Arial" w:eastAsia="Arial" w:hAnsi="Arial"/>
          <w:sz w:val="18"/>
          <w:szCs w:val="18"/>
          <w:color w:val="auto"/>
        </w:rPr>
      </w:pPr>
    </w:p>
    <w:p>
      <w:pPr>
        <w:ind w:left="1760" w:right="1019" w:hanging="442"/>
        <w:spacing w:after="0" w:line="308" w:lineRule="auto"/>
        <w:tabs>
          <w:tab w:leader="none" w:pos="1733" w:val="left"/>
        </w:tabs>
        <w:numPr>
          <w:ilvl w:val="1"/>
          <w:numId w:val="434"/>
        </w:numPr>
        <w:rPr>
          <w:rFonts w:ascii="Arial" w:cs="Arial" w:eastAsia="Arial" w:hAnsi="Arial"/>
          <w:sz w:val="17"/>
          <w:szCs w:val="17"/>
          <w:color w:val="auto"/>
        </w:rPr>
      </w:pPr>
      <w:r>
        <w:rPr>
          <w:rFonts w:ascii="Arial" w:cs="Arial" w:eastAsia="Arial" w:hAnsi="Arial"/>
          <w:sz w:val="17"/>
          <w:szCs w:val="17"/>
          <w:color w:val="auto"/>
        </w:rPr>
        <w:t>the Stockholder has not entered into, and shall not enter into, any agreement that would prevent the Stockholder from performing any of its obligations hereunder;</w:t>
      </w:r>
    </w:p>
    <w:p>
      <w:pPr>
        <w:spacing w:after="0" w:line="65" w:lineRule="exact"/>
        <w:rPr>
          <w:rFonts w:ascii="Arial" w:cs="Arial" w:eastAsia="Arial" w:hAnsi="Arial"/>
          <w:sz w:val="17"/>
          <w:szCs w:val="17"/>
          <w:color w:val="auto"/>
        </w:rPr>
      </w:pPr>
    </w:p>
    <w:p>
      <w:pPr>
        <w:ind w:left="1760" w:right="619" w:hanging="442"/>
        <w:spacing w:after="0" w:line="342" w:lineRule="auto"/>
        <w:tabs>
          <w:tab w:leader="none" w:pos="1738" w:val="left"/>
        </w:tabs>
        <w:numPr>
          <w:ilvl w:val="1"/>
          <w:numId w:val="434"/>
        </w:numPr>
        <w:rPr>
          <w:rFonts w:ascii="Arial" w:cs="Arial" w:eastAsia="Arial" w:hAnsi="Arial"/>
          <w:sz w:val="16"/>
          <w:szCs w:val="16"/>
          <w:color w:val="auto"/>
        </w:rPr>
      </w:pPr>
      <w:r>
        <w:rPr>
          <w:rFonts w:ascii="Arial" w:cs="Arial" w:eastAsia="Arial" w:hAnsi="Arial"/>
          <w:sz w:val="16"/>
          <w:szCs w:val="16"/>
          <w:color w:val="auto"/>
        </w:rPr>
        <w:t>the Stockholder has good title to the Stockholder Shares, free and clear of any Liens, and the Stockholder has the sole power to vote or cause to be voted such Stockholder Shares; and</w:t>
      </w:r>
    </w:p>
    <w:p>
      <w:pPr>
        <w:spacing w:after="0" w:line="56" w:lineRule="exact"/>
        <w:rPr>
          <w:rFonts w:ascii="Arial" w:cs="Arial" w:eastAsia="Arial" w:hAnsi="Arial"/>
          <w:sz w:val="16"/>
          <w:szCs w:val="16"/>
          <w:color w:val="auto"/>
        </w:rPr>
      </w:pPr>
    </w:p>
    <w:p>
      <w:pPr>
        <w:ind w:left="1760" w:right="559" w:hanging="442"/>
        <w:spacing w:after="0" w:line="296" w:lineRule="auto"/>
        <w:tabs>
          <w:tab w:leader="none" w:pos="1738" w:val="left"/>
        </w:tabs>
        <w:numPr>
          <w:ilvl w:val="1"/>
          <w:numId w:val="434"/>
        </w:numPr>
        <w:rPr>
          <w:rFonts w:ascii="Arial" w:cs="Arial" w:eastAsia="Arial" w:hAnsi="Arial"/>
          <w:sz w:val="16"/>
          <w:szCs w:val="16"/>
          <w:color w:val="auto"/>
        </w:rPr>
      </w:pPr>
      <w:r>
        <w:rPr>
          <w:rFonts w:ascii="Arial" w:cs="Arial" w:eastAsia="Arial" w:hAnsi="Arial"/>
          <w:sz w:val="16"/>
          <w:szCs w:val="16"/>
          <w:color w:val="auto"/>
        </w:rPr>
        <w:t>the Stockholder Shares identified on Exhibit A of this Support Agreement are the only voting securities of the Parent owned of record or beneficially owned by the Stockholder as of the date hereof, and none of such Stockholder Shares are subject to any proxy, voting trust or other agreement or arrangement with respect to the voting of such Stockholder Shares that is inconsistent with the Stockholder’s obligations pursuant to this Support Agreement.</w:t>
      </w:r>
    </w:p>
    <w:p>
      <w:pPr>
        <w:spacing w:after="0" w:line="93" w:lineRule="exact"/>
        <w:rPr>
          <w:rFonts w:ascii="Arial" w:cs="Arial" w:eastAsia="Arial" w:hAnsi="Arial"/>
          <w:sz w:val="16"/>
          <w:szCs w:val="16"/>
          <w:color w:val="auto"/>
        </w:rPr>
      </w:pPr>
    </w:p>
    <w:p>
      <w:pPr>
        <w:ind w:left="1320" w:right="639" w:hanging="434"/>
        <w:spacing w:after="0" w:line="293" w:lineRule="auto"/>
        <w:tabs>
          <w:tab w:leader="none" w:pos="1293" w:val="left"/>
        </w:tabs>
        <w:numPr>
          <w:ilvl w:val="0"/>
          <w:numId w:val="435"/>
        </w:numPr>
        <w:rPr>
          <w:rFonts w:ascii="Arial" w:cs="Arial" w:eastAsia="Arial" w:hAnsi="Arial"/>
          <w:sz w:val="16"/>
          <w:szCs w:val="16"/>
          <w:color w:val="auto"/>
        </w:rPr>
      </w:pPr>
      <w:r>
        <w:rPr>
          <w:rFonts w:ascii="Arial" w:cs="Arial" w:eastAsia="Arial" w:hAnsi="Arial"/>
          <w:sz w:val="16"/>
          <w:szCs w:val="16"/>
          <w:u w:val="single" w:color="auto"/>
          <w:color w:val="auto"/>
        </w:rPr>
        <w:t>Adjustment for Stock Split</w:t>
      </w:r>
      <w:r>
        <w:rPr>
          <w:rFonts w:ascii="Arial" w:cs="Arial" w:eastAsia="Arial" w:hAnsi="Arial"/>
          <w:sz w:val="16"/>
          <w:szCs w:val="16"/>
          <w:color w:val="auto"/>
        </w:rPr>
        <w:t>. If, and as often as, there are any changes in the Company or the Stockholder Shares by way of stock split, stock dividend, combination or reclassification, or through merger, consolidation, reorganization, recapitalization or business combination, or by any other means, equitable adjustment shall be made to the provisions of this Support Agreement as may be required so that the rights, privileges, duties and obligations hereunder shall continue with respect to the Stockholder, the Company, and the Stockholder Shares as so changed.</w:t>
      </w:r>
    </w:p>
    <w:p>
      <w:pPr>
        <w:spacing w:after="0" w:line="83" w:lineRule="exact"/>
        <w:rPr>
          <w:rFonts w:ascii="Arial" w:cs="Arial" w:eastAsia="Arial" w:hAnsi="Arial"/>
          <w:sz w:val="16"/>
          <w:szCs w:val="16"/>
          <w:color w:val="auto"/>
        </w:rPr>
      </w:pPr>
    </w:p>
    <w:p>
      <w:pPr>
        <w:ind w:left="1320" w:right="479" w:hanging="434"/>
        <w:spacing w:after="0" w:line="259" w:lineRule="auto"/>
        <w:tabs>
          <w:tab w:leader="none" w:pos="1293" w:val="left"/>
        </w:tabs>
        <w:numPr>
          <w:ilvl w:val="0"/>
          <w:numId w:val="435"/>
        </w:numPr>
        <w:rPr>
          <w:rFonts w:ascii="Arial" w:cs="Arial" w:eastAsia="Arial" w:hAnsi="Arial"/>
          <w:sz w:val="18"/>
          <w:szCs w:val="18"/>
          <w:color w:val="auto"/>
        </w:rPr>
      </w:pPr>
      <w:r>
        <w:rPr>
          <w:rFonts w:ascii="Arial" w:cs="Arial" w:eastAsia="Arial" w:hAnsi="Arial"/>
          <w:sz w:val="18"/>
          <w:szCs w:val="18"/>
          <w:u w:val="single" w:color="auto"/>
          <w:color w:val="auto"/>
        </w:rPr>
        <w:t>Further Actions</w:t>
      </w:r>
      <w:r>
        <w:rPr>
          <w:rFonts w:ascii="Arial" w:cs="Arial" w:eastAsia="Arial" w:hAnsi="Arial"/>
          <w:sz w:val="18"/>
          <w:szCs w:val="18"/>
          <w:color w:val="auto"/>
        </w:rPr>
        <w:t>. Each of the parties hereto agrees to execute and deliver hereafter any further document, agreement or instrument of assignment, transfer or conveyance as may be necessary or desirable to effectuate the purposes hereof and as may be reasonably requested in writing by another party hereto.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5" w:name="page416"/>
    <w:bookmarkEnd w:id="41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839" w:firstLine="432"/>
        <w:spacing w:after="0" w:line="308" w:lineRule="auto"/>
        <w:rPr>
          <w:sz w:val="20"/>
          <w:szCs w:val="20"/>
          <w:color w:val="auto"/>
        </w:rPr>
      </w:pPr>
      <w:r>
        <w:rPr>
          <w:rFonts w:ascii="Arial" w:cs="Arial" w:eastAsia="Arial" w:hAnsi="Arial"/>
          <w:sz w:val="17"/>
          <w:szCs w:val="17"/>
          <w:color w:val="auto"/>
        </w:rPr>
        <w:t>If the above correctly reflects our understanding and agreement with respect to the foregoing matters, please so confirm by signing in the space below and returning this letter agreement to us.</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220345</wp:posOffset>
            </wp:positionV>
            <wp:extent cx="252031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48895</wp:posOffset>
            </wp:positionV>
            <wp:extent cx="193738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w:t>
      </w:r>
    </w:p>
    <w:p>
      <w:pPr>
        <w:spacing w:after="0" w:line="5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391795</wp:posOffset>
            </wp:positionV>
            <wp:extent cx="193738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937385"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211455</wp:posOffset>
            </wp:positionV>
            <wp:extent cx="193738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937385"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31750</wp:posOffset>
            </wp:positionV>
            <wp:extent cx="193738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Accepted and Agreed:</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TANGO THERAPEUTICS, INC.</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40640</wp:posOffset>
            </wp:positionV>
            <wp:extent cx="160274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5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Title:</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BCTG ACQUISITION CORP.</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40640</wp:posOffset>
            </wp:positionV>
            <wp:extent cx="160274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5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Company Support Agreement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6" w:name="page417"/>
    <w:bookmarkEnd w:id="41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[Omitted]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Annex 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22225</wp:posOffset>
            </wp:positionV>
            <wp:extent cx="514350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7" w:name="page418"/>
    <w:bookmarkEnd w:id="41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Financing Agreements</w:t>
      </w:r>
    </w:p>
    <w:p>
      <w:pPr>
        <w:spacing w:after="0" w:line="148" w:lineRule="exact"/>
        <w:rPr>
          <w:sz w:val="20"/>
          <w:szCs w:val="20"/>
          <w:color w:val="auto"/>
        </w:rPr>
      </w:pPr>
    </w:p>
    <w:p>
      <w:pPr>
        <w:ind w:left="1320" w:right="659" w:hanging="434"/>
        <w:spacing w:after="0" w:line="277" w:lineRule="auto"/>
        <w:tabs>
          <w:tab w:leader="none" w:pos="129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Second Amended and Restated Investors’ Rights Agreement, dated as of August 17, 2020, by and between the Company and the investors listed on Schedule A thereto.</w:t>
      </w:r>
    </w:p>
    <w:p>
      <w:pPr>
        <w:spacing w:after="0" w:line="102" w:lineRule="exact"/>
        <w:rPr>
          <w:rFonts w:ascii="Arial" w:cs="Arial" w:eastAsia="Arial" w:hAnsi="Arial"/>
          <w:sz w:val="18"/>
          <w:szCs w:val="18"/>
          <w:color w:val="auto"/>
        </w:rPr>
      </w:pPr>
    </w:p>
    <w:p>
      <w:pPr>
        <w:ind w:left="1320" w:right="499" w:hanging="434"/>
        <w:spacing w:after="0" w:line="342" w:lineRule="auto"/>
        <w:tabs>
          <w:tab w:leader="none" w:pos="129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The Second Amended and Restated Stockholders Agreement, dated as of August 17, 2020, by and between the Company and the individuals and entities listed on Schedule A and Schedule B thereto.</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8" w:name="page419"/>
    <w:bookmarkEnd w:id="41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Exhibit B</w:t>
      </w:r>
    </w:p>
    <w:p>
      <w:pPr>
        <w:spacing w:after="0" w:line="148"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[__], 2021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Tango Therapeutics,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 Binney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[___]</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Re: Support Agreement</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This letter (this “</w:t>
      </w:r>
      <w:r>
        <w:rPr>
          <w:rFonts w:ascii="Arial" w:cs="Arial" w:eastAsia="Arial" w:hAnsi="Arial"/>
          <w:sz w:val="18"/>
          <w:szCs w:val="18"/>
          <w:u w:val="single" w:color="auto"/>
          <w:color w:val="auto"/>
        </w:rPr>
        <w:t>Support Agreement</w:t>
      </w:r>
      <w:r>
        <w:rPr>
          <w:rFonts w:ascii="Arial" w:cs="Arial" w:eastAsia="Arial" w:hAnsi="Arial"/>
          <w:sz w:val="18"/>
          <w:szCs w:val="18"/>
          <w:color w:val="auto"/>
        </w:rPr>
        <w:t>”) is being delivered by BCTG Holdings, LLC, a Delaware limited liability company (the “</w:t>
      </w:r>
      <w:r>
        <w:rPr>
          <w:rFonts w:ascii="Arial" w:cs="Arial" w:eastAsia="Arial" w:hAnsi="Arial"/>
          <w:sz w:val="18"/>
          <w:szCs w:val="18"/>
          <w:u w:val="single" w:color="auto"/>
          <w:color w:val="auto"/>
        </w:rPr>
        <w:t>Stockholder</w:t>
      </w:r>
      <w:r>
        <w:rPr>
          <w:rFonts w:ascii="Arial" w:cs="Arial" w:eastAsia="Arial" w:hAnsi="Arial"/>
          <w:sz w:val="18"/>
          <w:szCs w:val="18"/>
          <w:color w:val="auto"/>
        </w:rPr>
        <w:t>”), to Tango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accordance with that Merger Agreement dated as of the date hereof, by and among the Company, BCTG Acquisition Corp., a Delaware corporation (the “</w:t>
      </w:r>
      <w:r>
        <w:rPr>
          <w:rFonts w:ascii="Arial" w:cs="Arial" w:eastAsia="Arial" w:hAnsi="Arial"/>
          <w:sz w:val="18"/>
          <w:szCs w:val="18"/>
          <w:u w:val="single" w:color="auto"/>
          <w:color w:val="auto"/>
        </w:rPr>
        <w:t>Parent</w:t>
      </w:r>
      <w:r>
        <w:rPr>
          <w:rFonts w:ascii="Arial" w:cs="Arial" w:eastAsia="Arial" w:hAnsi="Arial"/>
          <w:sz w:val="18"/>
          <w:szCs w:val="18"/>
          <w:color w:val="auto"/>
        </w:rPr>
        <w:t>”), and BCTG Merger Sub Inc., a Delaware corporation and wholly-owned subsidiary of the Parent (“</w:t>
      </w:r>
      <w:r>
        <w:rPr>
          <w:rFonts w:ascii="Arial" w:cs="Arial" w:eastAsia="Arial" w:hAnsi="Arial"/>
          <w:sz w:val="18"/>
          <w:szCs w:val="18"/>
          <w:u w:val="single" w:color="auto"/>
          <w:color w:val="auto"/>
        </w:rPr>
        <w:t>Merger Sub</w:t>
      </w:r>
      <w:r>
        <w:rPr>
          <w:rFonts w:ascii="Arial" w:cs="Arial" w:eastAsia="Arial" w:hAnsi="Arial"/>
          <w:sz w:val="18"/>
          <w:szCs w:val="18"/>
          <w:color w:val="auto"/>
        </w:rPr>
        <w:t>”)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Capitalized terms used but not otherwise defined herein shall have the respective meanings ascribed to such terms in the Merger Agreement. As used herein, the term “Section” shall, unless otherwise specified, refer to the specified Section of this Support Agreement.</w:t>
      </w:r>
    </w:p>
    <w:p>
      <w:pPr>
        <w:spacing w:after="0" w:line="124" w:lineRule="exact"/>
        <w:rPr>
          <w:sz w:val="20"/>
          <w:szCs w:val="20"/>
          <w:color w:val="auto"/>
        </w:rPr>
      </w:pPr>
    </w:p>
    <w:p>
      <w:pPr>
        <w:jc w:val="both"/>
        <w:ind w:left="460" w:right="859" w:firstLine="432"/>
        <w:spacing w:after="0" w:line="263" w:lineRule="auto"/>
        <w:rPr>
          <w:sz w:val="20"/>
          <w:szCs w:val="20"/>
          <w:color w:val="auto"/>
        </w:rPr>
      </w:pPr>
      <w:r>
        <w:rPr>
          <w:rFonts w:ascii="Arial" w:cs="Arial" w:eastAsia="Arial" w:hAnsi="Arial"/>
          <w:sz w:val="18"/>
          <w:szCs w:val="18"/>
          <w:color w:val="auto"/>
        </w:rPr>
        <w:t>The Stockholder is currently, and as of immediately prior to the Closing will be, the record owner of 4,488,450 shares of Parent Class A Common Stock (the “</w:t>
      </w:r>
      <w:r>
        <w:rPr>
          <w:rFonts w:ascii="Arial" w:cs="Arial" w:eastAsia="Arial" w:hAnsi="Arial"/>
          <w:sz w:val="18"/>
          <w:szCs w:val="18"/>
          <w:u w:val="single" w:color="auto"/>
          <w:color w:val="auto"/>
        </w:rPr>
        <w:t>Stockholder Shares</w:t>
      </w:r>
      <w:r>
        <w:rPr>
          <w:rFonts w:ascii="Arial" w:cs="Arial" w:eastAsia="Arial" w:hAnsi="Arial"/>
          <w:sz w:val="18"/>
          <w:szCs w:val="18"/>
          <w:color w:val="auto"/>
        </w:rPr>
        <w:t>”), representing 21.00% of the voting power of the Parent’s security holders.</w:t>
      </w:r>
    </w:p>
    <w:p>
      <w:pPr>
        <w:spacing w:after="0" w:line="103" w:lineRule="exact"/>
        <w:rPr>
          <w:sz w:val="20"/>
          <w:szCs w:val="20"/>
          <w:color w:val="auto"/>
        </w:rPr>
      </w:pPr>
    </w:p>
    <w:p>
      <w:pPr>
        <w:ind w:left="460" w:right="779" w:firstLine="432"/>
        <w:spacing w:after="0" w:line="263" w:lineRule="auto"/>
        <w:rPr>
          <w:sz w:val="20"/>
          <w:szCs w:val="20"/>
          <w:color w:val="auto"/>
        </w:rPr>
      </w:pPr>
      <w:r>
        <w:rPr>
          <w:rFonts w:ascii="Arial" w:cs="Arial" w:eastAsia="Arial" w:hAnsi="Arial"/>
          <w:sz w:val="18"/>
          <w:szCs w:val="18"/>
          <w:color w:val="auto"/>
        </w:rPr>
        <w:t>In order to induce the Company to enter into the Merger Agreement and for other good and valuable consideration, the receipt and sufficiency of which are hereby acknowledged, the Stockholder hereby agrees with the Parent as follows:</w:t>
      </w:r>
    </w:p>
    <w:p>
      <w:pPr>
        <w:spacing w:after="0" w:line="116" w:lineRule="exact"/>
        <w:rPr>
          <w:sz w:val="20"/>
          <w:szCs w:val="20"/>
          <w:color w:val="auto"/>
        </w:rPr>
      </w:pPr>
    </w:p>
    <w:p>
      <w:pPr>
        <w:ind w:left="1760" w:right="599" w:hanging="442"/>
        <w:spacing w:after="0" w:line="254" w:lineRule="auto"/>
        <w:tabs>
          <w:tab w:leader="none" w:pos="1733" w:val="left"/>
        </w:tabs>
        <w:numPr>
          <w:ilvl w:val="0"/>
          <w:numId w:val="437"/>
        </w:numPr>
        <w:rPr>
          <w:rFonts w:ascii="Arial" w:cs="Arial" w:eastAsia="Arial" w:hAnsi="Arial"/>
          <w:sz w:val="18"/>
          <w:szCs w:val="18"/>
          <w:color w:val="auto"/>
        </w:rPr>
      </w:pPr>
      <w:r>
        <w:rPr>
          <w:rFonts w:ascii="Arial" w:cs="Arial" w:eastAsia="Arial" w:hAnsi="Arial"/>
          <w:sz w:val="18"/>
          <w:szCs w:val="18"/>
          <w:u w:val="single" w:color="auto"/>
          <w:color w:val="auto"/>
        </w:rPr>
        <w:t>Voting Agreements</w:t>
      </w:r>
      <w:r>
        <w:rPr>
          <w:rFonts w:ascii="Arial" w:cs="Arial" w:eastAsia="Arial" w:hAnsi="Arial"/>
          <w:sz w:val="18"/>
          <w:szCs w:val="18"/>
          <w:color w:val="auto"/>
        </w:rPr>
        <w:t>. The Stockholder, in its capacity as a stockholder of the Parent, covenants and agrees that, at any meeting of the Parent’s stockholders related to the transactions contemplated by the Merger Agreement (the “</w:t>
      </w:r>
      <w:r>
        <w:rPr>
          <w:rFonts w:ascii="Arial" w:cs="Arial" w:eastAsia="Arial" w:hAnsi="Arial"/>
          <w:sz w:val="18"/>
          <w:szCs w:val="18"/>
          <w:u w:val="single" w:color="auto"/>
          <w:color w:val="auto"/>
        </w:rPr>
        <w:t>Transactions</w:t>
      </w:r>
      <w:r>
        <w:rPr>
          <w:rFonts w:ascii="Arial" w:cs="Arial" w:eastAsia="Arial" w:hAnsi="Arial"/>
          <w:sz w:val="18"/>
          <w:szCs w:val="18"/>
          <w:color w:val="auto"/>
        </w:rPr>
        <w:t>”), whether annual or special and whether or not an adjourned or postponed meeting, and however called, and in connection with any written consent of the Parent’s stockholders related to the Transactions (all such meetings or consents collectively referred to herein as the “</w:t>
      </w:r>
      <w:r>
        <w:rPr>
          <w:rFonts w:ascii="Arial" w:cs="Arial" w:eastAsia="Arial" w:hAnsi="Arial"/>
          <w:sz w:val="18"/>
          <w:szCs w:val="18"/>
          <w:u w:val="single" w:color="auto"/>
          <w:color w:val="auto"/>
        </w:rPr>
        <w:t>Meeting</w:t>
      </w:r>
      <w:r>
        <w:rPr>
          <w:rFonts w:ascii="Arial" w:cs="Arial" w:eastAsia="Arial" w:hAnsi="Arial"/>
          <w:sz w:val="18"/>
          <w:szCs w:val="18"/>
          <w:color w:val="auto"/>
        </w:rPr>
        <w:t>”), the Stockholder shall:</w:t>
      </w:r>
    </w:p>
    <w:p>
      <w:pPr>
        <w:spacing w:after="0" w:line="127" w:lineRule="exact"/>
        <w:rPr>
          <w:rFonts w:ascii="Arial" w:cs="Arial" w:eastAsia="Arial" w:hAnsi="Arial"/>
          <w:sz w:val="18"/>
          <w:szCs w:val="18"/>
          <w:color w:val="auto"/>
        </w:rPr>
      </w:pPr>
    </w:p>
    <w:p>
      <w:pPr>
        <w:ind w:left="2180" w:right="839" w:hanging="430"/>
        <w:spacing w:after="0" w:line="342" w:lineRule="auto"/>
        <w:tabs>
          <w:tab w:leader="none" w:pos="2143" w:val="left"/>
        </w:tabs>
        <w:numPr>
          <w:ilvl w:val="1"/>
          <w:numId w:val="437"/>
        </w:numPr>
        <w:rPr>
          <w:rFonts w:ascii="Arial" w:cs="Arial" w:eastAsia="Arial" w:hAnsi="Arial"/>
          <w:sz w:val="16"/>
          <w:szCs w:val="16"/>
          <w:color w:val="auto"/>
        </w:rPr>
      </w:pPr>
      <w:r>
        <w:rPr>
          <w:rFonts w:ascii="Arial" w:cs="Arial" w:eastAsia="Arial" w:hAnsi="Arial"/>
          <w:sz w:val="16"/>
          <w:szCs w:val="16"/>
          <w:color w:val="auto"/>
        </w:rPr>
        <w:t>when the Meeting is held, appear at the Meeting or otherwise cause the Stockholder Shares to be counted as present thereat for the purpose of establishing a quorum;</w:t>
      </w:r>
    </w:p>
    <w:p>
      <w:pPr>
        <w:spacing w:after="0" w:line="42" w:lineRule="exact"/>
        <w:rPr>
          <w:rFonts w:ascii="Arial" w:cs="Arial" w:eastAsia="Arial" w:hAnsi="Arial"/>
          <w:sz w:val="16"/>
          <w:szCs w:val="16"/>
          <w:color w:val="auto"/>
        </w:rPr>
      </w:pPr>
    </w:p>
    <w:p>
      <w:pPr>
        <w:ind w:left="2180" w:right="499" w:hanging="430"/>
        <w:spacing w:after="0" w:line="275" w:lineRule="auto"/>
        <w:tabs>
          <w:tab w:leader="none" w:pos="2153" w:val="left"/>
        </w:tabs>
        <w:numPr>
          <w:ilvl w:val="1"/>
          <w:numId w:val="437"/>
        </w:numPr>
        <w:rPr>
          <w:rFonts w:ascii="Arial" w:cs="Arial" w:eastAsia="Arial" w:hAnsi="Arial"/>
          <w:sz w:val="17"/>
          <w:szCs w:val="17"/>
          <w:color w:val="auto"/>
        </w:rPr>
      </w:pPr>
      <w:r>
        <w:rPr>
          <w:rFonts w:ascii="Arial" w:cs="Arial" w:eastAsia="Arial" w:hAnsi="Arial"/>
          <w:sz w:val="17"/>
          <w:szCs w:val="17"/>
          <w:color w:val="auto"/>
        </w:rPr>
        <w:t>vote (or execute and return an action by written consent), or cause to be voted at the Meeting (or validly execute and return and cause such consent to be granted with respect to), all of the Stockholder Shares in favor of each of the proposals relating to the Transactions and any other matters necessary or reasonably requested by the Parent for consummation of the Merger and the Transactions; and</w:t>
      </w:r>
    </w:p>
    <w:p>
      <w:pPr>
        <w:spacing w:after="0" w:line="108" w:lineRule="exact"/>
        <w:rPr>
          <w:rFonts w:ascii="Arial" w:cs="Arial" w:eastAsia="Arial" w:hAnsi="Arial"/>
          <w:sz w:val="17"/>
          <w:szCs w:val="17"/>
          <w:color w:val="auto"/>
        </w:rPr>
      </w:pPr>
    </w:p>
    <w:p>
      <w:pPr>
        <w:ind w:left="2180" w:right="479" w:hanging="430"/>
        <w:spacing w:after="0" w:line="284" w:lineRule="auto"/>
        <w:tabs>
          <w:tab w:leader="none" w:pos="2143" w:val="left"/>
        </w:tabs>
        <w:numPr>
          <w:ilvl w:val="1"/>
          <w:numId w:val="437"/>
        </w:numPr>
        <w:rPr>
          <w:rFonts w:ascii="Arial" w:cs="Arial" w:eastAsia="Arial" w:hAnsi="Arial"/>
          <w:sz w:val="16"/>
          <w:szCs w:val="16"/>
          <w:color w:val="auto"/>
        </w:rPr>
      </w:pPr>
      <w:r>
        <w:rPr>
          <w:rFonts w:ascii="Arial" w:cs="Arial" w:eastAsia="Arial" w:hAnsi="Arial"/>
          <w:sz w:val="16"/>
          <w:szCs w:val="16"/>
          <w:color w:val="auto"/>
        </w:rPr>
        <w:t>vote (or execute and return an action by written consent), or cause to be voted at the Meeting (or validly execute and return and cause such consent to be granted with respect to), all of the Stockholder Shares against any action that would reasonably be expected to (x) impede, interfere with, delay, postpone or adversely affect the Merger or any of the Transactions, (y) result in a breach of any covenant, representation or warranty or other obligation or agreement of the Parent under the Merger Agreement, or</w:t>
      </w:r>
    </w:p>
    <w:p>
      <w:pPr>
        <w:spacing w:after="0" w:line="4" w:lineRule="exact"/>
        <w:rPr>
          <w:rFonts w:ascii="Arial" w:cs="Arial" w:eastAsia="Arial" w:hAnsi="Arial"/>
          <w:sz w:val="16"/>
          <w:szCs w:val="16"/>
          <w:color w:val="auto"/>
        </w:rPr>
      </w:pPr>
    </w:p>
    <w:p>
      <w:pPr>
        <w:ind w:left="2180" w:right="599"/>
        <w:spacing w:after="0" w:line="290" w:lineRule="auto"/>
        <w:rPr>
          <w:rFonts w:ascii="Arial" w:cs="Arial" w:eastAsia="Arial" w:hAnsi="Arial"/>
          <w:sz w:val="16"/>
          <w:szCs w:val="16"/>
          <w:color w:val="auto"/>
        </w:rPr>
      </w:pPr>
      <w:r>
        <w:rPr>
          <w:rFonts w:ascii="Arial" w:cs="Arial" w:eastAsia="Arial" w:hAnsi="Arial"/>
          <w:sz w:val="17"/>
          <w:szCs w:val="17"/>
          <w:color w:val="auto"/>
        </w:rPr>
        <w:t>(z) result in a breach of any covenant, representation or warranty or other obligation or agreement of the Stockholder contained in this Support Agreement.</w:t>
      </w:r>
    </w:p>
    <w:p>
      <w:pPr>
        <w:spacing w:after="0" w:line="93" w:lineRule="exact"/>
        <w:rPr>
          <w:rFonts w:ascii="Arial" w:cs="Arial" w:eastAsia="Arial" w:hAnsi="Arial"/>
          <w:sz w:val="16"/>
          <w:szCs w:val="16"/>
          <w:color w:val="auto"/>
        </w:rPr>
      </w:pPr>
    </w:p>
    <w:p>
      <w:pPr>
        <w:ind w:left="1760" w:right="539" w:hanging="442"/>
        <w:spacing w:after="0" w:line="259" w:lineRule="auto"/>
        <w:tabs>
          <w:tab w:leader="none" w:pos="1733" w:val="left"/>
        </w:tabs>
        <w:numPr>
          <w:ilvl w:val="0"/>
          <w:numId w:val="437"/>
        </w:numPr>
        <w:rPr>
          <w:rFonts w:ascii="Arial" w:cs="Arial" w:eastAsia="Arial" w:hAnsi="Arial"/>
          <w:sz w:val="18"/>
          <w:szCs w:val="18"/>
          <w:color w:val="auto"/>
        </w:rPr>
      </w:pPr>
      <w:r>
        <w:rPr>
          <w:rFonts w:ascii="Arial" w:cs="Arial" w:eastAsia="Arial" w:hAnsi="Arial"/>
          <w:sz w:val="18"/>
          <w:szCs w:val="18"/>
          <w:u w:val="single" w:color="auto"/>
          <w:color w:val="auto"/>
        </w:rPr>
        <w:t>Stop Transfers; Certificates</w:t>
      </w:r>
      <w:r>
        <w:rPr>
          <w:rFonts w:ascii="Arial" w:cs="Arial" w:eastAsia="Arial" w:hAnsi="Arial"/>
          <w:sz w:val="18"/>
          <w:szCs w:val="18"/>
          <w:color w:val="auto"/>
        </w:rPr>
        <w:t>. The Stockholder agrees that except for transfers of Stockholder Shares pursuant to the Merger Agreement, it shall not request that the Parent register the transfer (book entry or otherwise) of any of the Stockholder Shares if such transfer is not permitted by this Support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9" w:name="page420"/>
    <w:bookmarkEnd w:id="41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760" w:right="479" w:hanging="442"/>
        <w:spacing w:after="0" w:line="293" w:lineRule="auto"/>
        <w:tabs>
          <w:tab w:leader="none" w:pos="1733" w:val="left"/>
        </w:tabs>
        <w:numPr>
          <w:ilvl w:val="0"/>
          <w:numId w:val="438"/>
        </w:numPr>
        <w:rPr>
          <w:rFonts w:ascii="Arial" w:cs="Arial" w:eastAsia="Arial" w:hAnsi="Arial"/>
          <w:sz w:val="16"/>
          <w:szCs w:val="16"/>
          <w:color w:val="auto"/>
        </w:rPr>
      </w:pPr>
      <w:r>
        <w:rPr>
          <w:rFonts w:ascii="Arial" w:cs="Arial" w:eastAsia="Arial" w:hAnsi="Arial"/>
          <w:sz w:val="16"/>
          <w:szCs w:val="16"/>
          <w:u w:val="single" w:color="auto"/>
          <w:color w:val="auto"/>
        </w:rPr>
        <w:t>Damages; Remedies</w:t>
      </w:r>
      <w:r>
        <w:rPr>
          <w:rFonts w:ascii="Arial" w:cs="Arial" w:eastAsia="Arial" w:hAnsi="Arial"/>
          <w:sz w:val="16"/>
          <w:szCs w:val="16"/>
          <w:color w:val="auto"/>
        </w:rPr>
        <w:t>. The Stockholder hereby agrees and acknowledges that (i) Parent would be irreparably injured in the event of a breach by the Stockholder of its obligations under this Support Agreement, (ii) monetary damages would not be an adequate remedy for such breach, and (iii) the non-breaching party shall be entitled to injunctive relief, in addition to any other remedy that such party may have in law or in equity, in the event of such breach or threatened breach, without the need to post a bond or other collateral security.</w:t>
      </w:r>
    </w:p>
    <w:p>
      <w:pPr>
        <w:spacing w:after="0" w:line="96" w:lineRule="exact"/>
        <w:rPr>
          <w:rFonts w:ascii="Arial" w:cs="Arial" w:eastAsia="Arial" w:hAnsi="Arial"/>
          <w:sz w:val="16"/>
          <w:szCs w:val="16"/>
          <w:color w:val="auto"/>
        </w:rPr>
      </w:pPr>
    </w:p>
    <w:p>
      <w:pPr>
        <w:ind w:left="1760" w:right="679" w:hanging="442"/>
        <w:spacing w:after="0" w:line="293" w:lineRule="auto"/>
        <w:tabs>
          <w:tab w:leader="none" w:pos="1733" w:val="left"/>
        </w:tabs>
        <w:numPr>
          <w:ilvl w:val="0"/>
          <w:numId w:val="438"/>
        </w:numPr>
        <w:rPr>
          <w:rFonts w:ascii="Arial" w:cs="Arial" w:eastAsia="Arial" w:hAnsi="Arial"/>
          <w:sz w:val="16"/>
          <w:szCs w:val="16"/>
          <w:color w:val="auto"/>
        </w:rPr>
      </w:pPr>
      <w:r>
        <w:rPr>
          <w:rFonts w:ascii="Arial" w:cs="Arial" w:eastAsia="Arial" w:hAnsi="Arial"/>
          <w:sz w:val="16"/>
          <w:szCs w:val="16"/>
          <w:u w:val="single" w:color="auto"/>
          <w:color w:val="auto"/>
        </w:rPr>
        <w:t>Transfer Restrictions</w:t>
      </w:r>
      <w:r>
        <w:rPr>
          <w:rFonts w:ascii="Arial" w:cs="Arial" w:eastAsia="Arial" w:hAnsi="Arial"/>
          <w:sz w:val="16"/>
          <w:szCs w:val="16"/>
          <w:color w:val="auto"/>
        </w:rPr>
        <w:t>. Hereafter unto the earlier to occur of (i) the Effective Time, and (ii) such date and time as the Merger Agreement shall be terminated in accordance with Section 9.1 thereof, the Stockholder agrees that it shall not sell, assign or otherwise transfer any of the Stockholder Shares except in accordance with the Merger Agreement; provided, however, that nothing herein shall prohibit a transfer to an Affiliate of the Stockholder or direct or indirect transfers of equity or other interests in the Stockholder.</w:t>
      </w:r>
    </w:p>
    <w:p>
      <w:pPr>
        <w:spacing w:after="0" w:line="96" w:lineRule="exact"/>
        <w:rPr>
          <w:rFonts w:ascii="Arial" w:cs="Arial" w:eastAsia="Arial" w:hAnsi="Arial"/>
          <w:sz w:val="16"/>
          <w:szCs w:val="16"/>
          <w:color w:val="auto"/>
        </w:rPr>
      </w:pPr>
    </w:p>
    <w:p>
      <w:pPr>
        <w:ind w:left="1760" w:right="499" w:hanging="442"/>
        <w:spacing w:after="0" w:line="268" w:lineRule="auto"/>
        <w:tabs>
          <w:tab w:leader="none" w:pos="1733" w:val="left"/>
        </w:tabs>
        <w:numPr>
          <w:ilvl w:val="0"/>
          <w:numId w:val="438"/>
        </w:numPr>
        <w:rPr>
          <w:rFonts w:ascii="Arial" w:cs="Arial" w:eastAsia="Arial" w:hAnsi="Arial"/>
          <w:sz w:val="17"/>
          <w:szCs w:val="17"/>
          <w:color w:val="auto"/>
        </w:rPr>
      </w:pPr>
      <w:r>
        <w:rPr>
          <w:rFonts w:ascii="Arial" w:cs="Arial" w:eastAsia="Arial" w:hAnsi="Arial"/>
          <w:sz w:val="17"/>
          <w:szCs w:val="17"/>
          <w:color w:val="auto"/>
        </w:rPr>
        <w:t>During the period commencing on the date hereof and ending on the earlier to occur of (i) the Effective Time, and (ii) such date and time as the Merger Agreement shall be terminated in accordance with Section 9.1 thereof, in the event that, (a) any shares of Parent Class A Common Stock, Parent warrants or other equity securities of Parent are issued to the Stockholder after the date of this Support Agreement pursuant to any stock dividend, stock split, recapitalization, reclassification, combination or exchange of Parent securities owned by the Stockholder, (b) the Stockholder purchases or otherwise acquires beneficial ownership of any shares of Parent Class A Common Stock, Parent warrants or other equity securities of Parent after the date of this Support Agreement, or (c) the Stockholder acquires the right to vote or share in the voting of any Parent Class A Common Stock or other equity securities of Parent after the date of this Support Agreement (such Parent Class A Common Stock, Parent warrants or other equity securities of Parent, collectively the “</w:t>
      </w:r>
      <w:r>
        <w:rPr>
          <w:rFonts w:ascii="Arial" w:cs="Arial" w:eastAsia="Arial" w:hAnsi="Arial"/>
          <w:sz w:val="17"/>
          <w:szCs w:val="17"/>
          <w:u w:val="single" w:color="auto"/>
          <w:color w:val="auto"/>
        </w:rPr>
        <w:t>New Securities</w:t>
      </w:r>
      <w:r>
        <w:rPr>
          <w:rFonts w:ascii="Arial" w:cs="Arial" w:eastAsia="Arial" w:hAnsi="Arial"/>
          <w:sz w:val="17"/>
          <w:szCs w:val="17"/>
          <w:color w:val="auto"/>
        </w:rPr>
        <w:t>”), then such New Securities acquired or purchased by the Stockholder shall be subject to the terms of this Support Agreement to the same extent as if they constituted the Stockholder Shares as of the date hereof.</w:t>
      </w:r>
    </w:p>
    <w:p>
      <w:pPr>
        <w:spacing w:after="0" w:line="100" w:lineRule="exact"/>
        <w:rPr>
          <w:rFonts w:ascii="Arial" w:cs="Arial" w:eastAsia="Arial" w:hAnsi="Arial"/>
          <w:sz w:val="17"/>
          <w:szCs w:val="17"/>
          <w:color w:val="auto"/>
        </w:rPr>
      </w:pPr>
    </w:p>
    <w:p>
      <w:pPr>
        <w:ind w:left="1760" w:right="499" w:hanging="442"/>
        <w:spacing w:after="0" w:line="254" w:lineRule="auto"/>
        <w:tabs>
          <w:tab w:leader="none" w:pos="1733"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Support Agreement and the other agreements referenced herein constitute the entire agreement and understanding of the parties hereto in respect of the subject matter hereof and supersede all prior understandings, agreements or representations by or among the parties hereto, written or oral, to the extent they relate in any way to the subject matter hereof or the transactions contemplated hereby. This Support Agreement may not be changed, amended, modified or waived (other than to correct a typographical error) as to any particular provision, except by a written instrument executed by all parties hereto.</w:t>
      </w:r>
    </w:p>
    <w:p>
      <w:pPr>
        <w:spacing w:after="0" w:line="124" w:lineRule="exact"/>
        <w:rPr>
          <w:rFonts w:ascii="Arial" w:cs="Arial" w:eastAsia="Arial" w:hAnsi="Arial"/>
          <w:sz w:val="18"/>
          <w:szCs w:val="18"/>
          <w:color w:val="auto"/>
        </w:rPr>
      </w:pPr>
    </w:p>
    <w:p>
      <w:pPr>
        <w:ind w:left="1760" w:right="579" w:hanging="442"/>
        <w:spacing w:after="0" w:line="293" w:lineRule="auto"/>
        <w:tabs>
          <w:tab w:leader="none" w:pos="1733" w:val="left"/>
        </w:tabs>
        <w:numPr>
          <w:ilvl w:val="0"/>
          <w:numId w:val="438"/>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No party hereto may, except as set forth herein, assign either this Support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Support Agreement shall be binding on the Stockholder and its successors, heirs, personal representatives and assigns and permitted transferees.</w:t>
      </w:r>
    </w:p>
    <w:p>
      <w:pPr>
        <w:spacing w:after="0" w:line="96" w:lineRule="exact"/>
        <w:rPr>
          <w:rFonts w:ascii="Arial" w:cs="Arial" w:eastAsia="Arial" w:hAnsi="Arial"/>
          <w:sz w:val="16"/>
          <w:szCs w:val="16"/>
          <w:color w:val="auto"/>
        </w:rPr>
      </w:pPr>
    </w:p>
    <w:p>
      <w:pPr>
        <w:ind w:left="1760" w:right="699" w:hanging="442"/>
        <w:spacing w:after="0" w:line="259" w:lineRule="auto"/>
        <w:tabs>
          <w:tab w:leader="none" w:pos="1733"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Support Agreement may be executed in any number of original, electronic or facsimile counterparts and each of such counterparts shall for all purposes be deemed to be an original, and all such counterparts shall together constitute but one and the same instrument.</w:t>
      </w:r>
    </w:p>
    <w:p>
      <w:pPr>
        <w:spacing w:after="0" w:line="105" w:lineRule="exact"/>
        <w:rPr>
          <w:rFonts w:ascii="Arial" w:cs="Arial" w:eastAsia="Arial" w:hAnsi="Arial"/>
          <w:sz w:val="18"/>
          <w:szCs w:val="18"/>
          <w:color w:val="auto"/>
        </w:rPr>
      </w:pPr>
    </w:p>
    <w:p>
      <w:pPr>
        <w:ind w:left="1760" w:right="499" w:hanging="442"/>
        <w:spacing w:after="0" w:line="293" w:lineRule="auto"/>
        <w:tabs>
          <w:tab w:leader="none" w:pos="1733" w:val="left"/>
        </w:tabs>
        <w:numPr>
          <w:ilvl w:val="0"/>
          <w:numId w:val="43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This Support Agreement shall be deemed severable, and the invalidity or unenforceability of any term or provision hereof shall not affect the validity or enforceability of this Support Agreement or of any other term or provision hereof. Furthermore, in lieu of any such invalid or unenforceable term or provision, the parties hereto intend that there shall be added as a part of this Support Agreement a provision as similar in terms to such invalid or unenforceable provision as may be possible and be valid and enforceable.</w:t>
      </w:r>
    </w:p>
    <w:p>
      <w:pPr>
        <w:spacing w:after="0" w:line="96" w:lineRule="exact"/>
        <w:rPr>
          <w:rFonts w:ascii="Arial" w:cs="Arial" w:eastAsia="Arial" w:hAnsi="Arial"/>
          <w:sz w:val="16"/>
          <w:szCs w:val="16"/>
          <w:color w:val="auto"/>
        </w:rPr>
      </w:pPr>
    </w:p>
    <w:p>
      <w:pPr>
        <w:ind w:left="1760" w:right="499" w:hanging="442"/>
        <w:spacing w:after="0" w:line="311" w:lineRule="auto"/>
        <w:tabs>
          <w:tab w:leader="none" w:pos="1733" w:val="left"/>
        </w:tabs>
        <w:numPr>
          <w:ilvl w:val="0"/>
          <w:numId w:val="438"/>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 Waiver</w:t>
      </w:r>
      <w:r>
        <w:rPr>
          <w:rFonts w:ascii="Arial" w:cs="Arial" w:eastAsia="Arial" w:hAnsi="Arial"/>
          <w:sz w:val="16"/>
          <w:szCs w:val="16"/>
          <w:color w:val="auto"/>
        </w:rPr>
        <w:t>. This Support Agreement, and all claims or causes of action based upon, arising out of, or related to this Support Agreement or the transactions contemplated hereby, shall be governed by, and construed in accordance with, the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0" w:name="page421"/>
    <w:bookmarkEnd w:id="42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760" w:right="479"/>
        <w:spacing w:after="0" w:line="267" w:lineRule="auto"/>
        <w:rPr>
          <w:sz w:val="20"/>
          <w:szCs w:val="20"/>
          <w:color w:val="auto"/>
        </w:rPr>
      </w:pPr>
      <w:r>
        <w:rPr>
          <w:rFonts w:ascii="Arial" w:cs="Arial" w:eastAsia="Arial" w:hAnsi="Arial"/>
          <w:sz w:val="17"/>
          <w:szCs w:val="17"/>
          <w:color w:val="auto"/>
        </w:rPr>
        <w:t>Laws of the State of Delaware, without giving effect to principles or rules of conflict of laws to the extent such principles or rules would require or permit the application of Laws of another jurisdiction. Any Proceeding based upon, arising out of or related to this Support Agreement or the transactions contemplated hereby shall be brought in the federal or state courts located in of the State of Delaware in the Court of Chancery of the State of Delaware, or (and only if) such court finds it lacks subject matter jurisdiction, the Superior Court of the State of Delaware (Complex Commercial Division), and each of the parties irrevocably submits to the exclusive jurisdiction of each such court in any such Proceeding, waives any objection it may now or hereafter have to personal jurisdiction, venue or to convenience of forum, agrees that all claims in respect of the Proceeding shall be heard and determined only in any such court, and agrees not to bring any Proceeding arising out of or relating to this Support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Proceeding brought pursuant to this Section 10. The prevailing party in any such Proceeding (as determined by a court of competent jurisdiction) shall be entitled to be reimbursed by the non-prevailing party for its reasonable and documented out-of-pocket expenses, including reasonable attorneys’ fees, incurred with respect to such Proceeding. EACH OF THE PARTIES HERETO HEREBY IRREVOCABLY WAIVES ANY AND ALL RIGHT TO TRIAL BY JURY IN ANY PROCEEDING BASED UPON, ARISING OUT OF OR RELATED TO THIS SUPPORT AGREEMENT OR THE TRANSACTIONS CONTEMPLATED HEREBY.</w:t>
      </w:r>
    </w:p>
    <w:p>
      <w:pPr>
        <w:spacing w:after="0" w:line="115" w:lineRule="exact"/>
        <w:rPr>
          <w:sz w:val="20"/>
          <w:szCs w:val="20"/>
          <w:color w:val="auto"/>
        </w:rPr>
      </w:pPr>
    </w:p>
    <w:p>
      <w:pPr>
        <w:ind w:left="1760" w:right="679" w:hanging="442"/>
        <w:spacing w:after="0" w:line="296" w:lineRule="auto"/>
        <w:tabs>
          <w:tab w:leader="none" w:pos="1726" w:val="left"/>
        </w:tabs>
        <w:numPr>
          <w:ilvl w:val="0"/>
          <w:numId w:val="439"/>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Any notice, consent or request to be given in connection with any of the terms or provisions of this Support Agreement shall be in writing and shall be sent or given in accordance with the terms of Section 10.9 of the Merger Agreement to the applicable party, with respect to the Parent, at the address set forth in Section 11.6 of the Merger Agreement, and, with respect to Stockholder, at the address set forth on Stockholder’s signature page.</w:t>
      </w:r>
    </w:p>
    <w:p>
      <w:pPr>
        <w:spacing w:after="0" w:line="93" w:lineRule="exact"/>
        <w:rPr>
          <w:rFonts w:ascii="Arial" w:cs="Arial" w:eastAsia="Arial" w:hAnsi="Arial"/>
          <w:sz w:val="16"/>
          <w:szCs w:val="16"/>
          <w:color w:val="auto"/>
        </w:rPr>
      </w:pPr>
    </w:p>
    <w:p>
      <w:pPr>
        <w:ind w:left="1760" w:right="499" w:hanging="442"/>
        <w:spacing w:after="0" w:line="272" w:lineRule="auto"/>
        <w:tabs>
          <w:tab w:leader="none" w:pos="1733" w:val="left"/>
        </w:tabs>
        <w:numPr>
          <w:ilvl w:val="0"/>
          <w:numId w:val="439"/>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Support Agreement and the obligations of Stockholder under this Agreement shall automatically terminate upon the earliest of: (i) the Effective Time; (ii) the termination of the Merger Agreement in accordance with Section 9.1 thereof; and (iii) the mutual agreement of the Company and Stockholder. Upon termination or expiration of this Agreement, no party shall have any further obligations or liabilities under this Agreement; provided, however, such termination or expiration shall not relieve any party from liability for any willful breach of this Agreement occurring prior to its termination.</w:t>
      </w:r>
    </w:p>
    <w:p>
      <w:pPr>
        <w:spacing w:after="0" w:line="96" w:lineRule="exact"/>
        <w:rPr>
          <w:rFonts w:ascii="Arial" w:cs="Arial" w:eastAsia="Arial" w:hAnsi="Arial"/>
          <w:sz w:val="17"/>
          <w:szCs w:val="17"/>
          <w:color w:val="auto"/>
        </w:rPr>
      </w:pPr>
    </w:p>
    <w:p>
      <w:pPr>
        <w:ind w:left="1760" w:right="679" w:hanging="442"/>
        <w:spacing w:after="0" w:line="277" w:lineRule="auto"/>
        <w:tabs>
          <w:tab w:leader="none" w:pos="1733" w:val="left"/>
        </w:tabs>
        <w:numPr>
          <w:ilvl w:val="0"/>
          <w:numId w:val="439"/>
        </w:numPr>
        <w:rPr>
          <w:rFonts w:ascii="Arial" w:cs="Arial" w:eastAsia="Arial" w:hAnsi="Arial"/>
          <w:sz w:val="18"/>
          <w:szCs w:val="18"/>
          <w:color w:val="auto"/>
        </w:rPr>
      </w:pPr>
      <w:r>
        <w:rPr>
          <w:rFonts w:ascii="Arial" w:cs="Arial" w:eastAsia="Arial" w:hAnsi="Arial"/>
          <w:sz w:val="18"/>
          <w:szCs w:val="18"/>
          <w:u w:val="single" w:color="auto"/>
          <w:color w:val="auto"/>
        </w:rPr>
        <w:t>Stockholder Representations</w:t>
      </w:r>
      <w:r>
        <w:rPr>
          <w:rFonts w:ascii="Arial" w:cs="Arial" w:eastAsia="Arial" w:hAnsi="Arial"/>
          <w:sz w:val="18"/>
          <w:szCs w:val="18"/>
          <w:color w:val="auto"/>
        </w:rPr>
        <w:t>: The Stockholder represents and warrants to Parent, as of the date hereof and as of the Closing Date, that:</w:t>
      </w:r>
    </w:p>
    <w:p>
      <w:pPr>
        <w:spacing w:after="0" w:line="102" w:lineRule="exact"/>
        <w:rPr>
          <w:rFonts w:ascii="Arial" w:cs="Arial" w:eastAsia="Arial" w:hAnsi="Arial"/>
          <w:sz w:val="18"/>
          <w:szCs w:val="18"/>
          <w:color w:val="auto"/>
        </w:rPr>
      </w:pPr>
    </w:p>
    <w:p>
      <w:pPr>
        <w:ind w:left="2180" w:right="879" w:hanging="430"/>
        <w:spacing w:after="0" w:line="263" w:lineRule="auto"/>
        <w:tabs>
          <w:tab w:leader="none" w:pos="2143" w:val="left"/>
        </w:tabs>
        <w:numPr>
          <w:ilvl w:val="1"/>
          <w:numId w:val="439"/>
        </w:numPr>
        <w:rPr>
          <w:rFonts w:ascii="Arial" w:cs="Arial" w:eastAsia="Arial" w:hAnsi="Arial"/>
          <w:sz w:val="18"/>
          <w:szCs w:val="18"/>
          <w:color w:val="auto"/>
        </w:rPr>
      </w:pPr>
      <w:r>
        <w:rPr>
          <w:rFonts w:ascii="Arial" w:cs="Arial" w:eastAsia="Arial" w:hAnsi="Arial"/>
          <w:sz w:val="18"/>
          <w:szCs w:val="18"/>
          <w:color w:val="auto"/>
        </w:rPr>
        <w:t>it has never been suspended or expelled from membership in any securities or commodities exchange or association or had a securities or commodities license or registration denied, suspended or revoked;</w:t>
      </w:r>
    </w:p>
    <w:p>
      <w:pPr>
        <w:spacing w:after="0" w:line="116" w:lineRule="exact"/>
        <w:rPr>
          <w:rFonts w:ascii="Arial" w:cs="Arial" w:eastAsia="Arial" w:hAnsi="Arial"/>
          <w:sz w:val="18"/>
          <w:szCs w:val="18"/>
          <w:color w:val="auto"/>
        </w:rPr>
      </w:pPr>
    </w:p>
    <w:p>
      <w:pPr>
        <w:ind w:left="2180" w:right="599" w:hanging="430"/>
        <w:spacing w:after="0" w:line="286" w:lineRule="auto"/>
        <w:tabs>
          <w:tab w:leader="none" w:pos="2153" w:val="left"/>
        </w:tabs>
        <w:numPr>
          <w:ilvl w:val="1"/>
          <w:numId w:val="439"/>
        </w:numPr>
        <w:rPr>
          <w:rFonts w:ascii="Arial" w:cs="Arial" w:eastAsia="Arial" w:hAnsi="Arial"/>
          <w:sz w:val="17"/>
          <w:szCs w:val="17"/>
          <w:color w:val="auto"/>
        </w:rPr>
      </w:pPr>
      <w:r>
        <w:rPr>
          <w:rFonts w:ascii="Arial" w:cs="Arial" w:eastAsia="Arial" w:hAnsi="Arial"/>
          <w:sz w:val="17"/>
          <w:szCs w:val="17"/>
          <w:color w:val="auto"/>
        </w:rPr>
        <w:t>it has full right and power, without violating any agreement to which it is bound (including, without limitation, any non-competition or non-solicitation agreement with any employer or former employer), to enter into this Support Agreement;</w:t>
      </w:r>
    </w:p>
    <w:p>
      <w:pPr>
        <w:spacing w:after="0" w:line="84" w:lineRule="exact"/>
        <w:rPr>
          <w:rFonts w:ascii="Arial" w:cs="Arial" w:eastAsia="Arial" w:hAnsi="Arial"/>
          <w:sz w:val="17"/>
          <w:szCs w:val="17"/>
          <w:color w:val="auto"/>
        </w:rPr>
      </w:pPr>
    </w:p>
    <w:p>
      <w:pPr>
        <w:ind w:left="2180" w:right="499" w:hanging="430"/>
        <w:spacing w:after="0" w:line="255" w:lineRule="auto"/>
        <w:tabs>
          <w:tab w:leader="none" w:pos="2143" w:val="left"/>
        </w:tabs>
        <w:numPr>
          <w:ilvl w:val="1"/>
          <w:numId w:val="439"/>
        </w:numPr>
        <w:rPr>
          <w:rFonts w:ascii="Arial" w:cs="Arial" w:eastAsia="Arial" w:hAnsi="Arial"/>
          <w:sz w:val="18"/>
          <w:szCs w:val="18"/>
          <w:color w:val="auto"/>
        </w:rPr>
      </w:pPr>
      <w:r>
        <w:rPr>
          <w:rFonts w:ascii="Arial" w:cs="Arial" w:eastAsia="Arial" w:hAnsi="Arial"/>
          <w:sz w:val="18"/>
          <w:szCs w:val="18"/>
          <w:color w:val="auto"/>
        </w:rPr>
        <w:t>it is duly organized, validly existing and in good standing under the Laws of the jurisdiction in which it is organized, and the execution, delivery and performance of this Support Agreement and the consummation of the transactions contemplated hereby are within the Stockholder’s limited liability company powers and have been duly authorized by all necessary limited liability company actions on the part of the Stockholder;</w:t>
      </w:r>
    </w:p>
    <w:p>
      <w:pPr>
        <w:spacing w:after="0" w:line="124" w:lineRule="exact"/>
        <w:rPr>
          <w:rFonts w:ascii="Arial" w:cs="Arial" w:eastAsia="Arial" w:hAnsi="Arial"/>
          <w:sz w:val="18"/>
          <w:szCs w:val="18"/>
          <w:color w:val="auto"/>
        </w:rPr>
      </w:pPr>
    </w:p>
    <w:p>
      <w:pPr>
        <w:ind w:left="2180" w:right="479" w:hanging="430"/>
        <w:spacing w:after="0" w:line="257" w:lineRule="auto"/>
        <w:tabs>
          <w:tab w:leader="none" w:pos="2153" w:val="left"/>
        </w:tabs>
        <w:numPr>
          <w:ilvl w:val="1"/>
          <w:numId w:val="439"/>
        </w:numPr>
        <w:rPr>
          <w:rFonts w:ascii="Arial" w:cs="Arial" w:eastAsia="Arial" w:hAnsi="Arial"/>
          <w:sz w:val="18"/>
          <w:szCs w:val="18"/>
          <w:color w:val="auto"/>
        </w:rPr>
      </w:pPr>
      <w:r>
        <w:rPr>
          <w:rFonts w:ascii="Arial" w:cs="Arial" w:eastAsia="Arial" w:hAnsi="Arial"/>
          <w:sz w:val="18"/>
          <w:szCs w:val="18"/>
          <w:color w:val="auto"/>
        </w:rPr>
        <w:t>this Support Agreement has been duly executed and delivered by the Stockholder and, assuming due authorization, execution and delivery by the other parties to this Support Agreement, this Support Agreement constitutes a legally valid and binding obligation of the Stockholder, enforceable against the Stockholder in accordance with the terms hereof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1" w:name="page422"/>
    <w:bookmarkEnd w:id="42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2180" w:right="699"/>
        <w:spacing w:after="0" w:line="263" w:lineRule="auto"/>
        <w:rPr>
          <w:sz w:val="20"/>
          <w:szCs w:val="20"/>
          <w:color w:val="auto"/>
        </w:rPr>
      </w:pPr>
      <w:r>
        <w:rPr>
          <w:rFonts w:ascii="Arial" w:cs="Arial" w:eastAsia="Arial" w:hAnsi="Arial"/>
          <w:sz w:val="18"/>
          <w:szCs w:val="18"/>
          <w:color w:val="auto"/>
        </w:rPr>
        <w:t>(except as enforceability may be limited by bankruptcy Laws, other similar Laws affecting creditors’ rights and general principles of equity affecting the availability of specific performance and other equitable remedies);</w:t>
      </w:r>
    </w:p>
    <w:p>
      <w:pPr>
        <w:spacing w:after="0" w:line="116" w:lineRule="exact"/>
        <w:rPr>
          <w:sz w:val="20"/>
          <w:szCs w:val="20"/>
          <w:color w:val="auto"/>
        </w:rPr>
      </w:pPr>
    </w:p>
    <w:p>
      <w:pPr>
        <w:ind w:left="2180" w:right="599" w:hanging="430"/>
        <w:spacing w:after="0" w:line="287" w:lineRule="auto"/>
        <w:tabs>
          <w:tab w:leader="none" w:pos="2143" w:val="left"/>
        </w:tabs>
        <w:numPr>
          <w:ilvl w:val="1"/>
          <w:numId w:val="440"/>
        </w:numPr>
        <w:rPr>
          <w:rFonts w:ascii="Arial" w:cs="Arial" w:eastAsia="Arial" w:hAnsi="Arial"/>
          <w:sz w:val="16"/>
          <w:szCs w:val="16"/>
          <w:color w:val="auto"/>
        </w:rPr>
      </w:pPr>
      <w:r>
        <w:rPr>
          <w:rFonts w:ascii="Arial" w:cs="Arial" w:eastAsia="Arial" w:hAnsi="Arial"/>
          <w:sz w:val="16"/>
          <w:szCs w:val="16"/>
          <w:color w:val="auto"/>
        </w:rPr>
        <w:t>the execution and delivery of this Support Agreement by the Stockholder does not, and the performance by the Stockholder of its obligations hereunder will not, (i) conflict with or result in a violation of the organizational documents of the Stockholder, or</w:t>
      </w:r>
    </w:p>
    <w:p>
      <w:pPr>
        <w:spacing w:after="0" w:line="2" w:lineRule="exact"/>
        <w:rPr>
          <w:rFonts w:ascii="Arial" w:cs="Arial" w:eastAsia="Arial" w:hAnsi="Arial"/>
          <w:sz w:val="16"/>
          <w:szCs w:val="16"/>
          <w:color w:val="auto"/>
        </w:rPr>
      </w:pPr>
    </w:p>
    <w:p>
      <w:pPr>
        <w:ind w:left="2180" w:right="479"/>
        <w:spacing w:after="0" w:line="273" w:lineRule="auto"/>
        <w:rPr>
          <w:rFonts w:ascii="Arial" w:cs="Arial" w:eastAsia="Arial" w:hAnsi="Arial"/>
          <w:sz w:val="16"/>
          <w:szCs w:val="16"/>
          <w:color w:val="auto"/>
        </w:rPr>
      </w:pPr>
      <w:r>
        <w:rPr>
          <w:rFonts w:ascii="Arial" w:cs="Arial" w:eastAsia="Arial" w:hAnsi="Arial"/>
          <w:sz w:val="17"/>
          <w:szCs w:val="17"/>
          <w:color w:val="auto"/>
        </w:rPr>
        <w:t>(ii) require any consent or approval from any third party that has not been given or other action that has not been taken by any third party, in each case, to the extent such consent, approval or other action would prevent, enjoin or materially delay the performance by the Stockholder of its obligations under this Support Agreement;</w:t>
      </w:r>
    </w:p>
    <w:p>
      <w:pPr>
        <w:spacing w:after="0" w:line="108" w:lineRule="exact"/>
        <w:rPr>
          <w:rFonts w:ascii="Arial" w:cs="Arial" w:eastAsia="Arial" w:hAnsi="Arial"/>
          <w:sz w:val="16"/>
          <w:szCs w:val="16"/>
          <w:color w:val="auto"/>
        </w:rPr>
      </w:pPr>
    </w:p>
    <w:p>
      <w:pPr>
        <w:ind w:left="2180" w:right="459" w:hanging="430"/>
        <w:spacing w:after="0" w:line="296" w:lineRule="auto"/>
        <w:tabs>
          <w:tab w:leader="none" w:pos="2168" w:val="left"/>
        </w:tabs>
        <w:numPr>
          <w:ilvl w:val="1"/>
          <w:numId w:val="440"/>
        </w:numPr>
        <w:rPr>
          <w:rFonts w:ascii="Arial" w:cs="Arial" w:eastAsia="Arial" w:hAnsi="Arial"/>
          <w:sz w:val="16"/>
          <w:szCs w:val="16"/>
          <w:color w:val="auto"/>
        </w:rPr>
      </w:pPr>
      <w:r>
        <w:rPr>
          <w:rFonts w:ascii="Arial" w:cs="Arial" w:eastAsia="Arial" w:hAnsi="Arial"/>
          <w:sz w:val="16"/>
          <w:szCs w:val="16"/>
          <w:color w:val="auto"/>
        </w:rPr>
        <w:t>there are no Proceedings pending against the Stockholder or, to the knowledge of the Stockholder, threatened against the Stockholder, before (or, in the case of threatened Proceedings, that would be before) any arbitrator or any Governmental Authority, which in any manner challenges or seeks to prevent, enjoin or materially delay the performance by the Stockholder of its obligations under this Support Agreement;</w:t>
      </w:r>
    </w:p>
    <w:p>
      <w:pPr>
        <w:spacing w:after="0" w:line="80" w:lineRule="exact"/>
        <w:rPr>
          <w:rFonts w:ascii="Arial" w:cs="Arial" w:eastAsia="Arial" w:hAnsi="Arial"/>
          <w:sz w:val="16"/>
          <w:szCs w:val="16"/>
          <w:color w:val="auto"/>
        </w:rPr>
      </w:pPr>
    </w:p>
    <w:p>
      <w:pPr>
        <w:jc w:val="both"/>
        <w:ind w:left="2180" w:right="499" w:hanging="430"/>
        <w:spacing w:after="0" w:line="263" w:lineRule="auto"/>
        <w:tabs>
          <w:tab w:leader="none" w:pos="2153"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the Stockholder has had the opportunity to read the Merger Agreement and this Support Agreement and has had the opportunity to consult with tax and legal advisors of its own choosing;</w:t>
      </w:r>
    </w:p>
    <w:p>
      <w:pPr>
        <w:spacing w:after="0" w:line="116" w:lineRule="exact"/>
        <w:rPr>
          <w:rFonts w:ascii="Arial" w:cs="Arial" w:eastAsia="Arial" w:hAnsi="Arial"/>
          <w:sz w:val="18"/>
          <w:szCs w:val="18"/>
          <w:color w:val="auto"/>
        </w:rPr>
      </w:pPr>
    </w:p>
    <w:p>
      <w:pPr>
        <w:ind w:left="2180" w:right="579" w:hanging="430"/>
        <w:spacing w:after="0" w:line="308" w:lineRule="auto"/>
        <w:tabs>
          <w:tab w:leader="none" w:pos="2153" w:val="left"/>
        </w:tabs>
        <w:numPr>
          <w:ilvl w:val="1"/>
          <w:numId w:val="440"/>
        </w:numPr>
        <w:rPr>
          <w:rFonts w:ascii="Arial" w:cs="Arial" w:eastAsia="Arial" w:hAnsi="Arial"/>
          <w:sz w:val="17"/>
          <w:szCs w:val="17"/>
          <w:color w:val="auto"/>
        </w:rPr>
      </w:pPr>
      <w:r>
        <w:rPr>
          <w:rFonts w:ascii="Arial" w:cs="Arial" w:eastAsia="Arial" w:hAnsi="Arial"/>
          <w:sz w:val="17"/>
          <w:szCs w:val="17"/>
          <w:color w:val="auto"/>
        </w:rPr>
        <w:t>the Stockholder has not entered into, and shall not enter into, any agreement that would prevent the Stockholder from performing any of its obligations hereunder;</w:t>
      </w:r>
    </w:p>
    <w:p>
      <w:pPr>
        <w:spacing w:after="0" w:line="78" w:lineRule="exact"/>
        <w:rPr>
          <w:rFonts w:ascii="Arial" w:cs="Arial" w:eastAsia="Arial" w:hAnsi="Arial"/>
          <w:sz w:val="17"/>
          <w:szCs w:val="17"/>
          <w:color w:val="auto"/>
        </w:rPr>
      </w:pPr>
    </w:p>
    <w:p>
      <w:pPr>
        <w:jc w:val="both"/>
        <w:ind w:left="2180" w:right="699" w:hanging="430"/>
        <w:spacing w:after="0" w:line="263" w:lineRule="auto"/>
        <w:tabs>
          <w:tab w:leader="none" w:pos="2158"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the Stockholder has good title to the Stockholder Shares, free and clear of any Liens, and the Stockholder has the sole power to vote or cause to be voted such Stockholder Shares; and</w:t>
      </w:r>
    </w:p>
    <w:p>
      <w:pPr>
        <w:spacing w:after="0" w:line="102" w:lineRule="exact"/>
        <w:rPr>
          <w:rFonts w:ascii="Arial" w:cs="Arial" w:eastAsia="Arial" w:hAnsi="Arial"/>
          <w:sz w:val="18"/>
          <w:szCs w:val="18"/>
          <w:color w:val="auto"/>
        </w:rPr>
      </w:pPr>
    </w:p>
    <w:p>
      <w:pPr>
        <w:ind w:left="2180" w:right="499" w:hanging="430"/>
        <w:spacing w:after="0" w:line="255" w:lineRule="auto"/>
        <w:tabs>
          <w:tab w:leader="none" w:pos="2158"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the Stockholder Shares identified in Section 2 of this Support Agreement are the only voting securities of the Parent owned of record or beneficially owned by the Stockholder as of the date hereof, and none of such Stockholder Shares are subject to any proxy, voting trust or other agreement or arrangement with respect to the voting of such Stockholder Shares that is inconsistent with the Stockholder’s obligations pursuant to this Support Agreement.</w:t>
      </w:r>
    </w:p>
    <w:p>
      <w:pPr>
        <w:spacing w:after="0" w:line="124" w:lineRule="exact"/>
        <w:rPr>
          <w:rFonts w:ascii="Arial" w:cs="Arial" w:eastAsia="Arial" w:hAnsi="Arial"/>
          <w:sz w:val="18"/>
          <w:szCs w:val="18"/>
          <w:color w:val="auto"/>
        </w:rPr>
      </w:pPr>
    </w:p>
    <w:p>
      <w:pPr>
        <w:ind w:left="1760" w:right="519" w:hanging="442"/>
        <w:spacing w:after="0" w:line="254" w:lineRule="auto"/>
        <w:tabs>
          <w:tab w:leader="none" w:pos="1733" w:val="left"/>
        </w:tabs>
        <w:numPr>
          <w:ilvl w:val="0"/>
          <w:numId w:val="441"/>
        </w:numPr>
        <w:rPr>
          <w:rFonts w:ascii="Arial" w:cs="Arial" w:eastAsia="Arial" w:hAnsi="Arial"/>
          <w:sz w:val="18"/>
          <w:szCs w:val="18"/>
          <w:color w:val="auto"/>
        </w:rPr>
      </w:pPr>
      <w:r>
        <w:rPr>
          <w:rFonts w:ascii="Arial" w:cs="Arial" w:eastAsia="Arial" w:hAnsi="Arial"/>
          <w:sz w:val="18"/>
          <w:szCs w:val="18"/>
          <w:u w:val="single" w:color="auto"/>
          <w:color w:val="auto"/>
        </w:rPr>
        <w:t>Adjustment for Stock Split</w:t>
      </w:r>
      <w:r>
        <w:rPr>
          <w:rFonts w:ascii="Arial" w:cs="Arial" w:eastAsia="Arial" w:hAnsi="Arial"/>
          <w:sz w:val="18"/>
          <w:szCs w:val="18"/>
          <w:color w:val="auto"/>
        </w:rPr>
        <w:t>. If, and as often as, there are any changes in the Parent or the Stockholder Shares by way of stock split, stock dividend, combination or reclassification, or through merger, consolidation, reorganization, recapitalization or business combination, or by any other means, equitable adjustment shall be made to the provisions of this Support Agreement as may be required so that the rights, privileges, duties and obligations hereunder shall continue with respect to the Stockholder, the Parent, and the Stockholder Shares as so changed.</w:t>
      </w:r>
    </w:p>
    <w:p>
      <w:pPr>
        <w:spacing w:after="0" w:line="127" w:lineRule="exact"/>
        <w:rPr>
          <w:rFonts w:ascii="Arial" w:cs="Arial" w:eastAsia="Arial" w:hAnsi="Arial"/>
          <w:sz w:val="18"/>
          <w:szCs w:val="18"/>
          <w:color w:val="auto"/>
        </w:rPr>
      </w:pPr>
    </w:p>
    <w:p>
      <w:pPr>
        <w:ind w:left="1760" w:right="479" w:hanging="442"/>
        <w:spacing w:after="0" w:line="259" w:lineRule="auto"/>
        <w:tabs>
          <w:tab w:leader="none" w:pos="1733" w:val="left"/>
        </w:tabs>
        <w:numPr>
          <w:ilvl w:val="0"/>
          <w:numId w:val="441"/>
        </w:numPr>
        <w:rPr>
          <w:rFonts w:ascii="Arial" w:cs="Arial" w:eastAsia="Arial" w:hAnsi="Arial"/>
          <w:sz w:val="18"/>
          <w:szCs w:val="18"/>
          <w:color w:val="auto"/>
        </w:rPr>
      </w:pPr>
      <w:r>
        <w:rPr>
          <w:rFonts w:ascii="Arial" w:cs="Arial" w:eastAsia="Arial" w:hAnsi="Arial"/>
          <w:sz w:val="18"/>
          <w:szCs w:val="18"/>
          <w:u w:val="single" w:color="auto"/>
          <w:color w:val="auto"/>
        </w:rPr>
        <w:t>Further Actions</w:t>
      </w:r>
      <w:r>
        <w:rPr>
          <w:rFonts w:ascii="Arial" w:cs="Arial" w:eastAsia="Arial" w:hAnsi="Arial"/>
          <w:sz w:val="18"/>
          <w:szCs w:val="18"/>
          <w:color w:val="auto"/>
        </w:rPr>
        <w:t>. Each of the parties hereto agrees to execute and deliver hereafter any further document, agreement or instrument of assignment, transfer or conveyance as may be necessary or desirable to effectuate the purposes hereof and as may be reasonably requested in writing by another party hereto.</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2" w:name="page423"/>
    <w:bookmarkEnd w:id="42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839" w:firstLine="432"/>
        <w:spacing w:after="0" w:line="308" w:lineRule="auto"/>
        <w:rPr>
          <w:sz w:val="20"/>
          <w:szCs w:val="20"/>
          <w:color w:val="auto"/>
        </w:rPr>
      </w:pPr>
      <w:r>
        <w:rPr>
          <w:rFonts w:ascii="Arial" w:cs="Arial" w:eastAsia="Arial" w:hAnsi="Arial"/>
          <w:sz w:val="17"/>
          <w:szCs w:val="17"/>
          <w:color w:val="auto"/>
        </w:rPr>
        <w:t>If the above correctly reflects our understanding and agreement with respect to the foregoing matters, please so confirm by signing in the space below and returning this letter agreement to us.</w:t>
      </w:r>
    </w:p>
    <w:p>
      <w:pPr>
        <w:spacing w:after="0" w:line="14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Sincerely,</w:t>
      </w:r>
    </w:p>
    <w:p>
      <w:pPr>
        <w:spacing w:after="0" w:line="18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BCTG HOLDINGS, LLC</w:t>
      </w:r>
    </w:p>
    <w:p>
      <w:pPr>
        <w:spacing w:after="0" w:line="20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48895</wp:posOffset>
            </wp:positionV>
            <wp:extent cx="222885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Title:</w:t>
      </w:r>
    </w:p>
    <w:p>
      <w:pPr>
        <w:spacing w:after="0" w:line="18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12860 El Camino Real, Suite 300</w:t>
      </w:r>
    </w:p>
    <w:p>
      <w:pPr>
        <w:spacing w:after="0" w:line="9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San Diego, CA 92130</w:t>
      </w:r>
    </w:p>
    <w:p>
      <w:pPr>
        <w:spacing w:after="0" w:line="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Attention: Aaron Davis</w:t>
      </w:r>
    </w:p>
    <w:p>
      <w:pPr>
        <w:spacing w:after="0" w:line="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E-mail: [REDACTED]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Accepted and Agreed:</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TANGO THERAPEUTICS, INC.</w:t>
      </w:r>
    </w:p>
    <w:p>
      <w:pPr>
        <w:spacing w:after="0" w:line="3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40640</wp:posOffset>
            </wp:positionV>
            <wp:extent cx="21513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Title:</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BCTG ACQUISITION CORP.</w:t>
      </w:r>
    </w:p>
    <w:p>
      <w:pPr>
        <w:spacing w:after="0" w:line="3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40640</wp:posOffset>
            </wp:positionV>
            <wp:extent cx="21513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5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Title: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Parent Support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3" w:name="page424"/>
    <w:bookmarkEnd w:id="42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MERGER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MERGER 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MERGER SUB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AND INTO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130"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 2021</w:t>
      </w:r>
    </w:p>
    <w:p>
      <w:pPr>
        <w:spacing w:after="0" w:line="158"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Pursuant to Title 8, Section 251(c)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43"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Tango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does hereby certify to the following facts relating to the merger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of BCTG Merger Sub Inc., a Delaware corporation (“</w:t>
      </w:r>
      <w:r>
        <w:rPr>
          <w:rFonts w:ascii="Arial" w:cs="Arial" w:eastAsia="Arial" w:hAnsi="Arial"/>
          <w:sz w:val="18"/>
          <w:szCs w:val="18"/>
          <w:b w:val="1"/>
          <w:bCs w:val="1"/>
          <w:i w:val="1"/>
          <w:iCs w:val="1"/>
          <w:color w:val="auto"/>
        </w:rPr>
        <w:t>Merging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with and into the Company, with the Company remaining as the surviving corporation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Merger (the “</w:t>
      </w:r>
      <w:r>
        <w:rPr>
          <w:rFonts w:ascii="Arial" w:cs="Arial" w:eastAsia="Arial" w:hAnsi="Arial"/>
          <w:sz w:val="18"/>
          <w:szCs w:val="18"/>
          <w:b w:val="1"/>
          <w:bCs w:val="1"/>
          <w:i w:val="1"/>
          <w:iCs w:val="1"/>
          <w:color w:val="auto"/>
        </w:rPr>
        <w:t>Surviving Corporation</w:t>
      </w:r>
      <w:r>
        <w:rPr>
          <w:rFonts w:ascii="Arial" w:cs="Arial" w:eastAsia="Arial" w:hAnsi="Arial"/>
          <w:sz w:val="18"/>
          <w:szCs w:val="18"/>
          <w:color w:val="auto"/>
        </w:rPr>
        <w:t>”):</w:t>
      </w:r>
    </w:p>
    <w:p>
      <w:pPr>
        <w:spacing w:after="0" w:line="102" w:lineRule="exact"/>
        <w:rPr>
          <w:sz w:val="20"/>
          <w:szCs w:val="20"/>
          <w:color w:val="auto"/>
        </w:rPr>
      </w:pPr>
    </w:p>
    <w:p>
      <w:pPr>
        <w:ind w:left="460" w:right="539" w:firstLine="432"/>
        <w:spacing w:after="0" w:line="312" w:lineRule="auto"/>
        <w:rPr>
          <w:sz w:val="20"/>
          <w:szCs w:val="20"/>
          <w:color w:val="auto"/>
        </w:rPr>
      </w:pPr>
      <w:r>
        <w:rPr>
          <w:rFonts w:ascii="Arial" w:cs="Arial" w:eastAsia="Arial" w:hAnsi="Arial"/>
          <w:sz w:val="17"/>
          <w:szCs w:val="17"/>
          <w:b w:val="1"/>
          <w:bCs w:val="1"/>
          <w:color w:val="auto"/>
        </w:rPr>
        <w:t>FIRST</w:t>
      </w:r>
      <w:r>
        <w:rPr>
          <w:rFonts w:ascii="Arial" w:cs="Arial" w:eastAsia="Arial" w:hAnsi="Arial"/>
          <w:sz w:val="17"/>
          <w:szCs w:val="17"/>
          <w:color w:val="auto"/>
        </w:rPr>
        <w:t>: The Company is incorporated pursuant to the DGCL. Merger Sub is incorporated pursuant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DGCL. The Company and Merger Sub are the constituent corporations in the Merger.</w:t>
      </w:r>
    </w:p>
    <w:p>
      <w:pPr>
        <w:spacing w:after="0" w:line="72" w:lineRule="exact"/>
        <w:rPr>
          <w:sz w:val="20"/>
          <w:szCs w:val="20"/>
          <w:color w:val="auto"/>
        </w:rPr>
      </w:pPr>
    </w:p>
    <w:p>
      <w:pPr>
        <w:ind w:left="460" w:right="1079" w:firstLine="432"/>
        <w:spacing w:after="0" w:line="266"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An Agreement and Plan of Merger, dated April [•], 2021, has been approved, adopted,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and acknowledged by each of the Company and Merging Corporation in accordance with the provisions of Title 8 Section 251(c) of the DGCL.</w:t>
      </w:r>
    </w:p>
    <w:p>
      <w:pPr>
        <w:spacing w:after="0" w:line="10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Following the Merger, the name of the Surviving Corporation shall be [Tango Therapeutics,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w:t>
      </w:r>
    </w:p>
    <w:p>
      <w:pPr>
        <w:spacing w:after="0" w:line="126" w:lineRule="exact"/>
        <w:rPr>
          <w:sz w:val="20"/>
          <w:szCs w:val="20"/>
          <w:color w:val="auto"/>
        </w:rPr>
      </w:pPr>
    </w:p>
    <w:p>
      <w:pPr>
        <w:ind w:left="460" w:right="779" w:firstLine="432"/>
        <w:spacing w:after="0" w:line="266" w:lineRule="auto"/>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Upon the effectiveness of this Certificate of Merger, the Certificate of Incorporation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Surviving Corporation shall be the Certificate of Incorporation of the Merging Corporation until further amended and changed pursuant to the DGCL.</w:t>
      </w:r>
    </w:p>
    <w:p>
      <w:pPr>
        <w:spacing w:after="0" w:line="108" w:lineRule="exact"/>
        <w:rPr>
          <w:sz w:val="20"/>
          <w:szCs w:val="20"/>
          <w:color w:val="auto"/>
        </w:rPr>
      </w:pPr>
    </w:p>
    <w:p>
      <w:pPr>
        <w:ind w:left="460" w:right="1239" w:firstLine="432"/>
        <w:spacing w:after="0" w:line="347" w:lineRule="auto"/>
        <w:rPr>
          <w:sz w:val="20"/>
          <w:szCs w:val="20"/>
          <w:color w:val="auto"/>
        </w:rPr>
      </w:pPr>
      <w:r>
        <w:rPr>
          <w:rFonts w:ascii="Arial" w:cs="Arial" w:eastAsia="Arial" w:hAnsi="Arial"/>
          <w:sz w:val="16"/>
          <w:szCs w:val="16"/>
          <w:b w:val="1"/>
          <w:bCs w:val="1"/>
          <w:color w:val="auto"/>
        </w:rPr>
        <w:t>FIFTH</w:t>
      </w:r>
      <w:r>
        <w:rPr>
          <w:rFonts w:ascii="Arial" w:cs="Arial" w:eastAsia="Arial" w:hAnsi="Arial"/>
          <w:sz w:val="16"/>
          <w:szCs w:val="16"/>
          <w:color w:val="auto"/>
        </w:rPr>
        <w:t>: The executed Agreement and Plan of Merger is on file at 100 Binney Street, Suite 700,</w:t>
      </w:r>
      <w:r>
        <w:rPr>
          <w:rFonts w:ascii="Arial" w:cs="Arial" w:eastAsia="Arial" w:hAnsi="Arial"/>
          <w:sz w:val="16"/>
          <w:szCs w:val="16"/>
          <w:b w:val="1"/>
          <w:bCs w:val="1"/>
          <w:color w:val="auto"/>
        </w:rPr>
        <w:t xml:space="preserve"> </w:t>
      </w:r>
      <w:r>
        <w:rPr>
          <w:rFonts w:ascii="Arial" w:cs="Arial" w:eastAsia="Arial" w:hAnsi="Arial"/>
          <w:sz w:val="16"/>
          <w:szCs w:val="16"/>
          <w:color w:val="auto"/>
        </w:rPr>
        <w:t>Cambridge, Massachusetts 02142, the principal place of business of the Surviving Corporation.</w:t>
      </w:r>
    </w:p>
    <w:p>
      <w:pPr>
        <w:spacing w:after="0" w:line="48" w:lineRule="exact"/>
        <w:rPr>
          <w:sz w:val="20"/>
          <w:szCs w:val="20"/>
          <w:color w:val="auto"/>
        </w:rPr>
      </w:pPr>
    </w:p>
    <w:p>
      <w:pPr>
        <w:ind w:left="460" w:right="1019" w:firstLine="432"/>
        <w:spacing w:after="0" w:line="312" w:lineRule="auto"/>
        <w:rPr>
          <w:sz w:val="20"/>
          <w:szCs w:val="20"/>
          <w:color w:val="auto"/>
        </w:rPr>
      </w:pPr>
      <w:r>
        <w:rPr>
          <w:rFonts w:ascii="Arial" w:cs="Arial" w:eastAsia="Arial" w:hAnsi="Arial"/>
          <w:sz w:val="17"/>
          <w:szCs w:val="17"/>
          <w:b w:val="1"/>
          <w:bCs w:val="1"/>
          <w:color w:val="auto"/>
        </w:rPr>
        <w:t>SIXTH</w:t>
      </w:r>
      <w:r>
        <w:rPr>
          <w:rFonts w:ascii="Arial" w:cs="Arial" w:eastAsia="Arial" w:hAnsi="Arial"/>
          <w:sz w:val="17"/>
          <w:szCs w:val="17"/>
          <w:color w:val="auto"/>
        </w:rPr>
        <w:t>: A copy of the executed Agreement and Plan of Merger will be furnished by the Surviving</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on request, without cost, to any stockholder of the constituent corporations.</w:t>
      </w:r>
    </w:p>
    <w:p>
      <w:pPr>
        <w:spacing w:after="0" w:line="59" w:lineRule="exact"/>
        <w:rPr>
          <w:sz w:val="20"/>
          <w:szCs w:val="20"/>
          <w:color w:val="auto"/>
        </w:rPr>
      </w:pPr>
    </w:p>
    <w:p>
      <w:pPr>
        <w:ind w:left="460" w:right="579" w:firstLine="432"/>
        <w:spacing w:after="0" w:line="266" w:lineRule="auto"/>
        <w:rPr>
          <w:sz w:val="20"/>
          <w:szCs w:val="20"/>
          <w:color w:val="auto"/>
        </w:rPr>
      </w:pPr>
      <w:r>
        <w:rPr>
          <w:rFonts w:ascii="Arial" w:cs="Arial" w:eastAsia="Arial" w:hAnsi="Arial"/>
          <w:sz w:val="18"/>
          <w:szCs w:val="18"/>
          <w:b w:val="1"/>
          <w:bCs w:val="1"/>
          <w:color w:val="auto"/>
        </w:rPr>
        <w:t>SEVENTH</w:t>
      </w:r>
      <w:r>
        <w:rPr>
          <w:rFonts w:ascii="Arial" w:cs="Arial" w:eastAsia="Arial" w:hAnsi="Arial"/>
          <w:sz w:val="18"/>
          <w:szCs w:val="18"/>
          <w:color w:val="auto"/>
        </w:rPr>
        <w:t>: The Merger shall become effective upon filing of this Certificate of Merger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of State of the State of Delaware in accordance with the provisions of Sections 103 and 251(c) of the DGCL.</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4" w:name="page425"/>
    <w:bookmarkEnd w:id="42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60" w:right="499" w:firstLine="432"/>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Surviving Corporation has caused this Certificate of Merger to be signed</w:t>
      </w:r>
      <w:r>
        <w:rPr>
          <w:rFonts w:ascii="Arial" w:cs="Arial" w:eastAsia="Arial" w:hAnsi="Arial"/>
          <w:sz w:val="18"/>
          <w:szCs w:val="18"/>
          <w:b w:val="1"/>
          <w:bCs w:val="1"/>
          <w:color w:val="auto"/>
        </w:rPr>
        <w:t xml:space="preserve"> </w:t>
      </w:r>
      <w:r>
        <w:rPr>
          <w:rFonts w:ascii="Arial" w:cs="Arial" w:eastAsia="Arial" w:hAnsi="Arial"/>
          <w:sz w:val="18"/>
          <w:szCs w:val="18"/>
          <w:color w:val="auto"/>
        </w:rPr>
        <w:t>by an authorized officer, on the [•] day of [•], 2021.</w:t>
      </w:r>
    </w:p>
    <w:p>
      <w:pPr>
        <w:spacing w:after="0" w:line="162"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URVIVING</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r>
        <w:rPr>
          <w:rFonts w:ascii="Arial" w:cs="Arial" w:eastAsia="Arial" w:hAnsi="Arial"/>
          <w:sz w:val="18"/>
          <w:szCs w:val="18"/>
          <w:b w:val="1"/>
          <w:bCs w:val="1"/>
          <w:color w:val="auto"/>
        </w:rPr>
        <w:t>]</w:t>
      </w:r>
    </w:p>
    <w:p>
      <w:pPr>
        <w:spacing w:after="0" w:line="36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40640</wp:posOffset>
            </wp:positionV>
            <wp:extent cx="202311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Authorized Officer</w:t>
      </w:r>
    </w:p>
    <w:p>
      <w:pPr>
        <w:spacing w:after="0" w:line="36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40640</wp:posOffset>
            </wp:positionV>
            <wp:extent cx="202311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5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40640</wp:posOffset>
            </wp:positionV>
            <wp:extent cx="202311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Certificate of Merger]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5" w:name="page426"/>
    <w:bookmarkEnd w:id="42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AGREEMENT</w:t>
      </w:r>
    </w:p>
    <w:p>
      <w:pPr>
        <w:spacing w:after="0" w:line="148"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THIS LOCK-UP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 2021, by and between the undersigned (the “</w:t>
      </w:r>
      <w:r>
        <w:rPr>
          <w:rFonts w:ascii="Arial" w:cs="Arial" w:eastAsia="Arial" w:hAnsi="Arial"/>
          <w:sz w:val="18"/>
          <w:szCs w:val="18"/>
          <w:u w:val="single" w:color="auto"/>
          <w:color w:val="auto"/>
        </w:rPr>
        <w:t>Holder</w:t>
      </w:r>
      <w:r>
        <w:rPr>
          <w:rFonts w:ascii="Arial" w:cs="Arial" w:eastAsia="Arial" w:hAnsi="Arial"/>
          <w:sz w:val="18"/>
          <w:szCs w:val="18"/>
          <w:color w:val="auto"/>
        </w:rPr>
        <w:t>”) and BCTG Acquisition Corp., a Delaware corporation (the “</w:t>
      </w:r>
      <w:r>
        <w:rPr>
          <w:rFonts w:ascii="Arial" w:cs="Arial" w:eastAsia="Arial" w:hAnsi="Arial"/>
          <w:sz w:val="18"/>
          <w:szCs w:val="18"/>
          <w:u w:val="single" w:color="auto"/>
          <w:color w:val="auto"/>
        </w:rPr>
        <w:t>Purchaser</w:t>
      </w:r>
      <w:r>
        <w:rPr>
          <w:rFonts w:ascii="Arial" w:cs="Arial" w:eastAsia="Arial" w:hAnsi="Arial"/>
          <w:sz w:val="18"/>
          <w:szCs w:val="18"/>
          <w:color w:val="auto"/>
        </w:rPr>
        <w:t>”). Capitalized terms used and not otherwise defined herein shall have the meanings given such terms in the Merger Agreement (as defined below).</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 Purchaser, BCTG Merger Sub Inc., a Delaware corporation and wholly-owned subsidiary of Purchaser and Tango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 Merger Agreement dated as of April [•], 2021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w:t>
      </w:r>
    </w:p>
    <w:p>
      <w:pPr>
        <w:spacing w:after="0" w:line="116"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B. Pursuant to the Merger Agreement, Purchaser will become the 100% stockholder of the Company (the “</w:t>
      </w:r>
      <w:r>
        <w:rPr>
          <w:rFonts w:ascii="Arial" w:cs="Arial" w:eastAsia="Arial" w:hAnsi="Arial"/>
          <w:sz w:val="18"/>
          <w:szCs w:val="18"/>
          <w:u w:val="single" w:color="auto"/>
          <w:color w:val="auto"/>
        </w:rPr>
        <w:t>Transaction</w:t>
      </w:r>
      <w:r>
        <w:rPr>
          <w:rFonts w:ascii="Arial" w:cs="Arial" w:eastAsia="Arial" w:hAnsi="Arial"/>
          <w:sz w:val="18"/>
          <w:szCs w:val="18"/>
          <w:color w:val="auto"/>
        </w:rPr>
        <w:t>”).</w:t>
      </w:r>
    </w:p>
    <w:p>
      <w:pPr>
        <w:spacing w:after="0" w:line="89" w:lineRule="exact"/>
        <w:rPr>
          <w:sz w:val="20"/>
          <w:szCs w:val="20"/>
          <w:color w:val="auto"/>
        </w:rPr>
      </w:pPr>
    </w:p>
    <w:p>
      <w:pPr>
        <w:ind w:left="460" w:right="699" w:firstLine="432"/>
        <w:spacing w:after="0" w:line="308" w:lineRule="auto"/>
        <w:rPr>
          <w:sz w:val="20"/>
          <w:szCs w:val="20"/>
          <w:color w:val="auto"/>
        </w:rPr>
      </w:pPr>
      <w:r>
        <w:rPr>
          <w:rFonts w:ascii="Arial" w:cs="Arial" w:eastAsia="Arial" w:hAnsi="Arial"/>
          <w:sz w:val="17"/>
          <w:szCs w:val="17"/>
          <w:color w:val="auto"/>
        </w:rPr>
        <w:t>C. The Holder is the record and/or beneficial owner of certain shares of Company Capital Stock, which will be exchange for shares of Purchaser Common Stock pursuant to the Merger Agreement.</w:t>
      </w:r>
    </w:p>
    <w:p>
      <w:pPr>
        <w:spacing w:after="0" w:line="79" w:lineRule="exact"/>
        <w:rPr>
          <w:sz w:val="20"/>
          <w:szCs w:val="20"/>
          <w:color w:val="auto"/>
        </w:rPr>
      </w:pPr>
    </w:p>
    <w:p>
      <w:pPr>
        <w:ind w:left="460" w:right="1039" w:firstLine="432"/>
        <w:spacing w:after="0" w:line="263" w:lineRule="auto"/>
        <w:rPr>
          <w:sz w:val="20"/>
          <w:szCs w:val="20"/>
          <w:color w:val="auto"/>
        </w:rPr>
      </w:pPr>
      <w:r>
        <w:rPr>
          <w:rFonts w:ascii="Arial" w:cs="Arial" w:eastAsia="Arial" w:hAnsi="Arial"/>
          <w:sz w:val="18"/>
          <w:szCs w:val="18"/>
          <w:color w:val="auto"/>
        </w:rPr>
        <w:t>D. As a condition of, and as a material inducement for Purchaser to enter into and consummate the transactions contemplated by the Merger Agreement, the Holder has agreed to execute and deliver this Agreement.</w:t>
      </w:r>
    </w:p>
    <w:p>
      <w:pPr>
        <w:spacing w:after="0" w:line="116" w:lineRule="exact"/>
        <w:rPr>
          <w:sz w:val="20"/>
          <w:szCs w:val="20"/>
          <w:color w:val="auto"/>
        </w:rPr>
      </w:pPr>
    </w:p>
    <w:p>
      <w:pPr>
        <w:jc w:val="both"/>
        <w:ind w:left="460" w:right="679" w:firstLine="432"/>
        <w:spacing w:after="0" w:line="263" w:lineRule="auto"/>
        <w:rPr>
          <w:sz w:val="20"/>
          <w:szCs w:val="20"/>
          <w:color w:val="auto"/>
        </w:rPr>
      </w:pPr>
      <w:r>
        <w:rPr>
          <w:rFonts w:ascii="Arial" w:cs="Arial" w:eastAsia="Arial" w:hAnsi="Arial"/>
          <w:sz w:val="18"/>
          <w:szCs w:val="18"/>
          <w:color w:val="auto"/>
        </w:rPr>
        <w:t>NOW, THEREFORE, for and in consideration of the mutual covenants and agreements set forth herein, and other good and valuable consideration, the receipt and sufficiency of which is hereby acknowledged, the parties, intending to be legally bound, agree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48" w:lineRule="exact"/>
        <w:rPr>
          <w:sz w:val="20"/>
          <w:szCs w:val="20"/>
          <w:color w:val="auto"/>
        </w:rPr>
      </w:pPr>
    </w:p>
    <w:p>
      <w:pPr>
        <w:ind w:left="1060" w:hanging="174"/>
        <w:spacing w:after="0"/>
        <w:tabs>
          <w:tab w:leader="none" w:pos="1060" w:val="left"/>
        </w:tabs>
        <w:numPr>
          <w:ilvl w:val="0"/>
          <w:numId w:val="442"/>
        </w:numPr>
        <w:rPr>
          <w:rFonts w:ascii="Arial" w:cs="Arial" w:eastAsia="Arial" w:hAnsi="Arial"/>
          <w:sz w:val="18"/>
          <w:szCs w:val="18"/>
          <w:color w:val="auto"/>
        </w:rPr>
      </w:pPr>
      <w:r>
        <w:rPr>
          <w:rFonts w:ascii="Arial" w:cs="Arial" w:eastAsia="Arial" w:hAnsi="Arial"/>
          <w:sz w:val="18"/>
          <w:szCs w:val="18"/>
          <w:u w:val="single" w:color="auto"/>
          <w:color w:val="auto"/>
        </w:rPr>
        <w:t>Lock-Up</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60" w:right="599" w:firstLine="858"/>
        <w:spacing w:after="0" w:line="287" w:lineRule="auto"/>
        <w:tabs>
          <w:tab w:leader="none" w:pos="1569" w:val="left"/>
        </w:tabs>
        <w:numPr>
          <w:ilvl w:val="1"/>
          <w:numId w:val="442"/>
        </w:numPr>
        <w:rPr>
          <w:rFonts w:ascii="Arial" w:cs="Arial" w:eastAsia="Arial" w:hAnsi="Arial"/>
          <w:sz w:val="16"/>
          <w:szCs w:val="16"/>
          <w:color w:val="auto"/>
        </w:rPr>
      </w:pPr>
      <w:r>
        <w:rPr>
          <w:rFonts w:ascii="Arial" w:cs="Arial" w:eastAsia="Arial" w:hAnsi="Arial"/>
          <w:sz w:val="16"/>
          <w:szCs w:val="16"/>
          <w:color w:val="auto"/>
        </w:rPr>
        <w:t>During the Lock-up Period (as defined below), the Holder irrevocably agrees that it, he or she will not offer, sell, contract to sell, pledge or otherwise dispose of, directly or indirectly, any of the Lock-up Shares (as defined below), enter into a transaction that would have the same effect, or enter into any swap, hedge or other arrangement that transfers, in whole or in part, any of the economic consequences of ownership of such Lock-up Shares, whether any of these transactions are to be settled by delivery of any such Lock-up Shares, in cash or otherwise, publicly disclose the intention to make any offer, sale, pledge or disposition, or to enter into any transaction, swap, hedge or other arrangement, or engage in any Short Sales (as defined below) with respect to any security of Purchaser; provided, for the avoidance of doubt, that nothing in this Agreement shall restrict the Holder’s right to cause the Company to file and cause to become effective a registration statement with the U.S. Securities and Exchange Commission (the “SEC”) naming such Holder as a selling securityholder (and to make any required disclosures in respect thereof).</w:t>
      </w:r>
    </w:p>
    <w:p>
      <w:pPr>
        <w:spacing w:after="0" w:line="104" w:lineRule="exact"/>
        <w:rPr>
          <w:rFonts w:ascii="Arial" w:cs="Arial" w:eastAsia="Arial" w:hAnsi="Arial"/>
          <w:sz w:val="16"/>
          <w:szCs w:val="16"/>
          <w:color w:val="auto"/>
        </w:rPr>
      </w:pPr>
    </w:p>
    <w:p>
      <w:pPr>
        <w:ind w:left="460" w:right="519" w:firstLine="858"/>
        <w:spacing w:after="0" w:line="257" w:lineRule="auto"/>
        <w:tabs>
          <w:tab w:leader="none" w:pos="1579" w:val="left"/>
        </w:tabs>
        <w:numPr>
          <w:ilvl w:val="1"/>
          <w:numId w:val="442"/>
        </w:numPr>
        <w:rPr>
          <w:rFonts w:ascii="Arial" w:cs="Arial" w:eastAsia="Arial" w:hAnsi="Arial"/>
          <w:sz w:val="18"/>
          <w:szCs w:val="18"/>
          <w:color w:val="auto"/>
        </w:rPr>
      </w:pPr>
      <w:r>
        <w:rPr>
          <w:rFonts w:ascii="Arial" w:cs="Arial" w:eastAsia="Arial" w:hAnsi="Arial"/>
          <w:sz w:val="18"/>
          <w:szCs w:val="18"/>
          <w:color w:val="auto"/>
        </w:rPr>
        <w:t>In furtherance of the foregoing, Purchaser will (i) place an irrevocable stop order on all Lock-up Shares, including those which may be covered by a registration statement, and (ii) notify Purchaser’ transfer agent in writing of the stop order and the restrictions on such Lock-up Shares under this Agreement and direct Purchaser’ transfer agent not to process any attempts by the Holder to resell or transfer any Lock-up Shares, except in compliance with this Agreement.</w:t>
      </w:r>
    </w:p>
    <w:p>
      <w:pPr>
        <w:spacing w:after="0" w:line="106" w:lineRule="exact"/>
        <w:rPr>
          <w:rFonts w:ascii="Arial" w:cs="Arial" w:eastAsia="Arial" w:hAnsi="Arial"/>
          <w:sz w:val="18"/>
          <w:szCs w:val="18"/>
          <w:color w:val="auto"/>
        </w:rPr>
      </w:pPr>
    </w:p>
    <w:p>
      <w:pPr>
        <w:ind w:left="460" w:right="479" w:firstLine="858"/>
        <w:spacing w:after="0" w:line="257" w:lineRule="auto"/>
        <w:tabs>
          <w:tab w:leader="none" w:pos="1569" w:val="left"/>
        </w:tabs>
        <w:numPr>
          <w:ilvl w:val="1"/>
          <w:numId w:val="442"/>
        </w:numPr>
        <w:rPr>
          <w:rFonts w:ascii="Arial" w:cs="Arial" w:eastAsia="Arial" w:hAnsi="Arial"/>
          <w:sz w:val="18"/>
          <w:szCs w:val="18"/>
          <w:color w:val="auto"/>
        </w:rPr>
      </w:pPr>
      <w:r>
        <w:rPr>
          <w:rFonts w:ascii="Arial" w:cs="Arial" w:eastAsia="Arial" w:hAnsi="Arial"/>
          <w:sz w:val="18"/>
          <w:szCs w:val="18"/>
          <w:color w:val="auto"/>
        </w:rPr>
        <w:t>For purposes hereof, “</w:t>
      </w:r>
      <w:r>
        <w:rPr>
          <w:rFonts w:ascii="Arial" w:cs="Arial" w:eastAsia="Arial" w:hAnsi="Arial"/>
          <w:sz w:val="18"/>
          <w:szCs w:val="18"/>
          <w:u w:val="single" w:color="auto"/>
          <w:color w:val="auto"/>
        </w:rPr>
        <w:t>Short Sales</w:t>
      </w:r>
      <w:r>
        <w:rPr>
          <w:rFonts w:ascii="Arial" w:cs="Arial" w:eastAsia="Arial" w:hAnsi="Arial"/>
          <w:sz w:val="18"/>
          <w:szCs w:val="18"/>
          <w:color w:val="auto"/>
        </w:rPr>
        <w:t>” include, without limitation, all “short sales” as defined in Rule 200 promulgated under Regulation SHO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all types of direct and indirect stock pledges, forward sale contracts, options, puts, calls, swaps and similar arrangements (including on a total return basis), and sales and other transactions through non-US broker dealers or foreign regulated brokers.</w:t>
      </w:r>
    </w:p>
    <w:p>
      <w:pPr>
        <w:spacing w:after="0" w:line="120" w:lineRule="exact"/>
        <w:rPr>
          <w:rFonts w:ascii="Arial" w:cs="Arial" w:eastAsia="Arial" w:hAnsi="Arial"/>
          <w:sz w:val="18"/>
          <w:szCs w:val="18"/>
          <w:color w:val="auto"/>
        </w:rPr>
      </w:pPr>
    </w:p>
    <w:p>
      <w:pPr>
        <w:ind w:left="460" w:right="499" w:firstLine="858"/>
        <w:spacing w:after="0" w:line="342" w:lineRule="auto"/>
        <w:tabs>
          <w:tab w:leader="none" w:pos="1579" w:val="left"/>
        </w:tabs>
        <w:numPr>
          <w:ilvl w:val="1"/>
          <w:numId w:val="442"/>
        </w:numPr>
        <w:rPr>
          <w:rFonts w:ascii="Arial" w:cs="Arial" w:eastAsia="Arial" w:hAnsi="Arial"/>
          <w:sz w:val="16"/>
          <w:szCs w:val="16"/>
          <w:color w:val="auto"/>
        </w:rPr>
      </w:pPr>
      <w:r>
        <w:rPr>
          <w:rFonts w:ascii="Arial" w:cs="Arial" w:eastAsia="Arial" w:hAnsi="Arial"/>
          <w:sz w:val="16"/>
          <w:szCs w:val="16"/>
          <w:color w:val="auto"/>
        </w:rPr>
        <w:t>For purpose of this Agreement, the “</w:t>
      </w:r>
      <w:r>
        <w:rPr>
          <w:rFonts w:ascii="Arial" w:cs="Arial" w:eastAsia="Arial" w:hAnsi="Arial"/>
          <w:sz w:val="16"/>
          <w:szCs w:val="16"/>
          <w:u w:val="single" w:color="auto"/>
          <w:color w:val="auto"/>
        </w:rPr>
        <w:t>Lock-up Period</w:t>
      </w:r>
      <w:r>
        <w:rPr>
          <w:rFonts w:ascii="Arial" w:cs="Arial" w:eastAsia="Arial" w:hAnsi="Arial"/>
          <w:sz w:val="16"/>
          <w:szCs w:val="16"/>
          <w:color w:val="auto"/>
        </w:rPr>
        <w:t>” means with respect to the Lock-up Shares, the period commencing on the Closing Date and ending on the date that is 180 calendar days thereafter.</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6" w:name="page427"/>
    <w:bookmarkEnd w:id="42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858"/>
        <w:spacing w:after="0" w:line="288" w:lineRule="auto"/>
        <w:tabs>
          <w:tab w:leader="none" w:pos="1569" w:val="left"/>
        </w:tabs>
        <w:numPr>
          <w:ilvl w:val="1"/>
          <w:numId w:val="443"/>
        </w:numPr>
        <w:rPr>
          <w:rFonts w:ascii="Arial" w:cs="Arial" w:eastAsia="Arial" w:hAnsi="Arial"/>
          <w:sz w:val="16"/>
          <w:szCs w:val="16"/>
          <w:color w:val="auto"/>
        </w:rPr>
      </w:pPr>
      <w:r>
        <w:rPr>
          <w:rFonts w:ascii="Arial" w:cs="Arial" w:eastAsia="Arial" w:hAnsi="Arial"/>
          <w:sz w:val="16"/>
          <w:szCs w:val="16"/>
          <w:color w:val="auto"/>
        </w:rPr>
        <w:t xml:space="preserve">The restrictions set forth herein shall not apply to: (1) transfers or distributions to the Holder’s current or former general or limited partners, managers or members, stockholders, other equityholders or other direct or indirect affiliates (within the meaning of Rule 405 under the Securities Act of 1933, as amended) or to the estates of any of the foregoing; (2) transfers by bona fide gift to a member of the Holder’s immediate family or to a trust, the beneficiary of which is the Holder or a member of the Holder’s immediate family for estate planning purposes; (3) by virtue of will, intestate succession or the laws of descent and distribution upon death of the Holder; (4) pursuant to a qualified domestic relations order, in each case where such transferee agrees to be bound by the terms of this Agreement; (5) establishment of a trading plan pursuant to Rule 10b5-1 under the Exchange Act for the transfer of Restricted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plan does not provide for the transfer of Lock-Up Shares during the Lock-Up Period.</w:t>
      </w:r>
    </w:p>
    <w:p>
      <w:pPr>
        <w:spacing w:after="0" w:line="100" w:lineRule="exact"/>
        <w:rPr>
          <w:rFonts w:ascii="Arial" w:cs="Arial" w:eastAsia="Arial" w:hAnsi="Arial"/>
          <w:sz w:val="16"/>
          <w:szCs w:val="16"/>
          <w:color w:val="auto"/>
        </w:rPr>
      </w:pPr>
    </w:p>
    <w:p>
      <w:pPr>
        <w:ind w:left="460" w:right="559" w:firstLine="858"/>
        <w:spacing w:after="0" w:line="290" w:lineRule="auto"/>
        <w:tabs>
          <w:tab w:leader="none" w:pos="1549" w:val="left"/>
        </w:tabs>
        <w:numPr>
          <w:ilvl w:val="1"/>
          <w:numId w:val="443"/>
        </w:numPr>
        <w:rPr>
          <w:rFonts w:ascii="Arial" w:cs="Arial" w:eastAsia="Arial" w:hAnsi="Arial"/>
          <w:sz w:val="16"/>
          <w:szCs w:val="16"/>
          <w:color w:val="auto"/>
        </w:rPr>
      </w:pPr>
      <w:r>
        <w:rPr>
          <w:rFonts w:ascii="Arial" w:cs="Arial" w:eastAsia="Arial" w:hAnsi="Arial"/>
          <w:sz w:val="16"/>
          <w:szCs w:val="16"/>
          <w:color w:val="auto"/>
        </w:rPr>
        <w:t>In addition, after the Closing Date, if there is a Change of Control, then upon the consummation of such Change of Control, all Lock-up Shares shall be released from the restrictions contained herein. A “</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 the sale of all or substantially all of the consolidated assets of Purchaser and Purchaser subsidiaries to a third-party purchaser; (b) a sale resulting in no less than a majority of the voting power of the Purchaser being held by person that did not own a majority of the voting power prior to such sale; or (c) a merger, consolidation, recapitalization or reorganization of Purchaser with or into a third-party purchaser that results in the inability of the pre-transaction equity holders to designate or elect a majority of the Board of Directors (or its equivalent) of the resulting entity or its parent company.</w:t>
      </w:r>
    </w:p>
    <w:p>
      <w:pPr>
        <w:spacing w:after="0" w:line="97" w:lineRule="exact"/>
        <w:rPr>
          <w:rFonts w:ascii="Arial" w:cs="Arial" w:eastAsia="Arial" w:hAnsi="Arial"/>
          <w:sz w:val="16"/>
          <w:szCs w:val="16"/>
          <w:color w:val="auto"/>
        </w:rPr>
      </w:pPr>
    </w:p>
    <w:p>
      <w:pPr>
        <w:ind w:left="460" w:right="519" w:firstLine="426"/>
        <w:spacing w:after="0" w:line="290" w:lineRule="auto"/>
        <w:tabs>
          <w:tab w:leader="none" w:pos="1072" w:val="left"/>
        </w:tabs>
        <w:numPr>
          <w:ilvl w:val="0"/>
          <w:numId w:val="444"/>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Each of the parties hereto, by their respective execution and delivery of this Agreement, hereby represents and warrants to the others and to all third party beneficiaries of this Agreement that (a) such party has the full right, capacity and authority to enter into, deliver and perform its respective obligations under this Agreement, (b) this Agreement has been duly executed and delivered by such party and is the binding and enforceable obligation of such party, enforceable against such party in accordance with the terms of this Agreement, and (c) the execution, delivery and performance of such party’s obligations under this Agreement will not conflict with or breach the terms of any other agreement, contract, commitment or understanding to which such party is a party or to which the assets or securities of such party are bound.</w:t>
      </w:r>
    </w:p>
    <w:p>
      <w:pPr>
        <w:spacing w:after="0" w:line="84" w:lineRule="exact"/>
        <w:rPr>
          <w:rFonts w:ascii="Arial" w:cs="Arial" w:eastAsia="Arial" w:hAnsi="Arial"/>
          <w:sz w:val="16"/>
          <w:szCs w:val="16"/>
          <w:color w:val="auto"/>
        </w:rPr>
      </w:pPr>
    </w:p>
    <w:p>
      <w:pPr>
        <w:ind w:left="460" w:right="599" w:firstLine="426"/>
        <w:spacing w:after="0" w:line="272" w:lineRule="auto"/>
        <w:tabs>
          <w:tab w:leader="none" w:pos="1072" w:val="left"/>
        </w:tabs>
        <w:numPr>
          <w:ilvl w:val="0"/>
          <w:numId w:val="444"/>
        </w:numPr>
        <w:rPr>
          <w:rFonts w:ascii="Arial" w:cs="Arial" w:eastAsia="Arial" w:hAnsi="Arial"/>
          <w:sz w:val="17"/>
          <w:szCs w:val="17"/>
          <w:color w:val="auto"/>
        </w:rPr>
      </w:pPr>
      <w:r>
        <w:rPr>
          <w:rFonts w:ascii="Arial" w:cs="Arial" w:eastAsia="Arial" w:hAnsi="Arial"/>
          <w:sz w:val="17"/>
          <w:szCs w:val="17"/>
          <w:u w:val="single" w:color="auto"/>
          <w:color w:val="auto"/>
        </w:rPr>
        <w:t>Beneficial Ownership</w:t>
      </w:r>
      <w:r>
        <w:rPr>
          <w:rFonts w:ascii="Arial" w:cs="Arial" w:eastAsia="Arial" w:hAnsi="Arial"/>
          <w:sz w:val="17"/>
          <w:szCs w:val="17"/>
          <w:color w:val="auto"/>
        </w:rPr>
        <w:t>. The Holder hereby represents and warrants that it does not beneficially own, directly or through its nominees (as determined in accordance with Section 13(d) of the Exchange Act, and the rules and regulations promulgated thereunder), any shares of capital stock of Purchaser, or any economic interest in or derivative of such stock, other than those securities specified on the signature page hereto. For purposes of this Agreement, the common stock of Company beneficially owned by the Holder as specified on the signature hereto, and the shares of Purchaser such shares will be converted into in connection with the Transaction, are collectively referred to as the “</w:t>
      </w:r>
      <w:r>
        <w:rPr>
          <w:rFonts w:ascii="Arial" w:cs="Arial" w:eastAsia="Arial" w:hAnsi="Arial"/>
          <w:sz w:val="17"/>
          <w:szCs w:val="17"/>
          <w:u w:val="single" w:color="auto"/>
          <w:color w:val="auto"/>
        </w:rPr>
        <w:t>Lock-up Shares</w:t>
      </w:r>
      <w:r>
        <w:rPr>
          <w:rFonts w:ascii="Arial" w:cs="Arial" w:eastAsia="Arial" w:hAnsi="Arial"/>
          <w:sz w:val="17"/>
          <w:szCs w:val="17"/>
          <w:color w:val="auto"/>
        </w:rPr>
        <w:t>.”</w:t>
      </w:r>
    </w:p>
    <w:p>
      <w:pPr>
        <w:spacing w:after="0" w:line="109" w:lineRule="exact"/>
        <w:rPr>
          <w:rFonts w:ascii="Arial" w:cs="Arial" w:eastAsia="Arial" w:hAnsi="Arial"/>
          <w:sz w:val="17"/>
          <w:szCs w:val="17"/>
          <w:color w:val="auto"/>
        </w:rPr>
      </w:pPr>
    </w:p>
    <w:p>
      <w:pPr>
        <w:jc w:val="both"/>
        <w:ind w:left="460" w:right="559" w:firstLine="426"/>
        <w:spacing w:after="0" w:line="263" w:lineRule="auto"/>
        <w:tabs>
          <w:tab w:leader="none" w:pos="1072" w:val="left"/>
        </w:tabs>
        <w:numPr>
          <w:ilvl w:val="0"/>
          <w:numId w:val="444"/>
        </w:numPr>
        <w:rPr>
          <w:rFonts w:ascii="Arial" w:cs="Arial" w:eastAsia="Arial" w:hAnsi="Arial"/>
          <w:sz w:val="18"/>
          <w:szCs w:val="18"/>
          <w:color w:val="auto"/>
        </w:rPr>
      </w:pPr>
      <w:r>
        <w:rPr>
          <w:rFonts w:ascii="Arial" w:cs="Arial" w:eastAsia="Arial" w:hAnsi="Arial"/>
          <w:sz w:val="18"/>
          <w:szCs w:val="18"/>
          <w:u w:val="single" w:color="auto"/>
          <w:color w:val="auto"/>
        </w:rPr>
        <w:t>No Additional Fees/Payment</w:t>
      </w:r>
      <w:r>
        <w:rPr>
          <w:rFonts w:ascii="Arial" w:cs="Arial" w:eastAsia="Arial" w:hAnsi="Arial"/>
          <w:sz w:val="18"/>
          <w:szCs w:val="18"/>
          <w:color w:val="auto"/>
        </w:rPr>
        <w:t>. Other than the consideration specifically referenced herein, the parties hereto agree that no fee, payment or additional consideration in any form has been or will be paid to the Holder in connection with this Agreement.</w:t>
      </w:r>
    </w:p>
    <w:p>
      <w:pPr>
        <w:spacing w:after="0" w:line="116" w:lineRule="exact"/>
        <w:rPr>
          <w:rFonts w:ascii="Arial" w:cs="Arial" w:eastAsia="Arial" w:hAnsi="Arial"/>
          <w:sz w:val="18"/>
          <w:szCs w:val="18"/>
          <w:color w:val="auto"/>
        </w:rPr>
      </w:pPr>
    </w:p>
    <w:p>
      <w:pPr>
        <w:ind w:left="460" w:right="479" w:firstLine="426"/>
        <w:spacing w:after="0" w:line="290" w:lineRule="auto"/>
        <w:tabs>
          <w:tab w:leader="none" w:pos="1072" w:val="left"/>
        </w:tabs>
        <w:numPr>
          <w:ilvl w:val="0"/>
          <w:numId w:val="44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required or permitted to be sent hereunder shall be sent in writing, addressed as specified below, and shall be deemed given: (a) if by hand or recognized courier service, by 4:00PM on a business day, addressee’s day and time, on the date of delivery, and otherwise on the first business day after such delivery; (b) if by fax or email, on the date that transmission is confirmed electronically, if by 4:00PM on a business day, addressee’s day and time, and otherwise on the first business day after the date of such confirmation; or (c) five days after mailing by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84" w:lineRule="exact"/>
        <w:rPr>
          <w:rFonts w:ascii="Arial" w:cs="Arial" w:eastAsia="Arial" w:hAnsi="Arial"/>
          <w:sz w:val="16"/>
          <w:szCs w:val="16"/>
          <w:color w:val="auto"/>
        </w:rPr>
      </w:pPr>
    </w:p>
    <w:p>
      <w:pPr>
        <w:ind w:left="2180" w:hanging="430"/>
        <w:spacing w:after="0"/>
        <w:tabs>
          <w:tab w:leader="none" w:pos="2180" w:val="left"/>
        </w:tabs>
        <w:numPr>
          <w:ilvl w:val="2"/>
          <w:numId w:val="444"/>
        </w:numPr>
        <w:rPr>
          <w:rFonts w:ascii="Arial" w:cs="Arial" w:eastAsia="Arial" w:hAnsi="Arial"/>
          <w:sz w:val="18"/>
          <w:szCs w:val="18"/>
          <w:color w:val="auto"/>
        </w:rPr>
      </w:pPr>
      <w:r>
        <w:rPr>
          <w:rFonts w:ascii="Arial" w:cs="Arial" w:eastAsia="Arial" w:hAnsi="Arial"/>
          <w:sz w:val="18"/>
          <w:szCs w:val="18"/>
          <w:color w:val="auto"/>
        </w:rPr>
        <w:t>If to Purchaser, to:</w:t>
      </w:r>
    </w:p>
    <w:p>
      <w:pPr>
        <w:spacing w:after="0" w:line="157"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BCTG Acquisition Corp.</w:t>
      </w:r>
    </w:p>
    <w:p>
      <w:pPr>
        <w:spacing w:after="0" w:line="23" w:lineRule="exact"/>
        <w:rPr>
          <w:rFonts w:ascii="Arial" w:cs="Arial" w:eastAsia="Arial" w:hAnsi="Arial"/>
          <w:sz w:val="18"/>
          <w:szCs w:val="18"/>
          <w:color w:val="auto"/>
        </w:rPr>
      </w:pPr>
    </w:p>
    <w:p>
      <w:pPr>
        <w:ind w:left="2180" w:right="4419"/>
        <w:spacing w:after="0" w:line="253" w:lineRule="auto"/>
        <w:rPr>
          <w:rFonts w:ascii="Arial" w:cs="Arial" w:eastAsia="Arial" w:hAnsi="Arial"/>
          <w:sz w:val="18"/>
          <w:szCs w:val="18"/>
          <w:color w:val="auto"/>
        </w:rPr>
      </w:pPr>
      <w:r>
        <w:rPr>
          <w:rFonts w:ascii="Arial" w:cs="Arial" w:eastAsia="Arial" w:hAnsi="Arial"/>
          <w:sz w:val="18"/>
          <w:szCs w:val="18"/>
          <w:color w:val="auto"/>
        </w:rPr>
        <w:t>12860 El Camino Real, Suite 300 San Diego, CA 92130 Attention: Aaron Davis E-mail: [REDACTED]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7" w:name="page428"/>
    <w:bookmarkEnd w:id="42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 (which shall not constitute notice):</w:t>
      </w:r>
    </w:p>
    <w:p>
      <w:pPr>
        <w:spacing w:after="0" w:line="158"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Loeb &amp; Loeb</w:t>
      </w:r>
    </w:p>
    <w:p>
      <w:pPr>
        <w:spacing w:after="0" w:line="11"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345 Park Avenue, 19</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Floor</w:t>
      </w:r>
    </w:p>
    <w:p>
      <w:pPr>
        <w:ind w:left="2180"/>
        <w:spacing w:after="0"/>
        <w:rPr>
          <w:sz w:val="20"/>
          <w:szCs w:val="20"/>
          <w:color w:val="auto"/>
        </w:rPr>
      </w:pPr>
      <w:r>
        <w:rPr>
          <w:rFonts w:ascii="Arial" w:cs="Arial" w:eastAsia="Arial" w:hAnsi="Arial"/>
          <w:sz w:val="18"/>
          <w:szCs w:val="18"/>
          <w:color w:val="auto"/>
        </w:rPr>
        <w:t>New York, NY 10154</w:t>
      </w:r>
    </w:p>
    <w:p>
      <w:pPr>
        <w:spacing w:after="0" w:line="7"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Attention: Mitchell S. Nussbaum, Esq.</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E-mail: mnussbaum@loeb.com</w:t>
      </w:r>
    </w:p>
    <w:p>
      <w:pPr>
        <w:spacing w:after="0" w:line="143" w:lineRule="exact"/>
        <w:rPr>
          <w:sz w:val="20"/>
          <w:szCs w:val="20"/>
          <w:color w:val="auto"/>
        </w:rPr>
      </w:pPr>
    </w:p>
    <w:p>
      <w:pPr>
        <w:ind w:left="460" w:right="1039" w:firstLine="1290"/>
        <w:spacing w:after="0" w:line="466" w:lineRule="auto"/>
        <w:tabs>
          <w:tab w:leader="none" w:pos="2146" w:val="left"/>
        </w:tabs>
        <w:numPr>
          <w:ilvl w:val="1"/>
          <w:numId w:val="445"/>
        </w:numPr>
        <w:rPr>
          <w:rFonts w:ascii="Arial" w:cs="Arial" w:eastAsia="Arial" w:hAnsi="Arial"/>
          <w:sz w:val="16"/>
          <w:szCs w:val="16"/>
          <w:color w:val="auto"/>
        </w:rPr>
      </w:pPr>
      <w:r>
        <w:rPr>
          <w:rFonts w:ascii="Arial" w:cs="Arial" w:eastAsia="Arial" w:hAnsi="Arial"/>
          <w:sz w:val="16"/>
          <w:szCs w:val="16"/>
          <w:color w:val="auto"/>
        </w:rPr>
        <w:t>If to the Holder, to the addresses set forth on the Holder’s signature page hereto. or to such other address as any party may have furnished to the others in writing in accordance herewith.</w:t>
      </w:r>
    </w:p>
    <w:p>
      <w:pPr>
        <w:spacing w:after="0" w:line="1" w:lineRule="exact"/>
        <w:rPr>
          <w:rFonts w:ascii="Arial" w:cs="Arial" w:eastAsia="Arial" w:hAnsi="Arial"/>
          <w:sz w:val="16"/>
          <w:szCs w:val="16"/>
          <w:color w:val="auto"/>
        </w:rPr>
      </w:pPr>
    </w:p>
    <w:p>
      <w:pPr>
        <w:ind w:left="460" w:right="959" w:firstLine="426"/>
        <w:spacing w:after="0" w:line="263" w:lineRule="auto"/>
        <w:tabs>
          <w:tab w:leader="none" w:pos="1072"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Enumeration and Headings</w:t>
      </w:r>
      <w:r>
        <w:rPr>
          <w:rFonts w:ascii="Arial" w:cs="Arial" w:eastAsia="Arial" w:hAnsi="Arial"/>
          <w:sz w:val="18"/>
          <w:szCs w:val="18"/>
          <w:color w:val="auto"/>
        </w:rPr>
        <w:t>. The enumeration and headings contained in this Agreement are for convenience of reference only and shall not control or affect the meaning or construction of any of the provisions of this Agreement.</w:t>
      </w:r>
    </w:p>
    <w:p>
      <w:pPr>
        <w:spacing w:after="0" w:line="116" w:lineRule="exact"/>
        <w:rPr>
          <w:rFonts w:ascii="Arial" w:cs="Arial" w:eastAsia="Arial" w:hAnsi="Arial"/>
          <w:sz w:val="18"/>
          <w:szCs w:val="18"/>
          <w:color w:val="auto"/>
        </w:rPr>
      </w:pPr>
    </w:p>
    <w:p>
      <w:pPr>
        <w:jc w:val="both"/>
        <w:ind w:left="460" w:right="559" w:firstLine="426"/>
        <w:spacing w:after="0" w:line="263" w:lineRule="auto"/>
        <w:tabs>
          <w:tab w:leader="none" w:pos="1072"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facsimile and in any number of counterparts, each of which when so executed and delivered shall be deemed an original, but all of which shall together constitute one and the same agreement.</w:t>
      </w:r>
    </w:p>
    <w:p>
      <w:pPr>
        <w:spacing w:after="0" w:line="102" w:lineRule="exact"/>
        <w:rPr>
          <w:rFonts w:ascii="Arial" w:cs="Arial" w:eastAsia="Arial" w:hAnsi="Arial"/>
          <w:sz w:val="18"/>
          <w:szCs w:val="18"/>
          <w:color w:val="auto"/>
        </w:rPr>
      </w:pPr>
    </w:p>
    <w:p>
      <w:pPr>
        <w:ind w:left="460" w:right="499" w:firstLine="426"/>
        <w:spacing w:after="0" w:line="279" w:lineRule="auto"/>
        <w:tabs>
          <w:tab w:leader="none" w:pos="1072" w:val="left"/>
        </w:tabs>
        <w:numPr>
          <w:ilvl w:val="0"/>
          <w:numId w:val="446"/>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and the terms, covenants, provisions and conditions hereof shall be binding upon, and shall inure to the benefit of, the respective heirs, successors and assigns of the parties hereto. The Holder hereby acknowledges and agrees that this Agreement is entered into for the benefit of and is enforceable by Purchaser and its successors and assigns.</w:t>
      </w:r>
    </w:p>
    <w:p>
      <w:pPr>
        <w:spacing w:after="0" w:line="103" w:lineRule="exact"/>
        <w:rPr>
          <w:rFonts w:ascii="Arial" w:cs="Arial" w:eastAsia="Arial" w:hAnsi="Arial"/>
          <w:sz w:val="17"/>
          <w:szCs w:val="17"/>
          <w:color w:val="auto"/>
        </w:rPr>
      </w:pPr>
    </w:p>
    <w:p>
      <w:pPr>
        <w:jc w:val="both"/>
        <w:ind w:left="460" w:right="519" w:firstLine="426"/>
        <w:spacing w:after="0" w:line="259" w:lineRule="auto"/>
        <w:tabs>
          <w:tab w:leader="none" w:pos="1072"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to be invalid or unenforceable for any reason, such provision will be conformed to prevailing law rather than voided, if possible, in order to achieve the intent of the parties and, in any event, the remaining provisions of this Agreement shall remain in full force and effect and shall be binding upon the parties hereto.</w:t>
      </w:r>
    </w:p>
    <w:p>
      <w:pPr>
        <w:spacing w:after="0" w:line="119" w:lineRule="exact"/>
        <w:rPr>
          <w:rFonts w:ascii="Arial" w:cs="Arial" w:eastAsia="Arial" w:hAnsi="Arial"/>
          <w:sz w:val="18"/>
          <w:szCs w:val="18"/>
          <w:color w:val="auto"/>
        </w:rPr>
      </w:pPr>
    </w:p>
    <w:p>
      <w:pPr>
        <w:ind w:left="460" w:right="579" w:firstLine="426"/>
        <w:spacing w:after="0" w:line="277" w:lineRule="auto"/>
        <w:tabs>
          <w:tab w:leader="none" w:pos="1162"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or modified by written agreement executed by each of the parties hereto.</w:t>
      </w:r>
    </w:p>
    <w:p>
      <w:pPr>
        <w:spacing w:after="0" w:line="89" w:lineRule="exact"/>
        <w:rPr>
          <w:rFonts w:ascii="Arial" w:cs="Arial" w:eastAsia="Arial" w:hAnsi="Arial"/>
          <w:sz w:val="18"/>
          <w:szCs w:val="18"/>
          <w:color w:val="auto"/>
        </w:rPr>
      </w:pPr>
    </w:p>
    <w:p>
      <w:pPr>
        <w:ind w:left="460" w:right="719" w:firstLine="426"/>
        <w:spacing w:after="0" w:line="301" w:lineRule="auto"/>
        <w:tabs>
          <w:tab w:leader="none" w:pos="1155" w:val="left"/>
        </w:tabs>
        <w:numPr>
          <w:ilvl w:val="0"/>
          <w:numId w:val="446"/>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89" w:lineRule="exact"/>
        <w:rPr>
          <w:rFonts w:ascii="Arial" w:cs="Arial" w:eastAsia="Arial" w:hAnsi="Arial"/>
          <w:sz w:val="16"/>
          <w:szCs w:val="16"/>
          <w:color w:val="auto"/>
        </w:rPr>
      </w:pPr>
    </w:p>
    <w:p>
      <w:pPr>
        <w:ind w:left="460" w:right="739" w:firstLine="426"/>
        <w:spacing w:after="0" w:line="263" w:lineRule="auto"/>
        <w:tabs>
          <w:tab w:leader="none" w:pos="1162"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116" w:lineRule="exact"/>
        <w:rPr>
          <w:rFonts w:ascii="Arial" w:cs="Arial" w:eastAsia="Arial" w:hAnsi="Arial"/>
          <w:sz w:val="18"/>
          <w:szCs w:val="18"/>
          <w:color w:val="auto"/>
        </w:rPr>
      </w:pPr>
    </w:p>
    <w:p>
      <w:pPr>
        <w:ind w:left="460" w:right="599" w:firstLine="426"/>
        <w:spacing w:after="0" w:line="277" w:lineRule="auto"/>
        <w:tabs>
          <w:tab w:leader="none" w:pos="1162"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terms and provisions of this Agreement shall be construed in accordance with the laws of the State of Delaware.</w:t>
      </w:r>
    </w:p>
    <w:p>
      <w:pPr>
        <w:spacing w:after="0" w:line="89" w:lineRule="exact"/>
        <w:rPr>
          <w:rFonts w:ascii="Arial" w:cs="Arial" w:eastAsia="Arial" w:hAnsi="Arial"/>
          <w:sz w:val="18"/>
          <w:szCs w:val="18"/>
          <w:color w:val="auto"/>
        </w:rPr>
      </w:pPr>
    </w:p>
    <w:p>
      <w:pPr>
        <w:ind w:left="460" w:right="619" w:firstLine="426"/>
        <w:spacing w:after="0" w:line="263" w:lineRule="auto"/>
        <w:tabs>
          <w:tab w:leader="none" w:pos="1162"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Controlling Agreement</w:t>
      </w:r>
      <w:r>
        <w:rPr>
          <w:rFonts w:ascii="Arial" w:cs="Arial" w:eastAsia="Arial" w:hAnsi="Arial"/>
          <w:sz w:val="18"/>
          <w:szCs w:val="18"/>
          <w:color w:val="auto"/>
        </w:rPr>
        <w:t>. To the extent the terms of this Agreement (as amended, supplemented, restated or otherwise modified from time to time) directly conflicts with a provision in the Merger Agreement, the terms of this Agreement shall control.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8" w:name="page429"/>
    <w:bookmarkEnd w:id="42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IN WITNESS WHEREOF, the parties hereto have caused this Lock-up Agreement to be duly executed by their respective authorized signatories as of the date first indicated above.</w:t>
      </w:r>
    </w:p>
    <w:p>
      <w:pPr>
        <w:spacing w:after="0" w:line="166"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BCTG ACQUISITION CORP.</w:t>
      </w:r>
    </w:p>
    <w:p>
      <w:pPr>
        <w:spacing w:after="0" w:line="364"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40640</wp:posOffset>
            </wp:positionV>
            <wp:extent cx="215138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5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9" w:name="page430"/>
    <w:bookmarkEnd w:id="42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IN WITNESS WHEREOF, the parties hereto have caused this Lock-up Agreement to be duly executed by their respective authorized signatories as of the date first indicated above.</w:t>
      </w:r>
    </w:p>
    <w:p>
      <w:pPr>
        <w:spacing w:after="0" w:line="166"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300355</wp:posOffset>
            </wp:positionV>
            <wp:extent cx="226314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48895</wp:posOffset>
            </wp:positionV>
            <wp:extent cx="203136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Title:</w:t>
      </w:r>
    </w:p>
    <w:p>
      <w:pPr>
        <w:spacing w:after="0" w:line="18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408940</wp:posOffset>
            </wp:positionV>
            <wp:extent cx="203136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03136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229235</wp:posOffset>
            </wp:positionV>
            <wp:extent cx="203136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with a copy, which shall not constitute</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400050</wp:posOffset>
            </wp:positionV>
            <wp:extent cx="203136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03136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220345</wp:posOffset>
            </wp:positionV>
            <wp:extent cx="203136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NUMBER OF LOCK-UP SHARES:</w:t>
      </w:r>
    </w:p>
    <w:p>
      <w:pPr>
        <w:spacing w:after="0" w:line="202"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_______________ shares of Company Capital</w:t>
      </w:r>
    </w:p>
    <w:p>
      <w:pPr>
        <w:spacing w:after="0" w:line="3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Stock</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0" w:name="page431"/>
    <w:bookmarkEnd w:id="43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13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_______________, 2021</w:t>
      </w:r>
    </w:p>
    <w:p>
      <w:pPr>
        <w:spacing w:after="0" w:line="158"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BCTG Acquisition Corp., a corporation organized and existing under the laws of the State of 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DOES HEREBY CERTIFY AS FOLLOWS:</w:t>
      </w:r>
    </w:p>
    <w:p>
      <w:pPr>
        <w:spacing w:after="0" w:line="103" w:lineRule="exact"/>
        <w:rPr>
          <w:sz w:val="20"/>
          <w:szCs w:val="20"/>
          <w:color w:val="auto"/>
        </w:rPr>
      </w:pPr>
    </w:p>
    <w:p>
      <w:pPr>
        <w:ind w:left="1320" w:right="559" w:hanging="434"/>
        <w:spacing w:after="0" w:line="296" w:lineRule="auto"/>
        <w:tabs>
          <w:tab w:leader="none" w:pos="1290" w:val="left"/>
        </w:tabs>
        <w:numPr>
          <w:ilvl w:val="0"/>
          <w:numId w:val="447"/>
        </w:numPr>
        <w:rPr>
          <w:rFonts w:ascii="Arial" w:cs="Arial" w:eastAsia="Arial" w:hAnsi="Arial"/>
          <w:sz w:val="16"/>
          <w:szCs w:val="16"/>
          <w:color w:val="auto"/>
        </w:rPr>
      </w:pPr>
      <w:r>
        <w:rPr>
          <w:rFonts w:ascii="Arial" w:cs="Arial" w:eastAsia="Arial" w:hAnsi="Arial"/>
          <w:sz w:val="16"/>
          <w:szCs w:val="16"/>
          <w:color w:val="auto"/>
        </w:rPr>
        <w:t>The name of the Corporation is “BCTG Acquisition Corp.” The original certificate of incorporation was filed with the Secretary of State of the State of Delaware on May 21, 2020 (the “</w:t>
      </w:r>
      <w:r>
        <w:rPr>
          <w:rFonts w:ascii="Arial" w:cs="Arial" w:eastAsia="Arial" w:hAnsi="Arial"/>
          <w:sz w:val="16"/>
          <w:szCs w:val="16"/>
          <w:u w:val="single" w:color="auto"/>
          <w:color w:val="auto"/>
        </w:rPr>
        <w:t>Original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Certificate</w:t>
      </w:r>
      <w:r>
        <w:rPr>
          <w:rFonts w:ascii="Arial" w:cs="Arial" w:eastAsia="Arial" w:hAnsi="Arial"/>
          <w:sz w:val="16"/>
          <w:szCs w:val="16"/>
          <w:color w:val="auto"/>
        </w:rPr>
        <w:t>”). The Amended and Restated Certificate of Incorporation (the “</w:t>
      </w:r>
      <w:r>
        <w:rPr>
          <w:rFonts w:ascii="Arial" w:cs="Arial" w:eastAsia="Arial" w:hAnsi="Arial"/>
          <w:sz w:val="16"/>
          <w:szCs w:val="16"/>
          <w:u w:val="single" w:color="auto"/>
          <w:color w:val="auto"/>
        </w:rPr>
        <w:t>First Amended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Restated Certificate</w:t>
      </w:r>
      <w:r>
        <w:rPr>
          <w:rFonts w:ascii="Arial" w:cs="Arial" w:eastAsia="Arial" w:hAnsi="Arial"/>
          <w:sz w:val="16"/>
          <w:szCs w:val="16"/>
          <w:color w:val="auto"/>
        </w:rPr>
        <w:t>”), which both restated and amended the provisions of the Original Certificate was filed with the Secretary of the State of Delaware on September 2, 2020.</w:t>
      </w:r>
    </w:p>
    <w:p>
      <w:pPr>
        <w:spacing w:after="0" w:line="80" w:lineRule="exact"/>
        <w:rPr>
          <w:rFonts w:ascii="Arial" w:cs="Arial" w:eastAsia="Arial" w:hAnsi="Arial"/>
          <w:sz w:val="16"/>
          <w:szCs w:val="16"/>
          <w:color w:val="auto"/>
        </w:rPr>
      </w:pPr>
    </w:p>
    <w:p>
      <w:pPr>
        <w:ind w:left="1320" w:right="499" w:hanging="434"/>
        <w:spacing w:after="0" w:line="301" w:lineRule="auto"/>
        <w:tabs>
          <w:tab w:leader="none" w:pos="1290" w:val="left"/>
        </w:tabs>
        <w:numPr>
          <w:ilvl w:val="0"/>
          <w:numId w:val="447"/>
        </w:numPr>
        <w:rPr>
          <w:rFonts w:ascii="Arial" w:cs="Arial" w:eastAsia="Arial" w:hAnsi="Arial"/>
          <w:sz w:val="16"/>
          <w:szCs w:val="16"/>
          <w:color w:val="auto"/>
        </w:rPr>
      </w:pPr>
      <w:r>
        <w:rPr>
          <w:rFonts w:ascii="Arial" w:cs="Arial" w:eastAsia="Arial" w:hAnsi="Arial"/>
          <w:sz w:val="16"/>
          <w:szCs w:val="16"/>
          <w:color w:val="auto"/>
        </w:rPr>
        <w:t>This Second Amended and Restated Certificate of Incorporation (the “</w:t>
      </w:r>
      <w:r>
        <w:rPr>
          <w:rFonts w:ascii="Arial" w:cs="Arial" w:eastAsia="Arial" w:hAnsi="Arial"/>
          <w:sz w:val="16"/>
          <w:szCs w:val="16"/>
          <w:u w:val="single" w:color="auto"/>
          <w:color w:val="auto"/>
        </w:rPr>
        <w:t>Second Amended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Restated Certificate</w:t>
      </w:r>
      <w:r>
        <w:rPr>
          <w:rFonts w:ascii="Arial" w:cs="Arial" w:eastAsia="Arial" w:hAnsi="Arial"/>
          <w:sz w:val="16"/>
          <w:szCs w:val="16"/>
          <w:color w:val="auto"/>
        </w:rPr>
        <w:t>”), which both restates and amends the provisions of the First Amended and Restated Certificate, was duly adopted in accordance with Sections 228, 242 and 245 of the General Corporation Law of the State of Delaware (as amended from time to time, the “</w:t>
      </w:r>
      <w:r>
        <w:rPr>
          <w:rFonts w:ascii="Arial" w:cs="Arial" w:eastAsia="Arial" w:hAnsi="Arial"/>
          <w:sz w:val="16"/>
          <w:szCs w:val="16"/>
          <w:u w:val="single" w:color="auto"/>
          <w:color w:val="auto"/>
        </w:rPr>
        <w:t>DGCL</w:t>
      </w:r>
      <w:r>
        <w:rPr>
          <w:rFonts w:ascii="Arial" w:cs="Arial" w:eastAsia="Arial" w:hAnsi="Arial"/>
          <w:sz w:val="16"/>
          <w:szCs w:val="16"/>
          <w:color w:val="auto"/>
        </w:rPr>
        <w:t>”).</w:t>
      </w:r>
    </w:p>
    <w:p>
      <w:pPr>
        <w:spacing w:after="0" w:line="89" w:lineRule="exact"/>
        <w:rPr>
          <w:rFonts w:ascii="Arial" w:cs="Arial" w:eastAsia="Arial" w:hAnsi="Arial"/>
          <w:sz w:val="16"/>
          <w:szCs w:val="16"/>
          <w:color w:val="auto"/>
        </w:rPr>
      </w:pPr>
    </w:p>
    <w:p>
      <w:pPr>
        <w:ind w:left="1320" w:right="559" w:hanging="434"/>
        <w:spacing w:after="0" w:line="277" w:lineRule="auto"/>
        <w:tabs>
          <w:tab w:leader="none" w:pos="129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This Second Amended and Restated Certificate shall become effective on the date of filing with the Secretary of State of Delaware.</w:t>
      </w:r>
    </w:p>
    <w:p>
      <w:pPr>
        <w:spacing w:after="0" w:line="102" w:lineRule="exact"/>
        <w:rPr>
          <w:rFonts w:ascii="Arial" w:cs="Arial" w:eastAsia="Arial" w:hAnsi="Arial"/>
          <w:sz w:val="18"/>
          <w:szCs w:val="18"/>
          <w:color w:val="auto"/>
        </w:rPr>
      </w:pPr>
    </w:p>
    <w:p>
      <w:pPr>
        <w:ind w:left="1320" w:right="639" w:hanging="434"/>
        <w:spacing w:after="0" w:line="277" w:lineRule="auto"/>
        <w:tabs>
          <w:tab w:leader="none" w:pos="1293" w:val="left"/>
        </w:tabs>
        <w:numPr>
          <w:ilvl w:val="0"/>
          <w:numId w:val="447"/>
        </w:numPr>
        <w:rPr>
          <w:rFonts w:ascii="Arial" w:cs="Arial" w:eastAsia="Arial" w:hAnsi="Arial"/>
          <w:sz w:val="18"/>
          <w:szCs w:val="18"/>
          <w:color w:val="auto"/>
        </w:rPr>
      </w:pPr>
      <w:r>
        <w:rPr>
          <w:rFonts w:ascii="Arial" w:cs="Arial" w:eastAsia="Arial" w:hAnsi="Arial"/>
          <w:sz w:val="18"/>
          <w:szCs w:val="18"/>
          <w:color w:val="auto"/>
        </w:rPr>
        <w:t>Certain capitalized terms used in this Second Amended and Restated Certificate are defined where appropriate herein.</w:t>
      </w:r>
    </w:p>
    <w:p>
      <w:pPr>
        <w:spacing w:after="0" w:line="89" w:lineRule="exact"/>
        <w:rPr>
          <w:rFonts w:ascii="Arial" w:cs="Arial" w:eastAsia="Arial" w:hAnsi="Arial"/>
          <w:sz w:val="18"/>
          <w:szCs w:val="18"/>
          <w:color w:val="auto"/>
        </w:rPr>
      </w:pPr>
    </w:p>
    <w:p>
      <w:pPr>
        <w:ind w:left="1320" w:right="719" w:hanging="434"/>
        <w:spacing w:after="0" w:line="259" w:lineRule="auto"/>
        <w:tabs>
          <w:tab w:leader="none" w:pos="129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This Second Amended and Restated Certificate is being amended and restated in connection with the transactions contemplated by that certain Agreement and Plan of Merger, dated [_______________] (the “Merger Agreement”), by and among the Corporation, Tango Therapeutics, Inc., and BCTG Merger Sub Inc.</w:t>
      </w:r>
    </w:p>
    <w:p>
      <w:pPr>
        <w:spacing w:after="0" w:line="119" w:lineRule="exact"/>
        <w:rPr>
          <w:rFonts w:ascii="Arial" w:cs="Arial" w:eastAsia="Arial" w:hAnsi="Arial"/>
          <w:sz w:val="18"/>
          <w:szCs w:val="18"/>
          <w:color w:val="auto"/>
        </w:rPr>
      </w:pPr>
    </w:p>
    <w:p>
      <w:pPr>
        <w:ind w:left="1320" w:right="479" w:hanging="434"/>
        <w:spacing w:after="0" w:line="277" w:lineRule="auto"/>
        <w:tabs>
          <w:tab w:leader="none" w:pos="129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text of the First Amended and Restated Certificate is hereby restated and amended in its entirety to read as follows:</w:t>
      </w:r>
    </w:p>
    <w:p>
      <w:pPr>
        <w:spacing w:after="0" w:line="103" w:lineRule="exact"/>
        <w:rPr>
          <w:sz w:val="20"/>
          <w:szCs w:val="20"/>
          <w:color w:val="auto"/>
        </w:rPr>
      </w:pPr>
    </w:p>
    <w:p>
      <w:pPr>
        <w:jc w:val="right"/>
        <w:ind w:right="4079"/>
        <w:spacing w:after="0"/>
        <w:rPr>
          <w:sz w:val="20"/>
          <w:szCs w:val="20"/>
          <w:color w:val="auto"/>
        </w:rPr>
      </w:pPr>
      <w:r>
        <w:rPr>
          <w:rFonts w:ascii="Arial" w:cs="Arial" w:eastAsia="Arial" w:hAnsi="Arial"/>
          <w:sz w:val="18"/>
          <w:szCs w:val="18"/>
          <w:color w:val="auto"/>
        </w:rPr>
        <w:t>ARTICLE I</w:t>
      </w:r>
    </w:p>
    <w:p>
      <w:pPr>
        <w:spacing w:after="0" w:line="144" w:lineRule="exact"/>
        <w:rPr>
          <w:sz w:val="20"/>
          <w:szCs w:val="20"/>
          <w:color w:val="auto"/>
        </w:rPr>
      </w:pPr>
    </w:p>
    <w:p>
      <w:pPr>
        <w:jc w:val="right"/>
        <w:ind w:right="4039"/>
        <w:spacing w:after="0"/>
        <w:rPr>
          <w:sz w:val="20"/>
          <w:szCs w:val="20"/>
          <w:color w:val="auto"/>
        </w:rPr>
      </w:pPr>
      <w:r>
        <w:rPr>
          <w:rFonts w:ascii="Arial" w:cs="Arial" w:eastAsia="Arial" w:hAnsi="Arial"/>
          <w:sz w:val="17"/>
          <w:szCs w:val="17"/>
          <w:color w:val="auto"/>
        </w:rPr>
        <w:t>The name of the Corporation is Tango Therapeutics, Inc.</w:t>
      </w:r>
    </w:p>
    <w:p>
      <w:pPr>
        <w:spacing w:after="0" w:line="169" w:lineRule="exact"/>
        <w:rPr>
          <w:sz w:val="20"/>
          <w:szCs w:val="20"/>
          <w:color w:val="auto"/>
        </w:rPr>
      </w:pPr>
    </w:p>
    <w:p>
      <w:pPr>
        <w:jc w:val="right"/>
        <w:ind w:right="4059"/>
        <w:spacing w:after="0"/>
        <w:rPr>
          <w:sz w:val="20"/>
          <w:szCs w:val="20"/>
          <w:color w:val="auto"/>
        </w:rPr>
      </w:pPr>
      <w:r>
        <w:rPr>
          <w:rFonts w:ascii="Arial" w:cs="Arial" w:eastAsia="Arial" w:hAnsi="Arial"/>
          <w:sz w:val="18"/>
          <w:szCs w:val="18"/>
          <w:color w:val="auto"/>
        </w:rPr>
        <w:t>ARTICLE II</w:t>
      </w:r>
    </w:p>
    <w:p>
      <w:pPr>
        <w:spacing w:after="0" w:line="158"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The address of the Corporation’s registered office in the State of Delaware is c/o The Corporation Trust Company, 1209 Orange Street in the City of Wilmington, County of New Castle. The name of its registered agent at such address is The Corporation Trust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158"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DGCL. The Corporation is to have a perpetual existence.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CAPITAL STOCK</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The total number of shares of capital stock which the Corporation shall have authority to issue is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__________million (__________), of which (i) one __________ million (________) shares shall be 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class designated as common stock, par value $0.001 per share (the “Common Stock”), and (ii) _________</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 shares shall be a class designated as undesignated preferred stock, par value $0.001 per share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Undesignated Preferred Stock</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1" w:name="page432"/>
    <w:bookmarkEnd w:id="43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94" w:lineRule="exact"/>
        <w:rPr>
          <w:sz w:val="20"/>
          <w:szCs w:val="20"/>
          <w:color w:val="auto"/>
        </w:rPr>
      </w:pPr>
    </w:p>
    <w:p>
      <w:pPr>
        <w:ind w:left="460" w:right="539" w:firstLine="432"/>
        <w:spacing w:after="0" w:line="308" w:lineRule="auto"/>
        <w:rPr>
          <w:sz w:val="20"/>
          <w:szCs w:val="20"/>
          <w:color w:val="auto"/>
        </w:rPr>
      </w:pPr>
      <w:r>
        <w:rPr>
          <w:rFonts w:ascii="Arial" w:cs="Arial" w:eastAsia="Arial" w:hAnsi="Arial"/>
          <w:sz w:val="17"/>
          <w:szCs w:val="17"/>
          <w:color w:val="auto"/>
        </w:rPr>
        <w:t>The powers, preferences and rights of, and the qualifications, limitations and restrictions upon, each class or series of stock shall be determined in accordance with, or as set forth below in, this Article IV.</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COMMON STOCK</w:t>
      </w:r>
    </w:p>
    <w:p>
      <w:pPr>
        <w:spacing w:after="0" w:line="144" w:lineRule="exact"/>
        <w:rPr>
          <w:sz w:val="20"/>
          <w:szCs w:val="20"/>
          <w:color w:val="auto"/>
        </w:rPr>
      </w:pPr>
    </w:p>
    <w:p>
      <w:pPr>
        <w:jc w:val="both"/>
        <w:ind w:left="460" w:right="999" w:firstLine="432"/>
        <w:spacing w:after="0" w:line="263" w:lineRule="auto"/>
        <w:rPr>
          <w:sz w:val="20"/>
          <w:szCs w:val="20"/>
          <w:color w:val="auto"/>
        </w:rPr>
      </w:pPr>
      <w:r>
        <w:rPr>
          <w:rFonts w:ascii="Arial" w:cs="Arial" w:eastAsia="Arial" w:hAnsi="Arial"/>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16" w:lineRule="exact"/>
        <w:rPr>
          <w:sz w:val="20"/>
          <w:szCs w:val="20"/>
          <w:color w:val="auto"/>
        </w:rPr>
      </w:pPr>
    </w:p>
    <w:p>
      <w:pPr>
        <w:ind w:left="460" w:right="539" w:firstLine="858"/>
        <w:spacing w:after="0" w:line="269" w:lineRule="auto"/>
        <w:tabs>
          <w:tab w:leader="none" w:pos="1569" w:val="left"/>
        </w:tabs>
        <w:numPr>
          <w:ilvl w:val="0"/>
          <w:numId w:val="448"/>
        </w:numPr>
        <w:rPr>
          <w:rFonts w:ascii="Arial" w:cs="Arial" w:eastAsia="Arial" w:hAnsi="Arial"/>
          <w:sz w:val="17"/>
          <w:szCs w:val="17"/>
          <w:color w:val="auto"/>
        </w:rPr>
      </w:pPr>
      <w:r>
        <w:rPr>
          <w:rFonts w:ascii="Arial" w:cs="Arial" w:eastAsia="Arial" w:hAnsi="Arial"/>
          <w:sz w:val="17"/>
          <w:szCs w:val="17"/>
          <w:color w:val="auto"/>
        </w:rPr>
        <w:t xml:space="preserve">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14" w:lineRule="exact"/>
        <w:rPr>
          <w:rFonts w:ascii="Arial" w:cs="Arial" w:eastAsia="Arial" w:hAnsi="Arial"/>
          <w:sz w:val="17"/>
          <w:szCs w:val="17"/>
          <w:color w:val="auto"/>
        </w:rPr>
      </w:pPr>
    </w:p>
    <w:p>
      <w:pPr>
        <w:jc w:val="both"/>
        <w:ind w:left="460" w:right="479" w:firstLine="858"/>
        <w:spacing w:after="0" w:line="259" w:lineRule="auto"/>
        <w:tabs>
          <w:tab w:leader="none" w:pos="1579" w:val="left"/>
        </w:tabs>
        <w:numPr>
          <w:ilvl w:val="0"/>
          <w:numId w:val="448"/>
        </w:numPr>
        <w:rPr>
          <w:rFonts w:ascii="Arial" w:cs="Arial" w:eastAsia="Arial" w:hAnsi="Arial"/>
          <w:sz w:val="18"/>
          <w:szCs w:val="18"/>
          <w:color w:val="auto"/>
        </w:rPr>
      </w:pPr>
      <w:r>
        <w:rPr>
          <w:rFonts w:ascii="Arial" w:cs="Arial" w:eastAsia="Arial" w:hAnsi="Arial"/>
          <w:sz w:val="18"/>
          <w:szCs w:val="18"/>
          <w:color w:val="auto"/>
        </w:rPr>
        <w:t>dividends may be declared and paid or set apart for payment upon the Common Stock out of any assets or funds of the Corporation legally available for the payment of dividends, but only when and as declared by the Board of Directors of the Corporation (the “Board of Directors”) or any authorized committee thereof; and</w:t>
      </w:r>
    </w:p>
    <w:p>
      <w:pPr>
        <w:spacing w:after="0" w:line="105" w:lineRule="exact"/>
        <w:rPr>
          <w:rFonts w:ascii="Arial" w:cs="Arial" w:eastAsia="Arial" w:hAnsi="Arial"/>
          <w:sz w:val="18"/>
          <w:szCs w:val="18"/>
          <w:color w:val="auto"/>
        </w:rPr>
      </w:pPr>
    </w:p>
    <w:p>
      <w:pPr>
        <w:ind w:left="460" w:right="579" w:firstLine="858"/>
        <w:spacing w:after="0" w:line="308" w:lineRule="auto"/>
        <w:tabs>
          <w:tab w:leader="none" w:pos="1569" w:val="left"/>
        </w:tabs>
        <w:numPr>
          <w:ilvl w:val="0"/>
          <w:numId w:val="448"/>
        </w:numPr>
        <w:rPr>
          <w:rFonts w:ascii="Arial" w:cs="Arial" w:eastAsia="Arial" w:hAnsi="Arial"/>
          <w:sz w:val="17"/>
          <w:szCs w:val="17"/>
          <w:color w:val="auto"/>
        </w:rPr>
      </w:pPr>
      <w:r>
        <w:rPr>
          <w:rFonts w:ascii="Arial" w:cs="Arial" w:eastAsia="Arial" w:hAnsi="Arial"/>
          <w:sz w:val="17"/>
          <w:szCs w:val="17"/>
          <w:color w:val="auto"/>
        </w:rPr>
        <w:t>upon the voluntary or involuntary liquidation, dissolution or winding up of the Corporation, the net assets of the Corporation shall be distributed pro rata to the holders of the Common Stock.</w:t>
      </w:r>
    </w:p>
    <w:p>
      <w:pPr>
        <w:spacing w:after="0" w:line="78" w:lineRule="exact"/>
        <w:rPr>
          <w:rFonts w:ascii="Arial" w:cs="Arial" w:eastAsia="Arial" w:hAnsi="Arial"/>
          <w:sz w:val="17"/>
          <w:szCs w:val="17"/>
          <w:color w:val="auto"/>
        </w:rPr>
      </w:pPr>
    </w:p>
    <w:p>
      <w:pPr>
        <w:ind w:left="3080" w:hanging="219"/>
        <w:spacing w:after="0"/>
        <w:tabs>
          <w:tab w:leader="none" w:pos="3080" w:val="left"/>
        </w:tabs>
        <w:numPr>
          <w:ilvl w:val="1"/>
          <w:numId w:val="448"/>
        </w:numPr>
        <w:rPr>
          <w:rFonts w:ascii="Arial" w:cs="Arial" w:eastAsia="Arial" w:hAnsi="Arial"/>
          <w:sz w:val="18"/>
          <w:szCs w:val="18"/>
          <w:color w:val="auto"/>
        </w:rPr>
      </w:pPr>
      <w:r>
        <w:rPr>
          <w:rFonts w:ascii="Arial" w:cs="Arial" w:eastAsia="Arial" w:hAnsi="Arial"/>
          <w:sz w:val="18"/>
          <w:szCs w:val="18"/>
          <w:u w:val="single" w:color="auto"/>
          <w:color w:val="auto"/>
        </w:rPr>
        <w:t>UNDESIGNATED PREFERRED STOCK</w:t>
      </w:r>
    </w:p>
    <w:p>
      <w:pPr>
        <w:spacing w:after="0" w:line="158"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Except as otherwise provided by any certificate of designations of any series of Undesignated Preferred Stock then outstanding or by law, no holder of any series of Undesignated Preferred Stock, as such, shall be entitled to any voting powers in respect thereof.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STOCKHOLDER ACTION</w:t>
      </w:r>
    </w:p>
    <w:p>
      <w:pPr>
        <w:spacing w:after="0" w:line="158" w:lineRule="exact"/>
        <w:rPr>
          <w:sz w:val="20"/>
          <w:szCs w:val="20"/>
          <w:color w:val="auto"/>
        </w:rPr>
      </w:pPr>
    </w:p>
    <w:p>
      <w:pPr>
        <w:ind w:left="460" w:right="499" w:firstLine="426"/>
        <w:spacing w:after="0" w:line="289" w:lineRule="auto"/>
        <w:tabs>
          <w:tab w:leader="none" w:pos="1072" w:val="left"/>
        </w:tabs>
        <w:numPr>
          <w:ilvl w:val="0"/>
          <w:numId w:val="449"/>
        </w:numPr>
        <w:rPr>
          <w:rFonts w:ascii="Arial" w:cs="Arial" w:eastAsia="Arial" w:hAnsi="Arial"/>
          <w:sz w:val="16"/>
          <w:szCs w:val="16"/>
          <w:color w:val="auto"/>
        </w:rPr>
      </w:pPr>
      <w:r>
        <w:rPr>
          <w:rFonts w:ascii="Arial" w:cs="Arial" w:eastAsia="Arial" w:hAnsi="Arial"/>
          <w:sz w:val="16"/>
          <w:szCs w:val="16"/>
          <w:u w:val="single" w:color="auto"/>
          <w:color w:val="auto"/>
        </w:rPr>
        <w:t>Action without Meeting</w:t>
      </w:r>
      <w:r>
        <w:rPr>
          <w:rFonts w:ascii="Arial" w:cs="Arial" w:eastAsia="Arial" w:hAnsi="Arial"/>
          <w:sz w:val="16"/>
          <w:szCs w:val="16"/>
          <w:color w:val="auto"/>
        </w:rPr>
        <w:t>. Except as may otherwise be provided by or pursuant to this Certificate (or any certificate of designations of any series of Undesignated Preferred Stock then outstanding) with respect to the holders of any series of Undesignated Preferred Stock then outstanding,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V, Section 1.</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2" w:name="page433"/>
    <w:bookmarkEnd w:id="43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26"/>
        <w:spacing w:after="0" w:line="289" w:lineRule="auto"/>
        <w:tabs>
          <w:tab w:leader="none" w:pos="1072" w:val="left"/>
        </w:tabs>
        <w:numPr>
          <w:ilvl w:val="0"/>
          <w:numId w:val="450"/>
        </w:numPr>
        <w:rPr>
          <w:rFonts w:ascii="Arial" w:cs="Arial" w:eastAsia="Arial" w:hAnsi="Arial"/>
          <w:sz w:val="16"/>
          <w:szCs w:val="16"/>
          <w:color w:val="auto"/>
        </w:rPr>
      </w:pPr>
      <w:r>
        <w:rPr>
          <w:rFonts w:ascii="Arial" w:cs="Arial" w:eastAsia="Arial" w:hAnsi="Arial"/>
          <w:sz w:val="16"/>
          <w:szCs w:val="16"/>
          <w:u w:val="single" w:color="auto"/>
          <w:color w:val="auto"/>
        </w:rPr>
        <w:t>Special Meetings</w:t>
      </w:r>
      <w:r>
        <w:rPr>
          <w:rFonts w:ascii="Arial" w:cs="Arial" w:eastAsia="Arial" w:hAnsi="Arial"/>
          <w:sz w:val="16"/>
          <w:szCs w:val="16"/>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9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ARTICLE VI</w:t>
      </w:r>
    </w:p>
    <w:p>
      <w:pPr>
        <w:spacing w:after="0" w:line="158" w:lineRule="exact"/>
        <w:rPr>
          <w:sz w:val="20"/>
          <w:szCs w:val="20"/>
          <w:color w:val="auto"/>
        </w:rPr>
      </w:pPr>
    </w:p>
    <w:p>
      <w:pPr>
        <w:ind w:left="4000"/>
        <w:spacing w:after="0"/>
        <w:rPr>
          <w:sz w:val="20"/>
          <w:szCs w:val="20"/>
          <w:color w:val="auto"/>
        </w:rPr>
      </w:pPr>
      <w:r>
        <w:rPr>
          <w:rFonts w:ascii="Arial" w:cs="Arial" w:eastAsia="Arial" w:hAnsi="Arial"/>
          <w:sz w:val="18"/>
          <w:szCs w:val="18"/>
          <w:u w:val="single" w:color="auto"/>
          <w:color w:val="auto"/>
        </w:rPr>
        <w:t>DIRECTORS</w:t>
      </w:r>
    </w:p>
    <w:p>
      <w:pPr>
        <w:spacing w:after="0" w:line="144" w:lineRule="exact"/>
        <w:rPr>
          <w:sz w:val="20"/>
          <w:szCs w:val="20"/>
          <w:color w:val="auto"/>
        </w:rPr>
      </w:pPr>
    </w:p>
    <w:p>
      <w:pPr>
        <w:ind w:left="460" w:right="599" w:firstLine="426"/>
        <w:spacing w:after="0" w:line="277" w:lineRule="auto"/>
        <w:tabs>
          <w:tab w:leader="none" w:pos="1072" w:val="left"/>
        </w:tabs>
        <w:numPr>
          <w:ilvl w:val="0"/>
          <w:numId w:val="45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business and affairs of the Corporation shall be managed by or under the direction of the Board of Directors except as otherwise provided herein or required by law.</w:t>
      </w:r>
    </w:p>
    <w:p>
      <w:pPr>
        <w:spacing w:after="0" w:line="102" w:lineRule="exact"/>
        <w:rPr>
          <w:rFonts w:ascii="Arial" w:cs="Arial" w:eastAsia="Arial" w:hAnsi="Arial"/>
          <w:sz w:val="18"/>
          <w:szCs w:val="18"/>
          <w:color w:val="auto"/>
        </w:rPr>
      </w:pPr>
    </w:p>
    <w:p>
      <w:pPr>
        <w:ind w:left="460" w:right="879" w:firstLine="426"/>
        <w:spacing w:after="0" w:line="277" w:lineRule="auto"/>
        <w:tabs>
          <w:tab w:leader="none" w:pos="1072" w:val="left"/>
        </w:tabs>
        <w:numPr>
          <w:ilvl w:val="0"/>
          <w:numId w:val="451"/>
        </w:numPr>
        <w:rPr>
          <w:rFonts w:ascii="Arial" w:cs="Arial" w:eastAsia="Arial" w:hAnsi="Arial"/>
          <w:sz w:val="18"/>
          <w:szCs w:val="18"/>
          <w:color w:val="auto"/>
        </w:rPr>
      </w:pPr>
      <w:r>
        <w:rPr>
          <w:rFonts w:ascii="Arial" w:cs="Arial" w:eastAsia="Arial" w:hAnsi="Arial"/>
          <w:sz w:val="18"/>
          <w:szCs w:val="18"/>
          <w:u w:val="single" w:color="auto"/>
          <w:color w:val="auto"/>
        </w:rPr>
        <w:t>Election of Directors</w:t>
      </w:r>
      <w:r>
        <w:rPr>
          <w:rFonts w:ascii="Arial" w:cs="Arial" w:eastAsia="Arial" w:hAnsi="Arial"/>
          <w:sz w:val="18"/>
          <w:szCs w:val="18"/>
          <w:color w:val="auto"/>
        </w:rPr>
        <w:t>. Election of Directors need not be by written ballot unless the By-laws of the Corporation (the “By-laws”) shall so provide.</w:t>
      </w:r>
    </w:p>
    <w:p>
      <w:pPr>
        <w:spacing w:after="0" w:line="102" w:lineRule="exact"/>
        <w:rPr>
          <w:rFonts w:ascii="Arial" w:cs="Arial" w:eastAsia="Arial" w:hAnsi="Arial"/>
          <w:sz w:val="18"/>
          <w:szCs w:val="18"/>
          <w:color w:val="auto"/>
        </w:rPr>
      </w:pPr>
    </w:p>
    <w:p>
      <w:pPr>
        <w:ind w:left="460" w:right="519" w:firstLine="426"/>
        <w:spacing w:after="0" w:line="285" w:lineRule="auto"/>
        <w:tabs>
          <w:tab w:leader="none" w:pos="1072" w:val="left"/>
        </w:tabs>
        <w:numPr>
          <w:ilvl w:val="0"/>
          <w:numId w:val="451"/>
        </w:numPr>
        <w:rPr>
          <w:rFonts w:ascii="Arial" w:cs="Arial" w:eastAsia="Arial" w:hAnsi="Arial"/>
          <w:sz w:val="16"/>
          <w:szCs w:val="16"/>
          <w:color w:val="auto"/>
        </w:rPr>
      </w:pPr>
      <w:r>
        <w:rPr>
          <w:rFonts w:ascii="Arial" w:cs="Arial" w:eastAsia="Arial" w:hAnsi="Arial"/>
          <w:sz w:val="16"/>
          <w:szCs w:val="16"/>
          <w:u w:val="single" w:color="auto"/>
          <w:color w:val="auto"/>
        </w:rPr>
        <w:t>Number of Directors; Term of Office</w:t>
      </w:r>
      <w:r>
        <w:rPr>
          <w:rFonts w:ascii="Arial" w:cs="Arial" w:eastAsia="Arial" w:hAnsi="Arial"/>
          <w:sz w:val="16"/>
          <w:szCs w:val="16"/>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__________________; the initial Class II Directors of the Corporation shall be</w:t>
      </w:r>
    </w:p>
    <w:p>
      <w:pPr>
        <w:spacing w:after="0" w:line="1" w:lineRule="exact"/>
        <w:rPr>
          <w:rFonts w:ascii="Arial" w:cs="Arial" w:eastAsia="Arial" w:hAnsi="Arial"/>
          <w:sz w:val="16"/>
          <w:szCs w:val="16"/>
          <w:color w:val="auto"/>
        </w:rPr>
      </w:pPr>
    </w:p>
    <w:p>
      <w:pPr>
        <w:ind w:left="460" w:right="479"/>
        <w:spacing w:after="0" w:line="287" w:lineRule="auto"/>
        <w:rPr>
          <w:rFonts w:ascii="Arial" w:cs="Arial" w:eastAsia="Arial" w:hAnsi="Arial"/>
          <w:sz w:val="16"/>
          <w:szCs w:val="16"/>
          <w:color w:val="auto"/>
        </w:rPr>
      </w:pPr>
      <w:r>
        <w:rPr>
          <w:rFonts w:ascii="Arial" w:cs="Arial" w:eastAsia="Arial" w:hAnsi="Arial"/>
          <w:sz w:val="16"/>
          <w:szCs w:val="16"/>
          <w:color w:val="auto"/>
        </w:rPr>
        <w:t>_____________________; and the initial Class III Directors of the Corporation shall be _______________. The initial Class I Directors shall serve for a term expiring at the annual meeting of stockholders to be held in 2022, the initial Class II Directors shall serve for a term expiring at the annual meeting of stockholders to be held in 2023, and the initial Class III Directors shall serve for a term expiring at the annual meeting of stockholders to be held in 2024.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89"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94"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IV, Section 3.</w:t>
      </w:r>
    </w:p>
    <w:p>
      <w:pPr>
        <w:spacing w:after="0" w:line="119" w:lineRule="exact"/>
        <w:rPr>
          <w:sz w:val="20"/>
          <w:szCs w:val="20"/>
          <w:color w:val="auto"/>
        </w:rPr>
      </w:pPr>
    </w:p>
    <w:p>
      <w:pPr>
        <w:ind w:left="460" w:right="519" w:firstLine="426"/>
        <w:spacing w:after="0" w:line="287" w:lineRule="auto"/>
        <w:tabs>
          <w:tab w:leader="none" w:pos="1072" w:val="left"/>
        </w:tabs>
        <w:numPr>
          <w:ilvl w:val="0"/>
          <w:numId w:val="452"/>
        </w:numPr>
        <w:rPr>
          <w:rFonts w:ascii="Arial" w:cs="Arial" w:eastAsia="Arial" w:hAnsi="Arial"/>
          <w:sz w:val="16"/>
          <w:szCs w:val="16"/>
          <w:color w:val="auto"/>
        </w:rPr>
      </w:pPr>
      <w:r>
        <w:rPr>
          <w:rFonts w:ascii="Arial" w:cs="Arial" w:eastAsia="Arial" w:hAnsi="Arial"/>
          <w:sz w:val="16"/>
          <w:szCs w:val="16"/>
          <w:u w:val="single" w:color="auto"/>
          <w:color w:val="auto"/>
        </w:rPr>
        <w:t>Vacancies</w:t>
      </w:r>
      <w:r>
        <w:rPr>
          <w:rFonts w:ascii="Arial" w:cs="Arial" w:eastAsia="Arial" w:hAnsi="Arial"/>
          <w:sz w:val="16"/>
          <w:szCs w:val="16"/>
          <w:color w:val="auto"/>
        </w:rPr>
        <w:t>.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VI.3 hereof, determine the class or classes to which the increased or decreased number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3" w:name="page434"/>
    <w:bookmarkEnd w:id="43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59" w:lineRule="auto"/>
        <w:rPr>
          <w:sz w:val="20"/>
          <w:szCs w:val="20"/>
          <w:color w:val="auto"/>
        </w:rPr>
      </w:pPr>
      <w:r>
        <w:rPr>
          <w:rFonts w:ascii="Arial" w:cs="Arial" w:eastAsia="Arial" w:hAnsi="Arial"/>
          <w:sz w:val="18"/>
          <w:szCs w:val="18"/>
          <w:color w:val="auto"/>
        </w:rPr>
        <w:t xml:space="preserve">Directors shall be apportioned;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19" w:lineRule="exact"/>
        <w:rPr>
          <w:sz w:val="20"/>
          <w:szCs w:val="20"/>
          <w:color w:val="auto"/>
        </w:rPr>
      </w:pPr>
    </w:p>
    <w:p>
      <w:pPr>
        <w:ind w:left="460" w:right="559" w:firstLine="426"/>
        <w:spacing w:after="0" w:line="287" w:lineRule="auto"/>
        <w:tabs>
          <w:tab w:leader="none" w:pos="1072" w:val="left"/>
        </w:tabs>
        <w:numPr>
          <w:ilvl w:val="1"/>
          <w:numId w:val="453"/>
        </w:numPr>
        <w:rPr>
          <w:rFonts w:ascii="Arial" w:cs="Arial" w:eastAsia="Arial" w:hAnsi="Arial"/>
          <w:sz w:val="16"/>
          <w:szCs w:val="16"/>
          <w:color w:val="auto"/>
        </w:rPr>
      </w:pPr>
      <w:r>
        <w:rPr>
          <w:rFonts w:ascii="Arial" w:cs="Arial" w:eastAsia="Arial" w:hAnsi="Arial"/>
          <w:sz w:val="16"/>
          <w:szCs w:val="16"/>
          <w:u w:val="single" w:color="auto"/>
          <w:color w:val="auto"/>
        </w:rPr>
        <w:t>Removal</w:t>
      </w:r>
      <w:r>
        <w:rPr>
          <w:rFonts w:ascii="Arial" w:cs="Arial" w:eastAsia="Arial" w:hAnsi="Arial"/>
          <w:sz w:val="16"/>
          <w:szCs w:val="16"/>
          <w:color w:val="auto"/>
        </w:rPr>
        <w:t>.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w:t>
      </w:r>
    </w:p>
    <w:p>
      <w:pPr>
        <w:spacing w:after="0" w:line="2" w:lineRule="exact"/>
        <w:rPr>
          <w:rFonts w:ascii="Arial" w:cs="Arial" w:eastAsia="Arial" w:hAnsi="Arial"/>
          <w:sz w:val="16"/>
          <w:szCs w:val="16"/>
          <w:color w:val="auto"/>
        </w:rPr>
      </w:pPr>
    </w:p>
    <w:p>
      <w:pPr>
        <w:ind w:left="460" w:right="459" w:hanging="6"/>
        <w:spacing w:after="0" w:line="253" w:lineRule="auto"/>
        <w:tabs>
          <w:tab w:leader="none" w:pos="675" w:val="left"/>
        </w:tabs>
        <w:numPr>
          <w:ilvl w:val="0"/>
          <w:numId w:val="454"/>
        </w:numPr>
        <w:rPr>
          <w:rFonts w:ascii="Arial" w:cs="Arial" w:eastAsia="Arial" w:hAnsi="Arial"/>
          <w:sz w:val="18"/>
          <w:szCs w:val="18"/>
          <w:color w:val="auto"/>
        </w:rPr>
      </w:pPr>
      <w:r>
        <w:rPr>
          <w:rFonts w:ascii="Arial" w:cs="Arial" w:eastAsia="Arial" w:hAnsi="Arial"/>
          <w:sz w:val="18"/>
          <w:szCs w:val="18"/>
          <w:color w:val="auto"/>
        </w:rPr>
        <w:t>only with cause and (ii) only by the affirmative vote of the holders not less than two-thirds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LIMITATION OF LIABILITY</w:t>
      </w:r>
    </w:p>
    <w:p>
      <w:pPr>
        <w:spacing w:after="0" w:line="158" w:lineRule="exact"/>
        <w:rPr>
          <w:sz w:val="20"/>
          <w:szCs w:val="20"/>
          <w:color w:val="auto"/>
        </w:rPr>
      </w:pPr>
    </w:p>
    <w:p>
      <w:pPr>
        <w:ind w:left="460" w:right="459" w:firstLine="426"/>
        <w:spacing w:after="0" w:line="286" w:lineRule="auto"/>
        <w:tabs>
          <w:tab w:leader="none" w:pos="1072" w:val="left"/>
        </w:tabs>
        <w:numPr>
          <w:ilvl w:val="1"/>
          <w:numId w:val="455"/>
        </w:numPr>
        <w:rPr>
          <w:rFonts w:ascii="Arial" w:cs="Arial" w:eastAsia="Arial" w:hAnsi="Arial"/>
          <w:sz w:val="16"/>
          <w:szCs w:val="16"/>
          <w:color w:val="auto"/>
        </w:rPr>
      </w:pPr>
      <w:r>
        <w:rPr>
          <w:rFonts w:ascii="Arial" w:cs="Arial" w:eastAsia="Arial" w:hAnsi="Arial"/>
          <w:sz w:val="16"/>
          <w:szCs w:val="16"/>
          <w:color w:val="auto"/>
        </w:rPr>
        <w:t>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w:t>
      </w:r>
    </w:p>
    <w:p>
      <w:pPr>
        <w:spacing w:after="0" w:line="1" w:lineRule="exact"/>
        <w:rPr>
          <w:rFonts w:ascii="Arial" w:cs="Arial" w:eastAsia="Arial" w:hAnsi="Arial"/>
          <w:sz w:val="16"/>
          <w:szCs w:val="16"/>
          <w:color w:val="auto"/>
        </w:rPr>
      </w:pPr>
    </w:p>
    <w:p>
      <w:pPr>
        <w:ind w:left="460" w:right="499" w:hanging="6"/>
        <w:spacing w:after="0" w:line="253" w:lineRule="auto"/>
        <w:tabs>
          <w:tab w:leader="none" w:pos="715" w:val="left"/>
        </w:tabs>
        <w:numPr>
          <w:ilvl w:val="0"/>
          <w:numId w:val="456"/>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25" w:lineRule="exact"/>
        <w:rPr>
          <w:rFonts w:ascii="Arial" w:cs="Arial" w:eastAsia="Arial" w:hAnsi="Arial"/>
          <w:sz w:val="18"/>
          <w:szCs w:val="18"/>
          <w:color w:val="auto"/>
        </w:rPr>
      </w:pPr>
    </w:p>
    <w:p>
      <w:pPr>
        <w:ind w:left="460" w:right="539" w:firstLine="426"/>
        <w:spacing w:after="0" w:line="257" w:lineRule="auto"/>
        <w:tabs>
          <w:tab w:leader="none" w:pos="1072" w:val="left"/>
        </w:tabs>
        <w:numPr>
          <w:ilvl w:val="1"/>
          <w:numId w:val="456"/>
        </w:numPr>
        <w:rPr>
          <w:rFonts w:ascii="Arial" w:cs="Arial" w:eastAsia="Arial" w:hAnsi="Arial"/>
          <w:sz w:val="18"/>
          <w:szCs w:val="18"/>
          <w:color w:val="auto"/>
        </w:rPr>
      </w:pPr>
      <w:r>
        <w:rPr>
          <w:rFonts w:ascii="Arial" w:cs="Arial" w:eastAsia="Arial" w:hAnsi="Arial"/>
          <w:sz w:val="18"/>
          <w:szCs w:val="18"/>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06" w:lineRule="exact"/>
        <w:rPr>
          <w:rFonts w:ascii="Arial" w:cs="Arial" w:eastAsia="Arial" w:hAnsi="Arial"/>
          <w:sz w:val="18"/>
          <w:szCs w:val="18"/>
          <w:color w:val="auto"/>
        </w:rPr>
      </w:pPr>
    </w:p>
    <w:p>
      <w:pPr>
        <w:ind w:left="460" w:right="479" w:firstLine="426"/>
        <w:spacing w:after="0" w:line="259" w:lineRule="auto"/>
        <w:tabs>
          <w:tab w:leader="none" w:pos="1072" w:val="left"/>
        </w:tabs>
        <w:numPr>
          <w:ilvl w:val="1"/>
          <w:numId w:val="456"/>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VII.</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OF BY-LAWS</w:t>
      </w:r>
    </w:p>
    <w:p>
      <w:pPr>
        <w:spacing w:after="0" w:line="144" w:lineRule="exact"/>
        <w:rPr>
          <w:sz w:val="20"/>
          <w:szCs w:val="20"/>
          <w:color w:val="auto"/>
        </w:rPr>
      </w:pPr>
    </w:p>
    <w:p>
      <w:pPr>
        <w:jc w:val="both"/>
        <w:ind w:left="460" w:right="579" w:firstLine="426"/>
        <w:spacing w:after="0" w:line="263" w:lineRule="auto"/>
        <w:tabs>
          <w:tab w:leader="none" w:pos="1072" w:val="left"/>
        </w:tabs>
        <w:numPr>
          <w:ilvl w:val="0"/>
          <w:numId w:val="457"/>
        </w:numPr>
        <w:rPr>
          <w:rFonts w:ascii="Arial" w:cs="Arial" w:eastAsia="Arial" w:hAnsi="Arial"/>
          <w:sz w:val="18"/>
          <w:szCs w:val="18"/>
          <w:color w:val="auto"/>
        </w:rPr>
      </w:pPr>
      <w:r>
        <w:rPr>
          <w:rFonts w:ascii="Arial" w:cs="Arial" w:eastAsia="Arial" w:hAnsi="Arial"/>
          <w:sz w:val="18"/>
          <w:szCs w:val="18"/>
          <w:u w:val="single" w:color="auto"/>
          <w:color w:val="auto"/>
        </w:rPr>
        <w:t>Amendment by Directors</w:t>
      </w:r>
      <w:r>
        <w:rPr>
          <w:rFonts w:ascii="Arial" w:cs="Arial" w:eastAsia="Arial" w:hAnsi="Arial"/>
          <w:sz w:val="18"/>
          <w:szCs w:val="18"/>
          <w:color w:val="auto"/>
        </w:rPr>
        <w:t>. Except as otherwise provided by law, the By-laws of the Corporation may be amended or repealed by the Board of Directors by the affirmative vote of a majority of the Directors then in office.</w:t>
      </w:r>
    </w:p>
    <w:p>
      <w:pPr>
        <w:spacing w:after="0" w:line="116" w:lineRule="exact"/>
        <w:rPr>
          <w:rFonts w:ascii="Arial" w:cs="Arial" w:eastAsia="Arial" w:hAnsi="Arial"/>
          <w:sz w:val="18"/>
          <w:szCs w:val="18"/>
          <w:color w:val="auto"/>
        </w:rPr>
      </w:pPr>
    </w:p>
    <w:p>
      <w:pPr>
        <w:ind w:left="460" w:right="579" w:firstLine="426"/>
        <w:spacing w:after="0" w:line="254" w:lineRule="auto"/>
        <w:tabs>
          <w:tab w:leader="none" w:pos="1072" w:val="left"/>
        </w:tabs>
        <w:numPr>
          <w:ilvl w:val="0"/>
          <w:numId w:val="457"/>
        </w:numPr>
        <w:rPr>
          <w:rFonts w:ascii="Arial" w:cs="Arial" w:eastAsia="Arial" w:hAnsi="Arial"/>
          <w:sz w:val="18"/>
          <w:szCs w:val="18"/>
          <w:color w:val="auto"/>
        </w:rPr>
      </w:pPr>
      <w:r>
        <w:rPr>
          <w:rFonts w:ascii="Arial" w:cs="Arial" w:eastAsia="Arial" w:hAnsi="Arial"/>
          <w:sz w:val="18"/>
          <w:szCs w:val="18"/>
          <w:u w:val="single" w:color="auto"/>
          <w:color w:val="auto"/>
        </w:rPr>
        <w:t>Amendment by Stockholders</w:t>
      </w:r>
      <w:r>
        <w:rPr>
          <w:rFonts w:ascii="Arial" w:cs="Arial" w:eastAsia="Arial" w:hAnsi="Arial"/>
          <w:sz w:val="18"/>
          <w:szCs w:val="18"/>
          <w:color w:val="auto"/>
        </w:rPr>
        <w:t>. Except as otherwise provided therein, the By-laws of the Corporation may be amended or repealed at any annual meeting of stockholders, or special meeting of stockholders called for such purpose, by the affirmative vote of not less than two-thirds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4" w:name="page435"/>
    <w:bookmarkEnd w:id="43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 OF CERTIFICATE OF INCORPORATION</w:t>
      </w:r>
    </w:p>
    <w:p>
      <w:pPr>
        <w:spacing w:after="0" w:line="158"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BUSINESS COMBINATIONS</w:t>
      </w:r>
    </w:p>
    <w:p>
      <w:pPr>
        <w:spacing w:after="0" w:line="158" w:lineRule="exact"/>
        <w:rPr>
          <w:sz w:val="20"/>
          <w:szCs w:val="20"/>
          <w:color w:val="auto"/>
        </w:rPr>
      </w:pPr>
    </w:p>
    <w:p>
      <w:pPr>
        <w:ind w:left="1060" w:hanging="174"/>
        <w:spacing w:after="0"/>
        <w:tabs>
          <w:tab w:leader="none" w:pos="1060" w:val="left"/>
        </w:tabs>
        <w:numPr>
          <w:ilvl w:val="0"/>
          <w:numId w:val="458"/>
        </w:numPr>
        <w:rPr>
          <w:rFonts w:ascii="Arial" w:cs="Arial" w:eastAsia="Arial" w:hAnsi="Arial"/>
          <w:sz w:val="18"/>
          <w:szCs w:val="18"/>
          <w:color w:val="auto"/>
        </w:rPr>
      </w:pPr>
      <w:r>
        <w:rPr>
          <w:rFonts w:ascii="Arial" w:cs="Arial" w:eastAsia="Arial" w:hAnsi="Arial"/>
          <w:sz w:val="18"/>
          <w:szCs w:val="18"/>
          <w:u w:val="single" w:color="auto"/>
          <w:color w:val="auto"/>
        </w:rPr>
        <w:t>Opt Out of DGCL 203</w:t>
      </w:r>
      <w:r>
        <w:rPr>
          <w:rFonts w:ascii="Arial" w:cs="Arial" w:eastAsia="Arial" w:hAnsi="Arial"/>
          <w:sz w:val="18"/>
          <w:szCs w:val="18"/>
          <w:color w:val="auto"/>
        </w:rPr>
        <w:t>.  The Corporation shall not be governed by Section 203 of the DGCL.</w:t>
      </w:r>
    </w:p>
    <w:p>
      <w:pPr>
        <w:spacing w:after="0" w:line="144" w:lineRule="exact"/>
        <w:rPr>
          <w:rFonts w:ascii="Arial" w:cs="Arial" w:eastAsia="Arial" w:hAnsi="Arial"/>
          <w:sz w:val="18"/>
          <w:szCs w:val="18"/>
          <w:color w:val="auto"/>
        </w:rPr>
      </w:pPr>
    </w:p>
    <w:p>
      <w:pPr>
        <w:ind w:left="460" w:right="539" w:firstLine="426"/>
        <w:spacing w:after="0" w:line="291" w:lineRule="auto"/>
        <w:tabs>
          <w:tab w:leader="none" w:pos="1072" w:val="left"/>
        </w:tabs>
        <w:numPr>
          <w:ilvl w:val="0"/>
          <w:numId w:val="458"/>
        </w:numPr>
        <w:rPr>
          <w:rFonts w:ascii="Arial" w:cs="Arial" w:eastAsia="Arial" w:hAnsi="Arial"/>
          <w:sz w:val="16"/>
          <w:szCs w:val="16"/>
          <w:color w:val="auto"/>
        </w:rPr>
      </w:pPr>
      <w:r>
        <w:rPr>
          <w:rFonts w:ascii="Arial" w:cs="Arial" w:eastAsia="Arial" w:hAnsi="Arial"/>
          <w:sz w:val="16"/>
          <w:szCs w:val="16"/>
          <w:u w:val="single" w:color="auto"/>
          <w:color w:val="auto"/>
        </w:rPr>
        <w:t>Excluded Opportunity</w:t>
      </w:r>
      <w:r>
        <w:rPr>
          <w:rFonts w:ascii="Arial" w:cs="Arial" w:eastAsia="Arial" w:hAnsi="Arial"/>
          <w:sz w:val="16"/>
          <w:szCs w:val="16"/>
          <w:color w:val="auto"/>
        </w:rPr>
        <w:t>. The Corporation renounces any interest or expectancy of the Corporation in, or in being offered an opportunity to participate in, any Excluded Opportunity. An “Excluded Opportunity” is any matter, transaction or interest that is presented to, or acquired, created or developed by, or which otherwise comes into the possession of, any Director of the Corporation who is not an employee or officer of the Corporation or any of its subsidiaries (a “</w:t>
      </w:r>
      <w:r>
        <w:rPr>
          <w:rFonts w:ascii="Arial" w:cs="Arial" w:eastAsia="Arial" w:hAnsi="Arial"/>
          <w:sz w:val="16"/>
          <w:szCs w:val="16"/>
          <w:u w:val="single" w:color="auto"/>
          <w:color w:val="auto"/>
        </w:rPr>
        <w:t>Covered Person</w:t>
      </w:r>
      <w:r>
        <w:rPr>
          <w:rFonts w:ascii="Arial" w:cs="Arial" w:eastAsia="Arial" w:hAnsi="Arial"/>
          <w:sz w:val="16"/>
          <w:szCs w:val="16"/>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98" w:lineRule="exact"/>
        <w:rPr>
          <w:rFonts w:ascii="Arial" w:cs="Arial" w:eastAsia="Arial" w:hAnsi="Arial"/>
          <w:sz w:val="16"/>
          <w:szCs w:val="16"/>
          <w:color w:val="auto"/>
        </w:rPr>
      </w:pPr>
    </w:p>
    <w:p>
      <w:pPr>
        <w:ind w:left="400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5" w:name="page436"/>
    <w:bookmarkEnd w:id="43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THIS SECOND AMENDED AND RESTATED CERTIFICATE OF INCORPORATION is executed as of this ____ day of __________, 2021.</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TANGO THERAPEUTICS, INC.</w:t>
      </w:r>
    </w:p>
    <w:p>
      <w:pPr>
        <w:spacing w:after="0" w:line="18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48895</wp:posOffset>
            </wp:positionV>
            <wp:extent cx="222885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6" w:name="page437"/>
    <w:bookmarkEnd w:id="43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“Corporation”)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7" w:name="page438"/>
    <w:bookmarkEnd w:id="43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u w:val="single" w:color="auto"/>
          <w:color w:val="auto"/>
        </w:rPr>
        <w:t>ARTICLE I</w:t>
      </w:r>
    </w:p>
    <w:p>
      <w:pPr>
        <w:spacing w:after="0" w:line="158" w:lineRule="exact"/>
        <w:rPr>
          <w:sz w:val="20"/>
          <w:szCs w:val="20"/>
          <w:color w:val="auto"/>
        </w:rPr>
      </w:pPr>
    </w:p>
    <w:p>
      <w:pPr>
        <w:ind w:left="4040"/>
        <w:spacing w:after="0"/>
        <w:rPr>
          <w:sz w:val="20"/>
          <w:szCs w:val="20"/>
          <w:color w:val="auto"/>
        </w:rPr>
      </w:pPr>
      <w:r>
        <w:rPr>
          <w:rFonts w:ascii="Arial" w:cs="Arial" w:eastAsia="Arial" w:hAnsi="Arial"/>
          <w:sz w:val="18"/>
          <w:szCs w:val="18"/>
          <w:u w:val="single" w:color="auto"/>
          <w:color w:val="auto"/>
        </w:rPr>
        <w:t>Stockholders</w:t>
      </w:r>
    </w:p>
    <w:p>
      <w:pPr>
        <w:spacing w:after="0" w:line="158" w:lineRule="exact"/>
        <w:rPr>
          <w:sz w:val="20"/>
          <w:szCs w:val="20"/>
          <w:color w:val="auto"/>
        </w:rPr>
      </w:pPr>
    </w:p>
    <w:p>
      <w:pPr>
        <w:ind w:left="460" w:right="519" w:firstLine="432"/>
        <w:spacing w:after="0" w:line="274"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Annual Meeting</w:t>
      </w:r>
      <w:r>
        <w:rPr>
          <w:rFonts w:ascii="Arial" w:cs="Arial" w:eastAsia="Arial" w:hAnsi="Arial"/>
          <w:sz w:val="17"/>
          <w:szCs w:val="17"/>
          <w:color w:val="auto"/>
        </w:rPr>
        <w:t>. The annual meeting of stockholders (any such meeting being referred to in these By-laws as an “Annual Meeting”) shall be held at the hour, date and place within or without the</w:t>
      </w:r>
    </w:p>
    <w:p>
      <w:pPr>
        <w:ind w:left="460" w:right="539"/>
        <w:spacing w:after="0" w:line="270" w:lineRule="auto"/>
        <w:rPr>
          <w:sz w:val="20"/>
          <w:szCs w:val="20"/>
          <w:color w:val="auto"/>
        </w:rPr>
      </w:pPr>
      <w:r>
        <w:rPr>
          <w:rFonts w:ascii="Arial" w:cs="Arial" w:eastAsia="Arial" w:hAnsi="Arial"/>
          <w:sz w:val="17"/>
          <w:szCs w:val="17"/>
          <w:color w:val="auto"/>
        </w:rPr>
        <w:t>United States which is fixed by the Board of Directors,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SECTION 2. Notice of Stockholder Business and Nominations.</w:t>
      </w:r>
    </w:p>
    <w:p>
      <w:pPr>
        <w:spacing w:after="0" w:line="158" w:lineRule="exact"/>
        <w:rPr>
          <w:sz w:val="20"/>
          <w:szCs w:val="20"/>
          <w:color w:val="auto"/>
        </w:rPr>
      </w:pPr>
    </w:p>
    <w:p>
      <w:pPr>
        <w:ind w:left="1140" w:hanging="254"/>
        <w:spacing w:after="0"/>
        <w:tabs>
          <w:tab w:leader="none" w:pos="1140" w:val="left"/>
        </w:tabs>
        <w:numPr>
          <w:ilvl w:val="0"/>
          <w:numId w:val="459"/>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880" w:right="459" w:firstLine="438"/>
        <w:spacing w:after="0" w:line="291" w:lineRule="auto"/>
        <w:tabs>
          <w:tab w:leader="none" w:pos="1567" w:val="left"/>
        </w:tabs>
        <w:numPr>
          <w:ilvl w:val="1"/>
          <w:numId w:val="459"/>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of Directors of the Corporation and the proposal of other business to be considered by the stockholders may be brought before an Annual Meeting</w:t>
      </w:r>
    </w:p>
    <w:p>
      <w:pPr>
        <w:ind w:left="880" w:right="519" w:firstLine="6"/>
        <w:spacing w:after="0" w:line="281" w:lineRule="auto"/>
        <w:tabs>
          <w:tab w:leader="none" w:pos="1095" w:val="left"/>
        </w:tabs>
        <w:numPr>
          <w:ilvl w:val="0"/>
          <w:numId w:val="460"/>
        </w:numPr>
        <w:rPr>
          <w:rFonts w:ascii="Arial" w:cs="Arial" w:eastAsia="Arial" w:hAnsi="Arial"/>
          <w:sz w:val="16"/>
          <w:szCs w:val="16"/>
          <w:color w:val="auto"/>
        </w:rPr>
      </w:pPr>
      <w:r>
        <w:rPr>
          <w:rFonts w:ascii="Arial" w:cs="Arial" w:eastAsia="Arial" w:hAnsi="Arial"/>
          <w:sz w:val="16"/>
          <w:szCs w:val="16"/>
          <w:color w:val="auto"/>
        </w:rPr>
        <w:t>by or at the direction of the Board of Directors or (ii) by any stockholder of the Corporation who was a stockholder of record at the time of giving of notice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“Exchange Act”)), and such stockholder must comply with the notice and other procedures set forth in Article I, Section 2(a)(2) and</w:t>
      </w:r>
    </w:p>
    <w:p>
      <w:pPr>
        <w:spacing w:after="0" w:line="4" w:lineRule="exact"/>
        <w:rPr>
          <w:rFonts w:ascii="Arial" w:cs="Arial" w:eastAsia="Arial" w:hAnsi="Arial"/>
          <w:sz w:val="16"/>
          <w:szCs w:val="16"/>
          <w:color w:val="auto"/>
        </w:rPr>
      </w:pPr>
    </w:p>
    <w:p>
      <w:pPr>
        <w:ind w:left="880" w:right="479"/>
        <w:spacing w:after="0" w:line="253" w:lineRule="auto"/>
        <w:rPr>
          <w:rFonts w:ascii="Arial" w:cs="Arial" w:eastAsia="Arial" w:hAnsi="Arial"/>
          <w:sz w:val="16"/>
          <w:szCs w:val="16"/>
          <w:color w:val="auto"/>
        </w:rPr>
      </w:pPr>
      <w:r>
        <w:rPr>
          <w:rFonts w:ascii="Arial" w:cs="Arial" w:eastAsia="Arial" w:hAnsi="Arial"/>
          <w:sz w:val="18"/>
          <w:szCs w:val="18"/>
          <w:color w:val="auto"/>
        </w:rPr>
        <w:t>(3)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pacing w:after="0" w:line="111" w:lineRule="exact"/>
        <w:rPr>
          <w:rFonts w:ascii="Arial" w:cs="Arial" w:eastAsia="Arial" w:hAnsi="Arial"/>
          <w:sz w:val="16"/>
          <w:szCs w:val="16"/>
          <w:color w:val="auto"/>
        </w:rPr>
      </w:pPr>
    </w:p>
    <w:p>
      <w:pPr>
        <w:jc w:val="both"/>
        <w:ind w:left="880" w:right="999" w:firstLine="438"/>
        <w:spacing w:after="0" w:line="291" w:lineRule="auto"/>
        <w:tabs>
          <w:tab w:leader="none" w:pos="1567" w:val="left"/>
        </w:tabs>
        <w:numPr>
          <w:ilvl w:val="1"/>
          <w:numId w:val="460"/>
        </w:numPr>
        <w:rPr>
          <w:rFonts w:ascii="Arial" w:cs="Arial" w:eastAsia="Arial" w:hAnsi="Arial"/>
          <w:sz w:val="16"/>
          <w:szCs w:val="16"/>
          <w:color w:val="auto"/>
        </w:rPr>
      </w:pPr>
      <w:r>
        <w:rPr>
          <w:rFonts w:ascii="Arial" w:cs="Arial" w:eastAsia="Arial" w:hAnsi="Arial"/>
          <w:sz w:val="16"/>
          <w:szCs w:val="16"/>
          <w:color w:val="auto"/>
        </w:rPr>
        <w:t>For nominations or other business to be properly brought before an Annual Meeting by a stockholder pursuant to clause (ii) of Article I, Section 2(a)(1) of this By-law, the stockholder must</w:t>
      </w:r>
    </w:p>
    <w:p>
      <w:pPr>
        <w:ind w:left="1100" w:hanging="214"/>
        <w:spacing w:after="0"/>
        <w:tabs>
          <w:tab w:leader="none" w:pos="1100" w:val="left"/>
        </w:tabs>
        <w:numPr>
          <w:ilvl w:val="0"/>
          <w:numId w:val="461"/>
        </w:numPr>
        <w:rPr>
          <w:rFonts w:ascii="Arial" w:cs="Arial" w:eastAsia="Arial" w:hAnsi="Arial"/>
          <w:sz w:val="17"/>
          <w:szCs w:val="17"/>
          <w:color w:val="auto"/>
        </w:rPr>
      </w:pPr>
      <w:r>
        <w:rPr>
          <w:rFonts w:ascii="Arial" w:cs="Arial" w:eastAsia="Arial" w:hAnsi="Arial"/>
          <w:sz w:val="17"/>
          <w:szCs w:val="17"/>
          <w:color w:val="auto"/>
        </w:rPr>
        <w:t>have given Timely Notice (as defined below) thereof in writing to the Secretary of the Corporation,</w:t>
      </w:r>
    </w:p>
    <w:p>
      <w:pPr>
        <w:spacing w:after="0" w:line="20" w:lineRule="exact"/>
        <w:rPr>
          <w:rFonts w:ascii="Arial" w:cs="Arial" w:eastAsia="Arial" w:hAnsi="Arial"/>
          <w:sz w:val="17"/>
          <w:szCs w:val="17"/>
          <w:color w:val="auto"/>
        </w:rPr>
      </w:pPr>
    </w:p>
    <w:p>
      <w:pPr>
        <w:ind w:left="880" w:right="479" w:firstLine="6"/>
        <w:spacing w:after="0" w:line="276" w:lineRule="auto"/>
        <w:tabs>
          <w:tab w:leader="none" w:pos="1145" w:val="left"/>
        </w:tabs>
        <w:numPr>
          <w:ilvl w:val="0"/>
          <w:numId w:val="462"/>
        </w:numPr>
        <w:rPr>
          <w:rFonts w:ascii="Arial" w:cs="Arial" w:eastAsia="Arial" w:hAnsi="Arial"/>
          <w:sz w:val="16"/>
          <w:szCs w:val="16"/>
          <w:color w:val="auto"/>
        </w:rPr>
      </w:pPr>
      <w:r>
        <w:rPr>
          <w:rFonts w:ascii="Arial" w:cs="Arial" w:eastAsia="Arial" w:hAnsi="Arial"/>
          <w:sz w:val="16"/>
          <w:szCs w:val="16"/>
          <w:color w:val="auto"/>
        </w:rPr>
        <w:t>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shall be received by the Secretary at the principal executive offices of the Corporation not later than the close of business on the ninetieth (90</w:t>
      </w:r>
      <w:r>
        <w:rPr>
          <w:rFonts w:ascii="Arial" w:cs="Arial" w:eastAsia="Arial" w:hAnsi="Arial"/>
          <w:sz w:val="18"/>
          <w:szCs w:val="18"/>
          <w:color w:val="auto"/>
          <w:vertAlign w:val="superscript"/>
        </w:rPr>
        <w:t>th</w:t>
      </w:r>
      <w:r>
        <w:rPr>
          <w:rFonts w:ascii="Arial" w:cs="Arial" w:eastAsia="Arial" w:hAnsi="Arial"/>
          <w:sz w:val="16"/>
          <w:szCs w:val="16"/>
          <w:color w:val="auto"/>
        </w:rPr>
        <w:t>) day nor earlier than the close of business on the one hundred twentieth (120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the one-year anniversary of the preceding year’s Annual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w:t>
      </w:r>
      <w:r>
        <w:rPr>
          <w:rFonts w:ascii="Arial" w:cs="Arial" w:eastAsia="Arial" w:hAnsi="Arial"/>
          <w:sz w:val="18"/>
          <w:szCs w:val="18"/>
          <w:color w:val="auto"/>
          <w:vertAlign w:val="superscript"/>
        </w:rPr>
        <w:t>th</w:t>
      </w:r>
      <w:r>
        <w:rPr>
          <w:rFonts w:ascii="Arial" w:cs="Arial" w:eastAsia="Arial" w:hAnsi="Arial"/>
          <w:sz w:val="16"/>
          <w:szCs w:val="16"/>
          <w:color w:val="auto"/>
        </w:rPr>
        <w:t>) day prior to the scheduled date of such Annual Meeting or the tenth (10</w:t>
      </w:r>
      <w:r>
        <w:rPr>
          <w:rFonts w:ascii="Arial" w:cs="Arial" w:eastAsia="Arial" w:hAnsi="Arial"/>
          <w:sz w:val="18"/>
          <w:szCs w:val="18"/>
          <w:color w:val="auto"/>
          <w:vertAlign w:val="superscript"/>
        </w:rPr>
        <w:t>th</w:t>
      </w:r>
      <w:r>
        <w:rPr>
          <w:rFonts w:ascii="Arial" w:cs="Arial" w:eastAsia="Arial" w:hAnsi="Arial"/>
          <w:sz w:val="16"/>
          <w:szCs w:val="16"/>
          <w:color w:val="auto"/>
        </w:rPr>
        <w:t>) day following the day on which public announcement of the date of such meeting is first made (such notice within such time periods shall be referred to as “Timely Notice”).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w:t>
      </w:r>
      <w:r>
        <w:rPr>
          <w:rFonts w:ascii="Arial" w:cs="Arial" w:eastAsia="Arial" w:hAnsi="Arial"/>
          <w:sz w:val="18"/>
          <w:szCs w:val="18"/>
          <w:color w:val="auto"/>
          <w:vertAlign w:val="superscript"/>
        </w:rPr>
        <w:t>th</w:t>
      </w:r>
      <w:r>
        <w:rPr>
          <w:rFonts w:ascii="Arial" w:cs="Arial" w:eastAsia="Arial" w:hAnsi="Arial"/>
          <w:sz w:val="16"/>
          <w:szCs w:val="16"/>
          <w:color w:val="auto"/>
        </w:rPr>
        <w:t>) day prior to the scheduled date of such Annual Meeting or the tenth (10</w:t>
      </w:r>
      <w:r>
        <w:rPr>
          <w:rFonts w:ascii="Arial" w:cs="Arial" w:eastAsia="Arial" w:hAnsi="Arial"/>
          <w:sz w:val="18"/>
          <w:szCs w:val="18"/>
          <w:color w:val="auto"/>
          <w:vertAlign w:val="superscript"/>
        </w:rPr>
        <w:t>th</w:t>
      </w:r>
      <w:r>
        <w:rPr>
          <w:rFonts w:ascii="Arial" w:cs="Arial" w:eastAsia="Arial" w:hAnsi="Arial"/>
          <w:sz w:val="16"/>
          <w:szCs w:val="16"/>
          <w:color w:val="auto"/>
        </w:rPr>
        <w:t>) day following the day on which public announcement of the date of such Annual Meeting is first made or sent by the Corporation. Such stockholder’s Timely Notice shall set forth:</w:t>
      </w:r>
    </w:p>
    <w:p>
      <w:pPr>
        <w:spacing w:after="0" w:line="112" w:lineRule="exact"/>
        <w:rPr>
          <w:rFonts w:ascii="Arial" w:cs="Arial" w:eastAsia="Arial" w:hAnsi="Arial"/>
          <w:sz w:val="16"/>
          <w:szCs w:val="16"/>
          <w:color w:val="auto"/>
        </w:rPr>
      </w:pPr>
    </w:p>
    <w:p>
      <w:pPr>
        <w:ind w:left="1320" w:right="499" w:firstLine="430"/>
        <w:spacing w:after="0" w:line="296" w:lineRule="auto"/>
        <w:tabs>
          <w:tab w:leader="none" w:pos="2047" w:val="left"/>
        </w:tabs>
        <w:numPr>
          <w:ilvl w:val="2"/>
          <w:numId w:val="462"/>
        </w:numPr>
        <w:rPr>
          <w:rFonts w:ascii="Arial" w:cs="Arial" w:eastAsia="Arial" w:hAnsi="Arial"/>
          <w:sz w:val="16"/>
          <w:szCs w:val="16"/>
          <w:color w:val="auto"/>
        </w:rPr>
      </w:pPr>
      <w:r>
        <w:rPr>
          <w:rFonts w:ascii="Arial" w:cs="Arial" w:eastAsia="Arial" w:hAnsi="Arial"/>
          <w:sz w:val="16"/>
          <w:szCs w:val="16"/>
          <w:color w:val="auto"/>
        </w:rPr>
        <w:t>as to each person whom the stockholder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8" w:name="page439"/>
    <w:bookmarkEnd w:id="43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59" w:firstLine="430"/>
        <w:spacing w:after="0" w:line="259" w:lineRule="auto"/>
        <w:tabs>
          <w:tab w:leader="none" w:pos="2037" w:val="left"/>
        </w:tabs>
        <w:numPr>
          <w:ilvl w:val="1"/>
          <w:numId w:val="463"/>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meeting, a brief description of the business desired to be brought before the meeting, the reasons for conducting such business at the meeting, and any material interest in such business of each Proposing Person (as defined below);</w:t>
      </w:r>
    </w:p>
    <w:p>
      <w:pPr>
        <w:spacing w:after="0" w:line="119" w:lineRule="exact"/>
        <w:rPr>
          <w:rFonts w:ascii="Arial" w:cs="Arial" w:eastAsia="Arial" w:hAnsi="Arial"/>
          <w:sz w:val="18"/>
          <w:szCs w:val="18"/>
          <w:color w:val="auto"/>
        </w:rPr>
      </w:pPr>
    </w:p>
    <w:p>
      <w:pPr>
        <w:ind w:left="1320" w:right="479" w:firstLine="430"/>
        <w:spacing w:after="0" w:line="285" w:lineRule="auto"/>
        <w:tabs>
          <w:tab w:leader="none" w:pos="2037" w:val="left"/>
        </w:tabs>
        <w:numPr>
          <w:ilvl w:val="1"/>
          <w:numId w:val="463"/>
        </w:numPr>
        <w:rPr>
          <w:rFonts w:ascii="Arial" w:cs="Arial" w:eastAsia="Arial" w:hAnsi="Arial"/>
          <w:sz w:val="16"/>
          <w:szCs w:val="16"/>
          <w:color w:val="auto"/>
        </w:rPr>
      </w:pPr>
      <w:r>
        <w:rPr>
          <w:rFonts w:ascii="Arial" w:cs="Arial" w:eastAsia="Arial" w:hAnsi="Arial"/>
          <w:sz w:val="16"/>
          <w:szCs w:val="16"/>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w:t>
      </w:r>
    </w:p>
    <w:p>
      <w:pPr>
        <w:spacing w:after="0" w:line="1" w:lineRule="exact"/>
        <w:rPr>
          <w:rFonts w:ascii="Arial" w:cs="Arial" w:eastAsia="Arial" w:hAnsi="Arial"/>
          <w:sz w:val="16"/>
          <w:szCs w:val="16"/>
          <w:color w:val="auto"/>
        </w:rPr>
      </w:pPr>
    </w:p>
    <w:p>
      <w:pPr>
        <w:ind w:left="1320" w:right="599"/>
        <w:spacing w:after="0" w:line="281" w:lineRule="auto"/>
        <w:rPr>
          <w:rFonts w:ascii="Arial" w:cs="Arial" w:eastAsia="Arial" w:hAnsi="Arial"/>
          <w:sz w:val="16"/>
          <w:szCs w:val="16"/>
          <w:color w:val="auto"/>
        </w:rPr>
      </w:pPr>
      <w:r>
        <w:rPr>
          <w:rFonts w:ascii="Arial" w:cs="Arial" w:eastAsia="Arial" w:hAnsi="Arial"/>
          <w:sz w:val="16"/>
          <w:szCs w:val="16"/>
          <w:color w:val="auto"/>
        </w:rPr>
        <w:t>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w:t>
      </w:r>
    </w:p>
    <w:p>
      <w:pPr>
        <w:spacing w:after="0" w:line="4" w:lineRule="exact"/>
        <w:rPr>
          <w:rFonts w:ascii="Arial" w:cs="Arial" w:eastAsia="Arial" w:hAnsi="Arial"/>
          <w:sz w:val="16"/>
          <w:szCs w:val="16"/>
          <w:color w:val="auto"/>
        </w:rPr>
      </w:pPr>
    </w:p>
    <w:p>
      <w:pPr>
        <w:ind w:left="1320" w:right="479" w:hanging="2"/>
        <w:spacing w:after="0" w:line="281" w:lineRule="auto"/>
        <w:tabs>
          <w:tab w:leader="none" w:pos="1575" w:val="left"/>
        </w:tabs>
        <w:numPr>
          <w:ilvl w:val="0"/>
          <w:numId w:val="464"/>
        </w:numPr>
        <w:rPr>
          <w:rFonts w:ascii="Arial" w:cs="Arial" w:eastAsia="Arial" w:hAnsi="Arial"/>
          <w:sz w:val="16"/>
          <w:szCs w:val="16"/>
          <w:color w:val="auto"/>
        </w:rPr>
      </w:pPr>
      <w:r>
        <w:rPr>
          <w:rFonts w:ascii="Arial" w:cs="Arial" w:eastAsia="Arial" w:hAnsi="Arial"/>
          <w:sz w:val="16"/>
          <w:szCs w:val="16"/>
          <w:color w:val="auto"/>
        </w:rPr>
        <w:t>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w:t>
      </w:r>
    </w:p>
    <w:p>
      <w:pPr>
        <w:spacing w:after="0" w:line="5" w:lineRule="exact"/>
        <w:rPr>
          <w:rFonts w:ascii="Arial" w:cs="Arial" w:eastAsia="Arial" w:hAnsi="Arial"/>
          <w:sz w:val="16"/>
          <w:szCs w:val="16"/>
          <w:color w:val="auto"/>
        </w:rPr>
      </w:pPr>
    </w:p>
    <w:p>
      <w:pPr>
        <w:ind w:left="1320" w:right="479" w:hanging="2"/>
        <w:spacing w:after="0" w:line="285" w:lineRule="auto"/>
        <w:tabs>
          <w:tab w:leader="none" w:pos="1575" w:val="left"/>
        </w:tabs>
        <w:numPr>
          <w:ilvl w:val="0"/>
          <w:numId w:val="465"/>
        </w:numPr>
        <w:rPr>
          <w:rFonts w:ascii="Arial" w:cs="Arial" w:eastAsia="Arial" w:hAnsi="Arial"/>
          <w:sz w:val="16"/>
          <w:szCs w:val="16"/>
          <w:color w:val="auto"/>
        </w:rPr>
      </w:pPr>
      <w:r>
        <w:rPr>
          <w:rFonts w:ascii="Arial" w:cs="Arial" w:eastAsia="Arial" w:hAnsi="Arial"/>
          <w:sz w:val="16"/>
          <w:szCs w:val="16"/>
          <w:color w:val="auto"/>
        </w:rPr>
        <w:t>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“Material Ownership Interests”)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06" w:lineRule="exact"/>
        <w:rPr>
          <w:rFonts w:ascii="Arial" w:cs="Arial" w:eastAsia="Arial" w:hAnsi="Arial"/>
          <w:sz w:val="16"/>
          <w:szCs w:val="16"/>
          <w:color w:val="auto"/>
        </w:rPr>
      </w:pPr>
    </w:p>
    <w:p>
      <w:pPr>
        <w:ind w:left="1320" w:right="479" w:firstLine="430"/>
        <w:spacing w:after="0" w:line="289" w:lineRule="auto"/>
        <w:tabs>
          <w:tab w:leader="none" w:pos="2047" w:val="left"/>
        </w:tabs>
        <w:numPr>
          <w:ilvl w:val="1"/>
          <w:numId w:val="465"/>
        </w:numPr>
        <w:rPr>
          <w:rFonts w:ascii="Arial" w:cs="Arial" w:eastAsia="Arial" w:hAnsi="Arial"/>
          <w:sz w:val="16"/>
          <w:szCs w:val="16"/>
          <w:color w:val="auto"/>
        </w:rPr>
      </w:pPr>
      <w:r>
        <w:rPr>
          <w:rFonts w:ascii="Arial" w:cs="Arial" w:eastAsia="Arial" w:hAnsi="Arial"/>
          <w:sz w:val="16"/>
          <w:szCs w:val="16"/>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85" w:lineRule="exact"/>
        <w:rPr>
          <w:rFonts w:ascii="Arial" w:cs="Arial" w:eastAsia="Arial" w:hAnsi="Arial"/>
          <w:sz w:val="16"/>
          <w:szCs w:val="16"/>
          <w:color w:val="auto"/>
        </w:rPr>
      </w:pPr>
    </w:p>
    <w:p>
      <w:pPr>
        <w:ind w:left="1320" w:right="479" w:firstLine="430"/>
        <w:spacing w:after="0" w:line="254" w:lineRule="auto"/>
        <w:tabs>
          <w:tab w:leader="none" w:pos="2027" w:val="left"/>
        </w:tabs>
        <w:numPr>
          <w:ilvl w:val="1"/>
          <w:numId w:val="465"/>
        </w:numPr>
        <w:rPr>
          <w:rFonts w:ascii="Arial" w:cs="Arial" w:eastAsia="Arial" w:hAnsi="Arial"/>
          <w:sz w:val="18"/>
          <w:szCs w:val="18"/>
          <w:color w:val="auto"/>
        </w:rPr>
      </w:pPr>
      <w:r>
        <w:rPr>
          <w:rFonts w:ascii="Arial" w:cs="Arial" w:eastAsia="Arial" w:hAnsi="Arial"/>
          <w:sz w:val="18"/>
          <w:szCs w:val="18"/>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“Solicitation Statement”).</w:t>
      </w:r>
    </w:p>
    <w:p>
      <w:pPr>
        <w:spacing w:after="0" w:line="124" w:lineRule="exact"/>
        <w:rPr>
          <w:sz w:val="20"/>
          <w:szCs w:val="20"/>
          <w:color w:val="auto"/>
        </w:rPr>
      </w:pPr>
    </w:p>
    <w:p>
      <w:pPr>
        <w:ind w:left="880" w:right="539" w:firstLine="432"/>
        <w:spacing w:after="0" w:line="259" w:lineRule="auto"/>
        <w:rPr>
          <w:sz w:val="20"/>
          <w:szCs w:val="20"/>
          <w:color w:val="auto"/>
        </w:rPr>
      </w:pPr>
      <w:r>
        <w:rPr>
          <w:rFonts w:ascii="Arial" w:cs="Arial" w:eastAsia="Arial" w:hAnsi="Arial"/>
          <w:sz w:val="18"/>
          <w:szCs w:val="18"/>
          <w:color w:val="auto"/>
        </w:rPr>
        <w:t>For purposes of this Article I of these By-laws, the term “Proposing Person” shall mean the following persons: (i) the stockholder of record providing the notice of nominations or business proposed to be brought before a stockholders’ meeting, and (ii) the beneficial owner(s), if different, on whose behalf the nominations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9" w:name="page440"/>
    <w:bookmarkEnd w:id="43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right="479"/>
        <w:spacing w:after="0" w:line="286" w:lineRule="auto"/>
        <w:rPr>
          <w:sz w:val="20"/>
          <w:szCs w:val="20"/>
          <w:color w:val="auto"/>
        </w:rPr>
      </w:pPr>
      <w:r>
        <w:rPr>
          <w:rFonts w:ascii="Arial" w:cs="Arial" w:eastAsia="Arial" w:hAnsi="Arial"/>
          <w:sz w:val="16"/>
          <w:szCs w:val="16"/>
          <w:color w:val="auto"/>
        </w:rPr>
        <w:t>or business proposed to be brought before a stockholders’ meeting is made. For purposes of this Section 2 of Article I of these By-laws, the term “Synthetic Equity Interest”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03" w:lineRule="exact"/>
        <w:rPr>
          <w:sz w:val="20"/>
          <w:szCs w:val="20"/>
          <w:color w:val="auto"/>
        </w:rPr>
      </w:pPr>
    </w:p>
    <w:p>
      <w:pPr>
        <w:ind w:left="880" w:right="499" w:firstLine="438"/>
        <w:spacing w:after="0" w:line="263" w:lineRule="auto"/>
        <w:tabs>
          <w:tab w:leader="none" w:pos="1567" w:val="left"/>
        </w:tabs>
        <w:numPr>
          <w:ilvl w:val="1"/>
          <w:numId w:val="466"/>
        </w:numPr>
        <w:rPr>
          <w:rFonts w:ascii="Arial" w:cs="Arial" w:eastAsia="Arial" w:hAnsi="Arial"/>
          <w:sz w:val="17"/>
          <w:szCs w:val="17"/>
          <w:color w:val="auto"/>
        </w:rPr>
      </w:pPr>
      <w:r>
        <w:rPr>
          <w:rFonts w:ascii="Arial" w:cs="Arial" w:eastAsia="Arial" w:hAnsi="Arial"/>
          <w:sz w:val="17"/>
          <w:szCs w:val="17"/>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w:t>
      </w:r>
      <w:r>
        <w:rPr>
          <w:rFonts w:ascii="Arial" w:cs="Arial" w:eastAsia="Arial" w:hAnsi="Arial"/>
          <w:sz w:val="19"/>
          <w:szCs w:val="19"/>
          <w:color w:val="auto"/>
          <w:vertAlign w:val="superscript"/>
        </w:rPr>
        <w:t>th</w:t>
      </w:r>
      <w:r>
        <w:rPr>
          <w:rFonts w:ascii="Arial" w:cs="Arial" w:eastAsia="Arial" w:hAnsi="Arial"/>
          <w:sz w:val="17"/>
          <w:szCs w:val="17"/>
          <w:color w:val="auto"/>
        </w:rPr>
        <w:t>) business day after the record date for the Annual Meeting (in the case of the update and supplement required to be made as of the record date), and not later than the close of business on the eighth (8</w:t>
      </w:r>
      <w:r>
        <w:rPr>
          <w:rFonts w:ascii="Arial" w:cs="Arial" w:eastAsia="Arial" w:hAnsi="Arial"/>
          <w:sz w:val="19"/>
          <w:szCs w:val="19"/>
          <w:color w:val="auto"/>
          <w:vertAlign w:val="superscript"/>
        </w:rPr>
        <w:t>th</w:t>
      </w:r>
      <w:r>
        <w:rPr>
          <w:rFonts w:ascii="Arial" w:cs="Arial" w:eastAsia="Arial" w:hAnsi="Arial"/>
          <w:sz w:val="17"/>
          <w:szCs w:val="17"/>
          <w:color w:val="auto"/>
        </w:rPr>
        <w:t>) business day prior to the date of the Annual Meeting (in the case of the update and supplement required to be made as of ten (10) business days prior to the meeting).</w:t>
      </w:r>
    </w:p>
    <w:p>
      <w:pPr>
        <w:spacing w:after="0" w:line="117" w:lineRule="exact"/>
        <w:rPr>
          <w:rFonts w:ascii="Arial" w:cs="Arial" w:eastAsia="Arial" w:hAnsi="Arial"/>
          <w:sz w:val="17"/>
          <w:szCs w:val="17"/>
          <w:color w:val="auto"/>
        </w:rPr>
      </w:pPr>
    </w:p>
    <w:p>
      <w:pPr>
        <w:ind w:left="880" w:right="499" w:firstLine="438"/>
        <w:spacing w:after="0" w:line="285" w:lineRule="auto"/>
        <w:tabs>
          <w:tab w:leader="none" w:pos="1567" w:val="left"/>
        </w:tabs>
        <w:numPr>
          <w:ilvl w:val="1"/>
          <w:numId w:val="466"/>
        </w:numPr>
        <w:rPr>
          <w:rFonts w:ascii="Arial" w:cs="Arial" w:eastAsia="Arial" w:hAnsi="Arial"/>
          <w:sz w:val="16"/>
          <w:szCs w:val="16"/>
          <w:color w:val="auto"/>
        </w:rPr>
      </w:pPr>
      <w:r>
        <w:rPr>
          <w:rFonts w:ascii="Arial" w:cs="Arial" w:eastAsia="Arial" w:hAnsi="Arial"/>
          <w:sz w:val="16"/>
          <w:szCs w:val="16"/>
          <w:color w:val="auto"/>
        </w:rPr>
        <w:t>Notwithstanding anything in the second sentence of Article I, Section 2(a)(2) of this By-law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the close of business on the tenth (10</w:t>
      </w:r>
      <w:r>
        <w:rPr>
          <w:rFonts w:ascii="Arial" w:cs="Arial" w:eastAsia="Arial" w:hAnsi="Arial"/>
          <w:sz w:val="18"/>
          <w:szCs w:val="18"/>
          <w:color w:val="auto"/>
          <w:vertAlign w:val="superscript"/>
        </w:rPr>
        <w:t>th</w:t>
      </w:r>
      <w:r>
        <w:rPr>
          <w:rFonts w:ascii="Arial" w:cs="Arial" w:eastAsia="Arial" w:hAnsi="Arial"/>
          <w:sz w:val="16"/>
          <w:szCs w:val="16"/>
          <w:color w:val="auto"/>
        </w:rPr>
        <w:t>) day following the day on which such public announcement is first made by the Corporation.</w:t>
      </w:r>
    </w:p>
    <w:p>
      <w:pPr>
        <w:spacing w:after="0" w:line="85" w:lineRule="exact"/>
        <w:rPr>
          <w:rFonts w:ascii="Arial" w:cs="Arial" w:eastAsia="Arial" w:hAnsi="Arial"/>
          <w:sz w:val="16"/>
          <w:szCs w:val="16"/>
          <w:color w:val="auto"/>
        </w:rPr>
      </w:pPr>
    </w:p>
    <w:p>
      <w:pPr>
        <w:ind w:left="1140" w:hanging="254"/>
        <w:spacing w:after="0"/>
        <w:tabs>
          <w:tab w:leader="none" w:pos="1140" w:val="left"/>
        </w:tabs>
        <w:numPr>
          <w:ilvl w:val="0"/>
          <w:numId w:val="46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880" w:right="459" w:firstLine="438"/>
        <w:spacing w:after="0" w:line="286" w:lineRule="auto"/>
        <w:tabs>
          <w:tab w:leader="none" w:pos="1567" w:val="left"/>
        </w:tabs>
        <w:numPr>
          <w:ilvl w:val="1"/>
          <w:numId w:val="467"/>
        </w:numPr>
        <w:rPr>
          <w:rFonts w:ascii="Arial" w:cs="Arial" w:eastAsia="Arial" w:hAnsi="Arial"/>
          <w:sz w:val="16"/>
          <w:szCs w:val="16"/>
          <w:color w:val="auto"/>
        </w:rPr>
      </w:pPr>
      <w:r>
        <w:rPr>
          <w:rFonts w:ascii="Arial" w:cs="Arial" w:eastAsia="Arial" w:hAnsi="Arial"/>
          <w:sz w:val="16"/>
          <w:szCs w:val="16"/>
          <w:color w:val="auto"/>
        </w:rPr>
        <w:t>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presiding officer of the Annual Meeting shall have the power and duty to determine whether the stockholder proposal or nomination was made in accordance with the provisions of this By-law. If the Board of Directors or a designated committee thereof or the presiding officer, as applicable, determines that any stockholder proposal or nomination was not made in accordance with the provisions of this By-law, such proposal or nomination shall be disregarded and shall not be presented for action at the Annual Meeting.</w:t>
      </w:r>
    </w:p>
    <w:p>
      <w:pPr>
        <w:spacing w:after="0" w:line="106" w:lineRule="exact"/>
        <w:rPr>
          <w:rFonts w:ascii="Arial" w:cs="Arial" w:eastAsia="Arial" w:hAnsi="Arial"/>
          <w:sz w:val="16"/>
          <w:szCs w:val="16"/>
          <w:color w:val="auto"/>
        </w:rPr>
      </w:pPr>
    </w:p>
    <w:p>
      <w:pPr>
        <w:ind w:left="880" w:right="999" w:firstLine="438"/>
        <w:spacing w:after="0" w:line="301" w:lineRule="auto"/>
        <w:tabs>
          <w:tab w:leader="none" w:pos="1567" w:val="left"/>
        </w:tabs>
        <w:numPr>
          <w:ilvl w:val="1"/>
          <w:numId w:val="467"/>
        </w:numPr>
        <w:rPr>
          <w:rFonts w:ascii="Arial" w:cs="Arial" w:eastAsia="Arial" w:hAnsi="Arial"/>
          <w:sz w:val="16"/>
          <w:szCs w:val="16"/>
          <w:color w:val="auto"/>
        </w:rPr>
      </w:pPr>
      <w:r>
        <w:rPr>
          <w:rFonts w:ascii="Arial" w:cs="Arial" w:eastAsia="Arial" w:hAnsi="Arial"/>
          <w:sz w:val="16"/>
          <w:szCs w:val="16"/>
          <w:color w:val="auto"/>
        </w:rPr>
        <w:t>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0" w:name="page441"/>
    <w:bookmarkEnd w:id="44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right="599" w:firstLine="438"/>
        <w:spacing w:after="0" w:line="269" w:lineRule="auto"/>
        <w:tabs>
          <w:tab w:leader="none" w:pos="1567" w:val="left"/>
        </w:tabs>
        <w:numPr>
          <w:ilvl w:val="1"/>
          <w:numId w:val="468"/>
        </w:numPr>
        <w:rPr>
          <w:rFonts w:ascii="Arial" w:cs="Arial" w:eastAsia="Arial" w:hAnsi="Arial"/>
          <w:sz w:val="17"/>
          <w:szCs w:val="17"/>
          <w:color w:val="auto"/>
        </w:rPr>
      </w:pPr>
      <w:r>
        <w:rPr>
          <w:rFonts w:ascii="Arial" w:cs="Arial" w:eastAsia="Arial" w:hAnsi="Arial"/>
          <w:sz w:val="17"/>
          <w:szCs w:val="17"/>
          <w:color w:val="auto"/>
        </w:rPr>
        <w:t>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17" w:lineRule="exact"/>
        <w:rPr>
          <w:rFonts w:ascii="Arial" w:cs="Arial" w:eastAsia="Arial" w:hAnsi="Arial"/>
          <w:sz w:val="17"/>
          <w:szCs w:val="17"/>
          <w:color w:val="auto"/>
        </w:rPr>
      </w:pPr>
    </w:p>
    <w:p>
      <w:pPr>
        <w:ind w:left="880" w:right="679" w:firstLine="438"/>
        <w:spacing w:after="0" w:line="259" w:lineRule="auto"/>
        <w:tabs>
          <w:tab w:leader="none" w:pos="1567" w:val="left"/>
        </w:tabs>
        <w:numPr>
          <w:ilvl w:val="1"/>
          <w:numId w:val="468"/>
        </w:numPr>
        <w:rPr>
          <w:rFonts w:ascii="Arial" w:cs="Arial" w:eastAsia="Arial" w:hAnsi="Arial"/>
          <w:sz w:val="18"/>
          <w:szCs w:val="18"/>
          <w:color w:val="auto"/>
        </w:rPr>
      </w:pPr>
      <w:r>
        <w:rPr>
          <w:rFonts w:ascii="Arial" w:cs="Arial" w:eastAsia="Arial" w:hAnsi="Arial"/>
          <w:sz w:val="18"/>
          <w:szCs w:val="18"/>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19" w:lineRule="exact"/>
        <w:rPr>
          <w:rFonts w:ascii="Arial" w:cs="Arial" w:eastAsia="Arial" w:hAnsi="Arial"/>
          <w:sz w:val="18"/>
          <w:szCs w:val="18"/>
          <w:color w:val="auto"/>
        </w:rPr>
      </w:pPr>
    </w:p>
    <w:p>
      <w:pPr>
        <w:jc w:val="both"/>
        <w:ind w:left="880" w:right="639" w:firstLine="438"/>
        <w:spacing w:after="0" w:line="287" w:lineRule="auto"/>
        <w:tabs>
          <w:tab w:leader="none" w:pos="1567" w:val="left"/>
        </w:tabs>
        <w:numPr>
          <w:ilvl w:val="1"/>
          <w:numId w:val="468"/>
        </w:numPr>
        <w:rPr>
          <w:rFonts w:ascii="Arial" w:cs="Arial" w:eastAsia="Arial" w:hAnsi="Arial"/>
          <w:sz w:val="16"/>
          <w:szCs w:val="16"/>
          <w:color w:val="auto"/>
        </w:rPr>
      </w:pPr>
      <w:r>
        <w:rPr>
          <w:rFonts w:ascii="Arial" w:cs="Arial" w:eastAsia="Arial" w:hAnsi="Arial"/>
          <w:sz w:val="16"/>
          <w:szCs w:val="16"/>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w:t>
      </w:r>
    </w:p>
    <w:p>
      <w:pPr>
        <w:spacing w:after="0" w:line="2" w:lineRule="exact"/>
        <w:rPr>
          <w:rFonts w:ascii="Arial" w:cs="Arial" w:eastAsia="Arial" w:hAnsi="Arial"/>
          <w:sz w:val="16"/>
          <w:szCs w:val="16"/>
          <w:color w:val="auto"/>
        </w:rPr>
      </w:pPr>
    </w:p>
    <w:p>
      <w:pPr>
        <w:ind w:left="880" w:right="659" w:firstLine="6"/>
        <w:spacing w:after="0" w:line="273" w:lineRule="auto"/>
        <w:tabs>
          <w:tab w:leader="none" w:pos="1095" w:val="left"/>
        </w:tabs>
        <w:numPr>
          <w:ilvl w:val="0"/>
          <w:numId w:val="469"/>
        </w:numPr>
        <w:rPr>
          <w:rFonts w:ascii="Arial" w:cs="Arial" w:eastAsia="Arial" w:hAnsi="Arial"/>
          <w:sz w:val="17"/>
          <w:szCs w:val="17"/>
          <w:color w:val="auto"/>
        </w:rPr>
      </w:pPr>
      <w:r>
        <w:rPr>
          <w:rFonts w:ascii="Arial" w:cs="Arial" w:eastAsia="Arial" w:hAnsi="Arial"/>
          <w:sz w:val="17"/>
          <w:szCs w:val="17"/>
          <w:color w:val="auto"/>
        </w:rPr>
        <w:t>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95"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Special Meetings</w:t>
      </w:r>
      <w:r>
        <w:rPr>
          <w:rFonts w:ascii="Arial" w:cs="Arial" w:eastAsia="Arial" w:hAnsi="Arial"/>
          <w:sz w:val="17"/>
          <w:szCs w:val="17"/>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of the Corporation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SECTION 4. Notice of Meetings; Adjournments.</w:t>
      </w:r>
    </w:p>
    <w:p>
      <w:pPr>
        <w:spacing w:after="0" w:line="158" w:lineRule="exact"/>
        <w:rPr>
          <w:sz w:val="20"/>
          <w:szCs w:val="20"/>
          <w:color w:val="auto"/>
        </w:rPr>
      </w:pPr>
    </w:p>
    <w:p>
      <w:pPr>
        <w:ind w:left="460" w:right="579" w:firstLine="426"/>
        <w:spacing w:after="0" w:line="290" w:lineRule="auto"/>
        <w:tabs>
          <w:tab w:leader="none" w:pos="1137" w:val="left"/>
        </w:tabs>
        <w:numPr>
          <w:ilvl w:val="0"/>
          <w:numId w:val="470"/>
        </w:numPr>
        <w:rPr>
          <w:rFonts w:ascii="Arial" w:cs="Arial" w:eastAsia="Arial" w:hAnsi="Arial"/>
          <w:sz w:val="16"/>
          <w:szCs w:val="16"/>
          <w:color w:val="auto"/>
        </w:rPr>
      </w:pPr>
      <w:r>
        <w:rPr>
          <w:rFonts w:ascii="Arial" w:cs="Arial" w:eastAsia="Arial" w:hAnsi="Arial"/>
          <w:sz w:val="16"/>
          <w:szCs w:val="16"/>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(“DGCL”).</w:t>
      </w:r>
    </w:p>
    <w:p>
      <w:pPr>
        <w:spacing w:after="0" w:line="84" w:lineRule="exact"/>
        <w:rPr>
          <w:rFonts w:ascii="Arial" w:cs="Arial" w:eastAsia="Arial" w:hAnsi="Arial"/>
          <w:sz w:val="16"/>
          <w:szCs w:val="16"/>
          <w:color w:val="auto"/>
        </w:rPr>
      </w:pPr>
    </w:p>
    <w:p>
      <w:pPr>
        <w:ind w:left="460" w:right="519" w:firstLine="426"/>
        <w:spacing w:after="0" w:line="263" w:lineRule="auto"/>
        <w:tabs>
          <w:tab w:leader="none" w:pos="1147" w:val="left"/>
        </w:tabs>
        <w:numPr>
          <w:ilvl w:val="0"/>
          <w:numId w:val="470"/>
        </w:numPr>
        <w:rPr>
          <w:rFonts w:ascii="Arial" w:cs="Arial" w:eastAsia="Arial" w:hAnsi="Arial"/>
          <w:sz w:val="18"/>
          <w:szCs w:val="18"/>
          <w:color w:val="auto"/>
        </w:rPr>
      </w:pPr>
      <w:r>
        <w:rPr>
          <w:rFonts w:ascii="Arial" w:cs="Arial" w:eastAsia="Arial" w:hAnsi="Arial"/>
          <w:sz w:val="18"/>
          <w:szCs w:val="18"/>
          <w:color w:val="auto"/>
        </w:rPr>
        <w:t>Notice of all special meetings of stockholders shall be given in the same manner as provided for Annual Meetings, except that the notice of all special meetings shall state the purpose or purposes for which the meeting has been called.</w:t>
      </w:r>
    </w:p>
    <w:p>
      <w:pPr>
        <w:spacing w:after="0" w:line="116" w:lineRule="exact"/>
        <w:rPr>
          <w:rFonts w:ascii="Arial" w:cs="Arial" w:eastAsia="Arial" w:hAnsi="Arial"/>
          <w:sz w:val="18"/>
          <w:szCs w:val="18"/>
          <w:color w:val="auto"/>
        </w:rPr>
      </w:pPr>
    </w:p>
    <w:p>
      <w:pPr>
        <w:ind w:left="460" w:right="479" w:firstLine="426"/>
        <w:spacing w:after="0" w:line="257" w:lineRule="auto"/>
        <w:tabs>
          <w:tab w:leader="none" w:pos="1137" w:val="left"/>
        </w:tabs>
        <w:numPr>
          <w:ilvl w:val="0"/>
          <w:numId w:val="470"/>
        </w:numPr>
        <w:rPr>
          <w:rFonts w:ascii="Arial" w:cs="Arial" w:eastAsia="Arial" w:hAnsi="Arial"/>
          <w:sz w:val="18"/>
          <w:szCs w:val="18"/>
          <w:color w:val="auto"/>
        </w:rPr>
      </w:pPr>
      <w:r>
        <w:rPr>
          <w:rFonts w:ascii="Arial" w:cs="Arial" w:eastAsia="Arial" w:hAnsi="Arial"/>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1" w:name="page442"/>
    <w:bookmarkEnd w:id="44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579" w:firstLine="426"/>
        <w:spacing w:after="0" w:line="273" w:lineRule="auto"/>
        <w:tabs>
          <w:tab w:leader="none" w:pos="1147" w:val="left"/>
        </w:tabs>
        <w:numPr>
          <w:ilvl w:val="0"/>
          <w:numId w:val="471"/>
        </w:numPr>
        <w:rPr>
          <w:rFonts w:ascii="Arial" w:cs="Arial" w:eastAsia="Arial" w:hAnsi="Arial"/>
          <w:sz w:val="17"/>
          <w:szCs w:val="17"/>
          <w:color w:val="auto"/>
        </w:rPr>
      </w:pPr>
      <w:r>
        <w:rPr>
          <w:rFonts w:ascii="Arial" w:cs="Arial" w:eastAsia="Arial" w:hAnsi="Arial"/>
          <w:sz w:val="17"/>
          <w:szCs w:val="17"/>
          <w:color w:val="auto"/>
        </w:rPr>
        <w:t>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Section 2 of this Article I of these By-laws or otherwise. In no event shall the public announcement of an adjournment, postponement or rescheduling of any previously scheduled meeting of stockholders commence a new time period for the giving of a stockholder’s notice under this Article I of these By-laws.</w:t>
      </w:r>
    </w:p>
    <w:p>
      <w:pPr>
        <w:spacing w:after="0" w:line="110" w:lineRule="exact"/>
        <w:rPr>
          <w:rFonts w:ascii="Arial" w:cs="Arial" w:eastAsia="Arial" w:hAnsi="Arial"/>
          <w:sz w:val="17"/>
          <w:szCs w:val="17"/>
          <w:color w:val="auto"/>
        </w:rPr>
      </w:pPr>
    </w:p>
    <w:p>
      <w:pPr>
        <w:ind w:left="460" w:right="479" w:firstLine="426"/>
        <w:spacing w:after="0" w:line="286" w:lineRule="auto"/>
        <w:tabs>
          <w:tab w:leader="none" w:pos="1137" w:val="left"/>
        </w:tabs>
        <w:numPr>
          <w:ilvl w:val="0"/>
          <w:numId w:val="471"/>
        </w:numPr>
        <w:rPr>
          <w:rFonts w:ascii="Arial" w:cs="Arial" w:eastAsia="Arial" w:hAnsi="Arial"/>
          <w:sz w:val="16"/>
          <w:szCs w:val="16"/>
          <w:color w:val="auto"/>
        </w:rPr>
      </w:pPr>
      <w:r>
        <w:rPr>
          <w:rFonts w:ascii="Arial" w:cs="Arial" w:eastAsia="Arial" w:hAnsi="Arial"/>
          <w:sz w:val="16"/>
          <w:szCs w:val="16"/>
          <w:color w:val="auto"/>
        </w:rPr>
        <w:t>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“Certificate”) or these By-laws, is entitled to such notice.</w:t>
      </w:r>
    </w:p>
    <w:p>
      <w:pPr>
        <w:spacing w:after="0" w:line="100"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Quorum</w:t>
      </w:r>
      <w:r>
        <w:rPr>
          <w:rFonts w:ascii="Arial" w:cs="Arial" w:eastAsia="Arial" w:hAnsi="Arial"/>
          <w:sz w:val="16"/>
          <w:szCs w:val="16"/>
          <w:color w:val="auto"/>
        </w:rPr>
        <w:t>. A majority of the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w:t>
      </w:r>
    </w:p>
    <w:p>
      <w:pPr>
        <w:spacing w:after="0" w:line="84"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Voting and Proxies</w:t>
      </w:r>
      <w:r>
        <w:rPr>
          <w:rFonts w:ascii="Arial" w:cs="Arial" w:eastAsia="Arial" w:hAnsi="Arial"/>
          <w:sz w:val="16"/>
          <w:szCs w:val="16"/>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03"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Action at Meeting</w:t>
      </w:r>
      <w:r>
        <w:rPr>
          <w:rFonts w:ascii="Arial" w:cs="Arial" w:eastAsia="Arial" w:hAnsi="Arial"/>
          <w:sz w:val="18"/>
          <w:szCs w:val="18"/>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20"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Stockholder Lists</w:t>
      </w:r>
      <w:r>
        <w:rPr>
          <w:rFonts w:ascii="Arial" w:cs="Arial" w:eastAsia="Arial" w:hAnsi="Arial"/>
          <w:sz w:val="18"/>
          <w:szCs w:val="18"/>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2" w:name="page443"/>
    <w:bookmarkEnd w:id="44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86" w:lineRule="auto"/>
        <w:rPr>
          <w:sz w:val="20"/>
          <w:szCs w:val="20"/>
          <w:color w:val="auto"/>
        </w:rPr>
      </w:pPr>
      <w:r>
        <w:rPr>
          <w:rFonts w:ascii="Arial" w:cs="Arial" w:eastAsia="Arial" w:hAnsi="Arial"/>
          <w:sz w:val="17"/>
          <w:szCs w:val="17"/>
          <w:color w:val="auto"/>
        </w:rPr>
        <w:t>registered in the name of each stockholder. Such list shall be open to the examination of any stockholder, for a period of at least ten (10) days prior to the meeting in the manner provided by law. The list shall also be open to the examination of any stockholder during the whole time of the meeting as provided by law.</w:t>
      </w:r>
    </w:p>
    <w:p>
      <w:pPr>
        <w:spacing w:after="0" w:line="98"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Presiding Officer</w:t>
      </w:r>
      <w:r>
        <w:rPr>
          <w:rFonts w:ascii="Arial" w:cs="Arial" w:eastAsia="Arial" w:hAnsi="Arial"/>
          <w:sz w:val="17"/>
          <w:szCs w:val="17"/>
          <w:color w:val="auto"/>
        </w:rPr>
        <w:t>. The Board of Directors shall designate a representative to preside over all Annual Meetings or special meetings of stockholders, provide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Sections 4 and 5 of this Article I. The order of business and all other matters of procedure at any meeting of the stockholders shall be determined by the presiding officer.</w:t>
      </w:r>
    </w:p>
    <w:p>
      <w:pPr>
        <w:spacing w:after="0" w:line="114"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Inspectors of Elections</w:t>
      </w:r>
      <w:r>
        <w:rPr>
          <w:rFonts w:ascii="Arial" w:cs="Arial" w:eastAsia="Arial" w:hAnsi="Arial"/>
          <w:sz w:val="16"/>
          <w:szCs w:val="16"/>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Directors</w:t>
      </w:r>
    </w:p>
    <w:p>
      <w:pPr>
        <w:spacing w:after="0" w:line="158" w:lineRule="exact"/>
        <w:rPr>
          <w:sz w:val="20"/>
          <w:szCs w:val="20"/>
          <w:color w:val="auto"/>
        </w:rPr>
      </w:pPr>
    </w:p>
    <w:p>
      <w:pPr>
        <w:ind w:left="460" w:right="979" w:firstLine="432"/>
        <w:spacing w:after="0" w:line="34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Powers</w:t>
      </w:r>
      <w:r>
        <w:rPr>
          <w:rFonts w:ascii="Arial" w:cs="Arial" w:eastAsia="Arial" w:hAnsi="Arial"/>
          <w:sz w:val="16"/>
          <w:szCs w:val="16"/>
          <w:color w:val="auto"/>
        </w:rPr>
        <w:t>. The business and affairs of the Corporation shall be managed by or under the direction of the Board of Directors except as otherwise provided by the Certificate or required by law.</w:t>
      </w:r>
    </w:p>
    <w:p>
      <w:pPr>
        <w:spacing w:after="0" w:line="43" w:lineRule="exact"/>
        <w:rPr>
          <w:sz w:val="20"/>
          <w:szCs w:val="20"/>
          <w:color w:val="auto"/>
        </w:rPr>
      </w:pPr>
    </w:p>
    <w:p>
      <w:pPr>
        <w:jc w:val="both"/>
        <w:ind w:left="460" w:right="759" w:firstLine="432"/>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Number and Terms</w:t>
      </w:r>
      <w:r>
        <w:rPr>
          <w:rFonts w:ascii="Arial" w:cs="Arial" w:eastAsia="Arial" w:hAnsi="Arial"/>
          <w:sz w:val="18"/>
          <w:szCs w:val="18"/>
          <w:color w:val="auto"/>
        </w:rPr>
        <w:t>. The number of directors of the Corporation shall be fixed solely and exclusively by resolution duly adopted from time to time by the Board of Directors. The directors shall hold office in the manner provided in the Certificate.</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Qualification</w:t>
      </w:r>
      <w:r>
        <w:rPr>
          <w:rFonts w:ascii="Arial" w:cs="Arial" w:eastAsia="Arial" w:hAnsi="Arial"/>
          <w:sz w:val="18"/>
          <w:szCs w:val="18"/>
          <w:color w:val="auto"/>
        </w:rPr>
        <w:t>. No director need be a stockholder of the Corporation.</w:t>
      </w:r>
    </w:p>
    <w:p>
      <w:pPr>
        <w:spacing w:after="0" w:line="158"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Vacancies</w:t>
      </w:r>
      <w:r>
        <w:rPr>
          <w:rFonts w:ascii="Arial" w:cs="Arial" w:eastAsia="Arial" w:hAnsi="Arial"/>
          <w:sz w:val="18"/>
          <w:szCs w:val="18"/>
          <w:color w:val="auto"/>
        </w:rPr>
        <w:t>. Vacancies in the Board of Directors shall be filled in the manner provided in the Certificate.</w:t>
      </w:r>
    </w:p>
    <w:p>
      <w:pPr>
        <w:spacing w:after="0" w:line="89" w:lineRule="exact"/>
        <w:rPr>
          <w:sz w:val="20"/>
          <w:szCs w:val="20"/>
          <w:color w:val="auto"/>
        </w:rPr>
      </w:pPr>
    </w:p>
    <w:p>
      <w:pPr>
        <w:ind w:left="460" w:right="1099" w:firstLine="432"/>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Removal</w:t>
      </w:r>
      <w:r>
        <w:rPr>
          <w:rFonts w:ascii="Arial" w:cs="Arial" w:eastAsia="Arial" w:hAnsi="Arial"/>
          <w:sz w:val="18"/>
          <w:szCs w:val="18"/>
          <w:color w:val="auto"/>
        </w:rPr>
        <w:t>. Directors may be removed from office only in the manner provided in the Certificate.</w:t>
      </w:r>
    </w:p>
    <w:p>
      <w:pPr>
        <w:spacing w:after="0" w:line="103" w:lineRule="exact"/>
        <w:rPr>
          <w:sz w:val="20"/>
          <w:szCs w:val="20"/>
          <w:color w:val="auto"/>
        </w:rPr>
      </w:pPr>
    </w:p>
    <w:p>
      <w:pPr>
        <w:jc w:val="both"/>
        <w:ind w:left="460" w:right="619" w:firstLine="432"/>
        <w:spacing w:after="0" w:line="26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Resignation</w:t>
      </w:r>
      <w:r>
        <w:rPr>
          <w:rFonts w:ascii="Arial" w:cs="Arial" w:eastAsia="Arial" w:hAnsi="Arial"/>
          <w:sz w:val="18"/>
          <w:szCs w:val="18"/>
          <w:color w:val="auto"/>
        </w:rPr>
        <w:t>. A director may resign at any time by giving written notice to the Chairman of the Board, if one is elected, the President or the Secretary. A resignation shall be effective upon receipt, unless the resignation otherwise provides.</w:t>
      </w:r>
    </w:p>
    <w:p>
      <w:pPr>
        <w:spacing w:after="0" w:line="116" w:lineRule="exact"/>
        <w:rPr>
          <w:sz w:val="20"/>
          <w:szCs w:val="20"/>
          <w:color w:val="auto"/>
        </w:rPr>
      </w:pPr>
    </w:p>
    <w:p>
      <w:pPr>
        <w:ind w:left="460" w:right="799" w:firstLine="432"/>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(including any annual meeting)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106"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3" w:name="page444"/>
    <w:bookmarkEnd w:id="44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Notice of Meetings</w:t>
      </w:r>
      <w:r>
        <w:rPr>
          <w:rFonts w:ascii="Arial" w:cs="Arial" w:eastAsia="Arial" w:hAnsi="Arial"/>
          <w:sz w:val="16"/>
          <w:szCs w:val="16"/>
          <w:color w:val="auto"/>
        </w:rPr>
        <w:t>.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06"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Quorum</w:t>
      </w:r>
      <w:r>
        <w:rPr>
          <w:rFonts w:ascii="Arial" w:cs="Arial" w:eastAsia="Arial" w:hAnsi="Arial"/>
          <w:sz w:val="16"/>
          <w:szCs w:val="16"/>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97" w:lineRule="exact"/>
        <w:rPr>
          <w:sz w:val="20"/>
          <w:szCs w:val="20"/>
          <w:color w:val="auto"/>
        </w:rPr>
      </w:pPr>
    </w:p>
    <w:p>
      <w:pPr>
        <w:jc w:val="both"/>
        <w:ind w:left="460" w:right="539" w:firstLine="432"/>
        <w:spacing w:after="0" w:line="26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Action at Meeting</w:t>
      </w:r>
      <w:r>
        <w:rPr>
          <w:rFonts w:ascii="Arial" w:cs="Arial" w:eastAsia="Arial" w:hAnsi="Arial"/>
          <w:sz w:val="18"/>
          <w:szCs w:val="18"/>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103"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Action by Consent</w:t>
      </w:r>
      <w:r>
        <w:rPr>
          <w:rFonts w:ascii="Arial" w:cs="Arial" w:eastAsia="Arial" w:hAnsi="Arial"/>
          <w:sz w:val="16"/>
          <w:szCs w:val="16"/>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97" w:lineRule="exact"/>
        <w:rPr>
          <w:sz w:val="20"/>
          <w:szCs w:val="20"/>
          <w:color w:val="auto"/>
        </w:rPr>
      </w:pPr>
    </w:p>
    <w:p>
      <w:pPr>
        <w:ind w:left="460" w:right="679" w:firstLine="432"/>
        <w:spacing w:after="0" w:line="279"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Manner of Participation</w:t>
      </w:r>
      <w:r>
        <w:rPr>
          <w:rFonts w:ascii="Arial" w:cs="Arial" w:eastAsia="Arial" w:hAnsi="Arial"/>
          <w:sz w:val="17"/>
          <w:szCs w:val="17"/>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04"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Presiding Director</w:t>
      </w:r>
      <w:r>
        <w:rPr>
          <w:rFonts w:ascii="Arial" w:cs="Arial" w:eastAsia="Arial" w:hAnsi="Arial"/>
          <w:sz w:val="18"/>
          <w:szCs w:val="18"/>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14"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4" w:name="page445"/>
    <w:bookmarkEnd w:id="44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Compensation of Directors</w:t>
      </w:r>
      <w:r>
        <w:rPr>
          <w:rFonts w:ascii="Arial" w:cs="Arial" w:eastAsia="Arial" w:hAnsi="Arial"/>
          <w:sz w:val="16"/>
          <w:szCs w:val="16"/>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Officers</w:t>
      </w:r>
    </w:p>
    <w:p>
      <w:pPr>
        <w:spacing w:after="0" w:line="144"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Enumeration</w:t>
      </w:r>
      <w:r>
        <w:rPr>
          <w:rFonts w:ascii="Arial" w:cs="Arial" w:eastAsia="Arial" w:hAnsi="Arial"/>
          <w:sz w:val="18"/>
          <w:szCs w:val="18"/>
          <w:color w:val="auto"/>
        </w:rPr>
        <w:t>.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20"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Election</w:t>
      </w:r>
      <w:r>
        <w:rPr>
          <w:rFonts w:ascii="Arial" w:cs="Arial" w:eastAsia="Arial" w:hAnsi="Arial"/>
          <w:sz w:val="18"/>
          <w:szCs w:val="18"/>
          <w:color w:val="auto"/>
        </w:rPr>
        <w:t>.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19"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Qualification</w:t>
      </w:r>
      <w:r>
        <w:rPr>
          <w:rFonts w:ascii="Arial" w:cs="Arial" w:eastAsia="Arial" w:hAnsi="Arial"/>
          <w:sz w:val="18"/>
          <w:szCs w:val="18"/>
          <w:color w:val="auto"/>
        </w:rPr>
        <w:t>. No officer need be a stockholder or a director. Any person may occupy more than one office of the Corporation at any time.</w:t>
      </w:r>
    </w:p>
    <w:p>
      <w:pPr>
        <w:spacing w:after="0" w:line="89"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19" w:lineRule="exact"/>
        <w:rPr>
          <w:sz w:val="20"/>
          <w:szCs w:val="20"/>
          <w:color w:val="auto"/>
        </w:rPr>
      </w:pPr>
    </w:p>
    <w:p>
      <w:pPr>
        <w:ind w:left="460" w:right="779" w:firstLine="432"/>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Resignation</w:t>
      </w:r>
      <w:r>
        <w:rPr>
          <w:rFonts w:ascii="Arial" w:cs="Arial" w:eastAsia="Arial" w:hAnsi="Arial"/>
          <w:sz w:val="18"/>
          <w:szCs w:val="18"/>
          <w:color w:val="auto"/>
        </w:rPr>
        <w:t>. Any officer may resign by delivering his or her written resignation to the Corporation addressed to the President or the Secretary, and such resignation shall be effective upon receipt, unless the resignation otherwise provides.</w:t>
      </w:r>
    </w:p>
    <w:p>
      <w:pPr>
        <w:spacing w:after="0" w:line="116" w:lineRule="exact"/>
        <w:rPr>
          <w:sz w:val="20"/>
          <w:szCs w:val="20"/>
          <w:color w:val="auto"/>
        </w:rPr>
      </w:pPr>
    </w:p>
    <w:p>
      <w:pPr>
        <w:ind w:left="460" w:right="819" w:firstLine="432"/>
        <w:spacing w:after="0" w:line="308"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Removal</w:t>
      </w:r>
      <w:r>
        <w:rPr>
          <w:rFonts w:ascii="Arial" w:cs="Arial" w:eastAsia="Arial" w:hAnsi="Arial"/>
          <w:sz w:val="17"/>
          <w:szCs w:val="17"/>
          <w:color w:val="auto"/>
        </w:rPr>
        <w:t>. Except as otherwise provided by law, the Board of Directors may remove any officer with or without cause by the affirmative vote of a majority of the directors then in office.</w:t>
      </w:r>
    </w:p>
    <w:p>
      <w:pPr>
        <w:spacing w:after="0" w:line="65" w:lineRule="exact"/>
        <w:rPr>
          <w:sz w:val="20"/>
          <w:szCs w:val="20"/>
          <w:color w:val="auto"/>
        </w:rPr>
      </w:pPr>
    </w:p>
    <w:p>
      <w:pPr>
        <w:ind w:left="460" w:right="659" w:firstLine="432"/>
        <w:spacing w:after="0" w:line="342"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Absence or Disability</w:t>
      </w:r>
      <w:r>
        <w:rPr>
          <w:rFonts w:ascii="Arial" w:cs="Arial" w:eastAsia="Arial" w:hAnsi="Arial"/>
          <w:sz w:val="16"/>
          <w:szCs w:val="16"/>
          <w:color w:val="auto"/>
        </w:rPr>
        <w:t>. In the event of the absence or disability of any officer, the Board of Directors may designate another officer to act temporarily in place of such absent or disabled officer.</w:t>
      </w:r>
    </w:p>
    <w:p>
      <w:pPr>
        <w:spacing w:after="0" w:line="56"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in any office may be filled for the unexpired portion of the term by the Board of Directors.</w:t>
      </w:r>
    </w:p>
    <w:p>
      <w:pPr>
        <w:spacing w:after="0" w:line="103" w:lineRule="exact"/>
        <w:rPr>
          <w:sz w:val="20"/>
          <w:szCs w:val="20"/>
          <w:color w:val="auto"/>
        </w:rPr>
      </w:pPr>
    </w:p>
    <w:p>
      <w:pPr>
        <w:ind w:left="460" w:right="619" w:firstLine="432"/>
        <w:spacing w:after="0" w:line="308"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President</w:t>
      </w:r>
      <w:r>
        <w:rPr>
          <w:rFonts w:ascii="Arial" w:cs="Arial" w:eastAsia="Arial" w:hAnsi="Arial"/>
          <w:sz w:val="17"/>
          <w:szCs w:val="17"/>
          <w:color w:val="auto"/>
        </w:rPr>
        <w:t>. The President shall, subject to the direction of the Board of Directors, have such powers and shall perform such duties as the Board of Directors may from time to time designate.</w:t>
      </w:r>
    </w:p>
    <w:p>
      <w:pPr>
        <w:spacing w:after="0" w:line="65" w:lineRule="exact"/>
        <w:rPr>
          <w:sz w:val="20"/>
          <w:szCs w:val="20"/>
          <w:color w:val="auto"/>
        </w:rPr>
      </w:pPr>
    </w:p>
    <w:p>
      <w:pPr>
        <w:ind w:left="460" w:right="919" w:firstLine="432"/>
        <w:spacing w:after="0" w:line="342"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Chairman of the Board</w:t>
      </w:r>
      <w:r>
        <w:rPr>
          <w:rFonts w:ascii="Arial" w:cs="Arial" w:eastAsia="Arial" w:hAnsi="Arial"/>
          <w:sz w:val="16"/>
          <w:szCs w:val="16"/>
          <w:color w:val="auto"/>
        </w:rPr>
        <w:t>. The Chairman of the Board, if one is elected, shall have such powers and shall perform such duties as the Board of Directors may from time to time designate.</w:t>
      </w:r>
    </w:p>
    <w:p>
      <w:pPr>
        <w:spacing w:after="0" w:line="56" w:lineRule="exact"/>
        <w:rPr>
          <w:sz w:val="20"/>
          <w:szCs w:val="20"/>
          <w:color w:val="auto"/>
        </w:rPr>
      </w:pPr>
    </w:p>
    <w:p>
      <w:pPr>
        <w:ind w:left="460" w:right="799" w:firstLine="432"/>
        <w:spacing w:after="0" w:line="308"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The Chief Executive Officer, if one is elected, shall have such powers and shall perform such duties as the Board of Directors may from time to time designate.</w:t>
      </w:r>
    </w:p>
    <w:p>
      <w:pPr>
        <w:spacing w:after="0" w:line="79"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Vice Presidents and Assistant Vice Presidents</w:t>
      </w:r>
      <w:r>
        <w:rPr>
          <w:rFonts w:ascii="Arial" w:cs="Arial" w:eastAsia="Arial" w:hAnsi="Arial"/>
          <w:sz w:val="18"/>
          <w:szCs w:val="18"/>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06"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Treasurer and Assistant Treasurers</w:t>
      </w:r>
      <w:r>
        <w:rPr>
          <w:rFonts w:ascii="Arial" w:cs="Arial" w:eastAsia="Arial" w:hAnsi="Arial"/>
          <w:sz w:val="16"/>
          <w:szCs w:val="16"/>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5" w:name="page446"/>
    <w:bookmarkEnd w:id="44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Secretary and Assistant Secretaries</w:t>
      </w:r>
      <w:r>
        <w:rPr>
          <w:rFonts w:ascii="Arial" w:cs="Arial" w:eastAsia="Arial" w:hAnsi="Arial"/>
          <w:sz w:val="16"/>
          <w:szCs w:val="16"/>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04"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Other Powers and Duties</w:t>
      </w:r>
      <w:r>
        <w:rPr>
          <w:rFonts w:ascii="Arial" w:cs="Arial" w:eastAsia="Arial" w:hAnsi="Arial"/>
          <w:sz w:val="17"/>
          <w:szCs w:val="17"/>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04" w:lineRule="exact"/>
        <w:rPr>
          <w:sz w:val="20"/>
          <w:szCs w:val="20"/>
          <w:color w:val="auto"/>
        </w:rPr>
      </w:pPr>
    </w:p>
    <w:p>
      <w:pPr>
        <w:ind w:left="4020"/>
        <w:spacing w:after="0"/>
        <w:rPr>
          <w:sz w:val="20"/>
          <w:szCs w:val="20"/>
          <w:color w:val="auto"/>
        </w:rPr>
      </w:pPr>
      <w:r>
        <w:rPr>
          <w:rFonts w:ascii="Arial" w:cs="Arial" w:eastAsia="Arial" w:hAnsi="Arial"/>
          <w:sz w:val="18"/>
          <w:szCs w:val="18"/>
          <w:u w:val="single" w:color="auto"/>
          <w:color w:val="auto"/>
        </w:rPr>
        <w:t>ARTICLE IV</w:t>
      </w:r>
    </w:p>
    <w:p>
      <w:pPr>
        <w:spacing w:after="0" w:line="144" w:lineRule="exact"/>
        <w:rPr>
          <w:sz w:val="20"/>
          <w:szCs w:val="20"/>
          <w:color w:val="auto"/>
        </w:rPr>
      </w:pPr>
    </w:p>
    <w:p>
      <w:pPr>
        <w:ind w:left="4020"/>
        <w:spacing w:after="0"/>
        <w:rPr>
          <w:sz w:val="20"/>
          <w:szCs w:val="20"/>
          <w:color w:val="auto"/>
        </w:rPr>
      </w:pPr>
      <w:r>
        <w:rPr>
          <w:rFonts w:ascii="Arial" w:cs="Arial" w:eastAsia="Arial" w:hAnsi="Arial"/>
          <w:sz w:val="18"/>
          <w:szCs w:val="18"/>
          <w:u w:val="single" w:color="auto"/>
          <w:color w:val="auto"/>
        </w:rPr>
        <w:t>Capital Stock</w:t>
      </w:r>
    </w:p>
    <w:p>
      <w:pPr>
        <w:spacing w:after="0" w:line="15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Certificates of Stock</w:t>
      </w:r>
      <w:r>
        <w:rPr>
          <w:rFonts w:ascii="Arial" w:cs="Arial" w:eastAsia="Arial" w:hAnsi="Arial"/>
          <w:sz w:val="16"/>
          <w:szCs w:val="16"/>
          <w:color w:val="auto"/>
        </w:rPr>
        <w:t>. Each stockholder shall be entitled to a certificate of the capital stock of the Corporation in such form as may from time to time be prescribed by the Board of Directors. Such certificate shall be signed by the Chairman of the Board, the President or a Vice President and by the Treasurer or an Assistant Treasurer, or the Secretary or an Assistant Secretary.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of the Corporation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09"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Transfers</w:t>
      </w:r>
      <w:r>
        <w:rPr>
          <w:rFonts w:ascii="Arial" w:cs="Arial" w:eastAsia="Arial" w:hAnsi="Arial"/>
          <w:sz w:val="16"/>
          <w:szCs w:val="16"/>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84"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Record Holders</w:t>
      </w:r>
      <w:r>
        <w:rPr>
          <w:rFonts w:ascii="Arial" w:cs="Arial" w:eastAsia="Arial" w:hAnsi="Arial"/>
          <w:sz w:val="17"/>
          <w:szCs w:val="17"/>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09"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Record Date</w:t>
      </w:r>
      <w:r>
        <w:rPr>
          <w:rFonts w:ascii="Arial" w:cs="Arial" w:eastAsia="Arial" w:hAnsi="Arial"/>
          <w:sz w:val="18"/>
          <w:szCs w:val="18"/>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6" w:name="page447"/>
    <w:bookmarkEnd w:id="44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87" w:lineRule="auto"/>
        <w:rPr>
          <w:sz w:val="20"/>
          <w:szCs w:val="20"/>
          <w:color w:val="auto"/>
        </w:rPr>
      </w:pPr>
      <w:r>
        <w:rPr>
          <w:rFonts w:ascii="Arial" w:cs="Arial" w:eastAsia="Arial" w:hAnsi="Arial"/>
          <w:sz w:val="16"/>
          <w:szCs w:val="16"/>
          <w:color w:val="auto"/>
        </w:rPr>
        <w:t>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w:t>
      </w:r>
    </w:p>
    <w:p>
      <w:pPr>
        <w:spacing w:after="0" w:line="2" w:lineRule="exact"/>
        <w:rPr>
          <w:sz w:val="20"/>
          <w:szCs w:val="20"/>
          <w:color w:val="auto"/>
        </w:rPr>
      </w:pPr>
    </w:p>
    <w:p>
      <w:pPr>
        <w:ind w:left="460" w:right="579" w:hanging="6"/>
        <w:spacing w:after="0" w:line="252" w:lineRule="auto"/>
        <w:tabs>
          <w:tab w:leader="none" w:pos="805" w:val="left"/>
        </w:tabs>
        <w:numPr>
          <w:ilvl w:val="0"/>
          <w:numId w:val="472"/>
        </w:numPr>
        <w:rPr>
          <w:rFonts w:ascii="Arial" w:cs="Arial" w:eastAsia="Arial" w:hAnsi="Arial"/>
          <w:sz w:val="18"/>
          <w:szCs w:val="18"/>
          <w:color w:val="auto"/>
        </w:rPr>
      </w:pPr>
      <w:r>
        <w:rPr>
          <w:rFonts w:ascii="Arial" w:cs="Arial" w:eastAsia="Arial" w:hAnsi="Arial"/>
          <w:sz w:val="18"/>
          <w:szCs w:val="18"/>
          <w:color w:val="auto"/>
        </w:rPr>
        <w:t>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26"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Replacement of Certificates</w:t>
      </w:r>
      <w:r>
        <w:rPr>
          <w:rFonts w:ascii="Arial" w:cs="Arial" w:eastAsia="Arial" w:hAnsi="Arial"/>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116" w:lineRule="exact"/>
        <w:rPr>
          <w:sz w:val="20"/>
          <w:szCs w:val="20"/>
          <w:color w:val="auto"/>
        </w:rPr>
      </w:pPr>
    </w:p>
    <w:p>
      <w:pPr>
        <w:ind w:left="4040"/>
        <w:spacing w:after="0"/>
        <w:rPr>
          <w:sz w:val="20"/>
          <w:szCs w:val="20"/>
          <w:color w:val="auto"/>
        </w:rPr>
      </w:pPr>
      <w:r>
        <w:rPr>
          <w:rFonts w:ascii="Arial" w:cs="Arial" w:eastAsia="Arial" w:hAnsi="Arial"/>
          <w:sz w:val="18"/>
          <w:szCs w:val="18"/>
          <w:u w:val="single" w:color="auto"/>
          <w:color w:val="auto"/>
        </w:rPr>
        <w:t>ARTICLE V</w:t>
      </w:r>
    </w:p>
    <w:p>
      <w:pPr>
        <w:spacing w:after="0" w:line="144"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Indemnification</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Article:</w:t>
      </w:r>
    </w:p>
    <w:p>
      <w:pPr>
        <w:spacing w:after="0" w:line="158" w:lineRule="exact"/>
        <w:rPr>
          <w:sz w:val="20"/>
          <w:szCs w:val="20"/>
          <w:color w:val="auto"/>
        </w:rPr>
      </w:pPr>
    </w:p>
    <w:p>
      <w:pPr>
        <w:ind w:left="460" w:right="519" w:firstLine="426"/>
        <w:spacing w:after="0" w:line="287" w:lineRule="auto"/>
        <w:tabs>
          <w:tab w:leader="none" w:pos="1137" w:val="left"/>
        </w:tabs>
        <w:numPr>
          <w:ilvl w:val="0"/>
          <w:numId w:val="473"/>
        </w:numPr>
        <w:rPr>
          <w:rFonts w:ascii="Arial" w:cs="Arial" w:eastAsia="Arial" w:hAnsi="Arial"/>
          <w:sz w:val="16"/>
          <w:szCs w:val="16"/>
          <w:color w:val="auto"/>
        </w:rPr>
      </w:pPr>
      <w:r>
        <w:rPr>
          <w:rFonts w:ascii="Arial" w:cs="Arial" w:eastAsia="Arial" w:hAnsi="Arial"/>
          <w:sz w:val="16"/>
          <w:szCs w:val="16"/>
          <w:color w:val="auto"/>
        </w:rPr>
        <w:t>“Corporate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90" w:lineRule="exact"/>
        <w:rPr>
          <w:rFonts w:ascii="Arial" w:cs="Arial" w:eastAsia="Arial" w:hAnsi="Arial"/>
          <w:sz w:val="16"/>
          <w:szCs w:val="16"/>
          <w:color w:val="auto"/>
        </w:rPr>
      </w:pPr>
    </w:p>
    <w:p>
      <w:pPr>
        <w:ind w:left="460" w:right="659" w:firstLine="426"/>
        <w:spacing w:after="0" w:line="277" w:lineRule="auto"/>
        <w:tabs>
          <w:tab w:leader="none" w:pos="1147" w:val="left"/>
        </w:tabs>
        <w:numPr>
          <w:ilvl w:val="0"/>
          <w:numId w:val="473"/>
        </w:numPr>
        <w:rPr>
          <w:rFonts w:ascii="Arial" w:cs="Arial" w:eastAsia="Arial" w:hAnsi="Arial"/>
          <w:sz w:val="18"/>
          <w:szCs w:val="18"/>
          <w:color w:val="auto"/>
        </w:rPr>
      </w:pPr>
      <w:r>
        <w:rPr>
          <w:rFonts w:ascii="Arial" w:cs="Arial" w:eastAsia="Arial" w:hAnsi="Arial"/>
          <w:sz w:val="18"/>
          <w:szCs w:val="18"/>
          <w:color w:val="auto"/>
        </w:rPr>
        <w:t>“Director” means any person who serves or has served the Corporation as a director on the Board of Directors of the Corporation;</w:t>
      </w:r>
    </w:p>
    <w:p>
      <w:pPr>
        <w:spacing w:after="0" w:line="102" w:lineRule="exact"/>
        <w:rPr>
          <w:rFonts w:ascii="Arial" w:cs="Arial" w:eastAsia="Arial" w:hAnsi="Arial"/>
          <w:sz w:val="18"/>
          <w:szCs w:val="18"/>
          <w:color w:val="auto"/>
        </w:rPr>
      </w:pPr>
    </w:p>
    <w:p>
      <w:pPr>
        <w:ind w:left="460" w:right="479" w:firstLine="426"/>
        <w:spacing w:after="0" w:line="342" w:lineRule="auto"/>
        <w:tabs>
          <w:tab w:leader="none" w:pos="1137" w:val="left"/>
        </w:tabs>
        <w:numPr>
          <w:ilvl w:val="0"/>
          <w:numId w:val="473"/>
        </w:numPr>
        <w:rPr>
          <w:rFonts w:ascii="Arial" w:cs="Arial" w:eastAsia="Arial" w:hAnsi="Arial"/>
          <w:sz w:val="16"/>
          <w:szCs w:val="16"/>
          <w:color w:val="auto"/>
        </w:rPr>
      </w:pPr>
      <w:r>
        <w:rPr>
          <w:rFonts w:ascii="Arial" w:cs="Arial" w:eastAsia="Arial" w:hAnsi="Arial"/>
          <w:sz w:val="16"/>
          <w:szCs w:val="16"/>
          <w:color w:val="auto"/>
        </w:rPr>
        <w:t>“Disinterested Director” means, with respect to each Proceeding in respect of which indemnification is sought hereunder, a Director of the Corporation who is not and was not a party to such Proceeding;</w:t>
      </w:r>
    </w:p>
    <w:p>
      <w:pPr>
        <w:spacing w:after="0" w:line="56" w:lineRule="exact"/>
        <w:rPr>
          <w:rFonts w:ascii="Arial" w:cs="Arial" w:eastAsia="Arial" w:hAnsi="Arial"/>
          <w:sz w:val="16"/>
          <w:szCs w:val="16"/>
          <w:color w:val="auto"/>
        </w:rPr>
      </w:pPr>
    </w:p>
    <w:p>
      <w:pPr>
        <w:ind w:left="460" w:right="619" w:firstLine="426"/>
        <w:spacing w:after="0" w:line="271" w:lineRule="auto"/>
        <w:tabs>
          <w:tab w:leader="none" w:pos="1147" w:val="left"/>
        </w:tabs>
        <w:numPr>
          <w:ilvl w:val="0"/>
          <w:numId w:val="473"/>
        </w:numPr>
        <w:rPr>
          <w:rFonts w:ascii="Arial" w:cs="Arial" w:eastAsia="Arial" w:hAnsi="Arial"/>
          <w:sz w:val="17"/>
          <w:szCs w:val="17"/>
          <w:color w:val="auto"/>
        </w:rPr>
      </w:pPr>
      <w:r>
        <w:rPr>
          <w:rFonts w:ascii="Arial" w:cs="Arial" w:eastAsia="Arial" w:hAnsi="Arial"/>
          <w:sz w:val="17"/>
          <w:szCs w:val="17"/>
          <w:color w:val="auto"/>
        </w:rPr>
        <w:t>“Expenses”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97" w:lineRule="exact"/>
        <w:rPr>
          <w:rFonts w:ascii="Arial" w:cs="Arial" w:eastAsia="Arial" w:hAnsi="Arial"/>
          <w:sz w:val="17"/>
          <w:szCs w:val="17"/>
          <w:color w:val="auto"/>
        </w:rPr>
      </w:pPr>
    </w:p>
    <w:p>
      <w:pPr>
        <w:ind w:left="460" w:right="619" w:firstLine="426"/>
        <w:spacing w:after="0" w:line="277" w:lineRule="auto"/>
        <w:tabs>
          <w:tab w:leader="none" w:pos="1137" w:val="left"/>
        </w:tabs>
        <w:numPr>
          <w:ilvl w:val="0"/>
          <w:numId w:val="473"/>
        </w:numPr>
        <w:rPr>
          <w:rFonts w:ascii="Arial" w:cs="Arial" w:eastAsia="Arial" w:hAnsi="Arial"/>
          <w:sz w:val="18"/>
          <w:szCs w:val="18"/>
          <w:color w:val="auto"/>
        </w:rPr>
      </w:pPr>
      <w:r>
        <w:rPr>
          <w:rFonts w:ascii="Arial" w:cs="Arial" w:eastAsia="Arial" w:hAnsi="Arial"/>
          <w:sz w:val="18"/>
          <w:szCs w:val="18"/>
          <w:color w:val="auto"/>
        </w:rPr>
        <w:t>“Liabilities” means judgments, damages, liabilities, losses, penalties, excise taxes, fines and amounts paid in settlement;</w:t>
      </w:r>
    </w:p>
    <w:p>
      <w:pPr>
        <w:spacing w:after="0" w:line="102" w:lineRule="exact"/>
        <w:rPr>
          <w:rFonts w:ascii="Arial" w:cs="Arial" w:eastAsia="Arial" w:hAnsi="Arial"/>
          <w:sz w:val="18"/>
          <w:szCs w:val="18"/>
          <w:color w:val="auto"/>
        </w:rPr>
      </w:pPr>
    </w:p>
    <w:p>
      <w:pPr>
        <w:ind w:left="460" w:right="659" w:firstLine="426"/>
        <w:spacing w:after="0" w:line="277" w:lineRule="auto"/>
        <w:tabs>
          <w:tab w:leader="none" w:pos="1117" w:val="left"/>
        </w:tabs>
        <w:numPr>
          <w:ilvl w:val="0"/>
          <w:numId w:val="473"/>
        </w:numPr>
        <w:rPr>
          <w:rFonts w:ascii="Arial" w:cs="Arial" w:eastAsia="Arial" w:hAnsi="Arial"/>
          <w:sz w:val="18"/>
          <w:szCs w:val="18"/>
          <w:color w:val="auto"/>
        </w:rPr>
      </w:pPr>
      <w:r>
        <w:rPr>
          <w:rFonts w:ascii="Arial" w:cs="Arial" w:eastAsia="Arial" w:hAnsi="Arial"/>
          <w:sz w:val="18"/>
          <w:szCs w:val="18"/>
          <w:color w:val="auto"/>
        </w:rPr>
        <w:t>“Non-Officer Employee” means any person who serves or has served as an employee or agent of the Corporation, but who is not or was not a Director or Officer;</w:t>
      </w:r>
    </w:p>
    <w:p>
      <w:pPr>
        <w:spacing w:after="0" w:line="102" w:lineRule="exact"/>
        <w:rPr>
          <w:rFonts w:ascii="Arial" w:cs="Arial" w:eastAsia="Arial" w:hAnsi="Arial"/>
          <w:sz w:val="18"/>
          <w:szCs w:val="18"/>
          <w:color w:val="auto"/>
        </w:rPr>
      </w:pPr>
    </w:p>
    <w:p>
      <w:pPr>
        <w:ind w:left="460" w:right="539" w:firstLine="426"/>
        <w:spacing w:after="0" w:line="277" w:lineRule="auto"/>
        <w:tabs>
          <w:tab w:leader="none" w:pos="1147" w:val="left"/>
        </w:tabs>
        <w:numPr>
          <w:ilvl w:val="0"/>
          <w:numId w:val="473"/>
        </w:numPr>
        <w:rPr>
          <w:rFonts w:ascii="Arial" w:cs="Arial" w:eastAsia="Arial" w:hAnsi="Arial"/>
          <w:sz w:val="18"/>
          <w:szCs w:val="18"/>
          <w:color w:val="auto"/>
        </w:rPr>
      </w:pPr>
      <w:r>
        <w:rPr>
          <w:rFonts w:ascii="Arial" w:cs="Arial" w:eastAsia="Arial" w:hAnsi="Arial"/>
          <w:sz w:val="18"/>
          <w:szCs w:val="18"/>
          <w:color w:val="auto"/>
        </w:rPr>
        <w:t>“Officer” means any person who serves or has served the Corporation as an officer of the Corporation appointed by the Board of Directors of the Corporation;</w:t>
      </w:r>
    </w:p>
    <w:p>
      <w:pPr>
        <w:spacing w:after="0" w:line="89" w:lineRule="exact"/>
        <w:rPr>
          <w:rFonts w:ascii="Arial" w:cs="Arial" w:eastAsia="Arial" w:hAnsi="Arial"/>
          <w:sz w:val="18"/>
          <w:szCs w:val="18"/>
          <w:color w:val="auto"/>
        </w:rPr>
      </w:pPr>
    </w:p>
    <w:p>
      <w:pPr>
        <w:ind w:left="460" w:right="699" w:firstLine="426"/>
        <w:spacing w:after="0" w:line="263" w:lineRule="auto"/>
        <w:tabs>
          <w:tab w:leader="none" w:pos="1147" w:val="left"/>
        </w:tabs>
        <w:numPr>
          <w:ilvl w:val="0"/>
          <w:numId w:val="473"/>
        </w:numPr>
        <w:rPr>
          <w:rFonts w:ascii="Arial" w:cs="Arial" w:eastAsia="Arial" w:hAnsi="Arial"/>
          <w:sz w:val="18"/>
          <w:szCs w:val="18"/>
          <w:color w:val="auto"/>
        </w:rPr>
      </w:pPr>
      <w:r>
        <w:rPr>
          <w:rFonts w:ascii="Arial" w:cs="Arial" w:eastAsia="Arial" w:hAnsi="Arial"/>
          <w:sz w:val="18"/>
          <w:szCs w:val="18"/>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7" w:name="page448"/>
    <w:bookmarkEnd w:id="44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26"/>
        <w:spacing w:after="0" w:line="254" w:lineRule="auto"/>
        <w:tabs>
          <w:tab w:leader="none" w:pos="1107" w:val="left"/>
        </w:tabs>
        <w:numPr>
          <w:ilvl w:val="0"/>
          <w:numId w:val="474"/>
        </w:numPr>
        <w:rPr>
          <w:rFonts w:ascii="Arial" w:cs="Arial" w:eastAsia="Arial" w:hAnsi="Arial"/>
          <w:sz w:val="18"/>
          <w:szCs w:val="18"/>
          <w:color w:val="auto"/>
        </w:rPr>
      </w:pPr>
      <w:r>
        <w:rPr>
          <w:rFonts w:ascii="Arial" w:cs="Arial" w:eastAsia="Arial" w:hAnsi="Arial"/>
          <w:sz w:val="18"/>
          <w:szCs w:val="18"/>
          <w:color w:val="auto"/>
        </w:rPr>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SECTION 2. Indemnification of Directors and Officers.</w:t>
      </w:r>
    </w:p>
    <w:p>
      <w:pPr>
        <w:spacing w:after="0" w:line="158" w:lineRule="exact"/>
        <w:rPr>
          <w:sz w:val="20"/>
          <w:szCs w:val="20"/>
          <w:color w:val="auto"/>
        </w:rPr>
      </w:pPr>
    </w:p>
    <w:p>
      <w:pPr>
        <w:ind w:left="460" w:right="479" w:firstLine="426"/>
        <w:spacing w:after="0" w:line="296" w:lineRule="auto"/>
        <w:tabs>
          <w:tab w:leader="none" w:pos="1137" w:val="left"/>
        </w:tabs>
        <w:numPr>
          <w:ilvl w:val="0"/>
          <w:numId w:val="475"/>
        </w:numPr>
        <w:rPr>
          <w:rFonts w:ascii="Arial" w:cs="Arial" w:eastAsia="Arial" w:hAnsi="Arial"/>
          <w:sz w:val="16"/>
          <w:szCs w:val="16"/>
          <w:color w:val="auto"/>
        </w:rPr>
      </w:pPr>
      <w:r>
        <w:rPr>
          <w:rFonts w:ascii="Arial" w:cs="Arial" w:eastAsia="Arial" w:hAnsi="Arial"/>
          <w:sz w:val="16"/>
          <w:szCs w:val="16"/>
          <w:color w:val="auto"/>
        </w:rPr>
        <w:t>Subject to the operation of Section 4 of this Article V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spacing w:after="0" w:line="80" w:lineRule="exact"/>
        <w:rPr>
          <w:rFonts w:ascii="Arial" w:cs="Arial" w:eastAsia="Arial" w:hAnsi="Arial"/>
          <w:sz w:val="16"/>
          <w:szCs w:val="16"/>
          <w:color w:val="auto"/>
        </w:rPr>
      </w:pPr>
    </w:p>
    <w:p>
      <w:pPr>
        <w:ind w:left="880" w:right="499" w:firstLine="438"/>
        <w:spacing w:after="0" w:line="270" w:lineRule="auto"/>
        <w:tabs>
          <w:tab w:leader="none" w:pos="1567" w:val="left"/>
        </w:tabs>
        <w:numPr>
          <w:ilvl w:val="1"/>
          <w:numId w:val="475"/>
        </w:numPr>
        <w:rPr>
          <w:rFonts w:ascii="Arial" w:cs="Arial" w:eastAsia="Arial" w:hAnsi="Arial"/>
          <w:sz w:val="17"/>
          <w:szCs w:val="17"/>
          <w:color w:val="auto"/>
        </w:rPr>
      </w:pPr>
      <w:r>
        <w:rPr>
          <w:rFonts w:ascii="Arial" w:cs="Arial" w:eastAsia="Arial" w:hAnsi="Arial"/>
          <w:sz w:val="17"/>
          <w:szCs w:val="17"/>
          <w:u w:val="single" w:color="auto"/>
          <w:color w:val="auto"/>
        </w:rPr>
        <w:t>Actions, Suits and Proceedings Other than By or In the Right of the Corporation</w:t>
      </w:r>
      <w:r>
        <w:rPr>
          <w:rFonts w:ascii="Arial" w:cs="Arial" w:eastAsia="Arial" w:hAnsi="Arial"/>
          <w:sz w:val="17"/>
          <w:szCs w:val="17"/>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13" w:lineRule="exact"/>
        <w:rPr>
          <w:rFonts w:ascii="Arial" w:cs="Arial" w:eastAsia="Arial" w:hAnsi="Arial"/>
          <w:sz w:val="17"/>
          <w:szCs w:val="17"/>
          <w:color w:val="auto"/>
        </w:rPr>
      </w:pPr>
    </w:p>
    <w:p>
      <w:pPr>
        <w:ind w:left="880" w:right="499" w:firstLine="438"/>
        <w:spacing w:after="0" w:line="286" w:lineRule="auto"/>
        <w:tabs>
          <w:tab w:leader="none" w:pos="1567" w:val="left"/>
        </w:tabs>
        <w:numPr>
          <w:ilvl w:val="1"/>
          <w:numId w:val="475"/>
        </w:numPr>
        <w:rPr>
          <w:rFonts w:ascii="Arial" w:cs="Arial" w:eastAsia="Arial" w:hAnsi="Arial"/>
          <w:sz w:val="16"/>
          <w:szCs w:val="16"/>
          <w:color w:val="auto"/>
        </w:rPr>
      </w:pPr>
      <w:r>
        <w:rPr>
          <w:rFonts w:ascii="Arial" w:cs="Arial" w:eastAsia="Arial" w:hAnsi="Arial"/>
          <w:sz w:val="16"/>
          <w:szCs w:val="16"/>
          <w:u w:val="single" w:color="auto"/>
          <w:color w:val="auto"/>
        </w:rPr>
        <w:t>Actions, Suits and Proceedings By or In the Right of the Corporation</w:t>
      </w:r>
      <w:r>
        <w:rPr>
          <w:rFonts w:ascii="Arial" w:cs="Arial" w:eastAsia="Arial" w:hAnsi="Arial"/>
          <w:sz w:val="16"/>
          <w:szCs w:val="16"/>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06" w:lineRule="exact"/>
        <w:rPr>
          <w:rFonts w:ascii="Arial" w:cs="Arial" w:eastAsia="Arial" w:hAnsi="Arial"/>
          <w:sz w:val="16"/>
          <w:szCs w:val="16"/>
          <w:color w:val="auto"/>
        </w:rPr>
      </w:pPr>
    </w:p>
    <w:p>
      <w:pPr>
        <w:jc w:val="both"/>
        <w:ind w:left="880" w:right="559" w:firstLine="438"/>
        <w:spacing w:after="0" w:line="286" w:lineRule="auto"/>
        <w:tabs>
          <w:tab w:leader="none" w:pos="1567" w:val="left"/>
        </w:tabs>
        <w:numPr>
          <w:ilvl w:val="1"/>
          <w:numId w:val="475"/>
        </w:numPr>
        <w:rPr>
          <w:rFonts w:ascii="Arial" w:cs="Arial" w:eastAsia="Arial" w:hAnsi="Arial"/>
          <w:sz w:val="17"/>
          <w:szCs w:val="17"/>
          <w:color w:val="auto"/>
        </w:rPr>
      </w:pPr>
      <w:r>
        <w:rPr>
          <w:rFonts w:ascii="Arial" w:cs="Arial" w:eastAsia="Arial" w:hAnsi="Arial"/>
          <w:sz w:val="17"/>
          <w:szCs w:val="17"/>
          <w:u w:val="single" w:color="auto"/>
          <w:color w:val="auto"/>
        </w:rPr>
        <w:t>Survival of Rights</w:t>
      </w:r>
      <w:r>
        <w:rPr>
          <w:rFonts w:ascii="Arial" w:cs="Arial" w:eastAsia="Arial" w:hAnsi="Arial"/>
          <w:sz w:val="17"/>
          <w:szCs w:val="17"/>
          <w:color w:val="auto"/>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spacing w:after="0" w:line="84" w:lineRule="exact"/>
        <w:rPr>
          <w:rFonts w:ascii="Arial" w:cs="Arial" w:eastAsia="Arial" w:hAnsi="Arial"/>
          <w:sz w:val="17"/>
          <w:szCs w:val="17"/>
          <w:color w:val="auto"/>
        </w:rPr>
      </w:pPr>
    </w:p>
    <w:p>
      <w:pPr>
        <w:ind w:left="880" w:right="599" w:firstLine="438"/>
        <w:spacing w:after="0" w:line="254" w:lineRule="auto"/>
        <w:tabs>
          <w:tab w:leader="none" w:pos="1567" w:val="left"/>
        </w:tabs>
        <w:numPr>
          <w:ilvl w:val="1"/>
          <w:numId w:val="475"/>
        </w:numPr>
        <w:rPr>
          <w:rFonts w:ascii="Arial" w:cs="Arial" w:eastAsia="Arial" w:hAnsi="Arial"/>
          <w:sz w:val="18"/>
          <w:szCs w:val="18"/>
          <w:color w:val="auto"/>
        </w:rPr>
      </w:pPr>
      <w:r>
        <w:rPr>
          <w:rFonts w:ascii="Arial" w:cs="Arial" w:eastAsia="Arial" w:hAnsi="Arial"/>
          <w:sz w:val="18"/>
          <w:szCs w:val="18"/>
          <w:u w:val="single" w:color="auto"/>
          <w:color w:val="auto"/>
        </w:rPr>
        <w:t>Actions by Directors or Officers</w:t>
      </w:r>
      <w:r>
        <w:rPr>
          <w:rFonts w:ascii="Arial" w:cs="Arial" w:eastAsia="Arial" w:hAnsi="Arial"/>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By-laws in accordance with the provisions set forth herein.</w:t>
      </w:r>
    </w:p>
    <w:p>
      <w:pPr>
        <w:spacing w:after="0" w:line="127"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Indemnification of Non-Officer Employees</w:t>
      </w:r>
      <w:r>
        <w:rPr>
          <w:rFonts w:ascii="Arial" w:cs="Arial" w:eastAsia="Arial" w:hAnsi="Arial"/>
          <w:sz w:val="18"/>
          <w:szCs w:val="18"/>
          <w:color w:val="auto"/>
        </w:rPr>
        <w:t>. Subject to the operation of Section 4 of this Article V of these By-laws, each Non-Officer Employee may, in the discretion of the Board of Directors of the Corporation,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8" w:name="page449"/>
    <w:bookmarkEnd w:id="44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72" w:lineRule="auto"/>
        <w:rPr>
          <w:sz w:val="20"/>
          <w:szCs w:val="20"/>
          <w:color w:val="auto"/>
        </w:rPr>
      </w:pPr>
      <w:r>
        <w:rPr>
          <w:rFonts w:ascii="Arial" w:cs="Arial" w:eastAsia="Arial" w:hAnsi="Arial"/>
          <w:sz w:val="17"/>
          <w:szCs w:val="17"/>
          <w:color w:val="auto"/>
        </w:rPr>
        <w:t>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of the Corporation.</w:t>
      </w:r>
    </w:p>
    <w:p>
      <w:pPr>
        <w:spacing w:after="0" w:line="110"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Determination</w:t>
      </w:r>
      <w:r>
        <w:rPr>
          <w:rFonts w:ascii="Arial" w:cs="Arial" w:eastAsia="Arial" w:hAnsi="Arial"/>
          <w:sz w:val="17"/>
          <w:szCs w:val="17"/>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SECTION 5. Advancement of Expenses to Directors Prior to Final Disposition.</w:t>
      </w:r>
    </w:p>
    <w:p>
      <w:pPr>
        <w:spacing w:after="0" w:line="144" w:lineRule="exact"/>
        <w:rPr>
          <w:sz w:val="20"/>
          <w:szCs w:val="20"/>
          <w:color w:val="auto"/>
        </w:rPr>
      </w:pPr>
    </w:p>
    <w:p>
      <w:pPr>
        <w:ind w:left="460" w:right="479" w:firstLine="426"/>
        <w:spacing w:after="0" w:line="283" w:lineRule="auto"/>
        <w:tabs>
          <w:tab w:leader="none" w:pos="1137" w:val="left"/>
        </w:tabs>
        <w:numPr>
          <w:ilvl w:val="1"/>
          <w:numId w:val="476"/>
        </w:numPr>
        <w:rPr>
          <w:rFonts w:ascii="Arial" w:cs="Arial" w:eastAsia="Arial" w:hAnsi="Arial"/>
          <w:sz w:val="16"/>
          <w:szCs w:val="16"/>
          <w:color w:val="auto"/>
        </w:rPr>
      </w:pPr>
      <w:r>
        <w:rPr>
          <w:rFonts w:ascii="Arial" w:cs="Arial" w:eastAsia="Arial" w:hAnsi="Arial"/>
          <w:sz w:val="16"/>
          <w:szCs w:val="16"/>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w:t>
      </w:r>
    </w:p>
    <w:p>
      <w:pPr>
        <w:spacing w:after="0" w:line="4" w:lineRule="exact"/>
        <w:rPr>
          <w:rFonts w:ascii="Arial" w:cs="Arial" w:eastAsia="Arial" w:hAnsi="Arial"/>
          <w:sz w:val="16"/>
          <w:szCs w:val="16"/>
          <w:color w:val="auto"/>
        </w:rPr>
      </w:pPr>
    </w:p>
    <w:p>
      <w:pPr>
        <w:ind w:left="460" w:right="659" w:hanging="6"/>
        <w:spacing w:after="0" w:line="260" w:lineRule="auto"/>
        <w:tabs>
          <w:tab w:leader="none" w:pos="675" w:val="left"/>
        </w:tabs>
        <w:numPr>
          <w:ilvl w:val="0"/>
          <w:numId w:val="477"/>
        </w:numPr>
        <w:rPr>
          <w:rFonts w:ascii="Arial" w:cs="Arial" w:eastAsia="Arial" w:hAnsi="Arial"/>
          <w:sz w:val="18"/>
          <w:szCs w:val="18"/>
          <w:color w:val="auto"/>
        </w:rPr>
      </w:pPr>
      <w:r>
        <w:rPr>
          <w:rFonts w:ascii="Arial" w:cs="Arial" w:eastAsia="Arial" w:hAnsi="Arial"/>
          <w:sz w:val="18"/>
          <w:szCs w:val="18"/>
          <w:color w:val="auto"/>
        </w:rPr>
        <w:t>authorized by the Board of Directors of the Corporation, or (ii) brought to enforce such Director’s rights to indemnification or advancement of Expenses under these By-laws.</w:t>
      </w:r>
    </w:p>
    <w:p>
      <w:pPr>
        <w:spacing w:after="0" w:line="117" w:lineRule="exact"/>
        <w:rPr>
          <w:rFonts w:ascii="Arial" w:cs="Arial" w:eastAsia="Arial" w:hAnsi="Arial"/>
          <w:sz w:val="18"/>
          <w:szCs w:val="18"/>
          <w:color w:val="auto"/>
        </w:rPr>
      </w:pPr>
    </w:p>
    <w:p>
      <w:pPr>
        <w:ind w:left="460" w:right="539" w:firstLine="426"/>
        <w:spacing w:after="0" w:line="269" w:lineRule="auto"/>
        <w:tabs>
          <w:tab w:leader="none" w:pos="1147" w:val="left"/>
        </w:tabs>
        <w:numPr>
          <w:ilvl w:val="1"/>
          <w:numId w:val="477"/>
        </w:numPr>
        <w:rPr>
          <w:rFonts w:ascii="Arial" w:cs="Arial" w:eastAsia="Arial" w:hAnsi="Arial"/>
          <w:sz w:val="17"/>
          <w:szCs w:val="17"/>
          <w:color w:val="auto"/>
        </w:rPr>
      </w:pPr>
      <w:r>
        <w:rPr>
          <w:rFonts w:ascii="Arial" w:cs="Arial" w:eastAsia="Arial" w:hAnsi="Arial"/>
          <w:sz w:val="17"/>
          <w:szCs w:val="17"/>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17" w:lineRule="exact"/>
        <w:rPr>
          <w:rFonts w:ascii="Arial" w:cs="Arial" w:eastAsia="Arial" w:hAnsi="Arial"/>
          <w:sz w:val="17"/>
          <w:szCs w:val="17"/>
          <w:color w:val="auto"/>
        </w:rPr>
      </w:pPr>
    </w:p>
    <w:p>
      <w:pPr>
        <w:ind w:left="460" w:right="499" w:firstLine="426"/>
        <w:spacing w:after="0" w:line="311" w:lineRule="auto"/>
        <w:tabs>
          <w:tab w:leader="none" w:pos="1137" w:val="left"/>
        </w:tabs>
        <w:numPr>
          <w:ilvl w:val="1"/>
          <w:numId w:val="477"/>
        </w:numPr>
        <w:rPr>
          <w:rFonts w:ascii="Arial" w:cs="Arial" w:eastAsia="Arial" w:hAnsi="Arial"/>
          <w:sz w:val="16"/>
          <w:szCs w:val="16"/>
          <w:color w:val="auto"/>
        </w:rPr>
      </w:pPr>
      <w:r>
        <w:rPr>
          <w:rFonts w:ascii="Arial" w:cs="Arial" w:eastAsia="Arial" w:hAnsi="Arial"/>
          <w:sz w:val="16"/>
          <w:szCs w:val="16"/>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68" w:lineRule="exact"/>
        <w:rPr>
          <w:sz w:val="20"/>
          <w:szCs w:val="20"/>
          <w:color w:val="auto"/>
        </w:rPr>
      </w:pPr>
    </w:p>
    <w:p>
      <w:pPr>
        <w:ind w:left="460" w:right="1319" w:firstLine="432"/>
        <w:spacing w:after="0" w:line="277" w:lineRule="auto"/>
        <w:rPr>
          <w:sz w:val="20"/>
          <w:szCs w:val="20"/>
          <w:color w:val="auto"/>
        </w:rPr>
      </w:pPr>
      <w:r>
        <w:rPr>
          <w:rFonts w:ascii="Arial" w:cs="Arial" w:eastAsia="Arial" w:hAnsi="Arial"/>
          <w:sz w:val="18"/>
          <w:szCs w:val="18"/>
          <w:color w:val="auto"/>
        </w:rPr>
        <w:t>SECTION 6. Advancement of Expenses to Officers and Non-Officer Employees Prior to Final Disposition.</w:t>
      </w:r>
    </w:p>
    <w:p>
      <w:pPr>
        <w:spacing w:after="0" w:line="103" w:lineRule="exact"/>
        <w:rPr>
          <w:sz w:val="20"/>
          <w:szCs w:val="20"/>
          <w:color w:val="auto"/>
        </w:rPr>
      </w:pPr>
    </w:p>
    <w:p>
      <w:pPr>
        <w:ind w:left="460" w:right="479" w:firstLine="426"/>
        <w:spacing w:after="0" w:line="289" w:lineRule="auto"/>
        <w:tabs>
          <w:tab w:leader="none" w:pos="1137" w:val="left"/>
        </w:tabs>
        <w:numPr>
          <w:ilvl w:val="0"/>
          <w:numId w:val="478"/>
        </w:numPr>
        <w:rPr>
          <w:rFonts w:ascii="Arial" w:cs="Arial" w:eastAsia="Arial" w:hAnsi="Arial"/>
          <w:sz w:val="16"/>
          <w:szCs w:val="16"/>
          <w:color w:val="auto"/>
        </w:rPr>
      </w:pPr>
      <w:r>
        <w:rPr>
          <w:rFonts w:ascii="Arial" w:cs="Arial" w:eastAsia="Arial" w:hAnsi="Arial"/>
          <w:sz w:val="16"/>
          <w:szCs w:val="16"/>
          <w:color w:val="auto"/>
        </w:rPr>
        <w:t>The Corporation may, at the discretion of the Board of Directors of the Corporation,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9" w:name="page450"/>
    <w:bookmarkEnd w:id="44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26"/>
        <w:spacing w:after="0" w:line="259" w:lineRule="auto"/>
        <w:tabs>
          <w:tab w:leader="none" w:pos="114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SECTION 7. Contractual Nature of Rights.</w:t>
      </w:r>
    </w:p>
    <w:p>
      <w:pPr>
        <w:spacing w:after="0" w:line="158" w:lineRule="exact"/>
        <w:rPr>
          <w:sz w:val="20"/>
          <w:szCs w:val="20"/>
          <w:color w:val="auto"/>
        </w:rPr>
      </w:pPr>
    </w:p>
    <w:p>
      <w:pPr>
        <w:ind w:left="460" w:right="519" w:firstLine="426"/>
        <w:spacing w:after="0" w:line="286" w:lineRule="auto"/>
        <w:tabs>
          <w:tab w:leader="none" w:pos="1137" w:val="left"/>
        </w:tabs>
        <w:numPr>
          <w:ilvl w:val="0"/>
          <w:numId w:val="480"/>
        </w:numPr>
        <w:rPr>
          <w:rFonts w:ascii="Arial" w:cs="Arial" w:eastAsia="Arial" w:hAnsi="Arial"/>
          <w:sz w:val="16"/>
          <w:szCs w:val="16"/>
          <w:color w:val="auto"/>
        </w:rPr>
      </w:pPr>
      <w:r>
        <w:rPr>
          <w:rFonts w:ascii="Arial" w:cs="Arial" w:eastAsia="Arial" w:hAnsi="Arial"/>
          <w:sz w:val="16"/>
          <w:szCs w:val="16"/>
          <w:color w:val="auto"/>
        </w:rPr>
        <w:t>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of Incorporation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distributes of such person.</w:t>
      </w:r>
    </w:p>
    <w:p>
      <w:pPr>
        <w:spacing w:after="0" w:line="89" w:lineRule="exact"/>
        <w:rPr>
          <w:rFonts w:ascii="Arial" w:cs="Arial" w:eastAsia="Arial" w:hAnsi="Arial"/>
          <w:sz w:val="16"/>
          <w:szCs w:val="16"/>
          <w:color w:val="auto"/>
        </w:rPr>
      </w:pPr>
    </w:p>
    <w:p>
      <w:pPr>
        <w:ind w:left="460" w:right="479" w:firstLine="426"/>
        <w:spacing w:after="0" w:line="269" w:lineRule="auto"/>
        <w:tabs>
          <w:tab w:leader="none" w:pos="1147" w:val="left"/>
        </w:tabs>
        <w:numPr>
          <w:ilvl w:val="0"/>
          <w:numId w:val="480"/>
        </w:numPr>
        <w:rPr>
          <w:rFonts w:ascii="Arial" w:cs="Arial" w:eastAsia="Arial" w:hAnsi="Arial"/>
          <w:sz w:val="17"/>
          <w:szCs w:val="17"/>
          <w:color w:val="auto"/>
        </w:rPr>
      </w:pPr>
      <w:r>
        <w:rPr>
          <w:rFonts w:ascii="Arial" w:cs="Arial" w:eastAsia="Arial" w:hAnsi="Arial"/>
          <w:sz w:val="17"/>
          <w:szCs w:val="17"/>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17" w:lineRule="exact"/>
        <w:rPr>
          <w:rFonts w:ascii="Arial" w:cs="Arial" w:eastAsia="Arial" w:hAnsi="Arial"/>
          <w:sz w:val="17"/>
          <w:szCs w:val="17"/>
          <w:color w:val="auto"/>
        </w:rPr>
      </w:pPr>
    </w:p>
    <w:p>
      <w:pPr>
        <w:ind w:left="460" w:right="579" w:firstLine="426"/>
        <w:spacing w:after="0" w:line="263" w:lineRule="auto"/>
        <w:tabs>
          <w:tab w:leader="none" w:pos="1137" w:val="left"/>
        </w:tabs>
        <w:numPr>
          <w:ilvl w:val="0"/>
          <w:numId w:val="480"/>
        </w:numPr>
        <w:rPr>
          <w:rFonts w:ascii="Arial" w:cs="Arial" w:eastAsia="Arial" w:hAnsi="Arial"/>
          <w:sz w:val="18"/>
          <w:szCs w:val="18"/>
          <w:color w:val="auto"/>
        </w:rPr>
      </w:pPr>
      <w:r>
        <w:rPr>
          <w:rFonts w:ascii="Arial" w:cs="Arial" w:eastAsia="Arial" w:hAnsi="Arial"/>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16" w:lineRule="exact"/>
        <w:rPr>
          <w:sz w:val="20"/>
          <w:szCs w:val="20"/>
          <w:color w:val="auto"/>
        </w:rPr>
      </w:pPr>
    </w:p>
    <w:p>
      <w:pPr>
        <w:ind w:left="460" w:right="659" w:firstLine="432"/>
        <w:spacing w:after="0" w:line="279"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Non-Exclusivity of Rights</w:t>
      </w:r>
      <w:r>
        <w:rPr>
          <w:rFonts w:ascii="Arial" w:cs="Arial" w:eastAsia="Arial" w:hAnsi="Arial"/>
          <w:sz w:val="17"/>
          <w:szCs w:val="17"/>
          <w:color w:val="auto"/>
        </w:rPr>
        <w:t>. The rights to indemnification and to advancement of Expenses set forth in this Article V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90"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109"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Other Indemnification</w:t>
      </w:r>
      <w:r>
        <w:rPr>
          <w:rFonts w:ascii="Arial" w:cs="Arial" w:eastAsia="Arial" w:hAnsi="Arial"/>
          <w:sz w:val="17"/>
          <w:szCs w:val="17"/>
          <w:color w:val="auto"/>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0" w:name="page451"/>
    <w:bookmarkEnd w:id="45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 Provisions</w:t>
      </w:r>
    </w:p>
    <w:p>
      <w:pPr>
        <w:spacing w:after="0" w:line="158" w:lineRule="exact"/>
        <w:rPr>
          <w:sz w:val="20"/>
          <w:szCs w:val="20"/>
          <w:color w:val="auto"/>
        </w:rPr>
      </w:pPr>
    </w:p>
    <w:p>
      <w:pPr>
        <w:ind w:left="460" w:right="1179" w:firstLine="432"/>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determined by the Board of Directors.</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Seal</w:t>
      </w:r>
      <w:r>
        <w:rPr>
          <w:rFonts w:ascii="Arial" w:cs="Arial" w:eastAsia="Arial" w:hAnsi="Arial"/>
          <w:sz w:val="16"/>
          <w:szCs w:val="16"/>
          <w:color w:val="auto"/>
        </w:rPr>
        <w:t>. The Board of Directors shall have power to adopt and alter the seal of the Corporation.</w:t>
      </w:r>
    </w:p>
    <w:p>
      <w:pPr>
        <w:spacing w:after="0" w:line="181"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Execution of Instruments</w:t>
      </w:r>
      <w:r>
        <w:rPr>
          <w:rFonts w:ascii="Arial" w:cs="Arial" w:eastAsia="Arial" w:hAnsi="Arial"/>
          <w:sz w:val="18"/>
          <w:szCs w:val="18"/>
          <w:color w:val="auto"/>
        </w:rPr>
        <w:t>.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or the executive committee of the Board may authorize.</w:t>
      </w:r>
    </w:p>
    <w:p>
      <w:pPr>
        <w:spacing w:after="0" w:line="120"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Voting of Securities</w:t>
      </w:r>
      <w:r>
        <w:rPr>
          <w:rFonts w:ascii="Arial" w:cs="Arial" w:eastAsia="Arial" w:hAnsi="Arial"/>
          <w:sz w:val="17"/>
          <w:szCs w:val="17"/>
          <w:color w:val="auto"/>
        </w:rPr>
        <w:t>. Unless the Board of Directors otherwise provides, the Chairman of the Board, if one is elected,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95"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Resident Agent</w:t>
      </w:r>
      <w:r>
        <w:rPr>
          <w:rFonts w:ascii="Arial" w:cs="Arial" w:eastAsia="Arial" w:hAnsi="Arial"/>
          <w:sz w:val="18"/>
          <w:szCs w:val="18"/>
          <w:color w:val="auto"/>
        </w:rPr>
        <w:t>. The Board of Directors may appoint a resident agent upon whom legal process may be served in any action or proceeding against the Corporation.</w:t>
      </w:r>
    </w:p>
    <w:p>
      <w:pPr>
        <w:spacing w:after="0" w:line="103"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Corporate Records</w:t>
      </w:r>
      <w:r>
        <w:rPr>
          <w:rFonts w:ascii="Arial" w:cs="Arial" w:eastAsia="Arial" w:hAnsi="Arial"/>
          <w:sz w:val="18"/>
          <w:szCs w:val="18"/>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25"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Certificate</w:t>
      </w:r>
      <w:r>
        <w:rPr>
          <w:rFonts w:ascii="Arial" w:cs="Arial" w:eastAsia="Arial" w:hAnsi="Arial"/>
          <w:sz w:val="18"/>
          <w:szCs w:val="18"/>
          <w:color w:val="auto"/>
        </w:rPr>
        <w:t>. All references in these By-laws to the Certificate shall be deemed to refer to the Amended and Restated Certificate of Incorporation of the Corporation, as amended and/or restated and in effect from time to time.</w:t>
      </w:r>
    </w:p>
    <w:p>
      <w:pPr>
        <w:spacing w:after="0" w:line="103"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Exclusive Jurisdiction of Delaware Courts or the United States Federal District Courts</w:t>
      </w:r>
      <w:r>
        <w:rPr>
          <w:rFonts w:ascii="Arial" w:cs="Arial" w:eastAsia="Arial" w:hAnsi="Arial"/>
          <w:sz w:val="17"/>
          <w:szCs w:val="17"/>
          <w:color w:val="auto"/>
        </w:rPr>
        <w:t>. Unless the Corporation consents in writing to the selection of an alternative forum, the Court of Chancery of the State of Delaware shall be the sole and exclusive forum for any state law claims for (i) any derivative action or proceeding brought on behalf of the Corporation, (ii) any action asserting a claim of, or a claim based on, a breach of a fiduciary duty owed by any current or former director, officer or other employee of the Corporation to the Corporation or the Corporation’s stockholders, (iii) any action asserting a claim arising pursuant to any provision of the DGCL or the Certificate or Bylaws (including the interpretation, validity or enforceability thereof), or (iv) any action asserting a claim governed by the internal affairs doctrine. Unless the Corporation consents in writing to the selection of an alternative forum, the federal district courts of the United States of America shall be the sole and exclusive forum for resolving any complaint asserting a cause of action arising under the Securities Act of 1933, as amended. Any person or entity purchasing or otherwise acquiring any interest in shares of capital stock of the Corporation shall be deemed to have notice of and consented to the provisions of this Section 8.</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SECTION 9. Amendment of By-laws.</w:t>
      </w:r>
    </w:p>
    <w:p>
      <w:pPr>
        <w:spacing w:after="0" w:line="158" w:lineRule="exact"/>
        <w:rPr>
          <w:sz w:val="20"/>
          <w:szCs w:val="20"/>
          <w:color w:val="auto"/>
        </w:rPr>
      </w:pPr>
    </w:p>
    <w:p>
      <w:pPr>
        <w:ind w:left="460" w:right="759" w:firstLine="426"/>
        <w:spacing w:after="0" w:line="342" w:lineRule="auto"/>
        <w:tabs>
          <w:tab w:leader="none" w:pos="1136" w:val="left"/>
        </w:tabs>
        <w:numPr>
          <w:ilvl w:val="0"/>
          <w:numId w:val="481"/>
        </w:numPr>
        <w:rPr>
          <w:rFonts w:ascii="Arial" w:cs="Arial" w:eastAsia="Arial" w:hAnsi="Arial"/>
          <w:sz w:val="16"/>
          <w:szCs w:val="16"/>
          <w:color w:val="auto"/>
        </w:rPr>
      </w:pPr>
      <w:r>
        <w:rPr>
          <w:rFonts w:ascii="Arial" w:cs="Arial" w:eastAsia="Arial" w:hAnsi="Arial"/>
          <w:sz w:val="16"/>
          <w:szCs w:val="16"/>
          <w:u w:val="single" w:color="auto"/>
          <w:color w:val="auto"/>
        </w:rPr>
        <w:t>Amendment by Directors</w:t>
      </w:r>
      <w:r>
        <w:rPr>
          <w:rFonts w:ascii="Arial" w:cs="Arial" w:eastAsia="Arial" w:hAnsi="Arial"/>
          <w:sz w:val="16"/>
          <w:szCs w:val="16"/>
          <w:color w:val="auto"/>
        </w:rPr>
        <w:t>. Except as provided otherwise by law, these By-laws may be amended or repealed by the Board of Directors by the affirmative vote of a majority of the directors then in office.</w:t>
      </w:r>
    </w:p>
    <w:p>
      <w:pPr>
        <w:spacing w:after="0" w:line="42" w:lineRule="exact"/>
        <w:rPr>
          <w:rFonts w:ascii="Arial" w:cs="Arial" w:eastAsia="Arial" w:hAnsi="Arial"/>
          <w:sz w:val="16"/>
          <w:szCs w:val="16"/>
          <w:color w:val="auto"/>
        </w:rPr>
      </w:pPr>
    </w:p>
    <w:p>
      <w:pPr>
        <w:ind w:left="460" w:right="559" w:firstLine="426"/>
        <w:spacing w:after="0" w:line="290" w:lineRule="auto"/>
        <w:tabs>
          <w:tab w:leader="none" w:pos="1147" w:val="left"/>
        </w:tabs>
        <w:numPr>
          <w:ilvl w:val="0"/>
          <w:numId w:val="481"/>
        </w:numPr>
        <w:rPr>
          <w:rFonts w:ascii="Arial" w:cs="Arial" w:eastAsia="Arial" w:hAnsi="Arial"/>
          <w:sz w:val="16"/>
          <w:szCs w:val="16"/>
          <w:color w:val="auto"/>
        </w:rPr>
      </w:pPr>
      <w:r>
        <w:rPr>
          <w:rFonts w:ascii="Arial" w:cs="Arial" w:eastAsia="Arial" w:hAnsi="Arial"/>
          <w:sz w:val="16"/>
          <w:szCs w:val="16"/>
          <w:u w:val="single" w:color="auto"/>
          <w:color w:val="auto"/>
        </w:rPr>
        <w:t>Amendment by Stockholders</w:t>
      </w:r>
      <w:r>
        <w:rPr>
          <w:rFonts w:ascii="Arial" w:cs="Arial" w:eastAsia="Arial" w:hAnsi="Arial"/>
          <w:sz w:val="16"/>
          <w:szCs w:val="16"/>
          <w:color w:val="auto"/>
        </w:rPr>
        <w:t>. These By-laws may be amended or repealed at any Annual Meeting, or special meeting of stockholders called for such purpose in accordance with these By-Laws, by the affirmative vote of at least seventy-five percent (75%) of the outstanding shares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1" w:name="page452"/>
    <w:bookmarkEnd w:id="45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79" w:firstLine="432"/>
        <w:spacing w:after="0" w:line="25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Notices</w:t>
      </w:r>
      <w:r>
        <w:rPr>
          <w:rFonts w:ascii="Arial" w:cs="Arial" w:eastAsia="Arial" w:hAnsi="Arial"/>
          <w:sz w:val="18"/>
          <w:szCs w:val="18"/>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20"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Waivers</w:t>
      </w:r>
      <w:r>
        <w:rPr>
          <w:rFonts w:ascii="Arial" w:cs="Arial" w:eastAsia="Arial" w:hAnsi="Arial"/>
          <w:sz w:val="17"/>
          <w:szCs w:val="17"/>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Adopted by the Board on _____________, 2021 and approved by the stockholders on _________, 2021.</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2" w:name="page453"/>
    <w:bookmarkEnd w:id="45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Exhibit 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AND STOCKHOLDER RIGHTS AGREEMENT</w:t>
      </w:r>
    </w:p>
    <w:p>
      <w:pPr>
        <w:spacing w:after="0" w:line="130" w:lineRule="exact"/>
        <w:rPr>
          <w:sz w:val="20"/>
          <w:szCs w:val="20"/>
          <w:color w:val="auto"/>
        </w:rPr>
      </w:pPr>
    </w:p>
    <w:p>
      <w:pPr>
        <w:ind w:left="460" w:right="839" w:firstLine="432"/>
        <w:spacing w:after="0" w:line="291" w:lineRule="auto"/>
        <w:rPr>
          <w:sz w:val="20"/>
          <w:szCs w:val="20"/>
          <w:color w:val="auto"/>
        </w:rPr>
      </w:pPr>
      <w:r>
        <w:rPr>
          <w:rFonts w:ascii="Arial" w:cs="Arial" w:eastAsia="Arial" w:hAnsi="Arial"/>
          <w:sz w:val="16"/>
          <w:szCs w:val="16"/>
          <w:color w:val="auto"/>
        </w:rPr>
        <w:t>THIS AMENDED AND RESTATED REGISTRATION AND STOCKHOLDER RIGHTS AGREEMENT (this “</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is entered into as of the __ day of ______________, 2021, is made and</w:t>
      </w:r>
    </w:p>
    <w:p>
      <w:pPr>
        <w:ind w:left="460" w:right="559"/>
        <w:spacing w:after="0" w:line="264" w:lineRule="auto"/>
        <w:rPr>
          <w:sz w:val="20"/>
          <w:szCs w:val="20"/>
          <w:color w:val="auto"/>
        </w:rPr>
      </w:pPr>
      <w:r>
        <w:rPr>
          <w:rFonts w:ascii="Arial" w:cs="Arial" w:eastAsia="Arial" w:hAnsi="Arial"/>
          <w:sz w:val="17"/>
          <w:szCs w:val="17"/>
          <w:color w:val="auto"/>
        </w:rPr>
        <w:t>entered into by and among. TANGO THERAPEUTICS, INC. a Delaware corporation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and certain former stockholders of [Tango Therapeutics, Inc.] (“</w:t>
      </w:r>
      <w:r>
        <w:rPr>
          <w:rFonts w:ascii="Arial" w:cs="Arial" w:eastAsia="Arial" w:hAnsi="Arial"/>
          <w:sz w:val="17"/>
          <w:szCs w:val="17"/>
          <w:b w:val="1"/>
          <w:bCs w:val="1"/>
          <w:u w:val="single" w:color="auto"/>
          <w:color w:val="auto"/>
        </w:rPr>
        <w:t>Old Tango</w:t>
      </w:r>
      <w:r>
        <w:rPr>
          <w:rFonts w:ascii="Arial" w:cs="Arial" w:eastAsia="Arial" w:hAnsi="Arial"/>
          <w:sz w:val="17"/>
          <w:szCs w:val="17"/>
          <w:color w:val="auto"/>
        </w:rPr>
        <w:t>”), set forth on Schedule 1</w:t>
      </w:r>
      <w:r>
        <w:rPr>
          <w:rFonts w:ascii="Arial" w:cs="Arial" w:eastAsia="Arial" w:hAnsi="Arial"/>
          <w:sz w:val="19"/>
          <w:szCs w:val="19"/>
          <w:color w:val="auto"/>
          <w:vertAlign w:val="superscript"/>
        </w:rPr>
        <w:t>1</w:t>
      </w:r>
      <w:r>
        <w:rPr>
          <w:rFonts w:ascii="Arial" w:cs="Arial" w:eastAsia="Arial" w:hAnsi="Arial"/>
          <w:sz w:val="17"/>
          <w:szCs w:val="17"/>
          <w:color w:val="auto"/>
        </w:rPr>
        <w:t xml:space="preserve"> hereto under the heading “Holders” (such stockholders, the “</w:t>
      </w:r>
      <w:r>
        <w:rPr>
          <w:rFonts w:ascii="Arial" w:cs="Arial" w:eastAsia="Arial" w:hAnsi="Arial"/>
          <w:sz w:val="17"/>
          <w:szCs w:val="17"/>
          <w:b w:val="1"/>
          <w:bCs w:val="1"/>
          <w:u w:val="single" w:color="auto"/>
          <w:color w:val="auto"/>
        </w:rPr>
        <w:t>Tango Investors</w:t>
      </w:r>
      <w:r>
        <w:rPr>
          <w:rFonts w:ascii="Arial" w:cs="Arial" w:eastAsia="Arial" w:hAnsi="Arial"/>
          <w:sz w:val="17"/>
          <w:szCs w:val="17"/>
          <w:color w:val="auto"/>
        </w:rPr>
        <w:t>”), and the undersigned parties set forth on Schedule I hereto under the heading “Investors” (each, an “</w:t>
      </w:r>
      <w:r>
        <w:rPr>
          <w:rFonts w:ascii="Arial" w:cs="Arial" w:eastAsia="Arial" w:hAnsi="Arial"/>
          <w:sz w:val="17"/>
          <w:szCs w:val="17"/>
          <w:b w:val="1"/>
          <w:bCs w:val="1"/>
          <w:u w:val="single" w:color="auto"/>
          <w:color w:val="auto"/>
        </w:rPr>
        <w:t>Investor</w:t>
      </w:r>
      <w:r>
        <w:rPr>
          <w:rFonts w:ascii="Arial" w:cs="Arial" w:eastAsia="Arial" w:hAnsi="Arial"/>
          <w:sz w:val="17"/>
          <w:szCs w:val="17"/>
          <w:color w:val="auto"/>
        </w:rPr>
        <w:t>” and collectively, the “</w:t>
      </w:r>
      <w:r>
        <w:rPr>
          <w:rFonts w:ascii="Arial" w:cs="Arial" w:eastAsia="Arial" w:hAnsi="Arial"/>
          <w:sz w:val="17"/>
          <w:szCs w:val="17"/>
          <w:b w:val="1"/>
          <w:bCs w:val="1"/>
          <w:u w:val="single" w:color="auto"/>
          <w:color w:val="auto"/>
        </w:rPr>
        <w:t>Investors</w:t>
      </w:r>
      <w:r>
        <w:rPr>
          <w:rFonts w:ascii="Arial" w:cs="Arial" w:eastAsia="Arial" w:hAnsi="Arial"/>
          <w:sz w:val="17"/>
          <w:szCs w:val="17"/>
          <w:color w:val="auto"/>
        </w:rPr>
        <w:t>”). The Tango Investors, the Investors and any other person or entity who becomes a party to this Agreement, are referred to herein as the “</w:t>
      </w:r>
      <w:r>
        <w:rPr>
          <w:rFonts w:ascii="Arial" w:cs="Arial" w:eastAsia="Arial" w:hAnsi="Arial"/>
          <w:sz w:val="17"/>
          <w:szCs w:val="17"/>
          <w:b w:val="1"/>
          <w:bCs w:val="1"/>
          <w:u w:val="single" w:color="auto"/>
          <w:color w:val="auto"/>
        </w:rPr>
        <w:t>Holders</w:t>
      </w:r>
      <w:r>
        <w:rPr>
          <w:rFonts w:ascii="Arial" w:cs="Arial" w:eastAsia="Arial" w:hAnsi="Arial"/>
          <w:sz w:val="17"/>
          <w:szCs w:val="17"/>
          <w:color w:val="auto"/>
        </w:rPr>
        <w:t>,” or each a “</w:t>
      </w:r>
      <w:r>
        <w:rPr>
          <w:rFonts w:ascii="Arial" w:cs="Arial" w:eastAsia="Arial" w:hAnsi="Arial"/>
          <w:sz w:val="17"/>
          <w:szCs w:val="17"/>
          <w:b w:val="1"/>
          <w:bCs w:val="1"/>
          <w:u w:val="single" w:color="auto"/>
          <w:color w:val="auto"/>
        </w:rPr>
        <w:t>Holder</w:t>
      </w:r>
      <w:r>
        <w:rPr>
          <w:rFonts w:ascii="Arial" w:cs="Arial" w:eastAsia="Arial" w:hAnsi="Arial"/>
          <w:sz w:val="17"/>
          <w:szCs w:val="17"/>
          <w:color w:val="auto"/>
        </w:rPr>
        <w:t>.”</w:t>
      </w:r>
    </w:p>
    <w:p>
      <w:pPr>
        <w:spacing w:after="0" w:line="115"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WHEREAS, the Company and the Investors are party to that certain Registration and Stockholder Rights Agreement, dated as of September 2, 2020 (the “</w:t>
      </w:r>
      <w:r>
        <w:rPr>
          <w:rFonts w:ascii="Arial" w:cs="Arial" w:eastAsia="Arial" w:hAnsi="Arial"/>
          <w:sz w:val="18"/>
          <w:szCs w:val="18"/>
          <w:b w:val="1"/>
          <w:bCs w:val="1"/>
          <w:u w:val="single" w:color="auto"/>
          <w:color w:val="auto"/>
        </w:rPr>
        <w:t>Original RRA</w:t>
      </w:r>
      <w:r>
        <w:rPr>
          <w:rFonts w:ascii="Arial" w:cs="Arial" w:eastAsia="Arial" w:hAnsi="Arial"/>
          <w:sz w:val="18"/>
          <w:szCs w:val="18"/>
          <w:color w:val="auto"/>
        </w:rPr>
        <w:t>”);</w:t>
      </w:r>
    </w:p>
    <w:p>
      <w:pPr>
        <w:spacing w:after="0" w:line="99" w:lineRule="exact"/>
        <w:rPr>
          <w:sz w:val="20"/>
          <w:szCs w:val="20"/>
          <w:color w:val="auto"/>
        </w:rPr>
      </w:pPr>
    </w:p>
    <w:p>
      <w:pPr>
        <w:ind w:left="460" w:right="559" w:firstLine="432"/>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has entered into that certain Agreement and Plan of Merger, dated as of April</w:t>
      </w:r>
      <w:r>
        <w:rPr>
          <w:rFonts w:ascii="Arial" w:cs="Arial" w:eastAsia="Arial" w:hAnsi="Arial"/>
          <w:sz w:val="17"/>
          <w:szCs w:val="17"/>
          <w:b w:val="1"/>
          <w:bCs w:val="1"/>
          <w:color w:val="auto"/>
        </w:rPr>
        <w:t xml:space="preserve"> </w:t>
      </w:r>
      <w:r>
        <w:rPr>
          <w:rFonts w:ascii="Arial" w:cs="Arial" w:eastAsia="Arial" w:hAnsi="Arial"/>
          <w:sz w:val="17"/>
          <w:szCs w:val="17"/>
          <w:color w:val="auto"/>
        </w:rPr>
        <w:t>[•], 2021 (as it may be amended, supplemented or otherwise modified from time to time, the “</w:t>
      </w:r>
      <w:r>
        <w:rPr>
          <w:rFonts w:ascii="Arial" w:cs="Arial" w:eastAsia="Arial" w:hAnsi="Arial"/>
          <w:sz w:val="17"/>
          <w:szCs w:val="17"/>
          <w:b w:val="1"/>
          <w:bCs w:val="1"/>
          <w:u w:val="single" w:color="auto"/>
          <w:color w:val="auto"/>
        </w:rPr>
        <w:t>Merger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by and among the Company, BCTG Merger Sub Inc., a Delaware corporation and a direct,</w:t>
      </w:r>
      <w:r>
        <w:rPr>
          <w:rFonts w:ascii="Arial" w:cs="Arial" w:eastAsia="Arial" w:hAnsi="Arial"/>
          <w:sz w:val="17"/>
          <w:szCs w:val="17"/>
          <w:b w:val="1"/>
          <w:bCs w:val="1"/>
          <w:color w:val="auto"/>
        </w:rPr>
        <w:t xml:space="preserve"> </w:t>
      </w:r>
      <w:r>
        <w:rPr>
          <w:rFonts w:ascii="Arial" w:cs="Arial" w:eastAsia="Arial" w:hAnsi="Arial"/>
          <w:sz w:val="17"/>
          <w:szCs w:val="17"/>
          <w:color w:val="auto"/>
        </w:rPr>
        <w:t>wholly owned subsidiary of the Company (“</w:t>
      </w:r>
      <w:r>
        <w:rPr>
          <w:rFonts w:ascii="Arial" w:cs="Arial" w:eastAsia="Arial" w:hAnsi="Arial"/>
          <w:sz w:val="17"/>
          <w:szCs w:val="17"/>
          <w:b w:val="1"/>
          <w:bCs w:val="1"/>
          <w:u w:val="single" w:color="auto"/>
          <w:color w:val="auto"/>
        </w:rPr>
        <w:t>Merger Sub</w:t>
      </w:r>
      <w:r>
        <w:rPr>
          <w:rFonts w:ascii="Arial" w:cs="Arial" w:eastAsia="Arial" w:hAnsi="Arial"/>
          <w:sz w:val="17"/>
          <w:szCs w:val="17"/>
          <w:color w:val="auto"/>
        </w:rPr>
        <w:t>”), and Old Tango, pursuant to which Merger Sub merged with and into Old Tango (the “</w:t>
      </w:r>
      <w:r>
        <w:rPr>
          <w:rFonts w:ascii="Arial" w:cs="Arial" w:eastAsia="Arial" w:hAnsi="Arial"/>
          <w:sz w:val="17"/>
          <w:szCs w:val="17"/>
          <w:b w:val="1"/>
          <w:bCs w:val="1"/>
          <w:u w:val="single" w:color="auto"/>
          <w:color w:val="auto"/>
        </w:rPr>
        <w:t>Merger</w:t>
      </w:r>
      <w:r>
        <w:rPr>
          <w:rFonts w:ascii="Arial" w:cs="Arial" w:eastAsia="Arial" w:hAnsi="Arial"/>
          <w:sz w:val="17"/>
          <w:szCs w:val="17"/>
          <w:color w:val="auto"/>
        </w:rPr>
        <w:t>”), with Old Tango continuing as the surviving corporation and becoming a direct, wholly owned subsidiary of the Company;</w:t>
      </w:r>
    </w:p>
    <w:p>
      <w:pPr>
        <w:spacing w:after="0" w:line="92" w:lineRule="exact"/>
        <w:rPr>
          <w:sz w:val="20"/>
          <w:szCs w:val="20"/>
          <w:color w:val="auto"/>
        </w:rPr>
      </w:pPr>
    </w:p>
    <w:p>
      <w:pPr>
        <w:ind w:left="460" w:right="619" w:firstLine="432"/>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the date hereof, pursuant to the Merger Agreement, the Holders received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(as defined below) (the “</w:t>
      </w:r>
      <w:r>
        <w:rPr>
          <w:rFonts w:ascii="Arial" w:cs="Arial" w:eastAsia="Arial" w:hAnsi="Arial"/>
          <w:sz w:val="18"/>
          <w:szCs w:val="18"/>
          <w:b w:val="1"/>
          <w:bCs w:val="1"/>
          <w:u w:val="single" w:color="auto"/>
          <w:color w:val="auto"/>
        </w:rPr>
        <w:t>Merger Shares</w:t>
      </w:r>
      <w:r>
        <w:rPr>
          <w:rFonts w:ascii="Arial" w:cs="Arial" w:eastAsia="Arial" w:hAnsi="Arial"/>
          <w:sz w:val="18"/>
          <w:szCs w:val="18"/>
          <w:color w:val="auto"/>
        </w:rPr>
        <w:t>”) or options to acquire shares of Common Stock (the “</w:t>
      </w:r>
      <w:r>
        <w:rPr>
          <w:rFonts w:ascii="Arial" w:cs="Arial" w:eastAsia="Arial" w:hAnsi="Arial"/>
          <w:sz w:val="18"/>
          <w:szCs w:val="18"/>
          <w:b w:val="1"/>
          <w:bCs w:val="1"/>
          <w:u w:val="single" w:color="auto"/>
          <w:color w:val="auto"/>
        </w:rPr>
        <w:t>Merger Options</w:t>
      </w:r>
      <w:r>
        <w:rPr>
          <w:rFonts w:ascii="Arial" w:cs="Arial" w:eastAsia="Arial" w:hAnsi="Arial"/>
          <w:sz w:val="18"/>
          <w:szCs w:val="18"/>
          <w:color w:val="auto"/>
        </w:rPr>
        <w:t>”);</w:t>
      </w:r>
    </w:p>
    <w:p>
      <w:pPr>
        <w:spacing w:after="0" w:line="108" w:lineRule="exact"/>
        <w:rPr>
          <w:sz w:val="20"/>
          <w:szCs w:val="20"/>
          <w:color w:val="auto"/>
        </w:rPr>
      </w:pPr>
    </w:p>
    <w:p>
      <w:pPr>
        <w:ind w:left="460" w:right="619" w:firstLine="432"/>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the date hereof, certain investors (such other investors, collectively, the “</w:t>
      </w:r>
      <w:r>
        <w:rPr>
          <w:rFonts w:ascii="Arial" w:cs="Arial" w:eastAsia="Arial" w:hAnsi="Arial"/>
          <w:sz w:val="18"/>
          <w:szCs w:val="18"/>
          <w:b w:val="1"/>
          <w:bCs w:val="1"/>
          <w:u w:val="single" w:color="auto"/>
          <w:color w:val="auto"/>
        </w:rPr>
        <w:t>Third-Party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Investor Stockholders</w:t>
      </w:r>
      <w:r>
        <w:rPr>
          <w:rFonts w:ascii="Arial" w:cs="Arial" w:eastAsia="Arial" w:hAnsi="Arial"/>
          <w:sz w:val="18"/>
          <w:szCs w:val="18"/>
          <w:color w:val="auto"/>
        </w:rPr>
        <w:t>”) purchased an aggregate of [•] shares of Common Stock (the “</w:t>
      </w:r>
      <w:r>
        <w:rPr>
          <w:rFonts w:ascii="Arial" w:cs="Arial" w:eastAsia="Arial" w:hAnsi="Arial"/>
          <w:sz w:val="18"/>
          <w:szCs w:val="18"/>
          <w:b w:val="1"/>
          <w:bCs w:val="1"/>
          <w:u w:val="single" w:color="auto"/>
          <w:color w:val="auto"/>
        </w:rPr>
        <w:t>Investor Shares</w:t>
      </w:r>
      <w:r>
        <w:rPr>
          <w:rFonts w:ascii="Arial" w:cs="Arial" w:eastAsia="Arial" w:hAnsi="Arial"/>
          <w:sz w:val="18"/>
          <w:szCs w:val="18"/>
          <w:color w:val="auto"/>
        </w:rPr>
        <w:t>”) in a</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exempt from registration under the Securities Act pursuant to the respective Subscription Agreements, each dated as of April [•], 2021, entered into by and between the Company and each such Third-Party Investor Stockholder (each, a “</w:t>
      </w:r>
      <w:r>
        <w:rPr>
          <w:rFonts w:ascii="Arial" w:cs="Arial" w:eastAsia="Arial" w:hAnsi="Arial"/>
          <w:sz w:val="18"/>
          <w:szCs w:val="18"/>
          <w:b w:val="1"/>
          <w:bCs w:val="1"/>
          <w:u w:val="single" w:color="auto"/>
          <w:color w:val="auto"/>
        </w:rPr>
        <w:t>Subscription Agreement</w:t>
      </w:r>
      <w:r>
        <w:rPr>
          <w:rFonts w:ascii="Arial" w:cs="Arial" w:eastAsia="Arial" w:hAnsi="Arial"/>
          <w:sz w:val="18"/>
          <w:szCs w:val="18"/>
          <w:color w:val="auto"/>
        </w:rPr>
        <w:t>” and, collectively, the “</w:t>
      </w:r>
      <w:r>
        <w:rPr>
          <w:rFonts w:ascii="Arial" w:cs="Arial" w:eastAsia="Arial" w:hAnsi="Arial"/>
          <w:sz w:val="18"/>
          <w:szCs w:val="18"/>
          <w:b w:val="1"/>
          <w:bCs w:val="1"/>
          <w:u w:val="single" w:color="auto"/>
          <w:color w:val="auto"/>
        </w:rPr>
        <w:t>Subscription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Agreements</w:t>
      </w:r>
      <w:r>
        <w:rPr>
          <w:rFonts w:ascii="Arial" w:cs="Arial" w:eastAsia="Arial" w:hAnsi="Arial"/>
          <w:sz w:val="18"/>
          <w:szCs w:val="18"/>
          <w:color w:val="auto"/>
        </w:rPr>
        <w:t>”);</w:t>
      </w:r>
    </w:p>
    <w:p>
      <w:pPr>
        <w:spacing w:after="0" w:line="120" w:lineRule="exact"/>
        <w:rPr>
          <w:sz w:val="20"/>
          <w:szCs w:val="20"/>
          <w:color w:val="auto"/>
        </w:rPr>
      </w:pPr>
    </w:p>
    <w:p>
      <w:pPr>
        <w:ind w:left="460" w:right="679" w:firstLine="432"/>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7.8</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RRA, the provisions, covenants and conditions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therein may be amended or modified upon the written consent of the holders of a majority of the Registrable Securities (the “Required Investors; and</w:t>
      </w:r>
    </w:p>
    <w:p>
      <w:pPr>
        <w:spacing w:after="0" w:line="95" w:lineRule="exact"/>
        <w:rPr>
          <w:sz w:val="20"/>
          <w:szCs w:val="20"/>
          <w:color w:val="auto"/>
        </w:rPr>
      </w:pPr>
    </w:p>
    <w:p>
      <w:pPr>
        <w:ind w:left="460" w:right="499" w:firstLine="432"/>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Investors desire to amend and restate the Original RRA in its entirety</w:t>
      </w:r>
      <w:r>
        <w:rPr>
          <w:rFonts w:ascii="Arial" w:cs="Arial" w:eastAsia="Arial" w:hAnsi="Arial"/>
          <w:sz w:val="18"/>
          <w:szCs w:val="18"/>
          <w:b w:val="1"/>
          <w:bCs w:val="1"/>
          <w:color w:val="auto"/>
        </w:rPr>
        <w:t xml:space="preserve"> </w:t>
      </w:r>
      <w:r>
        <w:rPr>
          <w:rFonts w:ascii="Arial" w:cs="Arial" w:eastAsia="Arial" w:hAnsi="Arial"/>
          <w:sz w:val="18"/>
          <w:szCs w:val="18"/>
          <w:color w:val="auto"/>
        </w:rPr>
        <w:t>and enter into this Agreement, pursuant to which the Company shall grant the Holders certain registration rights with respect to certain securities of the Company, as set forth in this Agreement, and terminate the Original RRA.</w:t>
      </w:r>
    </w:p>
    <w:p>
      <w:pPr>
        <w:spacing w:after="0" w:line="112" w:lineRule="exact"/>
        <w:rPr>
          <w:sz w:val="20"/>
          <w:szCs w:val="20"/>
          <w:color w:val="auto"/>
        </w:rPr>
      </w:pPr>
    </w:p>
    <w:p>
      <w:pPr>
        <w:jc w:val="both"/>
        <w:ind w:left="460" w:right="899" w:firstLine="432"/>
        <w:spacing w:after="0" w:line="314"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representations, covenants and agreements contained</w:t>
      </w:r>
      <w:r>
        <w:rPr>
          <w:rFonts w:ascii="Arial" w:cs="Arial" w:eastAsia="Arial" w:hAnsi="Arial"/>
          <w:sz w:val="16"/>
          <w:szCs w:val="16"/>
          <w:b w:val="1"/>
          <w:bCs w:val="1"/>
          <w:color w:val="auto"/>
        </w:rPr>
        <w:t xml:space="preserve"> </w:t>
      </w:r>
      <w:r>
        <w:rPr>
          <w:rFonts w:ascii="Arial" w:cs="Arial" w:eastAsia="Arial" w:hAnsi="Arial"/>
          <w:sz w:val="16"/>
          <w:szCs w:val="16"/>
          <w:color w:val="auto"/>
        </w:rPr>
        <w:t>herein, and certain other good and valuable consideration, the receipt and sufficiency of which are hereby acknowledged, the parties hereto, intending to be legally bound, hereby agree as follows:</w:t>
      </w:r>
    </w:p>
    <w:p>
      <w:pPr>
        <w:spacing w:after="0" w:line="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capitalized terms used herein have the following meanings:</w:t>
      </w:r>
    </w:p>
    <w:p>
      <w:pPr>
        <w:spacing w:after="0" w:line="140" w:lineRule="exact"/>
        <w:rPr>
          <w:sz w:val="20"/>
          <w:szCs w:val="20"/>
          <w:color w:val="auto"/>
        </w:rPr>
      </w:pPr>
    </w:p>
    <w:p>
      <w:pPr>
        <w:ind w:left="460" w:right="71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Agreement, as amended, restated, supplemented, or otherwise modified from time to time.</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Block Trade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2.3.1</w:t>
      </w:r>
      <w:r>
        <w:rPr>
          <w:rFonts w:ascii="Arial" w:cs="Arial" w:eastAsia="Arial" w:hAnsi="Arial"/>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Company.</w:t>
      </w:r>
    </w:p>
    <w:p>
      <w:pPr>
        <w:spacing w:after="0" w:line="144" w:lineRule="exact"/>
        <w:rPr>
          <w:sz w:val="20"/>
          <w:szCs w:val="20"/>
          <w:color w:val="auto"/>
        </w:rPr>
      </w:pPr>
    </w:p>
    <w:p>
      <w:pPr>
        <w:ind w:left="460" w:right="103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means the Securities and Exchange Commission, or any other Federal agency then administering the Securities Act or the Exchange Act.</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common stock, par value $0.0001 per share, of the Company.</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9" w:lineRule="exact"/>
        <w:rPr>
          <w:sz w:val="20"/>
          <w:szCs w:val="20"/>
          <w:color w:val="auto"/>
        </w:rPr>
      </w:pPr>
    </w:p>
    <w:p>
      <w:pPr>
        <w:ind w:left="680" w:hanging="226"/>
        <w:spacing w:after="0"/>
        <w:tabs>
          <w:tab w:leader="none" w:pos="680" w:val="left"/>
        </w:tabs>
        <w:numPr>
          <w:ilvl w:val="0"/>
          <w:numId w:val="482"/>
        </w:numPr>
        <w:rPr>
          <w:rFonts w:ascii="Arial" w:cs="Arial" w:eastAsia="Arial" w:hAnsi="Arial"/>
          <w:sz w:val="17"/>
          <w:szCs w:val="17"/>
          <w:color w:val="auto"/>
          <w:vertAlign w:val="superscript"/>
        </w:rPr>
      </w:pPr>
      <w:r>
        <w:rPr>
          <w:rFonts w:ascii="Arial" w:cs="Arial" w:eastAsia="Arial" w:hAnsi="Arial"/>
          <w:sz w:val="14"/>
          <w:szCs w:val="14"/>
          <w:b w:val="1"/>
          <w:bCs w:val="1"/>
          <w:color w:val="auto"/>
        </w:rPr>
        <w:t xml:space="preserve">Note to Draft: </w:t>
      </w:r>
      <w:r>
        <w:rPr>
          <w:rFonts w:ascii="Arial" w:cs="Arial" w:eastAsia="Arial" w:hAnsi="Arial"/>
          <w:sz w:val="14"/>
          <w:szCs w:val="14"/>
          <w:color w:val="auto"/>
        </w:rPr>
        <w:t>To consist of Target stockholders who are directors, officers or affiliates who will need registration rights.</w:t>
      </w:r>
    </w:p>
    <w:p>
      <w:pPr>
        <w:sectPr>
          <w:pgSz w:w="11900" w:h="16838" w:orient="portrait"/>
          <w:cols w:equalWidth="0" w:num="1">
            <w:col w:w="9019"/>
          </w:cols>
          <w:pgMar w:left="1440" w:top="274" w:right="1440"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Annex A-97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22225</wp:posOffset>
            </wp:positionV>
            <wp:extent cx="51435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53" w:name="page454"/>
    <w:bookmarkEnd w:id="45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is defined in the preamble to this Agreement.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 Registration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Demanding Holder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EDGAR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158" w:lineRule="exact"/>
        <w:rPr>
          <w:sz w:val="20"/>
          <w:szCs w:val="20"/>
          <w:color w:val="auto"/>
        </w:rPr>
      </w:pPr>
    </w:p>
    <w:p>
      <w:pPr>
        <w:ind w:left="460" w:right="639" w:firstLine="432"/>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 means the Securities Exchange Act of 1934, as amended, and the rules and regulations of the Commission promulgated thereunder, all as the same shall be in effect at the time.</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Form S-1 Shelf</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Form S-3 Shelf</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Holder Information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Holders</w:t>
      </w:r>
      <w:r>
        <w:rPr>
          <w:rFonts w:ascii="Arial" w:cs="Arial" w:eastAsia="Arial" w:hAnsi="Arial"/>
          <w:sz w:val="18"/>
          <w:szCs w:val="18"/>
          <w:color w:val="auto"/>
        </w:rPr>
        <w:t>” is defined in the preamble to this Agreement.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Indemnifying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58" w:lineRule="exact"/>
        <w:rPr>
          <w:sz w:val="20"/>
          <w:szCs w:val="20"/>
          <w:color w:val="auto"/>
        </w:rPr>
      </w:pPr>
    </w:p>
    <w:p>
      <w:pPr>
        <w:ind w:left="460" w:right="85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Public Offering</w:t>
      </w:r>
      <w:r>
        <w:rPr>
          <w:rFonts w:ascii="Arial" w:cs="Arial" w:eastAsia="Arial" w:hAnsi="Arial"/>
          <w:sz w:val="18"/>
          <w:szCs w:val="18"/>
          <w:color w:val="auto"/>
        </w:rPr>
        <w:t>” means the initial public offering of the Common Stock, which occurred on September 8, 2020.</w:t>
      </w:r>
    </w:p>
    <w:p>
      <w:pPr>
        <w:spacing w:after="0" w:line="81" w:lineRule="exact"/>
        <w:rPr>
          <w:sz w:val="20"/>
          <w:szCs w:val="20"/>
          <w:color w:val="auto"/>
        </w:rPr>
      </w:pPr>
    </w:p>
    <w:p>
      <w:pPr>
        <w:ind w:left="460" w:right="55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Shares</w:t>
      </w:r>
      <w:r>
        <w:rPr>
          <w:rFonts w:ascii="Arial" w:cs="Arial" w:eastAsia="Arial" w:hAnsi="Arial"/>
          <w:sz w:val="18"/>
          <w:szCs w:val="18"/>
          <w:color w:val="auto"/>
        </w:rPr>
        <w:t>” means all of the outstanding shares of Common Stock issued prior to the consummation of the Initial Public Offering.</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 is defined in the preamble to this Agreement.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 Indemnified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Joinder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Number of Securities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2.2.2</w:t>
      </w:r>
      <w:r>
        <w:rPr>
          <w:rFonts w:ascii="Arial" w:cs="Arial" w:eastAsia="Arial" w:hAnsi="Arial"/>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Merger Sub</w:t>
      </w:r>
      <w:r>
        <w:rPr>
          <w:rFonts w:ascii="Arial" w:cs="Arial" w:eastAsia="Arial" w:hAnsi="Arial"/>
          <w:sz w:val="18"/>
          <w:szCs w:val="18"/>
          <w:color w:val="auto"/>
        </w:rPr>
        <w:t>” shall have the meaning given in the Recitals hereto.</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Minimum Takedown Threshold</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0</w:t>
      </w:r>
      <w:r>
        <w:rPr>
          <w:rFonts w:ascii="Arial" w:cs="Arial" w:eastAsia="Arial" w:hAnsi="Arial"/>
          <w:sz w:val="18"/>
          <w:szCs w:val="18"/>
          <w:color w:val="auto"/>
        </w:rPr>
        <w:t>.</w:t>
      </w:r>
    </w:p>
    <w:p>
      <w:pPr>
        <w:spacing w:after="0" w:line="158" w:lineRule="exact"/>
        <w:rPr>
          <w:sz w:val="20"/>
          <w:szCs w:val="20"/>
          <w:color w:val="auto"/>
        </w:rPr>
      </w:pPr>
    </w:p>
    <w:p>
      <w:pPr>
        <w:ind w:left="460" w:right="559" w:firstLine="432"/>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Original RRA</w:t>
      </w:r>
      <w:r>
        <w:rPr>
          <w:rFonts w:ascii="Arial" w:cs="Arial" w:eastAsia="Arial" w:hAnsi="Arial"/>
          <w:sz w:val="18"/>
          <w:szCs w:val="18"/>
          <w:color w:val="auto"/>
        </w:rPr>
        <w:t>” shall have the meaning given in the Recitals hereto.</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Other Coordinated Offering</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0</w:t>
      </w:r>
      <w:r>
        <w:rPr>
          <w:rFonts w:ascii="Arial" w:cs="Arial" w:eastAsia="Arial" w:hAnsi="Arial"/>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Plan of Distribution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44" w:lineRule="exact"/>
        <w:rPr>
          <w:sz w:val="20"/>
          <w:szCs w:val="20"/>
          <w:color w:val="auto"/>
        </w:rPr>
      </w:pPr>
    </w:p>
    <w:p>
      <w:pPr>
        <w:ind w:left="460" w:right="579" w:firstLine="43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Prospectus</w:t>
      </w:r>
      <w:r>
        <w:rPr>
          <w:rFonts w:ascii="Arial" w:cs="Arial" w:eastAsia="Arial" w:hAnsi="Arial"/>
          <w:sz w:val="18"/>
          <w:szCs w:val="18"/>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158" w:lineRule="exact"/>
        <w:rPr>
          <w:sz w:val="20"/>
          <w:szCs w:val="20"/>
          <w:color w:val="auto"/>
        </w:rPr>
      </w:pPr>
    </w:p>
    <w:p>
      <w:pPr>
        <w:ind w:left="460" w:right="899" w:firstLine="432"/>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Permitted Transferees</w:t>
      </w:r>
      <w:r>
        <w:rPr>
          <w:rFonts w:ascii="Arial" w:cs="Arial" w:eastAsia="Arial" w:hAnsi="Arial"/>
          <w:sz w:val="18"/>
          <w:szCs w:val="18"/>
          <w:color w:val="auto"/>
        </w:rPr>
        <w:t>” shall mean with respect to each Holder and its Permitted Transferees, any person or entity to whom such Holder is permitted to transfer such Registrable Securities, subject to and in accordance with any applicable agreement between such Holder and/or its Permitted Transferees and the Company and any transferee thereafter.</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Registration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4" w:name="page455"/>
    <w:bookmarkEnd w:id="45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60" w:right="63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Private Shares</w:t>
      </w:r>
      <w:r>
        <w:rPr>
          <w:rFonts w:ascii="Arial" w:cs="Arial" w:eastAsia="Arial" w:hAnsi="Arial"/>
          <w:sz w:val="18"/>
          <w:szCs w:val="18"/>
          <w:color w:val="auto"/>
        </w:rPr>
        <w:t>” means the aggregate of 533,500 shares of common stock (that Sponsor purchased in a private place that occurred simultaneously with the Initial Public Offering.</w:t>
      </w:r>
    </w:p>
    <w:p>
      <w:pPr>
        <w:spacing w:after="0" w:line="94" w:lineRule="exact"/>
        <w:rPr>
          <w:sz w:val="20"/>
          <w:szCs w:val="20"/>
          <w:color w:val="auto"/>
        </w:rPr>
      </w:pPr>
    </w:p>
    <w:p>
      <w:pPr>
        <w:ind w:left="460" w:right="719" w:firstLine="432"/>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Register</w:t>
      </w:r>
      <w:r>
        <w:rPr>
          <w:rFonts w:ascii="Arial" w:cs="Arial" w:eastAsia="Arial" w:hAnsi="Arial"/>
          <w:sz w:val="16"/>
          <w:szCs w:val="16"/>
          <w:color w:val="auto"/>
        </w:rPr>
        <w:t>,” “</w:t>
      </w:r>
      <w:r>
        <w:rPr>
          <w:rFonts w:ascii="Arial" w:cs="Arial" w:eastAsia="Arial" w:hAnsi="Arial"/>
          <w:sz w:val="16"/>
          <w:szCs w:val="16"/>
          <w:b w:val="1"/>
          <w:bCs w:val="1"/>
          <w:u w:val="single" w:color="auto"/>
          <w:color w:val="auto"/>
        </w:rPr>
        <w:t>Registered</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Registration</w:t>
      </w:r>
      <w:r>
        <w:rPr>
          <w:rFonts w:ascii="Arial" w:cs="Arial" w:eastAsia="Arial" w:hAnsi="Arial"/>
          <w:sz w:val="16"/>
          <w:szCs w:val="16"/>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74" w:lineRule="exact"/>
        <w:rPr>
          <w:sz w:val="20"/>
          <w:szCs w:val="20"/>
          <w:color w:val="auto"/>
        </w:rPr>
      </w:pPr>
    </w:p>
    <w:p>
      <w:pPr>
        <w:ind w:left="460" w:right="119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Registration Expenses</w:t>
      </w:r>
      <w:r>
        <w:rPr>
          <w:rFonts w:ascii="Arial" w:cs="Arial" w:eastAsia="Arial" w:hAnsi="Arial"/>
          <w:sz w:val="18"/>
          <w:szCs w:val="18"/>
          <w:color w:val="auto"/>
        </w:rPr>
        <w:t>” shall mean the documented, out-of-pocket expenses of a Registration, including, without limitation, the following:</w:t>
      </w:r>
    </w:p>
    <w:p>
      <w:pPr>
        <w:spacing w:after="0" w:line="85" w:lineRule="exact"/>
        <w:rPr>
          <w:sz w:val="20"/>
          <w:szCs w:val="20"/>
          <w:color w:val="auto"/>
        </w:rPr>
      </w:pPr>
    </w:p>
    <w:p>
      <w:pPr>
        <w:jc w:val="both"/>
        <w:ind w:left="460" w:right="599" w:firstLine="426"/>
        <w:spacing w:after="0" w:line="263" w:lineRule="auto"/>
        <w:tabs>
          <w:tab w:leader="none" w:pos="1187" w:val="left"/>
        </w:tabs>
        <w:numPr>
          <w:ilvl w:val="0"/>
          <w:numId w:val="483"/>
        </w:numPr>
        <w:rPr>
          <w:rFonts w:ascii="Arial" w:cs="Arial" w:eastAsia="Arial" w:hAnsi="Arial"/>
          <w:sz w:val="18"/>
          <w:szCs w:val="18"/>
          <w:color w:val="auto"/>
        </w:rPr>
      </w:pPr>
      <w:r>
        <w:rPr>
          <w:rFonts w:ascii="Arial" w:cs="Arial" w:eastAsia="Arial" w:hAnsi="Arial"/>
          <w:sz w:val="18"/>
          <w:szCs w:val="18"/>
          <w:color w:val="auto"/>
        </w:rPr>
        <w:t>all registration, listing and filing fees (including fees with respect to filings required to be made with the Financial Industry Regulatory Authority, Inc.) and any national securities exchange on which the Common Stock is then listed;</w:t>
      </w:r>
    </w:p>
    <w:p>
      <w:pPr>
        <w:spacing w:after="0" w:line="116" w:lineRule="exact"/>
        <w:rPr>
          <w:rFonts w:ascii="Arial" w:cs="Arial" w:eastAsia="Arial" w:hAnsi="Arial"/>
          <w:sz w:val="18"/>
          <w:szCs w:val="18"/>
          <w:color w:val="auto"/>
        </w:rPr>
      </w:pPr>
    </w:p>
    <w:p>
      <w:pPr>
        <w:ind w:left="460" w:right="559" w:firstLine="426"/>
        <w:spacing w:after="0" w:line="263" w:lineRule="auto"/>
        <w:tabs>
          <w:tab w:leader="none" w:pos="1177" w:val="left"/>
        </w:tabs>
        <w:numPr>
          <w:ilvl w:val="0"/>
          <w:numId w:val="483"/>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outside counsel for the Underwriters in connection with blue sky qualifications of Registrable Securities;</w:t>
      </w:r>
    </w:p>
    <w:p>
      <w:pPr>
        <w:spacing w:after="0" w:line="116" w:lineRule="exact"/>
        <w:rPr>
          <w:rFonts w:ascii="Arial" w:cs="Arial" w:eastAsia="Arial" w:hAnsi="Arial"/>
          <w:sz w:val="18"/>
          <w:szCs w:val="18"/>
          <w:color w:val="auto"/>
        </w:rPr>
      </w:pPr>
    </w:p>
    <w:p>
      <w:pPr>
        <w:ind w:left="1180" w:hanging="294"/>
        <w:spacing w:after="0"/>
        <w:tabs>
          <w:tab w:leader="none" w:pos="118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144" w:lineRule="exact"/>
        <w:rPr>
          <w:rFonts w:ascii="Arial" w:cs="Arial" w:eastAsia="Arial" w:hAnsi="Arial"/>
          <w:sz w:val="18"/>
          <w:szCs w:val="18"/>
          <w:color w:val="auto"/>
        </w:rPr>
      </w:pPr>
    </w:p>
    <w:p>
      <w:pPr>
        <w:ind w:left="1180" w:hanging="294"/>
        <w:spacing w:after="0"/>
        <w:tabs>
          <w:tab w:leader="none" w:pos="118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fees and disbursements of counsel for the Company;</w:t>
      </w:r>
    </w:p>
    <w:p>
      <w:pPr>
        <w:spacing w:after="0" w:line="157" w:lineRule="exact"/>
        <w:rPr>
          <w:rFonts w:ascii="Arial" w:cs="Arial" w:eastAsia="Arial" w:hAnsi="Arial"/>
          <w:sz w:val="18"/>
          <w:szCs w:val="18"/>
          <w:color w:val="auto"/>
        </w:rPr>
      </w:pPr>
    </w:p>
    <w:p>
      <w:pPr>
        <w:ind w:left="460" w:right="479" w:firstLine="426"/>
        <w:spacing w:after="0" w:line="342" w:lineRule="auto"/>
        <w:tabs>
          <w:tab w:leader="none" w:pos="1167" w:val="left"/>
        </w:tabs>
        <w:numPr>
          <w:ilvl w:val="0"/>
          <w:numId w:val="483"/>
        </w:numPr>
        <w:rPr>
          <w:rFonts w:ascii="Arial" w:cs="Arial" w:eastAsia="Arial" w:hAnsi="Arial"/>
          <w:sz w:val="16"/>
          <w:szCs w:val="16"/>
          <w:color w:val="auto"/>
        </w:rPr>
      </w:pPr>
      <w:r>
        <w:rPr>
          <w:rFonts w:ascii="Arial" w:cs="Arial" w:eastAsia="Arial" w:hAnsi="Arial"/>
          <w:sz w:val="16"/>
          <w:szCs w:val="16"/>
          <w:color w:val="auto"/>
        </w:rPr>
        <w:t>fees and disbursements of all independent registered public accountants of the Company and any other persons, including special experts, retained by the Company, incurred in connection with such Registration;</w:t>
      </w:r>
    </w:p>
    <w:p>
      <w:pPr>
        <w:spacing w:after="0" w:line="56" w:lineRule="exact"/>
        <w:rPr>
          <w:rFonts w:ascii="Arial" w:cs="Arial" w:eastAsia="Arial" w:hAnsi="Arial"/>
          <w:sz w:val="16"/>
          <w:szCs w:val="16"/>
          <w:color w:val="auto"/>
        </w:rPr>
      </w:pPr>
    </w:p>
    <w:p>
      <w:pPr>
        <w:jc w:val="both"/>
        <w:ind w:left="460" w:right="719" w:firstLine="426"/>
        <w:spacing w:after="0" w:line="311" w:lineRule="auto"/>
        <w:tabs>
          <w:tab w:leader="none" w:pos="1157" w:val="left"/>
        </w:tabs>
        <w:numPr>
          <w:ilvl w:val="0"/>
          <w:numId w:val="483"/>
        </w:numPr>
        <w:rPr>
          <w:rFonts w:ascii="Arial" w:cs="Arial" w:eastAsia="Arial" w:hAnsi="Arial"/>
          <w:sz w:val="16"/>
          <w:szCs w:val="16"/>
          <w:color w:val="auto"/>
        </w:rPr>
      </w:pPr>
      <w:r>
        <w:rPr>
          <w:rFonts w:ascii="Arial" w:cs="Arial" w:eastAsia="Arial" w:hAnsi="Arial"/>
          <w:sz w:val="16"/>
          <w:szCs w:val="16"/>
          <w:color w:val="auto"/>
        </w:rPr>
        <w:t>all expenses in connection with the preparation, printing and filing of a Registration Statement, any Prospectus and amendments and supplements thereto and the mailing and delivering of copies thereof to any Holders, underwriters and dealers and all expenses incidental to delivery of the Registrable Securities; and</w:t>
      </w:r>
    </w:p>
    <w:p>
      <w:pPr>
        <w:spacing w:after="0" w:line="67" w:lineRule="exact"/>
        <w:rPr>
          <w:rFonts w:ascii="Arial" w:cs="Arial" w:eastAsia="Arial" w:hAnsi="Arial"/>
          <w:sz w:val="16"/>
          <w:szCs w:val="16"/>
          <w:color w:val="auto"/>
        </w:rPr>
      </w:pPr>
    </w:p>
    <w:p>
      <w:pPr>
        <w:ind w:left="460" w:right="599" w:firstLine="426"/>
        <w:spacing w:after="0" w:line="263" w:lineRule="auto"/>
        <w:tabs>
          <w:tab w:leader="none" w:pos="1187" w:val="left"/>
        </w:tabs>
        <w:numPr>
          <w:ilvl w:val="0"/>
          <w:numId w:val="483"/>
        </w:numPr>
        <w:rPr>
          <w:rFonts w:ascii="Arial" w:cs="Arial" w:eastAsia="Arial" w:hAnsi="Arial"/>
          <w:sz w:val="18"/>
          <w:szCs w:val="18"/>
          <w:color w:val="auto"/>
        </w:rPr>
      </w:pPr>
      <w:r>
        <w:rPr>
          <w:rFonts w:ascii="Arial" w:cs="Arial" w:eastAsia="Arial" w:hAnsi="Arial"/>
          <w:sz w:val="18"/>
          <w:szCs w:val="18"/>
          <w:color w:val="auto"/>
        </w:rPr>
        <w:t>in an Underwritten Offering, Block Trade or Other Coordinated Offering, reasonable fees and expenses of one (1) legal counsel selected by the majority-in-interest of the Demanding Holders (not to exceed $75,000 without the consent of the Company).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Registrable Securities</w:t>
      </w:r>
      <w:r>
        <w:rPr>
          <w:rFonts w:ascii="Arial" w:cs="Arial" w:eastAsia="Arial" w:hAnsi="Arial"/>
          <w:sz w:val="18"/>
          <w:szCs w:val="18"/>
          <w:color w:val="auto"/>
        </w:rPr>
        <w:t>” means (i) the Initial Shares, (ii) the Private Shares, (iii) the Merger Shares,</w:t>
      </w:r>
    </w:p>
    <w:p>
      <w:pPr>
        <w:spacing w:after="0" w:line="27" w:lineRule="exact"/>
        <w:rPr>
          <w:sz w:val="20"/>
          <w:szCs w:val="20"/>
          <w:color w:val="auto"/>
        </w:rPr>
      </w:pPr>
    </w:p>
    <w:p>
      <w:pPr>
        <w:ind w:left="460" w:right="459" w:hanging="6"/>
        <w:spacing w:after="0" w:line="286" w:lineRule="auto"/>
        <w:tabs>
          <w:tab w:leader="none" w:pos="765" w:val="left"/>
        </w:tabs>
        <w:numPr>
          <w:ilvl w:val="0"/>
          <w:numId w:val="484"/>
        </w:numPr>
        <w:rPr>
          <w:rFonts w:ascii="Arial" w:cs="Arial" w:eastAsia="Arial" w:hAnsi="Arial"/>
          <w:sz w:val="16"/>
          <w:szCs w:val="16"/>
          <w:color w:val="auto"/>
        </w:rPr>
      </w:pPr>
      <w:r>
        <w:rPr>
          <w:rFonts w:ascii="Arial" w:cs="Arial" w:eastAsia="Arial" w:hAnsi="Arial"/>
          <w:sz w:val="16"/>
          <w:szCs w:val="16"/>
          <w:color w:val="auto"/>
        </w:rPr>
        <w:t>the shares of Common Stock issuable upon exercise of the Merger Options, and (v) any warrants, shares of capital stock or other securities of the Company issued as a dividend or other distribution with respect to or in exchange for or in replacement of the shares specified in clauses (i) through (iv).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(c) such securities shall have ceased to be outstanding, or (d) the Registrable Securities are freely saleable under Rule 144 without any volume limitations.</w:t>
      </w:r>
    </w:p>
    <w:p>
      <w:pPr>
        <w:spacing w:after="0" w:line="98" w:lineRule="exact"/>
        <w:rPr>
          <w:sz w:val="20"/>
          <w:szCs w:val="20"/>
          <w:color w:val="auto"/>
        </w:rPr>
      </w:pPr>
    </w:p>
    <w:p>
      <w:pPr>
        <w:ind w:left="460" w:right="599" w:firstLine="432"/>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Registration Statement</w:t>
      </w:r>
      <w:r>
        <w:rPr>
          <w:rFonts w:ascii="Arial" w:cs="Arial" w:eastAsia="Arial" w:hAnsi="Arial"/>
          <w:sz w:val="18"/>
          <w:szCs w:val="18"/>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06" w:lineRule="exact"/>
        <w:rPr>
          <w:sz w:val="20"/>
          <w:szCs w:val="20"/>
          <w:color w:val="auto"/>
        </w:rPr>
      </w:pPr>
    </w:p>
    <w:p>
      <w:pPr>
        <w:ind w:left="460" w:right="699" w:firstLine="43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Release Date</w:t>
      </w:r>
      <w:r>
        <w:rPr>
          <w:rFonts w:ascii="Arial" w:cs="Arial" w:eastAsia="Arial" w:hAnsi="Arial"/>
          <w:sz w:val="18"/>
          <w:szCs w:val="18"/>
          <w:color w:val="auto"/>
        </w:rPr>
        <w:t>” means the date on which the Initial Shares are disbursed from escrow pursuant to Section 3 of that certain Stock Escrow Agreement dated as of September 2, 2020 by and among the Investors and Continental Stock Transfer &amp; Trust Company.</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Requesting Holders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0</w:t>
      </w:r>
      <w:r>
        <w:rPr>
          <w:rFonts w:ascii="Arial" w:cs="Arial" w:eastAsia="Arial" w:hAnsi="Arial"/>
          <w:sz w:val="18"/>
          <w:szCs w:val="18"/>
          <w:color w:val="auto"/>
        </w:rPr>
        <w:t>.</w:t>
      </w:r>
    </w:p>
    <w:p>
      <w:pPr>
        <w:spacing w:after="0" w:line="158" w:lineRule="exact"/>
        <w:rPr>
          <w:sz w:val="20"/>
          <w:szCs w:val="20"/>
          <w:color w:val="auto"/>
        </w:rPr>
      </w:pPr>
    </w:p>
    <w:p>
      <w:pPr>
        <w:ind w:left="460" w:right="919" w:firstLine="432"/>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Securities Act</w:t>
      </w:r>
      <w:r>
        <w:rPr>
          <w:rFonts w:ascii="Arial" w:cs="Arial" w:eastAsia="Arial" w:hAnsi="Arial"/>
          <w:sz w:val="17"/>
          <w:szCs w:val="17"/>
          <w:color w:val="auto"/>
        </w:rPr>
        <w:t>” means the Securities Act of 1933, as amended, and the rules and regulations of the Commission promulgated thereunder, all as the same shall be in effect at the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5" w:name="page456"/>
    <w:bookmarkEnd w:id="45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60" w:right="115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Shelf</w:t>
      </w:r>
      <w:r>
        <w:rPr>
          <w:rFonts w:ascii="Arial" w:cs="Arial" w:eastAsia="Arial" w:hAnsi="Arial"/>
          <w:sz w:val="18"/>
          <w:szCs w:val="18"/>
          <w:color w:val="auto"/>
        </w:rPr>
        <w:t>” shall mean the Form S-1 Shelf, the Form S-3 Shelf or any Subsequent Shelf Registration Statement, as the case may be.</w:t>
      </w:r>
    </w:p>
    <w:p>
      <w:pPr>
        <w:spacing w:after="0" w:line="94" w:lineRule="exact"/>
        <w:rPr>
          <w:sz w:val="20"/>
          <w:szCs w:val="20"/>
          <w:color w:val="auto"/>
        </w:rPr>
      </w:pPr>
    </w:p>
    <w:p>
      <w:pPr>
        <w:ind w:left="460" w:right="539" w:firstLine="43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Shelf Registration</w:t>
      </w:r>
      <w:r>
        <w:rPr>
          <w:rFonts w:ascii="Arial" w:cs="Arial" w:eastAsia="Arial" w:hAnsi="Arial"/>
          <w:sz w:val="18"/>
          <w:szCs w:val="18"/>
          <w:color w:val="auto"/>
        </w:rPr>
        <w:t>” shall mean a registration of securities pursuant to a registration statement filed with the Commission in accordance with and pursuant to Rule 415 promulgated under the Securities Act (or any successor rule then in effect).</w:t>
      </w:r>
    </w:p>
    <w:p>
      <w:pPr>
        <w:spacing w:after="0" w:line="108" w:lineRule="exact"/>
        <w:rPr>
          <w:sz w:val="20"/>
          <w:szCs w:val="20"/>
          <w:color w:val="auto"/>
        </w:rPr>
      </w:pPr>
    </w:p>
    <w:p>
      <w:pPr>
        <w:ind w:left="460" w:right="599" w:firstLine="432"/>
        <w:spacing w:after="0" w:line="282"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u w:val="single" w:color="auto"/>
          <w:color w:val="auto"/>
        </w:rPr>
        <w:t>Shelf Takedown</w:t>
      </w:r>
      <w:r>
        <w:rPr>
          <w:rFonts w:ascii="Arial" w:cs="Arial" w:eastAsia="Arial" w:hAnsi="Arial"/>
          <w:sz w:val="18"/>
          <w:szCs w:val="18"/>
          <w:color w:val="auto"/>
        </w:rPr>
        <w:t>” shall mean an Underwritten Shelf Takedown or any proposed transfer or sale using a</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including a Piggyback Registration.</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Sponsor</w:t>
      </w:r>
      <w:r>
        <w:rPr>
          <w:rFonts w:ascii="Arial" w:cs="Arial" w:eastAsia="Arial" w:hAnsi="Arial"/>
          <w:sz w:val="18"/>
          <w:szCs w:val="18"/>
          <w:color w:val="auto"/>
        </w:rPr>
        <w:t>” means BCTG Holdings, LLC.</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Subscription Agreement</w:t>
      </w:r>
      <w:r>
        <w:rPr>
          <w:rFonts w:ascii="Arial" w:cs="Arial" w:eastAsia="Arial" w:hAnsi="Arial"/>
          <w:sz w:val="18"/>
          <w:szCs w:val="18"/>
          <w:color w:val="auto"/>
        </w:rPr>
        <w:t>” shall be as defined in the recitals.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Subsequent Shelf Registration Statement</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0</w:t>
      </w:r>
      <w:r>
        <w:rPr>
          <w:rFonts w:ascii="Arial" w:cs="Arial" w:eastAsia="Arial" w:hAnsi="Arial"/>
          <w:sz w:val="18"/>
          <w:szCs w:val="18"/>
          <w:color w:val="auto"/>
        </w:rPr>
        <w:t>.</w:t>
      </w:r>
    </w:p>
    <w:p>
      <w:pPr>
        <w:spacing w:after="0" w:line="144" w:lineRule="exact"/>
        <w:rPr>
          <w:sz w:val="20"/>
          <w:szCs w:val="20"/>
          <w:color w:val="auto"/>
        </w:rPr>
      </w:pPr>
    </w:p>
    <w:p>
      <w:pPr>
        <w:ind w:left="460" w:right="85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94" w:lineRule="exact"/>
        <w:rPr>
          <w:sz w:val="20"/>
          <w:szCs w:val="20"/>
          <w:color w:val="auto"/>
        </w:rPr>
      </w:pPr>
    </w:p>
    <w:p>
      <w:pPr>
        <w:ind w:left="460" w:right="73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Underwritten Shelf Takedown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0</w:t>
      </w:r>
      <w:r>
        <w:rPr>
          <w:rFonts w:ascii="Arial" w:cs="Arial" w:eastAsia="Arial" w:hAnsi="Arial"/>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Withdrawal Notice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0</w:t>
      </w:r>
      <w:r>
        <w:rPr>
          <w:rFonts w:ascii="Arial" w:cs="Arial" w:eastAsia="Arial" w:hAnsi="Arial"/>
          <w:sz w:val="18"/>
          <w:szCs w:val="18"/>
          <w:color w:val="auto"/>
        </w:rPr>
        <w:t>.</w:t>
      </w:r>
    </w:p>
    <w:p>
      <w:pPr>
        <w:spacing w:after="0" w:line="162" w:lineRule="exact"/>
        <w:rPr>
          <w:sz w:val="20"/>
          <w:szCs w:val="20"/>
          <w:color w:val="auto"/>
        </w:rPr>
      </w:pPr>
    </w:p>
    <w:p>
      <w:pPr>
        <w:ind w:left="1060" w:hanging="174"/>
        <w:spacing w:after="0"/>
        <w:tabs>
          <w:tab w:leader="none" w:pos="1060" w:val="left"/>
        </w:tabs>
        <w:numPr>
          <w:ilvl w:val="0"/>
          <w:numId w:val="485"/>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144" w:lineRule="exact"/>
        <w:rPr>
          <w:sz w:val="20"/>
          <w:szCs w:val="20"/>
          <w:color w:val="auto"/>
        </w:rPr>
      </w:pPr>
    </w:p>
    <w:p>
      <w:pPr>
        <w:ind w:left="880" w:right="519" w:firstLine="432"/>
        <w:spacing w:after="0" w:line="283"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Filing</w:t>
      </w:r>
      <w:r>
        <w:rPr>
          <w:rFonts w:ascii="Arial" w:cs="Arial" w:eastAsia="Arial" w:hAnsi="Arial"/>
          <w:sz w:val="16"/>
          <w:szCs w:val="16"/>
          <w:color w:val="auto"/>
        </w:rPr>
        <w:t>. As soon as practicable but no later than thirty (30) calendar days following the closing date of the Merger, the Company shall submit to or file with the Commission a Registration Statement for a Shelf Registration on Form S-1 (the “</w:t>
      </w:r>
      <w:r>
        <w:rPr>
          <w:rFonts w:ascii="Arial" w:cs="Arial" w:eastAsia="Arial" w:hAnsi="Arial"/>
          <w:sz w:val="16"/>
          <w:szCs w:val="16"/>
          <w:b w:val="1"/>
          <w:bCs w:val="1"/>
          <w:u w:val="single" w:color="auto"/>
          <w:color w:val="auto"/>
        </w:rPr>
        <w:t>Form S-1 Shelf</w:t>
      </w:r>
      <w:r>
        <w:rPr>
          <w:rFonts w:ascii="Arial" w:cs="Arial" w:eastAsia="Arial" w:hAnsi="Arial"/>
          <w:sz w:val="16"/>
          <w:szCs w:val="16"/>
          <w:color w:val="auto"/>
        </w:rPr>
        <w:t>”) or a Registration Statement for a Shelf Registration on Form S-3 (the “</w:t>
      </w:r>
      <w:r>
        <w:rPr>
          <w:rFonts w:ascii="Arial" w:cs="Arial" w:eastAsia="Arial" w:hAnsi="Arial"/>
          <w:sz w:val="16"/>
          <w:szCs w:val="16"/>
          <w:b w:val="1"/>
          <w:bCs w:val="1"/>
          <w:u w:val="single" w:color="auto"/>
          <w:color w:val="auto"/>
        </w:rPr>
        <w:t>Form S-3 Shelf</w:t>
      </w:r>
      <w:r>
        <w:rPr>
          <w:rFonts w:ascii="Arial" w:cs="Arial" w:eastAsia="Arial" w:hAnsi="Arial"/>
          <w:sz w:val="16"/>
          <w:szCs w:val="16"/>
          <w:color w:val="auto"/>
        </w:rPr>
        <w:t>”), if the Company is then eligible to use a Form S-3 Shelf, in each case, covering the resale of all the Registrable Securities (determined as of two (2) business days prior to such submission or filing) on a delayed or continuous basis and shall use its commercially reasonable efforts to have such Shelf declared effective as soon as practicable after the filing thereof, but no later than the earlier of (a) sixty (60) calendar days (or ninety (90) calendar days if the Commission notifies the Company that it will “review” such Shelf Registration) following the initial filing date thereof and (b) ten (10) business days after the Company is notified (orally or in writing, whichever is earlier) by the Commission that such Shelf Registration will not be “reviewed” or will not be subject to further review. Such Shelf shall provide for the resale of the Registrable Securities included therein pursuant to any method or combination of methods legally available (the “</w:t>
      </w:r>
      <w:r>
        <w:rPr>
          <w:rFonts w:ascii="Arial" w:cs="Arial" w:eastAsia="Arial" w:hAnsi="Arial"/>
          <w:sz w:val="16"/>
          <w:szCs w:val="16"/>
          <w:b w:val="1"/>
          <w:bCs w:val="1"/>
          <w:u w:val="single" w:color="auto"/>
          <w:color w:val="auto"/>
        </w:rPr>
        <w:t>Plan of Distribution</w:t>
      </w:r>
      <w:r>
        <w:rPr>
          <w:rFonts w:ascii="Arial" w:cs="Arial" w:eastAsia="Arial" w:hAnsi="Arial"/>
          <w:sz w:val="16"/>
          <w:szCs w:val="16"/>
          <w:color w:val="auto"/>
        </w:rPr>
        <w:t>”) to, and requested by, any Holder named therein. The Company shall maintain a Shelf in accordance with the terms hereof, and shall prepare and file with the Commission such amendments, including post-effective amendments, and supplements as may be necessary to keep a Shelf continuously effective, available for use to permit the Holders named therein to sell their Registrable Securities included therein and in compliance with the provisions of the Securities Act until such time as there are no longer any Registrable Securities. In the event the Company files a Form S-1 Shelf, the Company shall use its commercially reasonable efforts to convert the Form S-1 Shelf (and any Subsequent Shelf Registration Statement) to a Form S-3 Shelf as soon as practicable after the Company is eligible to use a Form S-3 Shelf. The Company shall, if requested by the Holder, use its best efforts to (i) cause the removal of any restrictive legend related to compliance with the federal securities laws set forth on the Registrable Securities, (ii) cause its legal counsel to deliver an opinion, if necessary, to the transfer agent in connection with the instruction under subclause (i) to the effect that removal of such legends in such circumstances may be effected in compliance under the Securities Act, and (iii) issue Registrable Securities without any such legend in certificated or book-entry form or by electronic delivery through The Depository Trust Company, at the Holder’s option, within two (2) business days of such request, if (A) the Registrable Securities are registered for resale under the Securities Act, (B) the Registrable Securities may be sold by the Holder without restriction under Rule 144, including without limitation, any volume and manner of sale restrictions, or (C) the Holder has sold or transferred, or proposes to sell or transfer within five (5) business days of such request, Registrable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6" w:name="page457"/>
    <w:bookmarkEnd w:id="45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right="639"/>
        <w:spacing w:after="0" w:line="257" w:lineRule="auto"/>
        <w:rPr>
          <w:sz w:val="20"/>
          <w:szCs w:val="20"/>
          <w:color w:val="auto"/>
        </w:rPr>
      </w:pPr>
      <w:r>
        <w:rPr>
          <w:rFonts w:ascii="Arial" w:cs="Arial" w:eastAsia="Arial" w:hAnsi="Arial"/>
          <w:sz w:val="18"/>
          <w:szCs w:val="18"/>
          <w:color w:val="auto"/>
        </w:rPr>
        <w:t>Securities pursuant to the Registration Statement or in compliance with Rule 144. The Company’s obligation to remove legends under this Section 2.1.1 may be conditioned upon the Holder timely providing such representations and documentation as are reasonably necessary and customarily required in connection with the removal of restrictive legends related to compliance with the federal securities laws.</w:t>
      </w:r>
    </w:p>
    <w:p>
      <w:pPr>
        <w:spacing w:after="0" w:line="120" w:lineRule="exact"/>
        <w:rPr>
          <w:sz w:val="20"/>
          <w:szCs w:val="20"/>
          <w:color w:val="auto"/>
        </w:rPr>
      </w:pPr>
    </w:p>
    <w:p>
      <w:pPr>
        <w:ind w:left="880" w:right="459" w:firstLine="432"/>
        <w:spacing w:after="0" w:line="285"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Subsequent Shelf Registration</w:t>
      </w:r>
      <w:r>
        <w:rPr>
          <w:rFonts w:ascii="Arial" w:cs="Arial" w:eastAsia="Arial" w:hAnsi="Arial"/>
          <w:sz w:val="16"/>
          <w:szCs w:val="16"/>
          <w:color w:val="auto"/>
        </w:rPr>
        <w:t>. If any Shelf ceases to be effective under the Securities Act for any reason at any time while Registrable Securities are still outstanding, the Company shall, use its commercially reasonable efforts to as promptly as is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Arial" w:cs="Arial" w:eastAsia="Arial" w:hAnsi="Arial"/>
          <w:sz w:val="16"/>
          <w:szCs w:val="16"/>
          <w:b w:val="1"/>
          <w:bCs w:val="1"/>
          <w:u w:val="single" w:color="auto"/>
          <w:color w:val="auto"/>
        </w:rPr>
        <w:t>Subsequent Shelf Registration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Statement</w:t>
      </w:r>
      <w:r>
        <w:rPr>
          <w:rFonts w:ascii="Arial" w:cs="Arial" w:eastAsia="Arial" w:hAnsi="Arial"/>
          <w:sz w:val="16"/>
          <w:szCs w:val="16"/>
          <w:color w:val="auto"/>
        </w:rPr>
        <w:t>”) registering the resale of all Registrable Securities (determined as of two (2) business days</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such filing), and pursuant to the Plan of Distribution. If a Subsequent Shelf Registration Statement is filed, the Company shall use its commercially reasonable efforts to (i) cause such Subsequent Shelf Registration Statement to become effective under the Securities Act as promptly as is reasonably practicable after the filing thereof and (ii) keep such Subsequent Shelf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Any such Subsequent Shelf Registration Statement shall be on Form S-3 to the extent that the Company is eligible to use such form. Otherwise, such Subsequent Shelf Registration Statement shall be on another appropriate form.</w:t>
      </w:r>
    </w:p>
    <w:p>
      <w:pPr>
        <w:spacing w:after="0" w:line="104" w:lineRule="exact"/>
        <w:rPr>
          <w:sz w:val="20"/>
          <w:szCs w:val="20"/>
          <w:color w:val="auto"/>
        </w:rPr>
      </w:pPr>
    </w:p>
    <w:p>
      <w:pPr>
        <w:ind w:left="880" w:right="479" w:firstLine="432"/>
        <w:spacing w:after="0" w:line="269"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Additional Registrable Securities</w:t>
      </w:r>
      <w:r>
        <w:rPr>
          <w:rFonts w:ascii="Arial" w:cs="Arial" w:eastAsia="Arial" w:hAnsi="Arial"/>
          <w:sz w:val="17"/>
          <w:szCs w:val="17"/>
          <w:color w:val="auto"/>
        </w:rPr>
        <w:t xml:space="preserve">. In the event that any Holder holds Registrable Securities that are not registered for resale on a delayed or continuous basis, the Company, upon written request of such Holder, shall promptly use its commercially reasonable efforts to cause the resale of such Registrable Securities to be covered by either, at the Company’s option, any then available Shelf (including by means of a post-effective amendment) or by filing a Subsequent Shelf Registration Statement and cause the same to become effective as soon as practicable after such filing and such Shelf or Subsequent Shelf Registration Statement shall be subject to the terms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only be required to cause such additional Registrable Securities to be so covered once per calendar year for each of the Investors (as a group) and the Tango Investors (as a group) for an aggregate of not more than three (3) additional registrations per calendar year.</w:t>
      </w:r>
    </w:p>
    <w:p>
      <w:pPr>
        <w:spacing w:after="0" w:line="104" w:lineRule="exact"/>
        <w:rPr>
          <w:sz w:val="20"/>
          <w:szCs w:val="20"/>
          <w:color w:val="auto"/>
        </w:rPr>
      </w:pPr>
    </w:p>
    <w:p>
      <w:pPr>
        <w:ind w:left="880" w:right="519" w:firstLine="432"/>
        <w:spacing w:after="0" w:line="267"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Requests for Underwritten Shelf Takedowns</w:t>
      </w:r>
      <w:r>
        <w:rPr>
          <w:rFonts w:ascii="Arial" w:cs="Arial" w:eastAsia="Arial" w:hAnsi="Arial"/>
          <w:sz w:val="17"/>
          <w:szCs w:val="17"/>
          <w:color w:val="auto"/>
        </w:rPr>
        <w:t>. At any time and from time to time when an effective Shelf is on file with the Commission, a Holder (in such case, a “</w:t>
      </w:r>
      <w:r>
        <w:rPr>
          <w:rFonts w:ascii="Arial" w:cs="Arial" w:eastAsia="Arial" w:hAnsi="Arial"/>
          <w:sz w:val="17"/>
          <w:szCs w:val="17"/>
          <w:b w:val="1"/>
          <w:bCs w:val="1"/>
          <w:u w:val="single" w:color="auto"/>
          <w:color w:val="auto"/>
        </w:rPr>
        <w:t>Demanding Holder</w:t>
      </w:r>
      <w:r>
        <w:rPr>
          <w:rFonts w:ascii="Arial" w:cs="Arial" w:eastAsia="Arial" w:hAnsi="Arial"/>
          <w:sz w:val="17"/>
          <w:szCs w:val="17"/>
          <w:color w:val="auto"/>
        </w:rPr>
        <w:t>”) may request to sell all or any portion of its Registrable Securities in an Underwritten Offering that is registered pursuant to the Shelf (each, an “</w:t>
      </w:r>
      <w:r>
        <w:rPr>
          <w:rFonts w:ascii="Arial" w:cs="Arial" w:eastAsia="Arial" w:hAnsi="Arial"/>
          <w:sz w:val="17"/>
          <w:szCs w:val="17"/>
          <w:b w:val="1"/>
          <w:bCs w:val="1"/>
          <w:u w:val="single" w:color="auto"/>
          <w:color w:val="auto"/>
        </w:rPr>
        <w:t>Underwritten Shelf Takedown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only be obligated to effect an Underwritten Shelf Takedown if such offering shall include Registrable Securities proposed to be sold by the Demanding Holder, either individually or together with other Demanding Holders, with a total offering price reasonably expected to exceed, in the aggregate, at least $20 million (the “</w:t>
      </w:r>
      <w:r>
        <w:rPr>
          <w:rFonts w:ascii="Arial" w:cs="Arial" w:eastAsia="Arial" w:hAnsi="Arial"/>
          <w:sz w:val="17"/>
          <w:szCs w:val="17"/>
          <w:b w:val="1"/>
          <w:bCs w:val="1"/>
          <w:u w:val="single" w:color="auto"/>
          <w:color w:val="auto"/>
        </w:rPr>
        <w:t>Minimum Takedown Threshold</w:t>
      </w:r>
      <w:r>
        <w:rPr>
          <w:rFonts w:ascii="Arial" w:cs="Arial" w:eastAsia="Arial" w:hAnsi="Arial"/>
          <w:sz w:val="17"/>
          <w:szCs w:val="17"/>
          <w:color w:val="auto"/>
        </w:rPr>
        <w:t>”). All requests for Underwritten Shelf Takedowns shall be made by giving written notice to the Company, which shall specify the approximate number of Registrable Securities proposed to be sold in the Underwritten Shelf Takedown. The Company shall have the right to select the Underwriters for such offering (which shall consist of one or more reputable nationally recognized investment banks), subject to the initial Demanding Holder’s prior approval (which shall not be unreasonably withheld, conditioned or delayed). The Investors and the Tango Investors may each demand not more than three (3) Underwritten Shelf Takedowns, for an aggregate of not more than six (6) Underwritten Shelf Takedowns pursuant to this Agreement. The Company shall not be required to effect more than one (1) Underwritten Shelf Takedown during in any six (6) month period. Notwithstanding anything to the contrary in this Agreement, the Company may effect any Underwritten Offering pursuant to any then effective Registration Statement, including a Form S-3, that is then available for such offering.</w:t>
      </w:r>
    </w:p>
    <w:p>
      <w:pPr>
        <w:spacing w:after="0" w:line="121" w:lineRule="exact"/>
        <w:rPr>
          <w:sz w:val="20"/>
          <w:szCs w:val="20"/>
          <w:color w:val="auto"/>
        </w:rPr>
      </w:pPr>
    </w:p>
    <w:p>
      <w:pPr>
        <w:ind w:left="880" w:right="479" w:firstLine="432"/>
        <w:spacing w:after="0" w:line="257"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Reduction of Underwritten Offering</w:t>
      </w:r>
      <w:r>
        <w:rPr>
          <w:rFonts w:ascii="Arial" w:cs="Arial" w:eastAsia="Arial" w:hAnsi="Arial"/>
          <w:sz w:val="18"/>
          <w:szCs w:val="18"/>
          <w:color w:val="auto"/>
        </w:rPr>
        <w:t>. If the managing Underwriter or Underwriters in an Underwritten Shelf Takedown, in good faith, advises the Company, the Demanding Holders and the Holders requesting piggy back rights pursuant to this Agreement with respect to such Underwritten Shelf Takedown (the “</w:t>
      </w:r>
      <w:r>
        <w:rPr>
          <w:rFonts w:ascii="Arial" w:cs="Arial" w:eastAsia="Arial" w:hAnsi="Arial"/>
          <w:sz w:val="18"/>
          <w:szCs w:val="18"/>
          <w:b w:val="1"/>
          <w:bCs w:val="1"/>
          <w:color w:val="auto"/>
        </w:rPr>
        <w:t>Requesting Holders</w:t>
      </w:r>
      <w:r>
        <w:rPr>
          <w:rFonts w:ascii="Arial" w:cs="Arial" w:eastAsia="Arial" w:hAnsi="Arial"/>
          <w:sz w:val="18"/>
          <w:szCs w:val="18"/>
          <w:color w:val="auto"/>
        </w:rPr>
        <w:t>”) (if any) in writing that the dollar amount or number of Registrable Securities that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7" w:name="page458"/>
    <w:bookmarkEnd w:id="45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right="479"/>
        <w:spacing w:after="0" w:line="284" w:lineRule="auto"/>
        <w:rPr>
          <w:sz w:val="20"/>
          <w:szCs w:val="20"/>
          <w:color w:val="auto"/>
        </w:rPr>
      </w:pPr>
      <w:r>
        <w:rPr>
          <w:rFonts w:ascii="Arial" w:cs="Arial" w:eastAsia="Arial" w:hAnsi="Arial"/>
          <w:sz w:val="16"/>
          <w:szCs w:val="16"/>
          <w:color w:val="auto"/>
        </w:rPr>
        <w:t>the Demanding Holders and the Requesting Holders (if any) desire to sell, taken together with all other shares of Common Stock or other equity securities that the Company desires to sell and all other shares of Common Stock or other equity securities, if any, that have been requested to be sold in such Underwritten Offering pursuant to separate written contractual piggy-back registration rights held by any other stockholders,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6"/>
          <w:szCs w:val="16"/>
          <w:b w:val="1"/>
          <w:bCs w:val="1"/>
          <w:color w:val="auto"/>
        </w:rPr>
        <w:t>Maximum Number of Securities</w:t>
      </w:r>
      <w:r>
        <w:rPr>
          <w:rFonts w:ascii="Arial" w:cs="Arial" w:eastAsia="Arial" w:hAnsi="Arial"/>
          <w:sz w:val="16"/>
          <w:szCs w:val="16"/>
          <w:color w:val="auto"/>
        </w:rPr>
        <w:t>”), then the Company shall include in such Underwritten Offering, before including any shares of Common Stock or other equity securities proposed to be sold by Company or by other holders of Common Stock or other equity securities, the Registrable Securities of (i) first, the Demanding Holders that can be sold without exceeding the Maximum Number of Securities (pro rata based on the respective number of Registrable Securities that each Demanding Holder has requested be included in such Underwritten Shelf Takedown and the aggregate number of Registrable Securities that all of the Demanding Holders have requested be included in such Underwritten Shelf Takedown) and (ii) second, to the extent that the Maximum Number of Securities has not been reached under the foregoing clause (i), the Requesting Holders (if any) (pro rata based on the respective number of Registrable Securities that each Requesting Holder (if any) has requested be included in such Underwritten Shelf Takedown and the aggregate number of Registrable Securities that all of the Requesting Holders have requested be included in such Underwritten Shelf Takedown) that can be sold without exceeding the Maximum Number of Securities.</w:t>
      </w:r>
    </w:p>
    <w:p>
      <w:pPr>
        <w:spacing w:after="0" w:line="11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Withdrawal</w:t>
      </w:r>
      <w:r>
        <w:rPr>
          <w:rFonts w:ascii="Arial" w:cs="Arial" w:eastAsia="Arial" w:hAnsi="Arial"/>
          <w:sz w:val="18"/>
          <w:szCs w:val="18"/>
          <w:color w:val="auto"/>
        </w:rPr>
        <w:t>. Prior to the filing of the applicable “red herring” prospectus or prospectus</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supplement used for marketing such Underwritten Shelf Takedown, a majority-in-interest of the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Demanding Holders initiating an Underwritten Shelf Takedown shall have the right to withdraw from</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such Underwritten Shelf Takedown for any or no reason whatsoever upon written notification (a</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Withdrawal Notice</w:t>
      </w:r>
      <w:r>
        <w:rPr>
          <w:rFonts w:ascii="Arial" w:cs="Arial" w:eastAsia="Arial" w:hAnsi="Arial"/>
          <w:sz w:val="17"/>
          <w:szCs w:val="17"/>
          <w:color w:val="auto"/>
        </w:rPr>
        <w:t>”) to the Company and the Underwriter or Underwriters (if any) of their intention to</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withdraw from such Underwritten Shelf Takedown;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Sponsor or a Tango Investor may</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elect to have the Company continue an Underwritten Shelf Takedown if the Minimum Takedown</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Threshold would still be satisfied by the Registrable Securities proposed to be sold in the Underwritten</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Shelf Takedown by the Sponsor the Tango Investors or any of their respective Permitted Transferees, as</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applicable. If withdrawn, a demand for an Underwritten Shelf Takedown shall constitute a demand for an</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Underwritten Shelf Takedown by the withdrawing Demanding Holder for purposes of </w:t>
      </w:r>
      <w:r>
        <w:rPr>
          <w:rFonts w:ascii="Arial" w:cs="Arial" w:eastAsia="Arial" w:hAnsi="Arial"/>
          <w:sz w:val="17"/>
          <w:szCs w:val="17"/>
          <w:u w:val="single" w:color="auto"/>
          <w:color w:val="auto"/>
        </w:rPr>
        <w:t>Section 0</w:t>
      </w:r>
      <w:r>
        <w:rPr>
          <w:rFonts w:ascii="Arial" w:cs="Arial" w:eastAsia="Arial" w:hAnsi="Arial"/>
          <w:sz w:val="17"/>
          <w:szCs w:val="17"/>
          <w:color w:val="auto"/>
        </w:rPr>
        <w:t>, unless</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either (i) such Demanding Holder has not previously withdrawn any Underwritten Shelf Takedown or</w:t>
      </w:r>
    </w:p>
    <w:p>
      <w:pPr>
        <w:spacing w:after="0" w:line="21" w:lineRule="exact"/>
        <w:rPr>
          <w:sz w:val="20"/>
          <w:szCs w:val="20"/>
          <w:color w:val="auto"/>
        </w:rPr>
      </w:pPr>
    </w:p>
    <w:p>
      <w:pPr>
        <w:ind w:left="880" w:right="499" w:firstLine="6"/>
        <w:spacing w:after="0" w:line="285" w:lineRule="auto"/>
        <w:tabs>
          <w:tab w:leader="none" w:pos="1145" w:val="left"/>
        </w:tabs>
        <w:numPr>
          <w:ilvl w:val="0"/>
          <w:numId w:val="486"/>
        </w:numPr>
        <w:rPr>
          <w:rFonts w:ascii="Arial" w:cs="Arial" w:eastAsia="Arial" w:hAnsi="Arial"/>
          <w:sz w:val="16"/>
          <w:szCs w:val="16"/>
          <w:color w:val="auto"/>
        </w:rPr>
      </w:pPr>
      <w:r>
        <w:rPr>
          <w:rFonts w:ascii="Arial" w:cs="Arial" w:eastAsia="Arial" w:hAnsi="Arial"/>
          <w:sz w:val="16"/>
          <w:szCs w:val="16"/>
          <w:color w:val="auto"/>
        </w:rPr>
        <w:t xml:space="preserve">such Demanding Holder reimburses the Company for all Registration Expenses with respect to such Underwritten Shelf Takedown (or, if there is more than one Demanding Holder, a pro rata portion of such Registration Expenses based on the respective number of Registrable Securities that each Demanding Holder has requested be included in such Underwritten Shelf Takedown);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Sponsor, a Director Holder or a Tango Investor elects to continue an Underwritten Shelf Takedown pursuant to the proviso in the immediately preceding sentence, such Underwritten Shelf Takedown shall instead count as an Underwritten Shelf Takedown demanded by the Sponsor, such Director Holder or such Tango Investor, as applicable, for purposes of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Following the receipt of any Withdrawal Notice, the Company shall promptly forward such Withdrawal Notice to any other Holders that had elected to participate in such Shelf Takedown. Notwithstanding anything to the contrary in this Agreement, the Company shall be responsible for the Registration Expenses incurred in connection with a Shelf Takedown prior to its withdrawal under this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other than if a Demanding Holder elects to pay such Registration Expenses pursuant to clause (ii) of the second sentence of this </w:t>
      </w:r>
      <w:r>
        <w:rPr>
          <w:rFonts w:ascii="Arial" w:cs="Arial" w:eastAsia="Arial" w:hAnsi="Arial"/>
          <w:sz w:val="16"/>
          <w:szCs w:val="16"/>
          <w:u w:val="single" w:color="auto"/>
          <w:color w:val="auto"/>
        </w:rPr>
        <w:t>Section 0</w:t>
      </w:r>
      <w:r>
        <w:rPr>
          <w:rFonts w:ascii="Arial" w:cs="Arial" w:eastAsia="Arial" w:hAnsi="Arial"/>
          <w:sz w:val="16"/>
          <w:szCs w:val="16"/>
          <w:color w:val="auto"/>
        </w:rPr>
        <w:t>.</w:t>
      </w:r>
    </w:p>
    <w:p>
      <w:pPr>
        <w:spacing w:after="0" w:line="10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144" w:lineRule="exact"/>
        <w:rPr>
          <w:sz w:val="20"/>
          <w:szCs w:val="20"/>
          <w:color w:val="auto"/>
        </w:rPr>
      </w:pPr>
    </w:p>
    <w:p>
      <w:pPr>
        <w:ind w:left="880" w:right="459" w:firstLine="432"/>
        <w:spacing w:after="0" w:line="28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If at any time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Section 2.1), other than a Registration Statement</w:t>
      </w:r>
    </w:p>
    <w:p>
      <w:pPr>
        <w:spacing w:after="0" w:line="2" w:lineRule="exact"/>
        <w:rPr>
          <w:sz w:val="20"/>
          <w:szCs w:val="20"/>
          <w:color w:val="auto"/>
        </w:rPr>
      </w:pPr>
    </w:p>
    <w:p>
      <w:pPr>
        <w:ind w:left="880" w:right="599" w:firstLine="6"/>
        <w:spacing w:after="0" w:line="270" w:lineRule="auto"/>
        <w:tabs>
          <w:tab w:leader="none" w:pos="1095" w:val="left"/>
        </w:tabs>
        <w:numPr>
          <w:ilvl w:val="0"/>
          <w:numId w:val="487"/>
        </w:numPr>
        <w:rPr>
          <w:rFonts w:ascii="Arial" w:cs="Arial" w:eastAsia="Arial" w:hAnsi="Arial"/>
          <w:sz w:val="17"/>
          <w:szCs w:val="17"/>
          <w:color w:val="auto"/>
        </w:rPr>
      </w:pPr>
      <w:r>
        <w:rPr>
          <w:rFonts w:ascii="Arial" w:cs="Arial" w:eastAsia="Arial" w:hAnsi="Arial"/>
          <w:sz w:val="17"/>
          <w:szCs w:val="17"/>
          <w:color w:val="auto"/>
        </w:rPr>
        <w:t>filed in connection with any employee stock option or other benefit plan, (ii) for an exchange offer or offering of securities solely to the Company’s existing stockholders,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8" w:name="page459"/>
    <w:bookmarkEnd w:id="45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right="479"/>
        <w:spacing w:after="0" w:line="268" w:lineRule="auto"/>
        <w:rPr>
          <w:sz w:val="20"/>
          <w:szCs w:val="20"/>
          <w:color w:val="auto"/>
        </w:rPr>
      </w:pPr>
      <w:r>
        <w:rPr>
          <w:rFonts w:ascii="Arial" w:cs="Arial" w:eastAsia="Arial" w:hAnsi="Arial"/>
          <w:sz w:val="17"/>
          <w:szCs w:val="17"/>
          <w:color w:val="auto"/>
        </w:rPr>
        <w:t>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7"/>
          <w:szCs w:val="17"/>
          <w:b w:val="1"/>
          <w:bCs w:val="1"/>
          <w:u w:val="single" w:color="auto"/>
          <w:color w:val="auto"/>
        </w:rPr>
        <w:t>Piggy-Back Registration</w:t>
      </w:r>
      <w:r>
        <w:rPr>
          <w:rFonts w:ascii="Arial" w:cs="Arial" w:eastAsia="Arial" w:hAnsi="Arial"/>
          <w:sz w:val="17"/>
          <w:szCs w:val="17"/>
          <w:color w:val="auto"/>
        </w:rPr>
        <w:t>”).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119" w:lineRule="exact"/>
        <w:rPr>
          <w:sz w:val="20"/>
          <w:szCs w:val="20"/>
          <w:color w:val="auto"/>
        </w:rPr>
      </w:pPr>
    </w:p>
    <w:p>
      <w:pPr>
        <w:ind w:left="880" w:right="479" w:firstLine="432"/>
        <w:spacing w:after="0" w:line="289"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Reduction of Offering</w:t>
      </w:r>
      <w:r>
        <w:rPr>
          <w:rFonts w:ascii="Arial" w:cs="Arial" w:eastAsia="Arial" w:hAnsi="Arial"/>
          <w:sz w:val="16"/>
          <w:szCs w:val="16"/>
          <w:color w:val="auto"/>
        </w:rPr>
        <w:t>. If the managing Underwriter or Underwriters for a Piggy-Back Registration that is to be an underwritten offering advises the Company and the holders of Registrable Securities in writing that the dollar amount or number of shares of Common Stock which the Company desires to sell, taken together with the shares of Common Stock, if any, as to which registration has been demanded pursuant to written contractual arrangements with persons other than the holders of Registrable Securities hereunder, the Registrable Securities as to which registration has been requested under this Section 2.2, and the shares of Common Stock, if any, as to which registration has been requested pursuant to the written contractual piggy-back registration rights of other shareholders of the Company, exceeds the Maximum Number of Securities, then the Company shall include in any such registration:</w:t>
      </w:r>
    </w:p>
    <w:p>
      <w:pPr>
        <w:spacing w:after="0" w:line="99" w:lineRule="exact"/>
        <w:rPr>
          <w:sz w:val="20"/>
          <w:szCs w:val="20"/>
          <w:color w:val="auto"/>
        </w:rPr>
      </w:pPr>
    </w:p>
    <w:p>
      <w:pPr>
        <w:ind w:left="1760" w:right="659" w:firstLine="422"/>
        <w:spacing w:after="0" w:line="287" w:lineRule="auto"/>
        <w:tabs>
          <w:tab w:leader="none" w:pos="2437" w:val="left"/>
        </w:tabs>
        <w:numPr>
          <w:ilvl w:val="0"/>
          <w:numId w:val="488"/>
        </w:numPr>
        <w:rPr>
          <w:rFonts w:ascii="Arial" w:cs="Arial" w:eastAsia="Arial" w:hAnsi="Arial"/>
          <w:sz w:val="16"/>
          <w:szCs w:val="16"/>
          <w:color w:val="auto"/>
        </w:rPr>
      </w:pPr>
      <w:r>
        <w:rPr>
          <w:rFonts w:ascii="Arial" w:cs="Arial" w:eastAsia="Arial" w:hAnsi="Arial"/>
          <w:sz w:val="16"/>
          <w:szCs w:val="16"/>
          <w:color w:val="auto"/>
        </w:rPr>
        <w:t>If the registration is undertaken for the Company’s account: (A) first, the shares of Common Stock or other securities that the Company desires to sell that can be sold without exceeding the Maximum Number of Securities; (B) second, to the extent that the Maximum Number of Securities has not been reached under the foregoing clause (A), the shares of Common Stock or other securities, if any, comprised of Registrable Securities, as to which registration has been requested pursuant to the applicable written contractual piggy-back registration rights of such security holders, Pro Rata, that can be sold without exceeding the Maximum Number of Securities; and (C) third, to the extent that the Maximum Number of Securities has not been reached under the foregoing clauses (A) and (B), the shares of Common Stock or other securities for the account of other persons that the Company is obligated to register pursuant to written contractual piggy-back registration rights with such persons and that can be sold without exceeding the Maximum Number of Securities;</w:t>
      </w:r>
    </w:p>
    <w:p>
      <w:pPr>
        <w:spacing w:after="0" w:line="86" w:lineRule="exact"/>
        <w:rPr>
          <w:rFonts w:ascii="Arial" w:cs="Arial" w:eastAsia="Arial" w:hAnsi="Arial"/>
          <w:sz w:val="16"/>
          <w:szCs w:val="16"/>
          <w:color w:val="auto"/>
        </w:rPr>
      </w:pPr>
    </w:p>
    <w:p>
      <w:pPr>
        <w:ind w:left="1760" w:right="499" w:firstLine="422"/>
        <w:spacing w:after="0" w:line="268" w:lineRule="auto"/>
        <w:tabs>
          <w:tab w:leader="none" w:pos="2447" w:val="left"/>
        </w:tabs>
        <w:numPr>
          <w:ilvl w:val="0"/>
          <w:numId w:val="488"/>
        </w:numPr>
        <w:rPr>
          <w:rFonts w:ascii="Arial" w:cs="Arial" w:eastAsia="Arial" w:hAnsi="Arial"/>
          <w:sz w:val="17"/>
          <w:szCs w:val="17"/>
          <w:color w:val="auto"/>
        </w:rPr>
      </w:pPr>
      <w:r>
        <w:rPr>
          <w:rFonts w:ascii="Arial" w:cs="Arial" w:eastAsia="Arial" w:hAnsi="Arial"/>
          <w:sz w:val="17"/>
          <w:szCs w:val="17"/>
          <w:color w:val="auto"/>
        </w:rPr>
        <w:t>If the registration is a “demand” registration undertaken at the demand of persons other than either the holders of Registrable Securities, (A) first, the shares of Common Stock or other securities for the account of the demanding persons that can be sold without exceeding the Maximum Number of Securities; (B) second, to the extent that the Maximum Number of Securities has not been reached under the foregoing clause (A), the shares of Common Stock or other securities that the Company desires to sell that can be sold without exceeding the Maximum Number of Securities; (C) third, to the extent that the Maximum Number of Securities has not been reached under the foregoing clauses (A) and (B), collectively the shares of Common Stock or other securities comprised of Registrable Securities, Pro Rata, as to which registration has been requested pursuant to the terms hereof, that can be sold without exceeding the Maximum Number of Securities; and (D) fourth, to the extent that the Maximum Number of Securities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Securities.</w:t>
      </w:r>
    </w:p>
    <w:p>
      <w:pPr>
        <w:spacing w:after="0" w:line="112" w:lineRule="exact"/>
        <w:rPr>
          <w:sz w:val="20"/>
          <w:szCs w:val="20"/>
          <w:color w:val="auto"/>
        </w:rPr>
      </w:pPr>
    </w:p>
    <w:p>
      <w:pPr>
        <w:ind w:left="880" w:right="499" w:firstLine="432"/>
        <w:spacing w:after="0" w:line="257"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Withdrawal</w:t>
      </w:r>
      <w:r>
        <w:rPr>
          <w:rFonts w:ascii="Arial" w:cs="Arial" w:eastAsia="Arial" w:hAnsi="Arial"/>
          <w:sz w:val="18"/>
          <w:szCs w:val="18"/>
          <w:color w:val="auto"/>
        </w:rPr>
        <w:t>.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9" w:name="page460"/>
    <w:bookmarkEnd w:id="45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880" w:right="619"/>
        <w:spacing w:after="0" w:line="311" w:lineRule="auto"/>
        <w:rPr>
          <w:sz w:val="20"/>
          <w:szCs w:val="20"/>
          <w:color w:val="auto"/>
        </w:rPr>
      </w:pPr>
      <w:r>
        <w:rPr>
          <w:rFonts w:ascii="Arial" w:cs="Arial" w:eastAsia="Arial" w:hAnsi="Arial"/>
          <w:sz w:val="16"/>
          <w:szCs w:val="16"/>
          <w:color w:val="auto"/>
        </w:rPr>
        <w:t>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w:t>
      </w:r>
    </w:p>
    <w:p>
      <w:pPr>
        <w:spacing w:after="0" w:line="8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Block Trades; Other Coordinated Offerings</w:t>
      </w:r>
      <w:r>
        <w:rPr>
          <w:rFonts w:ascii="Arial" w:cs="Arial" w:eastAsia="Arial" w:hAnsi="Arial"/>
          <w:sz w:val="18"/>
          <w:szCs w:val="18"/>
          <w:color w:val="auto"/>
        </w:rPr>
        <w:t>.</w:t>
      </w:r>
    </w:p>
    <w:p>
      <w:pPr>
        <w:spacing w:after="0" w:line="158" w:lineRule="exact"/>
        <w:rPr>
          <w:sz w:val="20"/>
          <w:szCs w:val="20"/>
          <w:color w:val="auto"/>
        </w:rPr>
      </w:pPr>
    </w:p>
    <w:p>
      <w:pPr>
        <w:ind w:left="880" w:right="579" w:firstLine="432"/>
        <w:spacing w:after="0" w:line="286" w:lineRule="auto"/>
        <w:rPr>
          <w:sz w:val="20"/>
          <w:szCs w:val="20"/>
          <w:color w:val="auto"/>
        </w:rPr>
      </w:pPr>
      <w:r>
        <w:rPr>
          <w:rFonts w:ascii="Arial" w:cs="Arial" w:eastAsia="Arial" w:hAnsi="Arial"/>
          <w:sz w:val="16"/>
          <w:szCs w:val="16"/>
          <w:color w:val="auto"/>
        </w:rPr>
        <w:t xml:space="preserve">2.3.1 Notwithstanding any other provision of this Article II, but subject to </w:t>
      </w:r>
      <w:r>
        <w:rPr>
          <w:rFonts w:ascii="Arial" w:cs="Arial" w:eastAsia="Arial" w:hAnsi="Arial"/>
          <w:sz w:val="16"/>
          <w:szCs w:val="16"/>
          <w:u w:val="single" w:color="auto"/>
          <w:color w:val="auto"/>
        </w:rPr>
        <w:t>Section 3.4</w:t>
      </w:r>
      <w:r>
        <w:rPr>
          <w:rFonts w:ascii="Arial" w:cs="Arial" w:eastAsia="Arial" w:hAnsi="Arial"/>
          <w:sz w:val="16"/>
          <w:szCs w:val="16"/>
          <w:color w:val="auto"/>
        </w:rPr>
        <w:t>, at any time and from time to time when an effective Shelf is on file with the Commission, if a Demanding Holder notifies the Company that such Demanding Holder wishes to engage in (a) an underwritten registered offering not involving a “roadshow,” an offer commonly known as a “block trade” (a “</w:t>
      </w:r>
      <w:r>
        <w:rPr>
          <w:rFonts w:ascii="Arial" w:cs="Arial" w:eastAsia="Arial" w:hAnsi="Arial"/>
          <w:sz w:val="16"/>
          <w:szCs w:val="16"/>
          <w:b w:val="1"/>
          <w:bCs w:val="1"/>
          <w:color w:val="auto"/>
        </w:rPr>
        <w:t>Block Trade</w:t>
      </w:r>
      <w:r>
        <w:rPr>
          <w:rFonts w:ascii="Arial" w:cs="Arial" w:eastAsia="Arial" w:hAnsi="Arial"/>
          <w:sz w:val="16"/>
          <w:szCs w:val="16"/>
          <w:color w:val="auto"/>
        </w:rPr>
        <w:t>”), or</w:t>
      </w:r>
    </w:p>
    <w:p>
      <w:pPr>
        <w:spacing w:after="0" w:line="1" w:lineRule="exact"/>
        <w:rPr>
          <w:sz w:val="20"/>
          <w:szCs w:val="20"/>
          <w:color w:val="auto"/>
        </w:rPr>
      </w:pPr>
    </w:p>
    <w:p>
      <w:pPr>
        <w:ind w:left="880" w:right="479" w:firstLine="6"/>
        <w:spacing w:after="0" w:line="284" w:lineRule="auto"/>
        <w:tabs>
          <w:tab w:leader="none" w:pos="1135" w:val="left"/>
        </w:tabs>
        <w:numPr>
          <w:ilvl w:val="0"/>
          <w:numId w:val="489"/>
        </w:numPr>
        <w:rPr>
          <w:rFonts w:ascii="Arial" w:cs="Arial" w:eastAsia="Arial" w:hAnsi="Arial"/>
          <w:sz w:val="16"/>
          <w:szCs w:val="16"/>
          <w:color w:val="auto"/>
        </w:rPr>
      </w:pPr>
      <w:r>
        <w:rPr>
          <w:rFonts w:ascii="Arial" w:cs="Arial" w:eastAsia="Arial" w:hAnsi="Arial"/>
          <w:sz w:val="16"/>
          <w:szCs w:val="16"/>
          <w:color w:val="auto"/>
        </w:rPr>
        <w:t>an “at the market” or similar registered offering through a broker, sales agent or distribution agent, whether as agent or principal (an “</w:t>
      </w:r>
      <w:r>
        <w:rPr>
          <w:rFonts w:ascii="Arial" w:cs="Arial" w:eastAsia="Arial" w:hAnsi="Arial"/>
          <w:sz w:val="16"/>
          <w:szCs w:val="16"/>
          <w:b w:val="1"/>
          <w:bCs w:val="1"/>
          <w:color w:val="auto"/>
        </w:rPr>
        <w:t>Other Coordinated Offering</w:t>
      </w:r>
      <w:r>
        <w:rPr>
          <w:rFonts w:ascii="Arial" w:cs="Arial" w:eastAsia="Arial" w:hAnsi="Arial"/>
          <w:sz w:val="16"/>
          <w:szCs w:val="16"/>
          <w:color w:val="auto"/>
        </w:rPr>
        <w:t xml:space="preserve">”), in each case, (x) with a total offering price reasonably expected to exceed ten million dollars ($10,000,000) in the aggregate or (y) with respect to all remaining Registrable Securities held by the Demanding Holder, then such Demanding Holder only needs to notify the Company of the Block Trade or Other Coordinated Offering at least five (5) business days prior to the day such offering is to commence and the Company shall, use its reasonable best efforts to facilitate as expeditiously as possible, such Block Trade or Other Coordinated Offering of the Registrable Securities for which such Demanding Holder has requested such offering, without giving any effect to any required notice periods or delivery of notices to any other Holders; provided, that the Demanding Holders representing a majority of the Registrable Securities wishing to engage in the Block Trade or Other Coordinated Offering shall use reasonable best efforts to work with the Company and any Underwriters, brokers, sales agents or placement agents prior to making such request in order to facilitate preparation of the registration statement, prospectus and other offering documentation related to the Block Trade or Other Coordinated Offering. Any offering conducted as a Block Trade or Other Coordinated Offering will not count as an Underwritten Shelf Takedown for the purposes of </w:t>
      </w:r>
      <w:r>
        <w:rPr>
          <w:rFonts w:ascii="Arial" w:cs="Arial" w:eastAsia="Arial" w:hAnsi="Arial"/>
          <w:sz w:val="16"/>
          <w:szCs w:val="16"/>
          <w:u w:val="single" w:color="auto"/>
          <w:color w:val="auto"/>
        </w:rPr>
        <w:t>Section 2.1.4</w:t>
      </w:r>
      <w:r>
        <w:rPr>
          <w:rFonts w:ascii="Arial" w:cs="Arial" w:eastAsia="Arial" w:hAnsi="Arial"/>
          <w:sz w:val="16"/>
          <w:szCs w:val="16"/>
          <w:color w:val="auto"/>
        </w:rPr>
        <w:t>.</w:t>
      </w:r>
    </w:p>
    <w:p>
      <w:pPr>
        <w:spacing w:after="0" w:line="95" w:lineRule="exact"/>
        <w:rPr>
          <w:sz w:val="20"/>
          <w:szCs w:val="20"/>
          <w:color w:val="auto"/>
        </w:rPr>
      </w:pPr>
    </w:p>
    <w:p>
      <w:pPr>
        <w:ind w:left="880" w:right="479" w:firstLine="432"/>
        <w:spacing w:after="0" w:line="271" w:lineRule="auto"/>
        <w:rPr>
          <w:sz w:val="20"/>
          <w:szCs w:val="20"/>
          <w:color w:val="auto"/>
        </w:rPr>
      </w:pPr>
      <w:r>
        <w:rPr>
          <w:rFonts w:ascii="Arial" w:cs="Arial" w:eastAsia="Arial" w:hAnsi="Arial"/>
          <w:sz w:val="17"/>
          <w:szCs w:val="17"/>
          <w:color w:val="auto"/>
        </w:rPr>
        <w:t xml:space="preserve">2.3.2 Prior to the filing of the applicable “red herring” prospectus or prospectus supplement used in connection with a Block Trade or Other Coordinated Offering, a majority-in-interest of the Demanding Holders initiating such Block Trade or Other Coordinated Offering shall have the right to submit a Withdrawal Notice to the Company, the Underwriter or Underwriters (if any) and any brokers, sales agents or placement agents (if any) of their intention to withdraw from such Block Trade or Other Coordinated Offering. Notwithstanding anything to the contrary in this Agreement, the Company shall be responsible for the Registration Expenses incurred in connection with a Block Trade or Other Coordinated Offering prior to its withdrawal under this </w:t>
      </w:r>
      <w:r>
        <w:rPr>
          <w:rFonts w:ascii="Arial" w:cs="Arial" w:eastAsia="Arial" w:hAnsi="Arial"/>
          <w:sz w:val="17"/>
          <w:szCs w:val="17"/>
          <w:u w:val="single" w:color="auto"/>
          <w:color w:val="auto"/>
        </w:rPr>
        <w:t>Section 0</w:t>
      </w:r>
      <w:r>
        <w:rPr>
          <w:rFonts w:ascii="Arial" w:cs="Arial" w:eastAsia="Arial" w:hAnsi="Arial"/>
          <w:sz w:val="17"/>
          <w:szCs w:val="17"/>
          <w:color w:val="auto"/>
        </w:rPr>
        <w:t>.</w:t>
      </w:r>
    </w:p>
    <w:p>
      <w:pPr>
        <w:spacing w:after="0" w:line="111" w:lineRule="exact"/>
        <w:rPr>
          <w:sz w:val="20"/>
          <w:szCs w:val="20"/>
          <w:color w:val="auto"/>
        </w:rPr>
      </w:pPr>
    </w:p>
    <w:p>
      <w:pPr>
        <w:ind w:left="880" w:right="539" w:firstLine="432"/>
        <w:spacing w:after="0" w:line="342" w:lineRule="auto"/>
        <w:rPr>
          <w:sz w:val="20"/>
          <w:szCs w:val="20"/>
          <w:color w:val="auto"/>
        </w:rPr>
      </w:pPr>
      <w:r>
        <w:rPr>
          <w:rFonts w:ascii="Arial" w:cs="Arial" w:eastAsia="Arial" w:hAnsi="Arial"/>
          <w:sz w:val="16"/>
          <w:szCs w:val="16"/>
          <w:color w:val="auto"/>
        </w:rPr>
        <w:t xml:space="preserve">2.3.3 Notwithstanding anything to the contrary in this Agreement,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not apply to a Block Trade or Other Coordinated Offering initiated by a Demanding Holder pursuant to this Agreement.</w:t>
      </w:r>
    </w:p>
    <w:p>
      <w:pPr>
        <w:spacing w:after="0" w:line="56" w:lineRule="exact"/>
        <w:rPr>
          <w:sz w:val="20"/>
          <w:szCs w:val="20"/>
          <w:color w:val="auto"/>
        </w:rPr>
      </w:pPr>
    </w:p>
    <w:p>
      <w:pPr>
        <w:ind w:left="880" w:right="499" w:firstLine="432"/>
        <w:spacing w:after="0" w:line="259" w:lineRule="auto"/>
        <w:rPr>
          <w:sz w:val="20"/>
          <w:szCs w:val="20"/>
          <w:color w:val="auto"/>
        </w:rPr>
      </w:pPr>
      <w:r>
        <w:rPr>
          <w:rFonts w:ascii="Arial" w:cs="Arial" w:eastAsia="Arial" w:hAnsi="Arial"/>
          <w:sz w:val="18"/>
          <w:szCs w:val="18"/>
          <w:color w:val="auto"/>
        </w:rPr>
        <w:t>2.3.4 The Demanding Holder in a Block Trade or Other Coordinated Offering shall have the right to select the Underwriters and any brokers, sales agents or placement agents (if any) for such Block Trade or Other Coordinated Offering (in each case, which shall consist of one or more reputable nationally recognized investment banks).</w:t>
      </w:r>
    </w:p>
    <w:p>
      <w:pPr>
        <w:spacing w:after="0" w:line="106" w:lineRule="exact"/>
        <w:rPr>
          <w:sz w:val="20"/>
          <w:szCs w:val="20"/>
          <w:color w:val="auto"/>
        </w:rPr>
      </w:pPr>
    </w:p>
    <w:p>
      <w:pPr>
        <w:ind w:left="880" w:right="739" w:firstLine="432"/>
        <w:spacing w:after="0" w:line="301" w:lineRule="auto"/>
        <w:rPr>
          <w:sz w:val="20"/>
          <w:szCs w:val="20"/>
          <w:color w:val="auto"/>
        </w:rPr>
      </w:pPr>
      <w:r>
        <w:rPr>
          <w:rFonts w:ascii="Arial" w:cs="Arial" w:eastAsia="Arial" w:hAnsi="Arial"/>
          <w:sz w:val="16"/>
          <w:szCs w:val="16"/>
          <w:color w:val="auto"/>
        </w:rPr>
        <w:t xml:space="preserve">2.3.5 A Demanding Holder in the aggregate may demand no more than two (2) Block Trades or Other Coordinated Offerings pursuant to this Section 0 in any twelve (12) month period. For the avoidance of doubt, any Block Trade or Other Coordinated Offering effected pursuant to this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shall not be counted as a demand for an Underwritten Shelf Takedown pursuant to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hereof.</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 REGISTRATION PROCEDURES.</w:t>
      </w:r>
    </w:p>
    <w:p>
      <w:pPr>
        <w:spacing w:after="0" w:line="158" w:lineRule="exact"/>
        <w:rPr>
          <w:sz w:val="20"/>
          <w:szCs w:val="20"/>
          <w:color w:val="auto"/>
        </w:rPr>
      </w:pPr>
    </w:p>
    <w:p>
      <w:pPr>
        <w:ind w:left="460" w:right="539" w:firstLine="864"/>
        <w:spacing w:after="0" w:line="31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 Procedures</w:t>
      </w:r>
      <w:r>
        <w:rPr>
          <w:rFonts w:ascii="Arial" w:cs="Arial" w:eastAsia="Arial" w:hAnsi="Arial"/>
          <w:sz w:val="16"/>
          <w:szCs w:val="16"/>
          <w:color w:val="auto"/>
        </w:rPr>
        <w:t>. In connection with any Shelf and/or Shelf Takedown, the Company shall use its commercially reasonable efforts to effect such Registration to permit the sale of such Registrable Securities in accordance with the intended plan of distribution thereof, and pursuant thereto the Company shall:</w:t>
      </w:r>
    </w:p>
    <w:p>
      <w:pPr>
        <w:spacing w:after="0" w:line="68" w:lineRule="exact"/>
        <w:rPr>
          <w:sz w:val="20"/>
          <w:szCs w:val="20"/>
          <w:color w:val="auto"/>
        </w:rPr>
      </w:pPr>
    </w:p>
    <w:p>
      <w:pPr>
        <w:ind w:left="880" w:right="679" w:firstLine="432"/>
        <w:spacing w:after="0" w:line="275" w:lineRule="auto"/>
        <w:rPr>
          <w:sz w:val="20"/>
          <w:szCs w:val="20"/>
          <w:color w:val="auto"/>
        </w:rPr>
      </w:pPr>
      <w:r>
        <w:rPr>
          <w:rFonts w:ascii="Arial" w:cs="Arial" w:eastAsia="Arial" w:hAnsi="Arial"/>
          <w:sz w:val="17"/>
          <w:szCs w:val="17"/>
          <w:color w:val="auto"/>
        </w:rPr>
        <w:t>3.1.1 prepare and file with the Commission as soon as practicable a Registration Statement with respect to such Registrable Securities and use its commercially reasonable efforts to cause such Registration Statement to become effective and remain effective until all Registrable Securities covered by such Registration Statement are sold in accordance with the intended plan of distribution set forth in such Registration Statement or have ceased to be Registrable Securities;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0" w:name="page461"/>
    <w:bookmarkEnd w:id="46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right="499" w:firstLine="432"/>
        <w:spacing w:after="0" w:line="290" w:lineRule="auto"/>
        <w:rPr>
          <w:sz w:val="20"/>
          <w:szCs w:val="20"/>
          <w:color w:val="auto"/>
        </w:rPr>
      </w:pPr>
      <w:r>
        <w:rPr>
          <w:rFonts w:ascii="Arial" w:cs="Arial" w:eastAsia="Arial" w:hAnsi="Arial"/>
          <w:sz w:val="16"/>
          <w:szCs w:val="16"/>
          <w:color w:val="auto"/>
        </w:rPr>
        <w:t>3.1.2 prepare and file with the Commission such amendments and post-effective amendments to the Registration Statement, and such supplements to the Prospectus, as may be reasonably requested by any Holder that holds at least five percent (5%) of the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 or have ceased to be Registrable Securities;</w:t>
      </w:r>
    </w:p>
    <w:p>
      <w:pPr>
        <w:spacing w:after="0" w:line="98" w:lineRule="exact"/>
        <w:rPr>
          <w:sz w:val="20"/>
          <w:szCs w:val="20"/>
          <w:color w:val="auto"/>
        </w:rPr>
      </w:pPr>
    </w:p>
    <w:p>
      <w:pPr>
        <w:ind w:left="880" w:right="579" w:firstLine="432"/>
        <w:spacing w:after="0" w:line="287" w:lineRule="auto"/>
        <w:rPr>
          <w:sz w:val="20"/>
          <w:szCs w:val="20"/>
          <w:color w:val="auto"/>
        </w:rPr>
      </w:pPr>
      <w:r>
        <w:rPr>
          <w:rFonts w:ascii="Arial" w:cs="Arial" w:eastAsia="Arial" w:hAnsi="Arial"/>
          <w:sz w:val="16"/>
          <w:szCs w:val="16"/>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reasonably request in order to facilitate the disposition of the Registrable Securities owned by such Holders; provided that the Company shall have no obligation to furnish any documents publicly filed or furnished with the Commission pursuant to the Electronic Data Gathering, Analysis and Retrieval System (“</w:t>
      </w:r>
      <w:r>
        <w:rPr>
          <w:rFonts w:ascii="Arial" w:cs="Arial" w:eastAsia="Arial" w:hAnsi="Arial"/>
          <w:sz w:val="16"/>
          <w:szCs w:val="16"/>
          <w:b w:val="1"/>
          <w:bCs w:val="1"/>
          <w:u w:val="single" w:color="auto"/>
          <w:color w:val="auto"/>
        </w:rPr>
        <w:t>EDGAR</w:t>
      </w:r>
      <w:r>
        <w:rPr>
          <w:rFonts w:ascii="Arial" w:cs="Arial" w:eastAsia="Arial" w:hAnsi="Arial"/>
          <w:sz w:val="16"/>
          <w:szCs w:val="16"/>
          <w:color w:val="auto"/>
        </w:rPr>
        <w:t>”);</w:t>
      </w:r>
    </w:p>
    <w:p>
      <w:pPr>
        <w:spacing w:after="0" w:line="104" w:lineRule="exact"/>
        <w:rPr>
          <w:sz w:val="20"/>
          <w:szCs w:val="20"/>
          <w:color w:val="auto"/>
        </w:rPr>
      </w:pPr>
    </w:p>
    <w:p>
      <w:pPr>
        <w:ind w:left="880" w:right="479" w:firstLine="432"/>
        <w:spacing w:after="0" w:line="268" w:lineRule="auto"/>
        <w:rPr>
          <w:sz w:val="20"/>
          <w:szCs w:val="20"/>
          <w:color w:val="auto"/>
        </w:rPr>
      </w:pPr>
      <w:r>
        <w:rPr>
          <w:rFonts w:ascii="Arial" w:cs="Arial" w:eastAsia="Arial" w:hAnsi="Arial"/>
          <w:sz w:val="17"/>
          <w:szCs w:val="17"/>
          <w:color w:val="auto"/>
        </w:rPr>
        <w:t>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03" w:lineRule="exact"/>
        <w:rPr>
          <w:sz w:val="20"/>
          <w:szCs w:val="20"/>
          <w:color w:val="auto"/>
        </w:rPr>
      </w:pPr>
    </w:p>
    <w:p>
      <w:pPr>
        <w:ind w:left="880" w:right="939" w:firstLine="432"/>
        <w:spacing w:after="0" w:line="277" w:lineRule="auto"/>
        <w:rPr>
          <w:sz w:val="20"/>
          <w:szCs w:val="20"/>
          <w:color w:val="auto"/>
        </w:rPr>
      </w:pPr>
      <w:r>
        <w:rPr>
          <w:rFonts w:ascii="Arial" w:cs="Arial" w:eastAsia="Arial" w:hAnsi="Arial"/>
          <w:sz w:val="18"/>
          <w:szCs w:val="18"/>
          <w:color w:val="auto"/>
        </w:rPr>
        <w:t>3.1.5 cause all such Registrable Securities to be listed on each national securities exchange on which similar securities issued by the Company are then listed;</w:t>
      </w:r>
    </w:p>
    <w:p>
      <w:pPr>
        <w:spacing w:after="0" w:line="103" w:lineRule="exact"/>
        <w:rPr>
          <w:sz w:val="20"/>
          <w:szCs w:val="20"/>
          <w:color w:val="auto"/>
        </w:rPr>
      </w:pPr>
    </w:p>
    <w:p>
      <w:pPr>
        <w:ind w:left="880" w:right="639" w:firstLine="432"/>
        <w:spacing w:after="0" w:line="277" w:lineRule="auto"/>
        <w:rPr>
          <w:sz w:val="20"/>
          <w:szCs w:val="20"/>
          <w:color w:val="auto"/>
        </w:rPr>
      </w:pPr>
      <w:r>
        <w:rPr>
          <w:rFonts w:ascii="Arial" w:cs="Arial" w:eastAsia="Arial" w:hAnsi="Arial"/>
          <w:sz w:val="18"/>
          <w:szCs w:val="18"/>
          <w:color w:val="auto"/>
        </w:rPr>
        <w:t>3.1.6 provide a transfer agent or warrant agent, as applicable, and registrar for all such Registrable Securities no later than the effective date of such Registration Statement;</w:t>
      </w:r>
    </w:p>
    <w:p>
      <w:pPr>
        <w:spacing w:after="0" w:line="103" w:lineRule="exact"/>
        <w:rPr>
          <w:sz w:val="20"/>
          <w:szCs w:val="20"/>
          <w:color w:val="auto"/>
        </w:rPr>
      </w:pPr>
    </w:p>
    <w:p>
      <w:pPr>
        <w:ind w:left="880" w:right="539" w:firstLine="432"/>
        <w:spacing w:after="0" w:line="275" w:lineRule="auto"/>
        <w:rPr>
          <w:sz w:val="20"/>
          <w:szCs w:val="20"/>
          <w:color w:val="auto"/>
        </w:rPr>
      </w:pPr>
      <w:r>
        <w:rPr>
          <w:rFonts w:ascii="Arial" w:cs="Arial" w:eastAsia="Arial" w:hAnsi="Arial"/>
          <w:sz w:val="17"/>
          <w:szCs w:val="17"/>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95" w:lineRule="exact"/>
        <w:rPr>
          <w:sz w:val="20"/>
          <w:szCs w:val="20"/>
          <w:color w:val="auto"/>
        </w:rPr>
      </w:pPr>
    </w:p>
    <w:p>
      <w:pPr>
        <w:ind w:left="880" w:right="519" w:firstLine="432"/>
        <w:spacing w:after="0" w:line="291" w:lineRule="auto"/>
        <w:rPr>
          <w:sz w:val="20"/>
          <w:szCs w:val="20"/>
          <w:color w:val="auto"/>
        </w:rPr>
      </w:pPr>
      <w:r>
        <w:rPr>
          <w:rFonts w:ascii="Arial" w:cs="Arial" w:eastAsia="Arial" w:hAnsi="Arial"/>
          <w:sz w:val="16"/>
          <w:szCs w:val="16"/>
          <w:color w:val="auto"/>
        </w:rPr>
        <w:t>3.1.8 at least five (5) days prior to the filing of any Registration Statement or Prospectus or any amendment or supplement to such Registration Statement or Prospectus (or such shorter period of time as may be (a) necessary in order to comply with the Securities Act, the Exchange Act, and the rules and regulations promulgated under the Securities Act or Exchange Act, as applicable or (b) advisable in order to reduce the number of days that sales are suspended pursuant to Section 0), furnish a copy thereof to each seller of such Registrable Securities or its counsel (excluding any exhibits thereto and any filing made under the Exchange Act that is to be incorporated by reference therein);</w:t>
      </w:r>
    </w:p>
    <w:p>
      <w:pPr>
        <w:spacing w:after="0" w:line="99" w:lineRule="exact"/>
        <w:rPr>
          <w:sz w:val="20"/>
          <w:szCs w:val="20"/>
          <w:color w:val="auto"/>
        </w:rPr>
      </w:pPr>
    </w:p>
    <w:p>
      <w:pPr>
        <w:ind w:left="880" w:right="499" w:firstLine="432"/>
        <w:spacing w:after="0" w:line="259" w:lineRule="auto"/>
        <w:rPr>
          <w:sz w:val="20"/>
          <w:szCs w:val="20"/>
          <w:color w:val="auto"/>
        </w:rPr>
      </w:pPr>
      <w:r>
        <w:rPr>
          <w:rFonts w:ascii="Arial" w:cs="Arial" w:eastAsia="Arial" w:hAnsi="Arial"/>
          <w:sz w:val="18"/>
          <w:szCs w:val="18"/>
          <w:color w:val="auto"/>
        </w:rPr>
        <w:t>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Section 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1" w:name="page462"/>
    <w:bookmarkEnd w:id="46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right="499" w:firstLine="432"/>
        <w:spacing w:after="0" w:line="269" w:lineRule="auto"/>
        <w:rPr>
          <w:sz w:val="20"/>
          <w:szCs w:val="20"/>
          <w:color w:val="auto"/>
        </w:rPr>
      </w:pPr>
      <w:r>
        <w:rPr>
          <w:rFonts w:ascii="Arial" w:cs="Arial" w:eastAsia="Arial" w:hAnsi="Arial"/>
          <w:sz w:val="17"/>
          <w:szCs w:val="17"/>
          <w:color w:val="auto"/>
        </w:rPr>
        <w:t>3.1.10 in the event of an Underwritten Offering, a Block Trade, an Other Coordinated Offering, or sale by a broker, placement agent or sales agent pursuant to such Registration, in each of the following cases to the extent customary for a transaction of its type, permit a representative of the Holders, the Underwriters or other financial institutions facilitating such Underwritten Offering, Block Trade, Other Coordinated Offering or other sale pursuant to such Registration, if any, and any attorney, consultant or accountant retained by such Holders or Underwriter to participate, at each such person’s or entity’s own expense, in the preparation of the Registration Statement, and cause the Company’s officers, directors and employees to supply all information reasonably requested by any such representative, Underwriter, financial institution, attorney, consultant or accountant in connection with the Registration; provided, however, that such representatives, Underwriters or financial institutions agree to confidentiality arrangements in form and substance reasonably satisfactory to the Company, prior to the release or disclosure of any such information;</w:t>
      </w:r>
    </w:p>
    <w:p>
      <w:pPr>
        <w:spacing w:after="0" w:line="111" w:lineRule="exact"/>
        <w:rPr>
          <w:sz w:val="20"/>
          <w:szCs w:val="20"/>
          <w:color w:val="auto"/>
        </w:rPr>
      </w:pPr>
    </w:p>
    <w:p>
      <w:pPr>
        <w:ind w:left="880" w:right="499" w:firstLine="432"/>
        <w:spacing w:after="0" w:line="271" w:lineRule="auto"/>
        <w:rPr>
          <w:sz w:val="20"/>
          <w:szCs w:val="20"/>
          <w:color w:val="auto"/>
        </w:rPr>
      </w:pPr>
      <w:r>
        <w:rPr>
          <w:rFonts w:ascii="Arial" w:cs="Arial" w:eastAsia="Arial" w:hAnsi="Arial"/>
          <w:sz w:val="17"/>
          <w:szCs w:val="17"/>
          <w:color w:val="auto"/>
        </w:rPr>
        <w:t>3.1.11 obtain a “comfort” letter from the Company’s independent registered public accountants in the event of an Underwritten Offering, a Block Trade, an Other Coordinated Offering or sale by a broker, placement agent or sales agent pursuant to such Registration (subject to such broker, placement agent or sales agent providing such certification or representation reasonably requested by the Company’s independent registered public accountants and the Company’s counsel) in customary form and covering such matters of the type customarily covered by “comfort” letters for a transaction of its type as the managing Underwriter may reasonably request, and reasonably satisfactory to a majority-in-interest of the participating Holders;</w:t>
      </w:r>
    </w:p>
    <w:p>
      <w:pPr>
        <w:spacing w:after="0" w:line="111" w:lineRule="exact"/>
        <w:rPr>
          <w:sz w:val="20"/>
          <w:szCs w:val="20"/>
          <w:color w:val="auto"/>
        </w:rPr>
      </w:pPr>
    </w:p>
    <w:p>
      <w:pPr>
        <w:ind w:left="880" w:right="499" w:firstLine="432"/>
        <w:spacing w:after="0" w:line="270" w:lineRule="auto"/>
        <w:rPr>
          <w:sz w:val="20"/>
          <w:szCs w:val="20"/>
          <w:color w:val="auto"/>
        </w:rPr>
      </w:pPr>
      <w:r>
        <w:rPr>
          <w:rFonts w:ascii="Arial" w:cs="Arial" w:eastAsia="Arial" w:hAnsi="Arial"/>
          <w:sz w:val="17"/>
          <w:szCs w:val="17"/>
          <w:color w:val="auto"/>
        </w:rPr>
        <w:t>3.1.12 in the event of an Underwritten Offering, a Block Trade, an Other Coordinated Offering or sale by a broker, placement agent or sales agent pursuant to such Registration, on the date the Registrable Securities are delivered for sale pursuant to such Registration, to the extent customary for a transaction of its type, obtain an opinion, dated such date, of counsel representing the Company for the purposes of such Registration, addressed to the participating Holders, the broker, placement agents or sales agent, if any, and the Underwriters, if any, covering such legal matters with respect to the Registration in respect of which such opinion is being given as the participating Holders, broker, placement agent, sales agent or Underwriter may reasonably request and as are customarily included in such opinions and negative assurance letters;</w:t>
      </w:r>
    </w:p>
    <w:p>
      <w:pPr>
        <w:spacing w:after="0" w:line="100" w:lineRule="exact"/>
        <w:rPr>
          <w:sz w:val="20"/>
          <w:szCs w:val="20"/>
          <w:color w:val="auto"/>
        </w:rPr>
      </w:pPr>
    </w:p>
    <w:p>
      <w:pPr>
        <w:ind w:left="880" w:right="599" w:firstLine="432"/>
        <w:spacing w:after="0" w:line="301" w:lineRule="auto"/>
        <w:rPr>
          <w:sz w:val="20"/>
          <w:szCs w:val="20"/>
          <w:color w:val="auto"/>
        </w:rPr>
      </w:pPr>
      <w:r>
        <w:rPr>
          <w:rFonts w:ascii="Arial" w:cs="Arial" w:eastAsia="Arial" w:hAnsi="Arial"/>
          <w:sz w:val="16"/>
          <w:szCs w:val="16"/>
          <w:color w:val="auto"/>
        </w:rPr>
        <w:t>3.1.13 in the event of any Underwritten Offering, a Block Trade, an Other Coordinated Offering or sale by a broker, placement agent or sales agent pursuant to such Registration, enter into and perform its obligations under an underwriting or other purchase or sales agreement, in usual and customary form, with the managing Underwriter or the broker, placement agent or sales agent of such offering or sale;</w:t>
      </w:r>
    </w:p>
    <w:p>
      <w:pPr>
        <w:spacing w:after="0" w:line="90" w:lineRule="exact"/>
        <w:rPr>
          <w:sz w:val="20"/>
          <w:szCs w:val="20"/>
          <w:color w:val="auto"/>
        </w:rPr>
      </w:pPr>
    </w:p>
    <w:p>
      <w:pPr>
        <w:ind w:left="880" w:right="559" w:firstLine="432"/>
        <w:spacing w:after="0" w:line="257" w:lineRule="auto"/>
        <w:rPr>
          <w:sz w:val="20"/>
          <w:szCs w:val="20"/>
          <w:color w:val="auto"/>
        </w:rPr>
      </w:pPr>
      <w:r>
        <w:rPr>
          <w:rFonts w:ascii="Arial" w:cs="Arial" w:eastAsia="Arial" w:hAnsi="Arial"/>
          <w:sz w:val="18"/>
          <w:szCs w:val="18"/>
          <w:color w:val="auto"/>
        </w:rPr>
        <w:t>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then in effect);</w:t>
      </w:r>
    </w:p>
    <w:p>
      <w:pPr>
        <w:spacing w:after="0" w:line="120" w:lineRule="exact"/>
        <w:rPr>
          <w:sz w:val="20"/>
          <w:szCs w:val="20"/>
          <w:color w:val="auto"/>
        </w:rPr>
      </w:pPr>
    </w:p>
    <w:p>
      <w:pPr>
        <w:ind w:left="880" w:right="539" w:firstLine="432"/>
        <w:spacing w:after="0" w:line="259" w:lineRule="auto"/>
        <w:rPr>
          <w:sz w:val="20"/>
          <w:szCs w:val="20"/>
          <w:color w:val="auto"/>
        </w:rPr>
      </w:pPr>
      <w:r>
        <w:rPr>
          <w:rFonts w:ascii="Arial" w:cs="Arial" w:eastAsia="Arial" w:hAnsi="Arial"/>
          <w:sz w:val="18"/>
          <w:szCs w:val="18"/>
          <w:color w:val="auto"/>
        </w:rPr>
        <w:t xml:space="preserve">3.1.15 with respect to an Underwritten Offering pursuant to </w:t>
      </w:r>
      <w:r>
        <w:rPr>
          <w:rFonts w:ascii="Arial" w:cs="Arial" w:eastAsia="Arial" w:hAnsi="Arial"/>
          <w:sz w:val="18"/>
          <w:szCs w:val="18"/>
          <w:u w:val="single" w:color="auto"/>
          <w:color w:val="auto"/>
        </w:rPr>
        <w:t>Section 0</w:t>
      </w:r>
      <w:r>
        <w:rPr>
          <w:rFonts w:ascii="Arial" w:cs="Arial" w:eastAsia="Arial" w:hAnsi="Arial"/>
          <w:sz w:val="18"/>
          <w:szCs w:val="18"/>
          <w:color w:val="auto"/>
        </w:rPr>
        <w:t>, use its commercially reasonable efforts to make available senior executives of the Company to participate in customary “road show” presentations that may be reasonably requested by the Underwriter in such Underwritten Offering; and</w:t>
      </w:r>
    </w:p>
    <w:p>
      <w:pPr>
        <w:spacing w:after="0" w:line="106" w:lineRule="exact"/>
        <w:rPr>
          <w:sz w:val="20"/>
          <w:szCs w:val="20"/>
          <w:color w:val="auto"/>
        </w:rPr>
      </w:pPr>
    </w:p>
    <w:p>
      <w:pPr>
        <w:ind w:left="880" w:right="559" w:firstLine="432"/>
        <w:spacing w:after="0" w:line="263" w:lineRule="auto"/>
        <w:rPr>
          <w:sz w:val="20"/>
          <w:szCs w:val="20"/>
          <w:color w:val="auto"/>
        </w:rPr>
      </w:pPr>
      <w:r>
        <w:rPr>
          <w:rFonts w:ascii="Arial" w:cs="Arial" w:eastAsia="Arial" w:hAnsi="Arial"/>
          <w:sz w:val="18"/>
          <w:szCs w:val="18"/>
          <w:color w:val="auto"/>
        </w:rPr>
        <w:t>3.1.16 otherwise, in good faith, cooperate reasonably with, and take such customary actions as may reasonably be requested by the participating Holders, consistent with the terms of this Agreement, in connection with such Registration.</w:t>
      </w:r>
    </w:p>
    <w:p>
      <w:pPr>
        <w:spacing w:after="0" w:line="116" w:lineRule="exact"/>
        <w:rPr>
          <w:sz w:val="20"/>
          <w:szCs w:val="20"/>
          <w:color w:val="auto"/>
        </w:rPr>
      </w:pPr>
    </w:p>
    <w:p>
      <w:pPr>
        <w:ind w:left="880" w:right="499"/>
        <w:spacing w:after="0" w:line="257" w:lineRule="auto"/>
        <w:rPr>
          <w:sz w:val="20"/>
          <w:szCs w:val="20"/>
          <w:color w:val="auto"/>
        </w:rPr>
      </w:pPr>
      <w:r>
        <w:rPr>
          <w:rFonts w:ascii="Arial" w:cs="Arial" w:eastAsia="Arial" w:hAnsi="Arial"/>
          <w:sz w:val="18"/>
          <w:szCs w:val="18"/>
          <w:color w:val="auto"/>
        </w:rPr>
        <w:t>Notwithstanding the foregoing, the Company shall not be required to provide any documents or information to an Underwriter, broker, sales agent or placement agent if such Underwriter, broker, sales agent or placement agent has not then been named with respect to the applicable Underwritten Offering or other offering involving a registration as an Underwriter, broker, sales agent or placement agent, as applicable.</w:t>
      </w:r>
    </w:p>
    <w:p>
      <w:pPr>
        <w:spacing w:after="0" w:line="120" w:lineRule="exact"/>
        <w:rPr>
          <w:sz w:val="20"/>
          <w:szCs w:val="20"/>
          <w:color w:val="auto"/>
        </w:rPr>
      </w:pPr>
    </w:p>
    <w:p>
      <w:pPr>
        <w:ind w:left="460" w:right="559" w:firstLine="864"/>
        <w:spacing w:after="0" w:line="275"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fees and expenses of any legal counsel representing the Holders.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2" w:name="page463"/>
    <w:bookmarkEnd w:id="46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864"/>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Requirements for Participation in Registration Statement in Offerings</w:t>
      </w:r>
      <w:r>
        <w:rPr>
          <w:rFonts w:ascii="Arial" w:cs="Arial" w:eastAsia="Arial" w:hAnsi="Arial"/>
          <w:sz w:val="16"/>
          <w:szCs w:val="16"/>
          <w:color w:val="auto"/>
        </w:rPr>
        <w:t>. Notwithstanding anything in this Agreement to the contrary, if any Holder does not provide the Company with its requested Holder Information, the Company may exclude such Holder’s Registrable Securities from the applicable Registration Statement or Prospectus if the Company determines, based on the advice of counsel, that it is necessary or advisable to include such information in the applicable Registration Statement or Prospectus and such Holder continues thereafter to withhold such information. In addition, no person or entity may participate in any Underwritten Offering or other offering for equity securities of the Company pursuant to a Registration initiated by the Company hereunder unless such person or entity (i) agrees to sell such person’s or entity’s securities on the basis provided in any underwriting, sales, distribution or placement arrangements approved by the Company and (ii) completes and executes all customary questionnaires, powers of attorney, indemnities, agreements, underwriting or other agreements and other customary documents as may be reasonably required under the terms of such underwriting, sales, distribution or placement arrangements. For the avoidance of doubt, the exclusion of a Holder’s Registrable Securities as a result of this Section 0 shall not affect the registration of the other Registrable Securities to be included in such Registration.</w:t>
      </w:r>
    </w:p>
    <w:p>
      <w:pPr>
        <w:spacing w:after="0" w:line="10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Suspension of Sales; Adverse Disclosure; Restrictions on Registration Rights</w:t>
      </w:r>
      <w:r>
        <w:rPr>
          <w:rFonts w:ascii="Arial" w:cs="Arial" w:eastAsia="Arial" w:hAnsi="Arial"/>
          <w:sz w:val="18"/>
          <w:szCs w:val="18"/>
          <w:color w:val="auto"/>
        </w:rPr>
        <w:t>.</w:t>
      </w:r>
    </w:p>
    <w:p>
      <w:pPr>
        <w:spacing w:after="0" w:line="158" w:lineRule="exact"/>
        <w:rPr>
          <w:sz w:val="20"/>
          <w:szCs w:val="20"/>
          <w:color w:val="auto"/>
        </w:rPr>
      </w:pPr>
    </w:p>
    <w:p>
      <w:pPr>
        <w:ind w:left="880" w:right="579" w:firstLine="432"/>
        <w:spacing w:after="0" w:line="293" w:lineRule="auto"/>
        <w:rPr>
          <w:sz w:val="20"/>
          <w:szCs w:val="20"/>
          <w:color w:val="auto"/>
        </w:rPr>
      </w:pPr>
      <w:r>
        <w:rPr>
          <w:rFonts w:ascii="Arial" w:cs="Arial" w:eastAsia="Arial" w:hAnsi="Arial"/>
          <w:sz w:val="16"/>
          <w:szCs w:val="16"/>
          <w:color w:val="auto"/>
        </w:rPr>
        <w:t>3.4.1 Upon receipt of written notice from the Company that a Registration Statement or Prospectus contains a Misstatement, each of the Holders shall forthwith discontinue disposition of Registrable Securities until it has received copies of a supplemented or amended Prospectus correcting the Misstatement (it being understood that the Company hereby covenants to prepare and file such supplement or amendment as soon as reasonably practicable after the time of such notice), or until it is advised in writing by the Company that the use of the Prospectus may be resumed.</w:t>
      </w:r>
    </w:p>
    <w:p>
      <w:pPr>
        <w:spacing w:after="0" w:line="83" w:lineRule="exact"/>
        <w:rPr>
          <w:sz w:val="20"/>
          <w:szCs w:val="20"/>
          <w:color w:val="auto"/>
        </w:rPr>
      </w:pPr>
    </w:p>
    <w:p>
      <w:pPr>
        <w:ind w:left="880" w:right="559" w:firstLine="432"/>
        <w:spacing w:after="0" w:line="286" w:lineRule="auto"/>
        <w:rPr>
          <w:sz w:val="20"/>
          <w:szCs w:val="20"/>
          <w:color w:val="auto"/>
        </w:rPr>
      </w:pPr>
      <w:r>
        <w:rPr>
          <w:rFonts w:ascii="Arial" w:cs="Arial" w:eastAsia="Arial" w:hAnsi="Arial"/>
          <w:sz w:val="16"/>
          <w:szCs w:val="16"/>
          <w:color w:val="auto"/>
        </w:rPr>
        <w:t xml:space="preserve">3.4.2 Subject to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if the filing, initial effectiveness or continued use of a Registration Statement in respect of any Registration at any time would (a) require the Company to make an Adverse Disclosure, (b) require the inclusion in such Registration Statement of financial statements that are unavailable to the Company for reasons beyond the Company’s control, or (c) in the good faith judgment of the majority of the Board such Registration, be seriously detrimental to the Company and the majority of the Board concludes as a result that it is essential to defer such filing, initial effectiveness or continued use at such time, the Company may, upon giving prompt written notice of such action to the Holders (which notice shall not specify the nature of the event giving rise to such delay or suspension), delay the filing or initial effectiveness of, or suspend use of, such Registration Statement for the shortest period of time determined in good faith by the Company to be necessary for such purpose. In the event the Company exercises its rights under this </w:t>
      </w:r>
      <w:r>
        <w:rPr>
          <w:rFonts w:ascii="Arial" w:cs="Arial" w:eastAsia="Arial" w:hAnsi="Arial"/>
          <w:sz w:val="16"/>
          <w:szCs w:val="16"/>
          <w:u w:val="single" w:color="auto"/>
          <w:color w:val="auto"/>
        </w:rPr>
        <w:t>Section 0</w:t>
      </w:r>
      <w:r>
        <w:rPr>
          <w:rFonts w:ascii="Arial" w:cs="Arial" w:eastAsia="Arial" w:hAnsi="Arial"/>
          <w:sz w:val="16"/>
          <w:szCs w:val="16"/>
          <w:color w:val="auto"/>
        </w:rPr>
        <w:t>, the Holders agree to suspend, immediately upon their receipt of the notice referred to above, their use of the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w:t>
      </w:r>
    </w:p>
    <w:p>
      <w:pPr>
        <w:spacing w:after="0" w:line="100" w:lineRule="exact"/>
        <w:rPr>
          <w:sz w:val="20"/>
          <w:szCs w:val="20"/>
          <w:color w:val="auto"/>
        </w:rPr>
      </w:pPr>
    </w:p>
    <w:p>
      <w:pPr>
        <w:ind w:left="880" w:right="639" w:firstLine="432"/>
        <w:spacing w:after="0" w:line="291" w:lineRule="auto"/>
        <w:rPr>
          <w:sz w:val="20"/>
          <w:szCs w:val="20"/>
          <w:color w:val="auto"/>
        </w:rPr>
      </w:pPr>
      <w:r>
        <w:rPr>
          <w:rFonts w:ascii="Arial" w:cs="Arial" w:eastAsia="Arial" w:hAnsi="Arial"/>
          <w:sz w:val="16"/>
          <w:szCs w:val="16"/>
          <w:color w:val="auto"/>
        </w:rPr>
        <w:t xml:space="preserve">3.4.3 Subject to </w:t>
      </w:r>
      <w:r>
        <w:rPr>
          <w:rFonts w:ascii="Arial" w:cs="Arial" w:eastAsia="Arial" w:hAnsi="Arial"/>
          <w:sz w:val="16"/>
          <w:szCs w:val="16"/>
          <w:u w:val="single" w:color="auto"/>
          <w:color w:val="auto"/>
        </w:rPr>
        <w:t>Section 0</w:t>
      </w:r>
      <w:r>
        <w:rPr>
          <w:rFonts w:ascii="Arial" w:cs="Arial" w:eastAsia="Arial" w:hAnsi="Arial"/>
          <w:sz w:val="16"/>
          <w:szCs w:val="16"/>
          <w:color w:val="auto"/>
        </w:rPr>
        <w:t>, (a) during the period starting with the date sixty (60) days prior to the Company’s good faith estimate of the date of the filing of, and ending on a date one hundred and twenty</w:t>
      </w:r>
    </w:p>
    <w:p>
      <w:pPr>
        <w:ind w:left="880" w:right="539" w:firstLine="6"/>
        <w:spacing w:after="0" w:line="252" w:lineRule="auto"/>
        <w:tabs>
          <w:tab w:leader="none" w:pos="1315" w:val="left"/>
        </w:tabs>
        <w:numPr>
          <w:ilvl w:val="0"/>
          <w:numId w:val="490"/>
        </w:numPr>
        <w:rPr>
          <w:rFonts w:ascii="Arial" w:cs="Arial" w:eastAsia="Arial" w:hAnsi="Arial"/>
          <w:sz w:val="18"/>
          <w:szCs w:val="18"/>
          <w:color w:val="auto"/>
        </w:rPr>
      </w:pPr>
      <w:r>
        <w:rPr>
          <w:rFonts w:ascii="Arial" w:cs="Arial" w:eastAsia="Arial" w:hAnsi="Arial"/>
          <w:sz w:val="18"/>
          <w:szCs w:val="18"/>
          <w:color w:val="auto"/>
        </w:rPr>
        <w:t xml:space="preserve">days after the effective date of, a Company-initiated Registration and provided that the Company continues to actively employ, in good faith, all commercially reasonable efforts to maintain the effectiveness of the applicable Shelf Registration Statement, or (b) if, pursuant to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Holders have requested an Underwritten Shelf Takedown and the Company and Holders are unable to obtain the commitment of underwriters to firmly underwrite such offering, the Company may, upon giving prompt written notice of such action to the Holders, delay any other registered offering pursuant to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0</w:t>
      </w:r>
      <w:r>
        <w:rPr>
          <w:rFonts w:ascii="Arial" w:cs="Arial" w:eastAsia="Arial" w:hAnsi="Arial"/>
          <w:sz w:val="18"/>
          <w:szCs w:val="18"/>
          <w:color w:val="auto"/>
        </w:rPr>
        <w:t>.</w:t>
      </w:r>
    </w:p>
    <w:p>
      <w:pPr>
        <w:spacing w:after="0" w:line="125" w:lineRule="exact"/>
        <w:rPr>
          <w:sz w:val="20"/>
          <w:szCs w:val="20"/>
          <w:color w:val="auto"/>
        </w:rPr>
      </w:pPr>
    </w:p>
    <w:p>
      <w:pPr>
        <w:ind w:left="880" w:right="479" w:firstLine="432"/>
        <w:spacing w:after="0" w:line="301" w:lineRule="auto"/>
        <w:rPr>
          <w:sz w:val="20"/>
          <w:szCs w:val="20"/>
          <w:color w:val="auto"/>
        </w:rPr>
      </w:pPr>
      <w:r>
        <w:rPr>
          <w:rFonts w:ascii="Arial" w:cs="Arial" w:eastAsia="Arial" w:hAnsi="Arial"/>
          <w:sz w:val="16"/>
          <w:szCs w:val="16"/>
          <w:color w:val="auto"/>
        </w:rPr>
        <w:t xml:space="preserve">3.4.4 The right to delay or suspend any filing, initial effectiveness or continued use of a Registration Statement pursuant to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or a registered offering pursuant to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shall be exercised by the Company, in the aggregate, for not more than ninety (90) consecutive calendar days or more than one hundred and twenty (120) total calendar days in each case, during any twelve (12)-month period.</w:t>
      </w:r>
    </w:p>
    <w:p>
      <w:pPr>
        <w:spacing w:after="0" w:line="76" w:lineRule="exact"/>
        <w:rPr>
          <w:sz w:val="20"/>
          <w:szCs w:val="20"/>
          <w:color w:val="auto"/>
        </w:rPr>
      </w:pPr>
    </w:p>
    <w:p>
      <w:pPr>
        <w:ind w:left="460" w:right="499" w:firstLine="864"/>
        <w:spacing w:after="0" w:line="254"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Reporting Obligations</w:t>
      </w:r>
      <w:r>
        <w:rPr>
          <w:rFonts w:ascii="Arial" w:cs="Arial" w:eastAsia="Arial" w:hAnsi="Arial"/>
          <w:sz w:val="18"/>
          <w:szCs w:val="18"/>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provided that any documents publicly filed or furnished with the Commission pursuant to EDGAR shall be deemed to have been furnished or delivered to the Holders pursuant to</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3" w:name="page464"/>
    <w:bookmarkEnd w:id="46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spacing w:after="0" w:line="273"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Section 0</w:t>
      </w:r>
      <w:r>
        <w:rPr>
          <w:rFonts w:ascii="Arial" w:cs="Arial" w:eastAsia="Arial" w:hAnsi="Arial"/>
          <w:sz w:val="17"/>
          <w:szCs w:val="17"/>
          <w:color w:val="auto"/>
        </w:rPr>
        <w:t>.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then in effect). Upon the request of any Holder, the Company shall deliver to such Holder a written certification of a duly authorized officer as to whether it has complied with such requirements.</w:t>
      </w:r>
    </w:p>
    <w:p>
      <w:pPr>
        <w:spacing w:after="0" w:line="110" w:lineRule="exact"/>
        <w:rPr>
          <w:sz w:val="20"/>
          <w:szCs w:val="20"/>
          <w:color w:val="auto"/>
        </w:rPr>
      </w:pPr>
    </w:p>
    <w:p>
      <w:pPr>
        <w:ind w:left="1060" w:hanging="174"/>
        <w:spacing w:after="0"/>
        <w:tabs>
          <w:tab w:leader="none" w:pos="1060" w:val="left"/>
        </w:tabs>
        <w:numPr>
          <w:ilvl w:val="0"/>
          <w:numId w:val="491"/>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58" w:lineRule="exact"/>
        <w:rPr>
          <w:sz w:val="20"/>
          <w:szCs w:val="20"/>
          <w:color w:val="auto"/>
        </w:rPr>
      </w:pPr>
    </w:p>
    <w:p>
      <w:pPr>
        <w:ind w:left="460" w:right="459" w:firstLine="864"/>
        <w:spacing w:after="0" w:line="284"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the Holders, and each of their respective officers, employees, affiliates, directors, partners, members, attorneys and agents, and each person, if any, who controls a Holder (within the meaning of Section 15 of the Securities Act or Section 20 of the Exchange Act) (each, a “</w:t>
      </w:r>
      <w:r>
        <w:rPr>
          <w:rFonts w:ascii="Arial" w:cs="Arial" w:eastAsia="Arial" w:hAnsi="Arial"/>
          <w:sz w:val="16"/>
          <w:szCs w:val="16"/>
          <w:b w:val="1"/>
          <w:bCs w:val="1"/>
          <w:u w:val="single" w:color="auto"/>
          <w:color w:val="auto"/>
        </w:rPr>
        <w:t>Holder Indemnified Party</w:t>
      </w:r>
      <w:r>
        <w:rPr>
          <w:rFonts w:ascii="Arial" w:cs="Arial" w:eastAsia="Arial" w:hAnsi="Arial"/>
          <w:sz w:val="16"/>
          <w:szCs w:val="16"/>
          <w:color w:val="auto"/>
        </w:rPr>
        <w:t xml:space="preserve">”),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Holder Indemnified Party for any legal and any other expenses reasonably incurred by such Holder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also shall indemnify any Underwriter of the Registrable Securities, their officers, affiliates, directors, partners, members and agents and each person who controls such Underwriter on substantially the same basis as that of the indemnification provided above in this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313" w:lineRule="exact"/>
        <w:rPr>
          <w:sz w:val="20"/>
          <w:szCs w:val="20"/>
          <w:color w:val="auto"/>
        </w:rPr>
      </w:pPr>
    </w:p>
    <w:p>
      <w:pPr>
        <w:ind w:left="460" w:right="519" w:firstLine="864"/>
        <w:spacing w:after="0" w:line="285"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Indemnification by Holders of Registrable Securities</w:t>
      </w:r>
      <w:r>
        <w:rPr>
          <w:rFonts w:ascii="Arial" w:cs="Arial" w:eastAsia="Arial" w:hAnsi="Arial"/>
          <w:sz w:val="16"/>
          <w:szCs w:val="16"/>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Underwriter (if any), and each other selling holder and each other person, if any, who controls another selling holder or such Underwriter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w:t>
      </w:r>
    </w:p>
    <w:p>
      <w:pPr>
        <w:spacing w:after="0" w:line="104" w:lineRule="exact"/>
        <w:rPr>
          <w:sz w:val="20"/>
          <w:szCs w:val="20"/>
          <w:color w:val="auto"/>
        </w:rPr>
      </w:pPr>
    </w:p>
    <w:p>
      <w:pPr>
        <w:ind w:left="460" w:right="599" w:firstLine="864"/>
        <w:spacing w:after="0" w:line="25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Conduct of Indemnification Proceedings</w:t>
      </w:r>
      <w:r>
        <w:rPr>
          <w:rFonts w:ascii="Arial" w:cs="Arial" w:eastAsia="Arial" w:hAnsi="Arial"/>
          <w:sz w:val="18"/>
          <w:szCs w:val="18"/>
          <w:color w:val="auto"/>
        </w:rPr>
        <w:t xml:space="preserve">. Promptly after receipt by any person of any notice of any loss, claim, damage or liability or any action in respect of which indemnity may be sought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4.2</w:t>
      </w:r>
      <w:r>
        <w:rPr>
          <w:rFonts w:ascii="Arial" w:cs="Arial" w:eastAsia="Arial" w:hAnsi="Arial"/>
          <w:sz w:val="18"/>
          <w:szCs w:val="18"/>
          <w:color w:val="auto"/>
        </w:rPr>
        <w:t>, such person (the “Indemnified Party”) shall, if a claim in respect thereof is to be made against any other person for indemnification hereunder, notify such other person (the “</w:t>
      </w:r>
      <w:r>
        <w:rPr>
          <w:rFonts w:ascii="Arial" w:cs="Arial" w:eastAsia="Arial" w:hAnsi="Arial"/>
          <w:sz w:val="18"/>
          <w:szCs w:val="18"/>
          <w:b w:val="1"/>
          <w:bCs w:val="1"/>
          <w:u w:val="single" w:color="auto"/>
          <w:color w:val="auto"/>
        </w:rPr>
        <w:t>Indemnifying</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Party</w:t>
      </w:r>
      <w:r>
        <w:rPr>
          <w:rFonts w:ascii="Arial" w:cs="Arial" w:eastAsia="Arial" w:hAnsi="Arial"/>
          <w:sz w:val="18"/>
          <w:szCs w:val="18"/>
          <w:color w:val="auto"/>
        </w:rPr>
        <w:t>”) in writing of the loss, claim, judgment, damage, liability or action; provided, however, that the failure</w:t>
      </w:r>
      <w:r>
        <w:rPr>
          <w:rFonts w:ascii="Arial" w:cs="Arial" w:eastAsia="Arial" w:hAnsi="Arial"/>
          <w:sz w:val="18"/>
          <w:szCs w:val="18"/>
          <w:b w:val="1"/>
          <w:bCs w:val="1"/>
          <w:color w:val="auto"/>
        </w:rPr>
        <w:t xml:space="preserve"> </w:t>
      </w:r>
      <w:r>
        <w:rPr>
          <w:rFonts w:ascii="Arial" w:cs="Arial" w:eastAsia="Arial" w:hAnsi="Arial"/>
          <w:sz w:val="18"/>
          <w:szCs w:val="18"/>
          <w:color w:val="auto"/>
        </w:rPr>
        <w:t>by the Indemnified Party to notify the Indemnifying Party shall not relieve the Indemnifying Party from any liability which the Indemnifying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4" w:name="page465"/>
    <w:bookmarkEnd w:id="46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84" w:lineRule="auto"/>
        <w:rPr>
          <w:sz w:val="20"/>
          <w:szCs w:val="20"/>
          <w:color w:val="auto"/>
        </w:rPr>
      </w:pPr>
      <w:r>
        <w:rPr>
          <w:rFonts w:ascii="Arial" w:cs="Arial" w:eastAsia="Arial" w:hAnsi="Arial"/>
          <w:sz w:val="16"/>
          <w:szCs w:val="16"/>
          <w:color w:val="auto"/>
        </w:rPr>
        <w:t>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1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158" w:lineRule="exact"/>
        <w:rPr>
          <w:sz w:val="20"/>
          <w:szCs w:val="20"/>
          <w:color w:val="auto"/>
        </w:rPr>
      </w:pPr>
    </w:p>
    <w:p>
      <w:pPr>
        <w:ind w:left="880" w:right="499" w:firstLine="432"/>
        <w:spacing w:after="0" w:line="269" w:lineRule="auto"/>
        <w:rPr>
          <w:sz w:val="20"/>
          <w:szCs w:val="20"/>
          <w:color w:val="auto"/>
        </w:rPr>
      </w:pPr>
      <w:r>
        <w:rPr>
          <w:rFonts w:ascii="Arial" w:cs="Arial" w:eastAsia="Arial" w:hAnsi="Arial"/>
          <w:sz w:val="17"/>
          <w:szCs w:val="17"/>
          <w:color w:val="auto"/>
        </w:rPr>
        <w:t xml:space="preserve">4.4.1 If the indemnification provided for in the foregoing </w:t>
      </w:r>
      <w:r>
        <w:rPr>
          <w:rFonts w:ascii="Arial" w:cs="Arial" w:eastAsia="Arial" w:hAnsi="Arial"/>
          <w:sz w:val="17"/>
          <w:szCs w:val="17"/>
          <w:u w:val="single" w:color="auto"/>
          <w:color w:val="auto"/>
        </w:rPr>
        <w:t>Sections 4.1</w:t>
      </w:r>
      <w:r>
        <w:rPr>
          <w:rFonts w:ascii="Arial" w:cs="Arial" w:eastAsia="Arial" w:hAnsi="Arial"/>
          <w:sz w:val="17"/>
          <w:szCs w:val="17"/>
          <w:color w:val="auto"/>
        </w:rPr>
        <w:t xml:space="preserve">, </w:t>
      </w:r>
      <w:r>
        <w:rPr>
          <w:rFonts w:ascii="Arial" w:cs="Arial" w:eastAsia="Arial" w:hAnsi="Arial"/>
          <w:sz w:val="17"/>
          <w:szCs w:val="17"/>
          <w:u w:val="single" w:color="auto"/>
          <w:color w:val="auto"/>
        </w:rPr>
        <w:t>4.2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4.3</w:t>
      </w:r>
      <w:r>
        <w:rPr>
          <w:rFonts w:ascii="Arial" w:cs="Arial" w:eastAsia="Arial" w:hAnsi="Arial"/>
          <w:sz w:val="17"/>
          <w:szCs w:val="17"/>
          <w:color w:val="auto"/>
        </w:rPr>
        <w:t xml:space="preserve">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98" w:lineRule="exact"/>
        <w:rPr>
          <w:sz w:val="20"/>
          <w:szCs w:val="20"/>
          <w:color w:val="auto"/>
        </w:rPr>
      </w:pPr>
    </w:p>
    <w:p>
      <w:pPr>
        <w:ind w:left="880" w:right="579" w:firstLine="432"/>
        <w:spacing w:after="0" w:line="311" w:lineRule="auto"/>
        <w:rPr>
          <w:sz w:val="20"/>
          <w:szCs w:val="20"/>
          <w:color w:val="auto"/>
        </w:rPr>
      </w:pPr>
      <w:r>
        <w:rPr>
          <w:rFonts w:ascii="Arial" w:cs="Arial" w:eastAsia="Arial" w:hAnsi="Arial"/>
          <w:sz w:val="16"/>
          <w:szCs w:val="16"/>
          <w:color w:val="auto"/>
        </w:rPr>
        <w:t xml:space="preserve">4.4.2 The parties hereto agree that it would not be just and equitable if contribution pursuant to this Section 4.4 were determined by pro rata allocation or by any other method of allocation which does not take account of the equitable considerations referred to in the immediately preceding </w:t>
      </w:r>
      <w:r>
        <w:rPr>
          <w:rFonts w:ascii="Arial" w:cs="Arial" w:eastAsia="Arial" w:hAnsi="Arial"/>
          <w:sz w:val="16"/>
          <w:szCs w:val="16"/>
          <w:u w:val="single" w:color="auto"/>
          <w:color w:val="auto"/>
        </w:rPr>
        <w:t>Section 4.4.1</w:t>
      </w:r>
      <w:r>
        <w:rPr>
          <w:rFonts w:ascii="Arial" w:cs="Arial" w:eastAsia="Arial" w:hAnsi="Arial"/>
          <w:sz w:val="16"/>
          <w:szCs w:val="16"/>
          <w:color w:val="auto"/>
        </w:rPr>
        <w:t>.</w:t>
      </w:r>
    </w:p>
    <w:p>
      <w:pPr>
        <w:spacing w:after="0" w:line="81"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4.4.3 The amount paid or payable by an Indemnified Party as a result of any loss, claim, damage,</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liability or action referred to in the immediately preceding paragraph shall be deemed to include, subject</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to the limitations set forth above, any legal or other expenses incurred by such Indemnified Party in</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connection with investigating or defending any such action or claim. Notwithstanding the provisions of</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this Section 4.4, no holder of Registrable Securities shall be required to contribute any amount in excess</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of the dollar amount of the net proceeds (after payment of any underwriting fees, discounts, commissions</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or taxes) actually received by such holder from the sale of Registrable Securities which gave rise to such</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contribution obligation. No person guilty of fraudulent misrepresentation (within the meaning of</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Section 11(f) of the Securities Act) shall be entitled to contribution from any person who was not guilty of</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such fraudulent misrepresentation.</w:t>
      </w:r>
    </w:p>
    <w:p>
      <w:pPr>
        <w:spacing w:after="0" w:line="143" w:lineRule="exact"/>
        <w:rPr>
          <w:sz w:val="20"/>
          <w:szCs w:val="20"/>
          <w:color w:val="auto"/>
        </w:rPr>
      </w:pPr>
    </w:p>
    <w:p>
      <w:pPr>
        <w:ind w:left="1060" w:hanging="174"/>
        <w:spacing w:after="0"/>
        <w:tabs>
          <w:tab w:leader="none" w:pos="1060" w:val="left"/>
        </w:tabs>
        <w:numPr>
          <w:ilvl w:val="0"/>
          <w:numId w:val="49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44" w:lineRule="exact"/>
        <w:rPr>
          <w:sz w:val="20"/>
          <w:szCs w:val="20"/>
          <w:color w:val="auto"/>
        </w:rPr>
      </w:pPr>
    </w:p>
    <w:p>
      <w:pPr>
        <w:ind w:left="460" w:right="479" w:firstLine="864"/>
        <w:spacing w:after="0" w:line="270"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Other than the Sponsor and Holders who each have registration rights with respect to their Holder shares pursuant to their respective Subscription Agreements, the Company represents and warrants that no person or entity, other than a Holder of Registrable Securities, has any right to require the Company to register any securities of the Company for sale or to include such securities of the Company in any Registration Statement filed by the Company for the sale of securities for its own account or for the account of any other person or entity. The Company hereby agrees and covenants that it will not grant rights to register any Common Stock (or securities convertible into or exchangeable for Common Stock) pursuant to the Securities Act that are more favorable, pari passu or senior to those granted to the Holders hereunder without (a) the prior written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5" w:name="page466"/>
    <w:bookmarkEnd w:id="46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89" w:lineRule="auto"/>
        <w:rPr>
          <w:sz w:val="20"/>
          <w:szCs w:val="20"/>
          <w:color w:val="auto"/>
        </w:rPr>
      </w:pPr>
      <w:r>
        <w:rPr>
          <w:rFonts w:ascii="Arial" w:cs="Arial" w:eastAsia="Arial" w:hAnsi="Arial"/>
          <w:sz w:val="16"/>
          <w:szCs w:val="16"/>
          <w:color w:val="auto"/>
        </w:rPr>
        <w:t>consent of (i) the Sponsor, for so long as the Sponsor and its affiliates hold, in the aggregate, Registrable Securities representing at least one percent (1%) of the outstanding shares of Common Stock of the Company, and (ii) a Tango Investor, for so long as such Tango Investor and its affiliates hold, in the aggregate, Registrable Securities representing at least one percent (1%) of the outstanding shares of Common Stock of the Company, or (b) granting economically and legally equivalent rights to the Holders hereunder such that the Holders shall receive the benefit of such more favorable or senior terms and/or conditions.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99" w:lineRule="exact"/>
        <w:rPr>
          <w:sz w:val="20"/>
          <w:szCs w:val="20"/>
          <w:color w:val="auto"/>
        </w:rPr>
      </w:pPr>
    </w:p>
    <w:p>
      <w:pPr>
        <w:ind w:left="460" w:right="519" w:firstLine="864"/>
        <w:spacing w:after="0" w:line="25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Assignment; No Third Party Beneficiaries</w:t>
      </w:r>
      <w:r>
        <w:rPr>
          <w:rFonts w:ascii="Arial" w:cs="Arial" w:eastAsia="Arial" w:hAnsi="Arial"/>
          <w:sz w:val="18"/>
          <w:szCs w:val="18"/>
          <w:color w:val="auto"/>
        </w:rPr>
        <w:t xml:space="preserve">. This Agreement and the rights, duties and obligations of the Company hereunder may not be assigned or delegated by the Company in whole or in part.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including the joinder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Any transfer or assignment made other than as provided in this </w:t>
      </w:r>
      <w:r>
        <w:rPr>
          <w:rFonts w:ascii="Arial" w:cs="Arial" w:eastAsia="Arial" w:hAnsi="Arial"/>
          <w:sz w:val="18"/>
          <w:szCs w:val="18"/>
          <w:u w:val="single" w:color="auto"/>
          <w:color w:val="auto"/>
        </w:rPr>
        <w:t>Section 5.2</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xml:space="preserve"> shall be null and void.</w:t>
      </w:r>
    </w:p>
    <w:p>
      <w:pPr>
        <w:spacing w:after="0" w:line="129" w:lineRule="exact"/>
        <w:rPr>
          <w:sz w:val="20"/>
          <w:szCs w:val="20"/>
          <w:color w:val="auto"/>
        </w:rPr>
      </w:pPr>
    </w:p>
    <w:p>
      <w:pPr>
        <w:ind w:left="460" w:right="499" w:firstLine="864"/>
        <w:spacing w:after="0" w:line="269"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demands, requests, consents, approvals or other communications (collectively,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required or permitted to be given hereunder or which are given with respect to this Agreement shall be in writing and shall be personally served, delivered by reputable air courier service with charges prepaid, or transmitted by hand delivery, telegram, telex or facsimile, addressed as set forth below, or to such other address as such party shall have specified most recently by written notice. Notice shall be deemed given on the date of service or transmission if personally served or transmitted by telegram, telex or facsimile; provided, that if such service or transmission is not on a business day or is after normal business hours, then such notice shall be deemed given on the next business day. Notice otherwise sent as provided herein shall be deemed given on the next business day following timely delivery of such notice to a reputable air courier service with an order for next-day delivery.</w:t>
      </w:r>
    </w:p>
    <w:p>
      <w:pPr>
        <w:spacing w:after="0" w:line="10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To the Company:</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Tango Therapeutics, Inc.</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100 Binney Street, Suite 700</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[CEO]</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E-mail: [CEO]@[Tangotx].com</w:t>
      </w:r>
    </w:p>
    <w:p>
      <w:pPr>
        <w:spacing w:after="0" w:line="14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with a copy to (which shall not constitute notice):</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Mitchell S. Bloom, William D. Collins &amp; Laurie A. Burlingame</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Email: MBloom@Goodwinlaw.com; Wcollins@Goodwinlaw.com;</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LBurlingame@goodwinlaw.com</w:t>
      </w:r>
    </w:p>
    <w:p>
      <w:pPr>
        <w:spacing w:after="0" w:line="13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To a Holder, to the address set forth below such Holder’s name on Exhibit A hereto.</w:t>
      </w:r>
    </w:p>
    <w:p>
      <w:pPr>
        <w:spacing w:after="0" w:line="158" w:lineRule="exact"/>
        <w:rPr>
          <w:sz w:val="20"/>
          <w:szCs w:val="20"/>
          <w:color w:val="auto"/>
        </w:rPr>
      </w:pPr>
    </w:p>
    <w:p>
      <w:pPr>
        <w:ind w:left="460" w:right="479" w:firstLine="864"/>
        <w:spacing w:after="0" w:line="29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Severability</w:t>
      </w:r>
      <w:r>
        <w:rPr>
          <w:rFonts w:ascii="Arial" w:cs="Arial" w:eastAsia="Arial" w:hAnsi="Arial"/>
          <w:sz w:val="16"/>
          <w:szCs w:val="16"/>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94" w:lineRule="exact"/>
        <w:rPr>
          <w:sz w:val="20"/>
          <w:szCs w:val="20"/>
          <w:color w:val="auto"/>
        </w:rPr>
      </w:pPr>
    </w:p>
    <w:p>
      <w:pPr>
        <w:ind w:left="460" w:right="539" w:firstLine="864"/>
        <w:spacing w:after="0" w:line="308"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multiple counterparts, each of which shall be deemed an original, and all of which taken together shall constitute one and the same instrument.</w:t>
      </w:r>
    </w:p>
    <w:p>
      <w:pPr>
        <w:spacing w:after="0" w:line="65" w:lineRule="exact"/>
        <w:rPr>
          <w:sz w:val="20"/>
          <w:szCs w:val="20"/>
          <w:color w:val="auto"/>
        </w:rPr>
      </w:pPr>
    </w:p>
    <w:p>
      <w:pPr>
        <w:ind w:left="460" w:right="659" w:firstLine="864"/>
        <w:spacing w:after="0" w:line="301"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6" w:name="page467"/>
    <w:bookmarkEnd w:id="46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864"/>
        <w:spacing w:after="0" w:line="286"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Amendments and Modifications</w:t>
      </w:r>
      <w:r>
        <w:rPr>
          <w:rFonts w:ascii="Arial" w:cs="Arial" w:eastAsia="Arial" w:hAnsi="Arial"/>
          <w:sz w:val="16"/>
          <w:szCs w:val="16"/>
          <w:color w:val="auto"/>
        </w:rPr>
        <w:t>. Upon the written consent of (a) the Company and (b) the Holders of a majority of the total Registrable Securities, compliance with any of the provisions, covenants and conditions set forth in this Agreement may be waived, or any of such provisions, covenants or conditions may be amended or modified; provided, however, that notwithstanding the foregoing, any amendment hereto or waiver hereof shall also require the written consent of the Sponsor; provided, further, that notwithstanding the foregoing, any amendment hereto or waiver hereof shall also require the written consent of each Tango Investor so long as such Tango Investor and its respective affiliates hold, in the aggregate, at least one percent (1%) of the outstanding shares of Common Stock of the Company; and provided, further, that any amendment hereto or waiver hereof that adversely affects one Holder, solely in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00" w:lineRule="exact"/>
        <w:rPr>
          <w:sz w:val="20"/>
          <w:szCs w:val="20"/>
          <w:color w:val="auto"/>
        </w:rPr>
      </w:pPr>
    </w:p>
    <w:p>
      <w:pPr>
        <w:ind w:left="460" w:right="479" w:firstLine="864"/>
        <w:spacing w:after="0" w:line="270"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Term</w:t>
      </w:r>
      <w:r>
        <w:rPr>
          <w:rFonts w:ascii="Arial" w:cs="Arial" w:eastAsia="Arial" w:hAnsi="Arial"/>
          <w:sz w:val="17"/>
          <w:szCs w:val="17"/>
          <w:color w:val="auto"/>
        </w:rPr>
        <w:t>. This Agreement shall terminate on the earlier of (a) the tenth (10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anniversary of the date of this Agreement and (b) with respect to any Holder, on the date that such Holder no longer holds any Registrable Securities. The provisions of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survive any termination.</w:t>
      </w:r>
    </w:p>
    <w:p>
      <w:pPr>
        <w:spacing w:after="0" w:line="111" w:lineRule="exact"/>
        <w:rPr>
          <w:sz w:val="20"/>
          <w:szCs w:val="20"/>
          <w:color w:val="auto"/>
        </w:rPr>
      </w:pPr>
    </w:p>
    <w:p>
      <w:pPr>
        <w:ind w:left="460" w:right="459" w:firstLine="864"/>
        <w:spacing w:after="0" w:line="263"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Holder Information</w:t>
      </w:r>
      <w:r>
        <w:rPr>
          <w:rFonts w:ascii="Arial" w:cs="Arial" w:eastAsia="Arial" w:hAnsi="Arial"/>
          <w:sz w:val="18"/>
          <w:szCs w:val="18"/>
          <w:color w:val="auto"/>
        </w:rPr>
        <w:t>. Each Holder agrees, if requested in writing, to represent to the Company the total number of Registrable Securities held by such Holder in order for the Company to make determinations hereunder.</w:t>
      </w:r>
    </w:p>
    <w:p>
      <w:pPr>
        <w:spacing w:after="0" w:line="103" w:lineRule="exact"/>
        <w:rPr>
          <w:sz w:val="20"/>
          <w:szCs w:val="20"/>
          <w:color w:val="auto"/>
        </w:rPr>
      </w:pPr>
    </w:p>
    <w:p>
      <w:pPr>
        <w:ind w:left="460" w:right="499" w:firstLine="864"/>
        <w:spacing w:after="0" w:line="268"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Additional Holders; Joinder</w:t>
      </w:r>
      <w:r>
        <w:rPr>
          <w:rFonts w:ascii="Arial" w:cs="Arial" w:eastAsia="Arial" w:hAnsi="Arial"/>
          <w:sz w:val="17"/>
          <w:szCs w:val="17"/>
          <w:color w:val="auto"/>
        </w:rPr>
        <w:t xml:space="preserve">. In addition to persons or entities who may become Holders pursuant to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hereof, subject to the prior written consent of each of the Sponsor and each Tango Investor (in each case, so long as such Tango Investor and its affiliates hold, in the aggregate, Registrable Securities representing at least one percent (1%) of the outstanding shares of Common Stock of the Company), the Company may make any person or entity who acquires Common Stock or rights to acquire Common Stock after the date hereof a party to this Agreement (each such person or entity, an “</w:t>
      </w:r>
      <w:r>
        <w:rPr>
          <w:rFonts w:ascii="Arial" w:cs="Arial" w:eastAsia="Arial" w:hAnsi="Arial"/>
          <w:sz w:val="17"/>
          <w:szCs w:val="17"/>
          <w:b w:val="1"/>
          <w:bCs w:val="1"/>
          <w:i w:val="1"/>
          <w:iCs w:val="1"/>
          <w:color w:val="auto"/>
        </w:rPr>
        <w:t>Additional Holder</w:t>
      </w:r>
      <w:r>
        <w:rPr>
          <w:rFonts w:ascii="Arial" w:cs="Arial" w:eastAsia="Arial" w:hAnsi="Arial"/>
          <w:sz w:val="17"/>
          <w:szCs w:val="17"/>
          <w:color w:val="auto"/>
        </w:rPr>
        <w:t>”) by obtaining an executed joinder to this Agreement from such Additional Holder in the form of Exhibit A attached hereto (a “</w:t>
      </w:r>
      <w:r>
        <w:rPr>
          <w:rFonts w:ascii="Arial" w:cs="Arial" w:eastAsia="Arial" w:hAnsi="Arial"/>
          <w:sz w:val="17"/>
          <w:szCs w:val="17"/>
          <w:b w:val="1"/>
          <w:bCs w:val="1"/>
          <w:i w:val="1"/>
          <w:iCs w:val="1"/>
          <w:color w:val="auto"/>
        </w:rPr>
        <w:t>Joinder</w:t>
      </w:r>
      <w:r>
        <w:rPr>
          <w:rFonts w:ascii="Arial" w:cs="Arial" w:eastAsia="Arial" w:hAnsi="Arial"/>
          <w:sz w:val="17"/>
          <w:szCs w:val="17"/>
          <w:color w:val="auto"/>
        </w:rPr>
        <w:t>”). Such Joinder shall specify the rights and obligations of the applicable Additional Holder under this Agreement. Upon the execution and delivery and subject to the terms of a Joinder by such Additional Holder, the Common Stock then owned, or underlying any rights then owned, by such Additional Holder (the “</w:t>
      </w:r>
      <w:r>
        <w:rPr>
          <w:rFonts w:ascii="Arial" w:cs="Arial" w:eastAsia="Arial" w:hAnsi="Arial"/>
          <w:sz w:val="17"/>
          <w:szCs w:val="17"/>
          <w:b w:val="1"/>
          <w:bCs w:val="1"/>
          <w:i w:val="1"/>
          <w:iCs w:val="1"/>
          <w:color w:val="auto"/>
        </w:rPr>
        <w:t>Additional Holder Common Stock</w:t>
      </w:r>
      <w:r>
        <w:rPr>
          <w:rFonts w:ascii="Arial" w:cs="Arial" w:eastAsia="Arial" w:hAnsi="Arial"/>
          <w:sz w:val="17"/>
          <w:szCs w:val="17"/>
          <w:color w:val="auto"/>
        </w:rPr>
        <w:t>”) shall be Registrable Securities to the extent provided herein and therein and such Additional Holder shall be a Holder under this Agreement with respect to such Additional Holder Common Stock.</w:t>
      </w:r>
    </w:p>
    <w:p>
      <w:pPr>
        <w:spacing w:after="0" w:line="119" w:lineRule="exact"/>
        <w:rPr>
          <w:sz w:val="20"/>
          <w:szCs w:val="20"/>
          <w:color w:val="auto"/>
        </w:rPr>
      </w:pPr>
    </w:p>
    <w:p>
      <w:pPr>
        <w:ind w:left="460" w:right="519" w:firstLine="864"/>
        <w:spacing w:after="0" w:line="279"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Titles and Headings</w:t>
      </w:r>
      <w:r>
        <w:rPr>
          <w:rFonts w:ascii="Arial" w:cs="Arial" w:eastAsia="Arial" w:hAnsi="Arial"/>
          <w:sz w:val="17"/>
          <w:szCs w:val="17"/>
          <w:color w:val="auto"/>
        </w:rPr>
        <w:t>. Titles and headings of sections of this Agreement are for convenience only and shall not affect the construction of any provision of this Agreement. No amendment, modification or termination of this Agreement shall be binding upon the holders of the Registrable Securities unless executed in writing by the holders of the majority Registrable Securities.</w:t>
      </w:r>
    </w:p>
    <w:p>
      <w:pPr>
        <w:spacing w:after="0" w:line="104" w:lineRule="exact"/>
        <w:rPr>
          <w:sz w:val="20"/>
          <w:szCs w:val="20"/>
          <w:color w:val="auto"/>
        </w:rPr>
      </w:pPr>
    </w:p>
    <w:p>
      <w:pPr>
        <w:ind w:left="460" w:right="499" w:firstLine="864"/>
        <w:spacing w:after="0" w:line="271"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Waivers and Extensions</w:t>
      </w:r>
      <w:r>
        <w:rPr>
          <w:rFonts w:ascii="Arial" w:cs="Arial" w:eastAsia="Arial" w:hAnsi="Arial"/>
          <w:sz w:val="17"/>
          <w:szCs w:val="17"/>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97" w:lineRule="exact"/>
        <w:rPr>
          <w:sz w:val="20"/>
          <w:szCs w:val="20"/>
          <w:color w:val="auto"/>
        </w:rPr>
      </w:pPr>
    </w:p>
    <w:p>
      <w:pPr>
        <w:ind w:left="460" w:right="479" w:firstLine="864"/>
        <w:spacing w:after="0" w:line="293"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Remedies Cumulative</w:t>
      </w:r>
      <w:r>
        <w:rPr>
          <w:rFonts w:ascii="Arial" w:cs="Arial" w:eastAsia="Arial" w:hAnsi="Arial"/>
          <w:sz w:val="16"/>
          <w:szCs w:val="16"/>
          <w:color w:val="auto"/>
        </w:rPr>
        <w:t>. In the event that the Company fails to observe or perform any covenant or agreement to be observed or performed under this Agreement, the Investor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7" w:name="page468"/>
    <w:bookmarkEnd w:id="46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63" w:lineRule="auto"/>
        <w:rPr>
          <w:sz w:val="20"/>
          <w:szCs w:val="20"/>
          <w:color w:val="auto"/>
        </w:rPr>
      </w:pPr>
      <w:r>
        <w:rPr>
          <w:rFonts w:ascii="Arial" w:cs="Arial" w:eastAsia="Arial" w:hAnsi="Arial"/>
          <w:sz w:val="18"/>
          <w:szCs w:val="18"/>
          <w:color w:val="auto"/>
        </w:rPr>
        <w:t>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16" w:lineRule="exact"/>
        <w:rPr>
          <w:sz w:val="20"/>
          <w:szCs w:val="20"/>
          <w:color w:val="auto"/>
        </w:rPr>
      </w:pPr>
    </w:p>
    <w:p>
      <w:pPr>
        <w:ind w:left="460" w:right="599" w:firstLine="864"/>
        <w:spacing w:after="0" w:line="259"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interpreted under, and construed in accordance with the internal laws of the State of Delaware applicable to agreements made and to be performed within the State of Delaware, without giving effect to any choice-of-law provisions thereof that would compel the application of the substantive laws of any other jurisdiction.</w:t>
      </w:r>
    </w:p>
    <w:p>
      <w:pPr>
        <w:spacing w:after="0" w:line="119" w:lineRule="exact"/>
        <w:rPr>
          <w:sz w:val="20"/>
          <w:szCs w:val="20"/>
          <w:color w:val="auto"/>
        </w:rPr>
      </w:pPr>
    </w:p>
    <w:p>
      <w:pPr>
        <w:ind w:left="460" w:right="499" w:firstLine="864"/>
        <w:spacing w:after="0" w:line="301"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Waiver of Trial by Jury</w:t>
      </w:r>
      <w:r>
        <w:rPr>
          <w:rFonts w:ascii="Arial" w:cs="Arial" w:eastAsia="Arial" w:hAnsi="Arial"/>
          <w:sz w:val="16"/>
          <w:szCs w:val="16"/>
          <w:color w:val="auto"/>
        </w:rPr>
        <w:t>.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Investor in the negotiation, administration, performance or enforcement hereof.</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8" w:name="page469"/>
    <w:bookmarkEnd w:id="46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IN WITNESS WHEREOF, the parties have caused this Amended and Restated Registration and Stockholder Rights Agreement to be executed and delivered by their duly authorized representatives as of the date first written above.</w:t>
      </w:r>
    </w:p>
    <w:p>
      <w:pPr>
        <w:spacing w:after="0" w:line="18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COMPANY:</w:t>
      </w:r>
    </w:p>
    <w:p>
      <w:pPr>
        <w:spacing w:after="0" w:line="18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TANGO THERAPEUTICS, INC.</w:t>
      </w:r>
    </w:p>
    <w:p>
      <w:pPr>
        <w:spacing w:after="0" w:line="19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48895</wp:posOffset>
            </wp:positionV>
            <wp:extent cx="228028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8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Title:</w:t>
      </w:r>
    </w:p>
    <w:p>
      <w:pPr>
        <w:spacing w:after="0" w:line="18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INVESTORS:</w:t>
      </w:r>
    </w:p>
    <w:p>
      <w:pPr>
        <w:spacing w:after="0" w:line="19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BCTG HOLDINGS, LLC</w:t>
      </w:r>
    </w:p>
    <w:p>
      <w:pPr>
        <w:spacing w:after="0" w:line="198" w:lineRule="exact"/>
        <w:rPr>
          <w:sz w:val="20"/>
          <w:szCs w:val="20"/>
          <w:color w:val="auto"/>
        </w:rPr>
      </w:pPr>
    </w:p>
    <w:p>
      <w:pPr>
        <w:ind w:left="438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48895</wp:posOffset>
            </wp:positionV>
            <wp:extent cx="228028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7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 Andrew Ellis</w:t>
      </w:r>
    </w:p>
    <w:p>
      <w:pPr>
        <w:spacing w:after="0" w:line="77" w:lineRule="exact"/>
        <w:rPr>
          <w:sz w:val="20"/>
          <w:szCs w:val="20"/>
          <w:color w:val="auto"/>
        </w:rPr>
      </w:pPr>
    </w:p>
    <w:p>
      <w:pPr>
        <w:ind w:left="4380"/>
        <w:spacing w:after="0"/>
        <w:tabs>
          <w:tab w:leader="none" w:pos="4940" w:val="left"/>
        </w:tabs>
        <w:rPr>
          <w:sz w:val="20"/>
          <w:szCs w:val="20"/>
          <w:color w:val="auto"/>
        </w:rPr>
      </w:pPr>
      <w:r>
        <w:rPr>
          <w:rFonts w:ascii="Arial" w:cs="Arial" w:eastAsia="Arial" w:hAnsi="Arial"/>
          <w:sz w:val="18"/>
          <w:szCs w:val="18"/>
          <w:color w:val="auto"/>
        </w:rPr>
        <w:t>Title:</w:t>
        <w:tab/>
        <w:t>Manager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9" w:name="page470"/>
    <w:bookmarkEnd w:id="46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Richard Heyman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40640</wp:posOffset>
            </wp:positionV>
            <wp:extent cx="257175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Richard Heyman</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Charles M.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40640</wp:posOffset>
            </wp:positionV>
            <wp:extent cx="257175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Charles M. Baum</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Jamie G. Christensen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40640</wp:posOffset>
            </wp:positionV>
            <wp:extent cx="257175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Jamie G. Christensen</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40640</wp:posOffset>
            </wp:positionV>
            <wp:extent cx="257175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REDACTED</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40640</wp:posOffset>
            </wp:positionV>
            <wp:extent cx="257175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REDACTED</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40640</wp:posOffset>
            </wp:positionV>
            <wp:extent cx="257175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REDACTED</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40640</wp:posOffset>
            </wp:positionV>
            <wp:extent cx="257175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REDACTED</w:t>
      </w:r>
    </w:p>
    <w:p>
      <w:pPr>
        <w:spacing w:after="0" w:line="25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REDACTED</w:t>
      </w:r>
    </w:p>
    <w:p>
      <w:pPr>
        <w:spacing w:after="0" w:line="198" w:lineRule="exact"/>
        <w:rPr>
          <w:sz w:val="20"/>
          <w:szCs w:val="20"/>
          <w:color w:val="auto"/>
        </w:rPr>
      </w:pPr>
    </w:p>
    <w:p>
      <w:pPr>
        <w:ind w:left="448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40640</wp:posOffset>
            </wp:positionV>
            <wp:extent cx="221996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5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 REDACTED</w:t>
      </w:r>
    </w:p>
    <w:p>
      <w:pPr>
        <w:spacing w:after="0" w:line="77" w:lineRule="exact"/>
        <w:rPr>
          <w:sz w:val="20"/>
          <w:szCs w:val="20"/>
          <w:color w:val="auto"/>
        </w:rPr>
      </w:pPr>
    </w:p>
    <w:p>
      <w:pPr>
        <w:jc w:val="both"/>
        <w:ind w:left="4480"/>
        <w:spacing w:after="0"/>
        <w:tabs>
          <w:tab w:leader="none" w:pos="5040" w:val="left"/>
        </w:tabs>
        <w:rPr>
          <w:sz w:val="20"/>
          <w:szCs w:val="20"/>
          <w:color w:val="auto"/>
        </w:rPr>
      </w:pPr>
      <w:r>
        <w:rPr>
          <w:rFonts w:ascii="Arial" w:cs="Arial" w:eastAsia="Arial" w:hAnsi="Arial"/>
          <w:sz w:val="18"/>
          <w:szCs w:val="18"/>
          <w:color w:val="auto"/>
        </w:rPr>
        <w:t>Title:</w:t>
        <w:tab/>
        <w:t>Principal Consultant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0" w:name="page471"/>
    <w:bookmarkEnd w:id="47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SCHEDULE 1</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Name &amp; Address of Investor</w:t>
      </w:r>
      <w:r>
        <w:rPr>
          <w:rFonts w:ascii="Arial" w:cs="Arial" w:eastAsia="Arial" w:hAnsi="Arial"/>
          <w:sz w:val="20"/>
          <w:szCs w:val="20"/>
          <w:color w:val="auto"/>
          <w:vertAlign w:val="superscript"/>
        </w:rPr>
        <w:t>1</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BCTG Holdings, LLC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Heyman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Charles M. Baum</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Jamie G. Christensen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REDACTED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REDACTED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REDACTED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REDACTED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REDACTED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[LIST OF TANGO INVESTORS TO BE INCLUDED]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3" w:lineRule="exact"/>
        <w:rPr>
          <w:sz w:val="20"/>
          <w:szCs w:val="20"/>
          <w:color w:val="auto"/>
        </w:rPr>
      </w:pPr>
    </w:p>
    <w:p>
      <w:pPr>
        <w:ind w:left="880" w:right="539" w:hanging="426"/>
        <w:spacing w:after="0" w:line="248" w:lineRule="auto"/>
        <w:tabs>
          <w:tab w:leader="none" w:pos="859" w:val="left"/>
        </w:tabs>
        <w:numPr>
          <w:ilvl w:val="0"/>
          <w:numId w:val="493"/>
        </w:numPr>
        <w:rPr>
          <w:rFonts w:ascii="Arial" w:cs="Arial" w:eastAsia="Arial" w:hAnsi="Arial"/>
          <w:sz w:val="19"/>
          <w:szCs w:val="19"/>
          <w:color w:val="auto"/>
          <w:vertAlign w:val="superscript"/>
        </w:rPr>
      </w:pPr>
      <w:r>
        <w:rPr>
          <w:rFonts w:ascii="Arial" w:cs="Arial" w:eastAsia="Arial" w:hAnsi="Arial"/>
          <w:sz w:val="16"/>
          <w:szCs w:val="16"/>
          <w:color w:val="auto"/>
        </w:rPr>
        <w:t>Except as stated above, the business address of each Investor is c/o BCTG Acquisition Corp., 12860 El Camino Real, Suite 300, San Diego, CA 92130.</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1" w:name="page472"/>
    <w:bookmarkEnd w:id="47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JOINDER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2" w:name="page473"/>
    <w:bookmarkEnd w:id="47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Exhibit 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ind w:left="460" w:right="2599" w:firstLine="2140"/>
        <w:spacing w:after="0" w:line="417" w:lineRule="auto"/>
        <w:rPr>
          <w:sz w:val="20"/>
          <w:szCs w:val="20"/>
          <w:color w:val="auto"/>
        </w:rPr>
      </w:pPr>
      <w:r>
        <w:rPr>
          <w:rFonts w:ascii="Arial" w:cs="Arial" w:eastAsia="Arial" w:hAnsi="Arial"/>
          <w:sz w:val="18"/>
          <w:szCs w:val="18"/>
          <w:b w:val="1"/>
          <w:bCs w:val="1"/>
          <w:color w:val="auto"/>
        </w:rPr>
        <w:t xml:space="preserve">2021 STOCK OPTION AND INCENTIVE PLAN </w:t>
      </w: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PURPOSE OF THE PLAN; DEFINITIONS</w:t>
      </w:r>
    </w:p>
    <w:p>
      <w:pPr>
        <w:ind w:left="460" w:right="479" w:firstLine="432"/>
        <w:spacing w:after="0" w:line="271" w:lineRule="auto"/>
        <w:rPr>
          <w:sz w:val="20"/>
          <w:szCs w:val="20"/>
          <w:color w:val="auto"/>
        </w:rPr>
      </w:pPr>
      <w:r>
        <w:rPr>
          <w:rFonts w:ascii="Arial" w:cs="Arial" w:eastAsia="Arial" w:hAnsi="Arial"/>
          <w:sz w:val="17"/>
          <w:szCs w:val="17"/>
          <w:color w:val="auto"/>
        </w:rPr>
        <w:t>The name of the plan is the Tango Therapeutics, Inc. 2021 Stock Option and Incentive Plan (as amended from time to time, the “Plan”). The purpose of the Plan is to encourage and enable the officers, employees, Non-Employee Directors and Consultants of Tango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terms shall be defined as set forth below:</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“Act” </w:t>
      </w:r>
      <w:r>
        <w:rPr>
          <w:rFonts w:ascii="Arial" w:cs="Arial" w:eastAsia="Arial" w:hAnsi="Arial"/>
          <w:sz w:val="18"/>
          <w:szCs w:val="18"/>
          <w:color w:val="auto"/>
        </w:rPr>
        <w:t>means the Securities Act of 1933, as amended, and the rules and regulations thereunder.</w:t>
      </w:r>
    </w:p>
    <w:p>
      <w:pPr>
        <w:spacing w:after="0" w:line="158" w:lineRule="exact"/>
        <w:rPr>
          <w:sz w:val="20"/>
          <w:szCs w:val="20"/>
          <w:color w:val="auto"/>
        </w:rPr>
      </w:pPr>
    </w:p>
    <w:p>
      <w:pPr>
        <w:ind w:left="460" w:right="779" w:firstLine="432"/>
        <w:spacing w:after="0" w:line="263" w:lineRule="auto"/>
        <w:rPr>
          <w:sz w:val="20"/>
          <w:szCs w:val="20"/>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either the Board or the compensation committee of the Board or a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performing the functions of the compensation committee and which is comprised of not less than two Non-Employee Directors who are independent.</w:t>
      </w:r>
    </w:p>
    <w:p>
      <w:pPr>
        <w:spacing w:after="0" w:line="116" w:lineRule="exact"/>
        <w:rPr>
          <w:sz w:val="20"/>
          <w:szCs w:val="20"/>
          <w:color w:val="auto"/>
        </w:rPr>
      </w:pPr>
    </w:p>
    <w:p>
      <w:pPr>
        <w:ind w:left="460" w:right="759" w:firstLine="432"/>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84" w:lineRule="exact"/>
        <w:rPr>
          <w:sz w:val="20"/>
          <w:szCs w:val="20"/>
          <w:color w:val="auto"/>
        </w:rPr>
      </w:pPr>
    </w:p>
    <w:p>
      <w:pPr>
        <w:ind w:left="460" w:right="779" w:firstLine="432"/>
        <w:spacing w:after="0" w:line="259" w:lineRule="auto"/>
        <w:rPr>
          <w:sz w:val="20"/>
          <w:szCs w:val="20"/>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or</w:t>
      </w:r>
      <w:r>
        <w:rPr>
          <w:rFonts w:ascii="Arial" w:cs="Arial" w:eastAsia="Arial" w:hAnsi="Arial"/>
          <w:sz w:val="18"/>
          <w:szCs w:val="18"/>
          <w:i w:val="1"/>
          <w:iCs w:val="1"/>
          <w:color w:val="auto"/>
        </w:rPr>
        <w:t xml:space="preserve"> “Awards,” </w:t>
      </w:r>
      <w:r>
        <w:rPr>
          <w:rFonts w:ascii="Arial" w:cs="Arial" w:eastAsia="Arial" w:hAnsi="Arial"/>
          <w:sz w:val="18"/>
          <w:szCs w:val="18"/>
          <w:color w:val="auto"/>
        </w:rPr>
        <w:t>except where referring to a particular category of grant under the Plan, shall</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Incentive Stock Options, Non-Qualified Stock Options, Stock Appreciation Rights, Restricted Stock Awards, Restricted Stock Units, Unrestricted Stock Awards, Cash-Based Awards, and Dividend Equivalent Rights.</w:t>
      </w:r>
    </w:p>
    <w:p>
      <w:pPr>
        <w:spacing w:after="0" w:line="119"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i w:val="1"/>
          <w:iCs w:val="1"/>
          <w:color w:val="auto"/>
        </w:rPr>
        <w:t xml:space="preserve">“Award Certificate” </w:t>
      </w:r>
      <w:r>
        <w:rPr>
          <w:rFonts w:ascii="Arial" w:cs="Arial" w:eastAsia="Arial" w:hAnsi="Arial"/>
          <w:sz w:val="18"/>
          <w:szCs w:val="18"/>
          <w:color w:val="auto"/>
        </w:rPr>
        <w:t>means a written or electronic document setting forth the terms and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an Award granted under the Plan. Each Award Certificate is subject to the terms and conditions of the Plan.</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 xml:space="preserve">“Cash-Based Award” </w:t>
      </w:r>
      <w:r>
        <w:rPr>
          <w:rFonts w:ascii="Arial" w:cs="Arial" w:eastAsia="Arial" w:hAnsi="Arial"/>
          <w:sz w:val="17"/>
          <w:szCs w:val="17"/>
          <w:color w:val="auto"/>
        </w:rPr>
        <w:t>means an Award entitling the recipient to receive a cash-denominated payment.</w:t>
      </w:r>
    </w:p>
    <w:p>
      <w:pPr>
        <w:spacing w:after="0" w:line="169"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 and any successor Code,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rules, regulations and interpretations.</w:t>
      </w:r>
    </w:p>
    <w:p>
      <w:pPr>
        <w:spacing w:after="0" w:line="103"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i w:val="1"/>
          <w:iCs w:val="1"/>
          <w:color w:val="auto"/>
        </w:rPr>
        <w:t xml:space="preserve">“Consultant” </w:t>
      </w:r>
      <w:r>
        <w:rPr>
          <w:rFonts w:ascii="Arial" w:cs="Arial" w:eastAsia="Arial" w:hAnsi="Arial"/>
          <w:sz w:val="18"/>
          <w:szCs w:val="18"/>
          <w:color w:val="auto"/>
        </w:rPr>
        <w:t>means a consultant or adviser who provides</w:t>
      </w:r>
      <w:r>
        <w:rPr>
          <w:rFonts w:ascii="Arial" w:cs="Arial" w:eastAsia="Arial" w:hAnsi="Arial"/>
          <w:sz w:val="18"/>
          <w:szCs w:val="18"/>
          <w:i w:val="1"/>
          <w:iCs w:val="1"/>
          <w:color w:val="auto"/>
        </w:rPr>
        <w:t xml:space="preserve"> bona fide </w:t>
      </w:r>
      <w:r>
        <w:rPr>
          <w:rFonts w:ascii="Arial" w:cs="Arial" w:eastAsia="Arial" w:hAnsi="Arial"/>
          <w:sz w:val="18"/>
          <w:szCs w:val="18"/>
          <w:color w:val="auto"/>
        </w:rPr>
        <w:t>services to the Company or an</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as an independent contractor and who qualifies as a consultant or advisor under Instruction A.1.(a)(1) of Form S-8 under the Act.</w:t>
      </w:r>
    </w:p>
    <w:p>
      <w:pPr>
        <w:spacing w:after="0" w:line="103"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7"/>
          <w:szCs w:val="17"/>
          <w:i w:val="1"/>
          <w:iCs w:val="1"/>
          <w:color w:val="auto"/>
        </w:rPr>
        <w:t xml:space="preserve">“Dividend Equivalent Right” </w:t>
      </w:r>
      <w:r>
        <w:rPr>
          <w:rFonts w:ascii="Arial" w:cs="Arial" w:eastAsia="Arial" w:hAnsi="Arial"/>
          <w:sz w:val="17"/>
          <w:szCs w:val="17"/>
          <w:color w:val="auto"/>
        </w:rPr>
        <w:t>means an Award entitling the grantee to receive credits based on cash</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that would have been paid on the shares of Stock specified in the Dividend Equivalent Right (or other award to which it relates) if such shares had been issued to and held by the grantee.</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means the date on which the Plan becomes effective as set forth in Section 19.</w:t>
      </w:r>
    </w:p>
    <w:p>
      <w:pPr>
        <w:spacing w:after="0" w:line="158"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 and the rules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w:t>
      </w:r>
    </w:p>
    <w:p>
      <w:pPr>
        <w:spacing w:after="0" w:line="89"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of the Stock on any given date means the fair market value of the Stock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 provided further,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3" w:name="page474"/>
    <w:bookmarkEnd w:id="47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59"/>
        <w:spacing w:after="0" w:line="263" w:lineRule="auto"/>
        <w:rPr>
          <w:sz w:val="20"/>
          <w:szCs w:val="20"/>
          <w:color w:val="auto"/>
        </w:rPr>
      </w:pPr>
      <w:r>
        <w:rPr>
          <w:rFonts w:ascii="Arial" w:cs="Arial" w:eastAsia="Arial" w:hAnsi="Arial"/>
          <w:sz w:val="18"/>
          <w:szCs w:val="18"/>
          <w:color w:val="auto"/>
        </w:rPr>
        <w:t>however, that if the date for which Fair Market Value is determined is the Registration Date, the Fair Market Value shall be the “Price to the Public” (or equivalent) set forth on the cover page for the final prospectus relating to the Company’s initial public offering.</w:t>
      </w:r>
    </w:p>
    <w:p>
      <w:pPr>
        <w:spacing w:after="0" w:line="116"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i w:val="1"/>
          <w:iCs w:val="1"/>
          <w:color w:val="auto"/>
        </w:rPr>
        <w:t xml:space="preserve">“Incentive Stock Option” </w:t>
      </w:r>
      <w:r>
        <w:rPr>
          <w:rFonts w:ascii="Arial" w:cs="Arial" w:eastAsia="Arial" w:hAnsi="Arial"/>
          <w:sz w:val="18"/>
          <w:szCs w:val="18"/>
          <w:color w:val="auto"/>
        </w:rPr>
        <w:t>means any Stock Option designated and qualified as an “incentive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as defined in Section 422 of the Code.</w:t>
      </w:r>
    </w:p>
    <w:p>
      <w:pPr>
        <w:spacing w:after="0" w:line="103"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i w:val="1"/>
          <w:iCs w:val="1"/>
          <w:color w:val="auto"/>
        </w:rPr>
        <w:t xml:space="preserve">“Non-Employee Director” </w:t>
      </w:r>
      <w:r>
        <w:rPr>
          <w:rFonts w:ascii="Arial" w:cs="Arial" w:eastAsia="Arial" w:hAnsi="Arial"/>
          <w:sz w:val="18"/>
          <w:szCs w:val="18"/>
          <w:color w:val="auto"/>
        </w:rPr>
        <w:t>means a member of the Board who is not also an employee of the Company or</w:t>
      </w:r>
      <w:r>
        <w:rPr>
          <w:rFonts w:ascii="Arial" w:cs="Arial" w:eastAsia="Arial" w:hAnsi="Arial"/>
          <w:sz w:val="18"/>
          <w:szCs w:val="18"/>
          <w:i w:val="1"/>
          <w:iCs w:val="1"/>
          <w:color w:val="auto"/>
        </w:rPr>
        <w:t xml:space="preserve"> </w:t>
      </w:r>
      <w:r>
        <w:rPr>
          <w:rFonts w:ascii="Arial" w:cs="Arial" w:eastAsia="Arial" w:hAnsi="Arial"/>
          <w:sz w:val="18"/>
          <w:szCs w:val="18"/>
          <w:color w:val="auto"/>
        </w:rPr>
        <w:t>any Subsidiary.</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means any Stock Option that is not an Incentive Stock Option.</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“Option” </w:t>
      </w:r>
      <w:r>
        <w:rPr>
          <w:rFonts w:ascii="Arial" w:cs="Arial" w:eastAsia="Arial" w:hAnsi="Arial"/>
          <w:sz w:val="16"/>
          <w:szCs w:val="16"/>
          <w:color w:val="auto"/>
        </w:rPr>
        <w:t>or</w:t>
      </w:r>
      <w:r>
        <w:rPr>
          <w:rFonts w:ascii="Arial" w:cs="Arial" w:eastAsia="Arial" w:hAnsi="Arial"/>
          <w:sz w:val="16"/>
          <w:szCs w:val="16"/>
          <w:i w:val="1"/>
          <w:iCs w:val="1"/>
          <w:color w:val="auto"/>
        </w:rPr>
        <w:t xml:space="preserve"> “Stock Option” </w:t>
      </w:r>
      <w:r>
        <w:rPr>
          <w:rFonts w:ascii="Arial" w:cs="Arial" w:eastAsia="Arial" w:hAnsi="Arial"/>
          <w:sz w:val="16"/>
          <w:szCs w:val="16"/>
          <w:color w:val="auto"/>
        </w:rPr>
        <w:t>means any option to purchase shares of Stock granted pursuant to Section 5.</w:t>
      </w:r>
    </w:p>
    <w:p>
      <w:pPr>
        <w:spacing w:after="0" w:line="181"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i w:val="1"/>
          <w:iCs w:val="1"/>
          <w:color w:val="auto"/>
        </w:rPr>
        <w:t xml:space="preserve">“Registration Date” </w:t>
      </w:r>
      <w:r>
        <w:rPr>
          <w:rFonts w:ascii="Arial" w:cs="Arial" w:eastAsia="Arial" w:hAnsi="Arial"/>
          <w:sz w:val="18"/>
          <w:szCs w:val="18"/>
          <w:color w:val="auto"/>
        </w:rPr>
        <w:t>means the date upon which the registration statement on Form S-1 that is filed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with respect to its initial public offering is declared effective by the Securities and Exchange Commission.</w:t>
      </w:r>
    </w:p>
    <w:p>
      <w:pPr>
        <w:spacing w:after="0" w:line="103"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means the shares of Stock underlying a Restricted Stock Award that remain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a risk of forfeiture or the Company’s right of repurchase.</w:t>
      </w:r>
    </w:p>
    <w:p>
      <w:pPr>
        <w:spacing w:after="0" w:line="103"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i w:val="1"/>
          <w:iCs w:val="1"/>
          <w:color w:val="auto"/>
        </w:rPr>
        <w:t xml:space="preserve">“Restricted Stock Award” </w:t>
      </w:r>
      <w:r>
        <w:rPr>
          <w:rFonts w:ascii="Arial" w:cs="Arial" w:eastAsia="Arial" w:hAnsi="Arial"/>
          <w:sz w:val="18"/>
          <w:szCs w:val="18"/>
          <w:color w:val="auto"/>
        </w:rPr>
        <w:t>means an Award of Restricted Shares subject to such restrictions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as the Administrator may determine at the time of grant.</w:t>
      </w:r>
    </w:p>
    <w:p>
      <w:pPr>
        <w:spacing w:after="0" w:line="103"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means an Award of stock units subject to such restrictions and conditions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may determine at the time of grant.</w:t>
      </w:r>
    </w:p>
    <w:p>
      <w:pPr>
        <w:spacing w:after="0" w:line="89"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i w:val="1"/>
          <w:iCs w:val="1"/>
          <w:color w:val="auto"/>
        </w:rPr>
        <w:t xml:space="preserve">“Sale Event” </w:t>
      </w:r>
      <w:r>
        <w:rPr>
          <w:rFonts w:ascii="Arial" w:cs="Arial" w:eastAsia="Arial" w:hAnsi="Arial"/>
          <w:sz w:val="17"/>
          <w:szCs w:val="17"/>
          <w:color w:val="auto"/>
        </w:rPr>
        <w:t>means (i) the sale of all or substantially all of the assets of the Company on a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18" w:lineRule="exact"/>
        <w:rPr>
          <w:sz w:val="20"/>
          <w:szCs w:val="20"/>
          <w:color w:val="auto"/>
        </w:rPr>
      </w:pPr>
    </w:p>
    <w:p>
      <w:pPr>
        <w:ind w:left="460" w:right="1119" w:firstLine="43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Sale Price</w:t>
      </w:r>
      <w:r>
        <w:rPr>
          <w:rFonts w:ascii="Arial" w:cs="Arial" w:eastAsia="Arial" w:hAnsi="Arial"/>
          <w:sz w:val="17"/>
          <w:szCs w:val="17"/>
          <w:color w:val="auto"/>
        </w:rPr>
        <w:t>” means the value as determined by the Administrator of the consideration payable, or otherwise to be received by stockholders, per share of Stock pursuant to a Sale Event.</w:t>
      </w:r>
    </w:p>
    <w:p>
      <w:pPr>
        <w:spacing w:after="0" w:line="79"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means Section 409A of the Code and the regulations and other guidance promulgated</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w:t>
      </w:r>
    </w:p>
    <w:p>
      <w:pPr>
        <w:spacing w:after="0" w:line="89"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7"/>
          <w:szCs w:val="17"/>
          <w:i w:val="1"/>
          <w:iCs w:val="1"/>
          <w:color w:val="auto"/>
        </w:rPr>
        <w:t xml:space="preserve">“Service Relationship” </w:t>
      </w:r>
      <w:r>
        <w:rPr>
          <w:rFonts w:ascii="Arial" w:cs="Arial" w:eastAsia="Arial" w:hAnsi="Arial"/>
          <w:sz w:val="17"/>
          <w:szCs w:val="17"/>
          <w:color w:val="auto"/>
        </w:rPr>
        <w:t>means any relationship as an employee, director or Consultant of the Company or</w:t>
      </w:r>
      <w:r>
        <w:rPr>
          <w:rFonts w:ascii="Arial" w:cs="Arial" w:eastAsia="Arial" w:hAnsi="Arial"/>
          <w:sz w:val="17"/>
          <w:szCs w:val="17"/>
          <w:i w:val="1"/>
          <w:iCs w:val="1"/>
          <w:color w:val="auto"/>
        </w:rPr>
        <w:t xml:space="preserve"> </w:t>
      </w:r>
      <w:r>
        <w:rPr>
          <w:rFonts w:ascii="Arial" w:cs="Arial" w:eastAsia="Arial" w:hAnsi="Arial"/>
          <w:sz w:val="17"/>
          <w:szCs w:val="17"/>
          <w:color w:val="auto"/>
        </w:rPr>
        <w:t>any Affiliate (e.g., a Service Relationship shall be deemed to continue without interruption in the event an individual’s status changes from full-time employee to part-time employee or Consultant).</w:t>
      </w:r>
    </w:p>
    <w:p>
      <w:pPr>
        <w:spacing w:after="0" w:line="98"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means the Common Stock, par value $0.001 per share, of the Company, subject to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3.</w:t>
      </w:r>
    </w:p>
    <w:p>
      <w:pPr>
        <w:spacing w:after="0" w:line="103"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i w:val="1"/>
          <w:iCs w:val="1"/>
          <w:color w:val="auto"/>
        </w:rPr>
        <w:t xml:space="preserve">“Stock Appreciation Right” </w:t>
      </w:r>
      <w:r>
        <w:rPr>
          <w:rFonts w:ascii="Arial" w:cs="Arial" w:eastAsia="Arial" w:hAnsi="Arial"/>
          <w:sz w:val="18"/>
          <w:szCs w:val="18"/>
          <w:color w:val="auto"/>
        </w:rPr>
        <w:t>means an Award entitling the recipient to receive shares of Stock (or cash,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07"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or other entity (other than the Company) in which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at least a 50 percent interest, either directly or indirectly.</w:t>
      </w:r>
    </w:p>
    <w:p>
      <w:pPr>
        <w:spacing w:after="0" w:line="103"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i w:val="1"/>
          <w:iCs w:val="1"/>
          <w:color w:val="auto"/>
        </w:rPr>
        <w:t xml:space="preserve">“Ten Percent Owner” </w:t>
      </w:r>
      <w:r>
        <w:rPr>
          <w:rFonts w:ascii="Arial" w:cs="Arial" w:eastAsia="Arial" w:hAnsi="Arial"/>
          <w:sz w:val="18"/>
          <w:szCs w:val="18"/>
          <w:color w:val="auto"/>
        </w:rPr>
        <w:t>means an employee who owns or is deemed to own (by reason of the attribution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rules of Section 424(d) of the Code) more than 10 percent of the combined voting power of all classes of stock of the Company or any parent or subsidiary corporation.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4" w:name="page475"/>
    <w:bookmarkEnd w:id="47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“Unrestricted Stock Award” </w:t>
      </w:r>
      <w:r>
        <w:rPr>
          <w:rFonts w:ascii="Arial" w:cs="Arial" w:eastAsia="Arial" w:hAnsi="Arial"/>
          <w:sz w:val="18"/>
          <w:szCs w:val="18"/>
          <w:color w:val="auto"/>
        </w:rPr>
        <w:t>means an Award of shares of Stock free of any restrictions.</w:t>
      </w:r>
    </w:p>
    <w:p>
      <w:pPr>
        <w:spacing w:after="0" w:line="158" w:lineRule="exact"/>
        <w:rPr>
          <w:sz w:val="20"/>
          <w:szCs w:val="20"/>
          <w:color w:val="auto"/>
        </w:rPr>
      </w:pPr>
    </w:p>
    <w:p>
      <w:pPr>
        <w:ind w:left="1760" w:right="1299" w:hanging="1295"/>
        <w:spacing w:after="0" w:line="277" w:lineRule="auto"/>
        <w:tabs>
          <w:tab w:leader="none" w:pos="17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8"/>
          <w:szCs w:val="18"/>
          <w:u w:val="single" w:color="auto"/>
          <w:color w:val="auto"/>
        </w:rPr>
        <w:t>ADMINISTRATION OF PLAN; ADMINISTRATOR AUTHORITY TO SELECT GRANTEES AND DETERMINE AWARDS</w:t>
      </w:r>
    </w:p>
    <w:p>
      <w:pPr>
        <w:spacing w:after="0" w:line="103" w:lineRule="exact"/>
        <w:rPr>
          <w:sz w:val="20"/>
          <w:szCs w:val="20"/>
          <w:color w:val="auto"/>
        </w:rPr>
      </w:pPr>
    </w:p>
    <w:p>
      <w:pPr>
        <w:ind w:left="1140" w:hanging="254"/>
        <w:spacing w:after="0"/>
        <w:tabs>
          <w:tab w:leader="none" w:pos="1140" w:val="left"/>
        </w:tabs>
        <w:numPr>
          <w:ilvl w:val="0"/>
          <w:numId w:val="494"/>
        </w:numPr>
        <w:rPr>
          <w:rFonts w:ascii="Arial" w:cs="Arial" w:eastAsia="Arial" w:hAnsi="Arial"/>
          <w:sz w:val="18"/>
          <w:szCs w:val="18"/>
          <w:color w:val="auto"/>
        </w:rPr>
      </w:pPr>
      <w:r>
        <w:rPr>
          <w:rFonts w:ascii="Arial" w:cs="Arial" w:eastAsia="Arial" w:hAnsi="Arial"/>
          <w:sz w:val="18"/>
          <w:szCs w:val="18"/>
          <w:u w:val="single" w:color="auto"/>
          <w:color w:val="auto"/>
        </w:rPr>
        <w:t>Administration of Plan</w:t>
      </w:r>
      <w:r>
        <w:rPr>
          <w:rFonts w:ascii="Arial" w:cs="Arial" w:eastAsia="Arial" w:hAnsi="Arial"/>
          <w:sz w:val="18"/>
          <w:szCs w:val="18"/>
          <w:color w:val="auto"/>
        </w:rPr>
        <w:t>. The Plan shall be administered by the Administrator.</w:t>
      </w:r>
    </w:p>
    <w:p>
      <w:pPr>
        <w:spacing w:after="0" w:line="144" w:lineRule="exact"/>
        <w:rPr>
          <w:rFonts w:ascii="Arial" w:cs="Arial" w:eastAsia="Arial" w:hAnsi="Arial"/>
          <w:sz w:val="18"/>
          <w:szCs w:val="18"/>
          <w:color w:val="auto"/>
        </w:rPr>
      </w:pPr>
    </w:p>
    <w:p>
      <w:pPr>
        <w:ind w:left="460" w:right="959" w:firstLine="426"/>
        <w:spacing w:after="0" w:line="277" w:lineRule="auto"/>
        <w:tabs>
          <w:tab w:leader="none" w:pos="1147" w:val="left"/>
        </w:tabs>
        <w:numPr>
          <w:ilvl w:val="0"/>
          <w:numId w:val="494"/>
        </w:numPr>
        <w:rPr>
          <w:rFonts w:ascii="Arial" w:cs="Arial" w:eastAsia="Arial" w:hAnsi="Arial"/>
          <w:sz w:val="18"/>
          <w:szCs w:val="18"/>
          <w:color w:val="auto"/>
        </w:rPr>
      </w:pPr>
      <w:r>
        <w:rPr>
          <w:rFonts w:ascii="Arial" w:cs="Arial" w:eastAsia="Arial" w:hAnsi="Arial"/>
          <w:sz w:val="18"/>
          <w:szCs w:val="18"/>
          <w:u w:val="single" w:color="auto"/>
          <w:color w:val="auto"/>
        </w:rPr>
        <w:t>Powers of Administrator</w:t>
      </w:r>
      <w:r>
        <w:rPr>
          <w:rFonts w:ascii="Arial" w:cs="Arial" w:eastAsia="Arial" w:hAnsi="Arial"/>
          <w:sz w:val="18"/>
          <w:szCs w:val="18"/>
          <w:color w:val="auto"/>
        </w:rPr>
        <w:t>. The Administrator shall have the power and authority to grant Awards consistent with the terms of the Plan, including the power and authority:</w:t>
      </w:r>
    </w:p>
    <w:p>
      <w:pPr>
        <w:spacing w:after="0" w:line="102" w:lineRule="exact"/>
        <w:rPr>
          <w:rFonts w:ascii="Arial" w:cs="Arial" w:eastAsia="Arial" w:hAnsi="Arial"/>
          <w:sz w:val="18"/>
          <w:szCs w:val="18"/>
          <w:color w:val="auto"/>
        </w:rPr>
      </w:pPr>
    </w:p>
    <w:p>
      <w:pPr>
        <w:ind w:left="1540" w:hanging="222"/>
        <w:spacing w:after="0"/>
        <w:tabs>
          <w:tab w:leader="none" w:pos="1540" w:val="left"/>
        </w:tabs>
        <w:numPr>
          <w:ilvl w:val="1"/>
          <w:numId w:val="494"/>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157" w:lineRule="exact"/>
        <w:rPr>
          <w:rFonts w:ascii="Arial" w:cs="Arial" w:eastAsia="Arial" w:hAnsi="Arial"/>
          <w:sz w:val="18"/>
          <w:szCs w:val="18"/>
          <w:color w:val="auto"/>
        </w:rPr>
      </w:pPr>
    </w:p>
    <w:p>
      <w:pPr>
        <w:ind w:left="460" w:right="579" w:firstLine="858"/>
        <w:spacing w:after="0" w:line="259" w:lineRule="auto"/>
        <w:tabs>
          <w:tab w:leader="none" w:pos="1589" w:val="left"/>
        </w:tabs>
        <w:numPr>
          <w:ilvl w:val="1"/>
          <w:numId w:val="494"/>
        </w:numPr>
        <w:rPr>
          <w:rFonts w:ascii="Arial" w:cs="Arial" w:eastAsia="Arial" w:hAnsi="Arial"/>
          <w:sz w:val="18"/>
          <w:szCs w:val="18"/>
          <w:color w:val="auto"/>
        </w:rPr>
      </w:pPr>
      <w:r>
        <w:rPr>
          <w:rFonts w:ascii="Arial" w:cs="Arial" w:eastAsia="Arial" w:hAnsi="Arial"/>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05" w:lineRule="exact"/>
        <w:rPr>
          <w:rFonts w:ascii="Arial" w:cs="Arial" w:eastAsia="Arial" w:hAnsi="Arial"/>
          <w:sz w:val="18"/>
          <w:szCs w:val="18"/>
          <w:color w:val="auto"/>
        </w:rPr>
      </w:pPr>
    </w:p>
    <w:p>
      <w:pPr>
        <w:ind w:left="1640" w:hanging="322"/>
        <w:spacing w:after="0"/>
        <w:tabs>
          <w:tab w:leader="none" w:pos="1640" w:val="left"/>
        </w:tabs>
        <w:numPr>
          <w:ilvl w:val="1"/>
          <w:numId w:val="494"/>
        </w:numPr>
        <w:rPr>
          <w:rFonts w:ascii="Arial" w:cs="Arial" w:eastAsia="Arial" w:hAnsi="Arial"/>
          <w:sz w:val="18"/>
          <w:szCs w:val="18"/>
          <w:color w:val="auto"/>
        </w:rPr>
      </w:pPr>
      <w:r>
        <w:rPr>
          <w:rFonts w:ascii="Arial" w:cs="Arial" w:eastAsia="Arial" w:hAnsi="Arial"/>
          <w:sz w:val="18"/>
          <w:szCs w:val="18"/>
          <w:color w:val="auto"/>
        </w:rPr>
        <w:t>to determine the number of shares of Stock to be covered by any Award;</w:t>
      </w:r>
    </w:p>
    <w:p>
      <w:pPr>
        <w:spacing w:after="0" w:line="157" w:lineRule="exact"/>
        <w:rPr>
          <w:rFonts w:ascii="Arial" w:cs="Arial" w:eastAsia="Arial" w:hAnsi="Arial"/>
          <w:sz w:val="18"/>
          <w:szCs w:val="18"/>
          <w:color w:val="auto"/>
        </w:rPr>
      </w:pPr>
    </w:p>
    <w:p>
      <w:pPr>
        <w:jc w:val="both"/>
        <w:ind w:left="460" w:right="559" w:firstLine="858"/>
        <w:spacing w:after="0" w:line="263" w:lineRule="auto"/>
        <w:tabs>
          <w:tab w:leader="none" w:pos="1629" w:val="left"/>
        </w:tabs>
        <w:numPr>
          <w:ilvl w:val="1"/>
          <w:numId w:val="494"/>
        </w:numPr>
        <w:rPr>
          <w:rFonts w:ascii="Arial" w:cs="Arial" w:eastAsia="Arial" w:hAnsi="Arial"/>
          <w:sz w:val="18"/>
          <w:szCs w:val="18"/>
          <w:color w:val="auto"/>
        </w:rPr>
      </w:pPr>
      <w:r>
        <w:rPr>
          <w:rFonts w:ascii="Arial" w:cs="Arial" w:eastAsia="Arial" w:hAnsi="Arial"/>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16" w:lineRule="exact"/>
        <w:rPr>
          <w:rFonts w:ascii="Arial" w:cs="Arial" w:eastAsia="Arial" w:hAnsi="Arial"/>
          <w:sz w:val="18"/>
          <w:szCs w:val="18"/>
          <w:color w:val="auto"/>
        </w:rPr>
      </w:pPr>
    </w:p>
    <w:p>
      <w:pPr>
        <w:ind w:left="1580" w:hanging="262"/>
        <w:spacing w:after="0"/>
        <w:tabs>
          <w:tab w:leader="none" w:pos="1580" w:val="left"/>
        </w:tabs>
        <w:numPr>
          <w:ilvl w:val="1"/>
          <w:numId w:val="494"/>
        </w:numPr>
        <w:rPr>
          <w:rFonts w:ascii="Arial" w:cs="Arial" w:eastAsia="Arial" w:hAnsi="Arial"/>
          <w:sz w:val="18"/>
          <w:szCs w:val="18"/>
          <w:color w:val="auto"/>
        </w:rPr>
      </w:pPr>
      <w:r>
        <w:rPr>
          <w:rFonts w:ascii="Arial" w:cs="Arial" w:eastAsia="Arial" w:hAnsi="Arial"/>
          <w:sz w:val="18"/>
          <w:szCs w:val="18"/>
          <w:color w:val="auto"/>
        </w:rPr>
        <w:t>to accelerate at any time the exercisability or vesting of all or any portion of any Award;</w:t>
      </w:r>
    </w:p>
    <w:p>
      <w:pPr>
        <w:spacing w:after="0" w:line="144" w:lineRule="exact"/>
        <w:rPr>
          <w:rFonts w:ascii="Arial" w:cs="Arial" w:eastAsia="Arial" w:hAnsi="Arial"/>
          <w:sz w:val="18"/>
          <w:szCs w:val="18"/>
          <w:color w:val="auto"/>
        </w:rPr>
      </w:pPr>
    </w:p>
    <w:p>
      <w:pPr>
        <w:ind w:left="460" w:right="519" w:firstLine="858"/>
        <w:spacing w:after="0" w:line="277" w:lineRule="auto"/>
        <w:tabs>
          <w:tab w:leader="none" w:pos="1629" w:val="left"/>
        </w:tabs>
        <w:numPr>
          <w:ilvl w:val="1"/>
          <w:numId w:val="494"/>
        </w:numPr>
        <w:rPr>
          <w:rFonts w:ascii="Arial" w:cs="Arial" w:eastAsia="Arial" w:hAnsi="Arial"/>
          <w:sz w:val="18"/>
          <w:szCs w:val="18"/>
          <w:color w:val="auto"/>
        </w:rPr>
      </w:pPr>
      <w:r>
        <w:rPr>
          <w:rFonts w:ascii="Arial" w:cs="Arial" w:eastAsia="Arial" w:hAnsi="Arial"/>
          <w:sz w:val="18"/>
          <w:szCs w:val="18"/>
          <w:color w:val="auto"/>
        </w:rPr>
        <w:t>subject to the provisions of Section 5(c) or Section 6(d), as applicable, to extend at any time the period in which Stock Options and Stock Appreciation Rights may be exercised; and</w:t>
      </w:r>
    </w:p>
    <w:p>
      <w:pPr>
        <w:spacing w:after="0" w:line="102" w:lineRule="exact"/>
        <w:rPr>
          <w:rFonts w:ascii="Arial" w:cs="Arial" w:eastAsia="Arial" w:hAnsi="Arial"/>
          <w:sz w:val="18"/>
          <w:szCs w:val="18"/>
          <w:color w:val="auto"/>
        </w:rPr>
      </w:pPr>
    </w:p>
    <w:p>
      <w:pPr>
        <w:ind w:left="460" w:right="539" w:firstLine="858"/>
        <w:spacing w:after="0" w:line="275" w:lineRule="auto"/>
        <w:tabs>
          <w:tab w:leader="none" w:pos="1679" w:val="left"/>
        </w:tabs>
        <w:numPr>
          <w:ilvl w:val="1"/>
          <w:numId w:val="494"/>
        </w:numPr>
        <w:rPr>
          <w:rFonts w:ascii="Arial" w:cs="Arial" w:eastAsia="Arial" w:hAnsi="Arial"/>
          <w:sz w:val="17"/>
          <w:szCs w:val="17"/>
          <w:color w:val="auto"/>
        </w:rPr>
      </w:pPr>
      <w:r>
        <w:rPr>
          <w:rFonts w:ascii="Arial" w:cs="Arial" w:eastAsia="Arial" w:hAnsi="Arial"/>
          <w:sz w:val="17"/>
          <w:szCs w:val="17"/>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09" w:lineRule="exact"/>
        <w:rPr>
          <w:sz w:val="20"/>
          <w:szCs w:val="20"/>
          <w:color w:val="auto"/>
        </w:rPr>
      </w:pPr>
    </w:p>
    <w:p>
      <w:pPr>
        <w:ind w:left="460" w:right="1019" w:firstLine="432"/>
        <w:spacing w:after="0" w:line="277" w:lineRule="auto"/>
        <w:rPr>
          <w:sz w:val="20"/>
          <w:szCs w:val="20"/>
          <w:color w:val="auto"/>
        </w:rPr>
      </w:pPr>
      <w:r>
        <w:rPr>
          <w:rFonts w:ascii="Arial" w:cs="Arial" w:eastAsia="Arial" w:hAnsi="Arial"/>
          <w:sz w:val="18"/>
          <w:szCs w:val="18"/>
          <w:color w:val="auto"/>
        </w:rPr>
        <w:t>All decisions and interpretations of the Administrator shall be binding on all persons, including the Company and Plan grantees.</w:t>
      </w:r>
    </w:p>
    <w:p>
      <w:pPr>
        <w:spacing w:after="0" w:line="89" w:lineRule="exact"/>
        <w:rPr>
          <w:sz w:val="20"/>
          <w:szCs w:val="20"/>
          <w:color w:val="auto"/>
        </w:rPr>
      </w:pPr>
    </w:p>
    <w:p>
      <w:pPr>
        <w:ind w:left="1140" w:hanging="254"/>
        <w:spacing w:after="0"/>
        <w:tabs>
          <w:tab w:leader="none" w:pos="1140" w:val="left"/>
        </w:tabs>
        <w:numPr>
          <w:ilvl w:val="0"/>
          <w:numId w:val="495"/>
        </w:numPr>
        <w:rPr>
          <w:rFonts w:ascii="Arial" w:cs="Arial" w:eastAsia="Arial" w:hAnsi="Arial"/>
          <w:sz w:val="18"/>
          <w:szCs w:val="18"/>
          <w:color w:val="auto"/>
        </w:rPr>
      </w:pPr>
      <w:r>
        <w:rPr>
          <w:rFonts w:ascii="Arial" w:cs="Arial" w:eastAsia="Arial" w:hAnsi="Arial"/>
          <w:sz w:val="18"/>
          <w:szCs w:val="18"/>
          <w:u w:val="single" w:color="auto"/>
          <w:color w:val="auto"/>
        </w:rPr>
        <w:t>Delegation of Authority to Grant Awards</w:t>
      </w:r>
      <w:r>
        <w:rPr>
          <w:rFonts w:ascii="Arial" w:cs="Arial" w:eastAsia="Arial" w:hAnsi="Arial"/>
          <w:sz w:val="18"/>
          <w:szCs w:val="18"/>
          <w:color w:val="auto"/>
        </w:rPr>
        <w:t>. Subject to applicable law, the Administrator, in its</w:t>
      </w:r>
    </w:p>
    <w:p>
      <w:pPr>
        <w:spacing w:after="0" w:line="23" w:lineRule="exact"/>
        <w:rPr>
          <w:rFonts w:ascii="Arial" w:cs="Arial" w:eastAsia="Arial" w:hAnsi="Arial"/>
          <w:sz w:val="18"/>
          <w:szCs w:val="18"/>
          <w:color w:val="auto"/>
        </w:rPr>
      </w:pPr>
    </w:p>
    <w:p>
      <w:pPr>
        <w:ind w:left="460" w:right="539"/>
        <w:spacing w:after="0" w:line="251" w:lineRule="auto"/>
        <w:rPr>
          <w:rFonts w:ascii="Arial" w:cs="Arial" w:eastAsia="Arial" w:hAnsi="Arial"/>
          <w:sz w:val="18"/>
          <w:szCs w:val="18"/>
          <w:color w:val="auto"/>
        </w:rPr>
      </w:pPr>
      <w:r>
        <w:rPr>
          <w:rFonts w:ascii="Arial" w:cs="Arial" w:eastAsia="Arial" w:hAnsi="Arial"/>
          <w:sz w:val="18"/>
          <w:szCs w:val="18"/>
          <w:color w:val="auto"/>
        </w:rPr>
        <w:t>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29" w:lineRule="exact"/>
        <w:rPr>
          <w:rFonts w:ascii="Arial" w:cs="Arial" w:eastAsia="Arial" w:hAnsi="Arial"/>
          <w:sz w:val="18"/>
          <w:szCs w:val="18"/>
          <w:color w:val="auto"/>
        </w:rPr>
      </w:pPr>
    </w:p>
    <w:p>
      <w:pPr>
        <w:jc w:val="both"/>
        <w:ind w:left="460" w:right="639" w:firstLine="426"/>
        <w:spacing w:after="0" w:line="263" w:lineRule="auto"/>
        <w:tabs>
          <w:tab w:leader="none" w:pos="1147" w:val="left"/>
        </w:tabs>
        <w:numPr>
          <w:ilvl w:val="0"/>
          <w:numId w:val="495"/>
        </w:numPr>
        <w:rPr>
          <w:rFonts w:ascii="Arial" w:cs="Arial" w:eastAsia="Arial" w:hAnsi="Arial"/>
          <w:sz w:val="18"/>
          <w:szCs w:val="18"/>
          <w:color w:val="auto"/>
        </w:rPr>
      </w:pPr>
      <w:r>
        <w:rPr>
          <w:rFonts w:ascii="Arial" w:cs="Arial" w:eastAsia="Arial" w:hAnsi="Arial"/>
          <w:sz w:val="18"/>
          <w:szCs w:val="18"/>
          <w:u w:val="single" w:color="auto"/>
          <w:color w:val="auto"/>
        </w:rPr>
        <w:t>Award Certificate</w:t>
      </w:r>
      <w:r>
        <w:rPr>
          <w:rFonts w:ascii="Arial" w:cs="Arial" w:eastAsia="Arial" w:hAnsi="Arial"/>
          <w:sz w:val="18"/>
          <w:szCs w:val="18"/>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16" w:lineRule="exact"/>
        <w:rPr>
          <w:rFonts w:ascii="Arial" w:cs="Arial" w:eastAsia="Arial" w:hAnsi="Arial"/>
          <w:sz w:val="18"/>
          <w:szCs w:val="18"/>
          <w:color w:val="auto"/>
        </w:rPr>
      </w:pPr>
    </w:p>
    <w:p>
      <w:pPr>
        <w:ind w:left="460" w:right="499" w:firstLine="426"/>
        <w:spacing w:after="0" w:line="271" w:lineRule="auto"/>
        <w:tabs>
          <w:tab w:leader="none" w:pos="1136" w:val="left"/>
        </w:tabs>
        <w:numPr>
          <w:ilvl w:val="0"/>
          <w:numId w:val="495"/>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5" w:name="page476"/>
    <w:bookmarkEnd w:id="47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26"/>
        <w:spacing w:after="0" w:line="286" w:lineRule="auto"/>
        <w:tabs>
          <w:tab w:leader="none" w:pos="1117" w:val="left"/>
        </w:tabs>
        <w:numPr>
          <w:ilvl w:val="0"/>
          <w:numId w:val="496"/>
        </w:numPr>
        <w:rPr>
          <w:rFonts w:ascii="Arial" w:cs="Arial" w:eastAsia="Arial" w:hAnsi="Arial"/>
          <w:sz w:val="16"/>
          <w:szCs w:val="16"/>
          <w:color w:val="auto"/>
        </w:rPr>
      </w:pPr>
      <w:r>
        <w:rPr>
          <w:rFonts w:ascii="Arial" w:cs="Arial" w:eastAsia="Arial" w:hAnsi="Arial"/>
          <w:sz w:val="16"/>
          <w:szCs w:val="16"/>
          <w:u w:val="single" w:color="auto"/>
          <w:color w:val="auto"/>
        </w:rPr>
        <w:t>Foreign Award Recipients</w:t>
      </w:r>
      <w:r>
        <w:rPr>
          <w:rFonts w:ascii="Arial" w:cs="Arial" w:eastAsia="Arial" w:hAnsi="Arial"/>
          <w:sz w:val="16"/>
          <w:szCs w:val="16"/>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03"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STOCK ISSUABLE UNDER THE PLAN; MERGERS; SUBSTITUTION</w:t>
      </w:r>
    </w:p>
    <w:p>
      <w:pPr>
        <w:spacing w:after="0" w:line="158" w:lineRule="exact"/>
        <w:rPr>
          <w:sz w:val="20"/>
          <w:szCs w:val="20"/>
          <w:color w:val="auto"/>
        </w:rPr>
      </w:pPr>
    </w:p>
    <w:p>
      <w:pPr>
        <w:ind w:left="460" w:right="479" w:firstLine="426"/>
        <w:spacing w:after="0" w:line="281" w:lineRule="auto"/>
        <w:tabs>
          <w:tab w:leader="none" w:pos="1136" w:val="left"/>
        </w:tabs>
        <w:numPr>
          <w:ilvl w:val="0"/>
          <w:numId w:val="497"/>
        </w:numPr>
        <w:rPr>
          <w:rFonts w:ascii="Arial" w:cs="Arial" w:eastAsia="Arial" w:hAnsi="Arial"/>
          <w:sz w:val="16"/>
          <w:szCs w:val="16"/>
          <w:color w:val="auto"/>
        </w:rPr>
      </w:pPr>
      <w:r>
        <w:rPr>
          <w:rFonts w:ascii="Arial" w:cs="Arial" w:eastAsia="Arial" w:hAnsi="Arial"/>
          <w:sz w:val="16"/>
          <w:szCs w:val="16"/>
          <w:u w:val="single" w:color="auto"/>
          <w:color w:val="auto"/>
        </w:rPr>
        <w:t>Stock Issuable</w:t>
      </w:r>
      <w:r>
        <w:rPr>
          <w:rFonts w:ascii="Arial" w:cs="Arial" w:eastAsia="Arial" w:hAnsi="Arial"/>
          <w:sz w:val="16"/>
          <w:szCs w:val="16"/>
          <w:color w:val="auto"/>
        </w:rPr>
        <w:t>. The maximum number of shares of Stock reserved and available for issuance under the Plan shall be [•]</w:t>
      </w:r>
      <w:r>
        <w:rPr>
          <w:rFonts w:ascii="Arial" w:cs="Arial" w:eastAsia="Arial" w:hAnsi="Arial"/>
          <w:sz w:val="18"/>
          <w:szCs w:val="18"/>
          <w:color w:val="auto"/>
          <w:vertAlign w:val="superscript"/>
        </w:rPr>
        <w:t>1</w:t>
      </w:r>
      <w:r>
        <w:rPr>
          <w:rFonts w:ascii="Arial" w:cs="Arial" w:eastAsia="Arial" w:hAnsi="Arial"/>
          <w:sz w:val="16"/>
          <w:szCs w:val="16"/>
          <w:color w:val="auto"/>
        </w:rPr>
        <w:t xml:space="preserve"> shares (the “Initial Limit”), subject to adjustment as provided in this Section 3, plus on January 1, 2022 and each January 1 thereafter, the number of shares of Stock reserved and available for issuance under the Plan shall be cumulatively increased by (i) five percent of the number of shares of Stock issued and outstanding on the immediately preceding December 31 or (ii) such lesser number of shares as determined by the Administrator (the “Annual Increase”). Subject to such overall limitation, the maximum aggregate number of shares of Stock that may be issued in the form of Incentive Stock Options shall not exceed the Initial Limit, as cumulatively increased on January 1, 2022 and each January 1 thereafter by the lesser of the Annual Increase for such year or [•]</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shares of Stock, subject in all cases to adjustment as provided in Section 3(b). For purposes of this limitation, the shares of Stock underlying any awards under the Plan and under the Company’s 2016 Stock Incentive Plan, as amended,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308" w:lineRule="exact"/>
        <w:rPr>
          <w:rFonts w:ascii="Arial" w:cs="Arial" w:eastAsia="Arial" w:hAnsi="Arial"/>
          <w:sz w:val="16"/>
          <w:szCs w:val="16"/>
          <w:color w:val="auto"/>
        </w:rPr>
      </w:pPr>
    </w:p>
    <w:p>
      <w:pPr>
        <w:ind w:left="460" w:right="479" w:firstLine="426"/>
        <w:spacing w:after="0" w:line="282" w:lineRule="auto"/>
        <w:tabs>
          <w:tab w:leader="none" w:pos="1147" w:val="left"/>
        </w:tabs>
        <w:numPr>
          <w:ilvl w:val="0"/>
          <w:numId w:val="497"/>
        </w:numPr>
        <w:rPr>
          <w:rFonts w:ascii="Arial" w:cs="Arial" w:eastAsia="Arial" w:hAnsi="Arial"/>
          <w:sz w:val="16"/>
          <w:szCs w:val="16"/>
          <w:color w:val="auto"/>
        </w:rPr>
      </w:pPr>
      <w:r>
        <w:rPr>
          <w:rFonts w:ascii="Arial" w:cs="Arial" w:eastAsia="Arial" w:hAnsi="Arial"/>
          <w:sz w:val="16"/>
          <w:szCs w:val="16"/>
          <w:u w:val="single" w:color="auto"/>
          <w:color w:val="auto"/>
        </w:rPr>
        <w:t>Changes in Stock</w:t>
      </w:r>
      <w:r>
        <w:rPr>
          <w:rFonts w:ascii="Arial" w:cs="Arial" w:eastAsia="Arial" w:hAnsi="Arial"/>
          <w:sz w:val="16"/>
          <w:szCs w:val="16"/>
          <w:color w:val="auto"/>
        </w:rPr>
        <w:t>. Subject to Section 3(c)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w:t>
      </w:r>
    </w:p>
    <w:p>
      <w:pPr>
        <w:spacing w:after="0" w:line="1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____________</w:t>
      </w:r>
    </w:p>
    <w:p>
      <w:pPr>
        <w:sectPr>
          <w:pgSz w:w="11900" w:h="16838" w:orient="portrait"/>
          <w:cols w:equalWidth="0" w:num="1">
            <w:col w:w="9019"/>
          </w:cols>
          <w:pgMar w:left="1440" w:top="274" w:right="1440" w:bottom="1440" w:gutter="0" w:footer="0" w:header="0"/>
        </w:sectPr>
      </w:pPr>
    </w:p>
    <w:p>
      <w:pPr>
        <w:spacing w:after="0" w:line="102" w:lineRule="exact"/>
        <w:rPr>
          <w:sz w:val="20"/>
          <w:szCs w:val="20"/>
          <w:color w:val="auto"/>
        </w:rPr>
      </w:pPr>
    </w:p>
    <w:p>
      <w:pPr>
        <w:ind w:left="460"/>
        <w:spacing w:after="0"/>
        <w:rPr>
          <w:sz w:val="20"/>
          <w:szCs w:val="20"/>
          <w:color w:val="auto"/>
        </w:rPr>
      </w:pPr>
      <w:r>
        <w:rPr>
          <w:rFonts w:ascii="Arial" w:cs="Arial" w:eastAsia="Arial" w:hAnsi="Arial"/>
          <w:sz w:val="7"/>
          <w:szCs w:val="7"/>
          <w:color w:val="auto"/>
        </w:rPr>
        <w:t>1</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7"/>
          <w:szCs w:val="7"/>
          <w:color w:val="auto"/>
        </w:rPr>
        <w:t>2</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to Draft</w:t>
      </w:r>
      <w:r>
        <w:rPr>
          <w:rFonts w:ascii="Arial" w:cs="Arial" w:eastAsia="Arial" w:hAnsi="Arial"/>
          <w:sz w:val="16"/>
          <w:szCs w:val="16"/>
          <w:color w:val="auto"/>
        </w:rPr>
        <w:t>: To be a number equal to 10% of the post-IPO fully diluted shares.</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to Draft</w:t>
      </w:r>
      <w:r>
        <w:rPr>
          <w:rFonts w:ascii="Arial" w:cs="Arial" w:eastAsia="Arial" w:hAnsi="Arial"/>
          <w:sz w:val="14"/>
          <w:szCs w:val="14"/>
          <w:color w:val="auto"/>
        </w:rPr>
        <w:t>: To a number equal to approximately 5% of the post-IPO fully diluted shares.</w:t>
      </w:r>
    </w:p>
    <w:p>
      <w:pPr>
        <w:spacing w:after="0" w:line="200" w:lineRule="exact"/>
        <w:rPr>
          <w:sz w:val="20"/>
          <w:szCs w:val="20"/>
          <w:color w:val="auto"/>
        </w:rPr>
      </w:pPr>
    </w:p>
    <w:p>
      <w:pPr>
        <w:sectPr>
          <w:pgSz w:w="11900" w:h="16838" w:orient="portrait"/>
          <w:cols w:equalWidth="0" w:num="2">
            <w:col w:w="500" w:space="180"/>
            <w:col w:w="8339"/>
          </w:cols>
          <w:pgMar w:left="1440" w:top="274" w:right="1440" w:bottom="1440" w:gutter="0" w:footer="0" w:header="0"/>
          <w:type w:val="continuous"/>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Annex A-120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76" w:name="page477"/>
    <w:bookmarkEnd w:id="47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301" w:lineRule="auto"/>
        <w:rPr>
          <w:sz w:val="20"/>
          <w:szCs w:val="20"/>
          <w:color w:val="auto"/>
        </w:rPr>
      </w:pPr>
      <w:r>
        <w:rPr>
          <w:rFonts w:ascii="Arial" w:cs="Arial" w:eastAsia="Arial" w:hAnsi="Arial"/>
          <w:sz w:val="16"/>
          <w:szCs w:val="16"/>
          <w:color w:val="auto"/>
        </w:rPr>
        <w:t>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90" w:lineRule="exact"/>
        <w:rPr>
          <w:sz w:val="20"/>
          <w:szCs w:val="20"/>
          <w:color w:val="auto"/>
        </w:rPr>
      </w:pPr>
    </w:p>
    <w:p>
      <w:pPr>
        <w:ind w:left="460" w:right="479" w:firstLine="426"/>
        <w:spacing w:after="0" w:line="284" w:lineRule="auto"/>
        <w:tabs>
          <w:tab w:leader="none" w:pos="1136" w:val="left"/>
        </w:tabs>
        <w:numPr>
          <w:ilvl w:val="0"/>
          <w:numId w:val="498"/>
        </w:numPr>
        <w:rPr>
          <w:rFonts w:ascii="Arial" w:cs="Arial" w:eastAsia="Arial" w:hAnsi="Arial"/>
          <w:sz w:val="16"/>
          <w:szCs w:val="16"/>
          <w:color w:val="auto"/>
        </w:rPr>
      </w:pPr>
      <w:r>
        <w:rPr>
          <w:rFonts w:ascii="Arial" w:cs="Arial" w:eastAsia="Arial" w:hAnsi="Arial"/>
          <w:sz w:val="16"/>
          <w:szCs w:val="16"/>
          <w:u w:val="single" w:color="auto"/>
          <w:color w:val="auto"/>
        </w:rPr>
        <w:t>Mergers and Other Transactions</w:t>
      </w:r>
      <w:r>
        <w:rPr>
          <w:rFonts w:ascii="Arial" w:cs="Arial" w:eastAsia="Arial" w:hAnsi="Arial"/>
          <w:sz w:val="16"/>
          <w:szCs w:val="16"/>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325" w:lineRule="exact"/>
        <w:rPr>
          <w:rFonts w:ascii="Arial" w:cs="Arial" w:eastAsia="Arial" w:hAnsi="Arial"/>
          <w:sz w:val="16"/>
          <w:szCs w:val="16"/>
          <w:color w:val="auto"/>
        </w:rPr>
      </w:pPr>
    </w:p>
    <w:p>
      <w:pPr>
        <w:ind w:left="460" w:right="519" w:firstLine="426"/>
        <w:spacing w:after="0" w:line="254" w:lineRule="auto"/>
        <w:tabs>
          <w:tab w:leader="none" w:pos="1147" w:val="left"/>
        </w:tabs>
        <w:numPr>
          <w:ilvl w:val="0"/>
          <w:numId w:val="498"/>
        </w:numPr>
        <w:rPr>
          <w:rFonts w:ascii="Arial" w:cs="Arial" w:eastAsia="Arial" w:hAnsi="Arial"/>
          <w:sz w:val="18"/>
          <w:szCs w:val="18"/>
          <w:color w:val="auto"/>
        </w:rPr>
      </w:pPr>
      <w:r>
        <w:rPr>
          <w:rFonts w:ascii="Arial" w:cs="Arial" w:eastAsia="Arial" w:hAnsi="Arial"/>
          <w:sz w:val="18"/>
          <w:szCs w:val="18"/>
          <w:u w:val="single" w:color="auto"/>
          <w:color w:val="auto"/>
        </w:rPr>
        <w:t>Maximum Awards to Non-Employee Directors</w:t>
      </w:r>
      <w:r>
        <w:rPr>
          <w:rFonts w:ascii="Arial" w:cs="Arial" w:eastAsia="Arial" w:hAnsi="Arial"/>
          <w:sz w:val="18"/>
          <w:szCs w:val="18"/>
          <w:color w:val="auto"/>
        </w:rPr>
        <w:t>. Notwithstanding anything to the contrary in this Plan, the value of all Awards awarded under this Plan and all other cash compensation paid by the Company to any Non-Employee Director in any calendar year for services as a Non-Employee Director shall not exceed $750,000; provided, however, that such amount shall be $1,000,000 for the calendar year in which the applicable Non-Employee Director is initially elected or appointed to the Board. For the purpose of these limitations, the value of any Award shall be its grant date fair value, as determined in accordance with ASC 718 or successor provision but excluding the impact of estimated forfeitures related to service-based vesting provisions.</w:t>
      </w:r>
    </w:p>
    <w:p>
      <w:pPr>
        <w:spacing w:after="0" w:line="111"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8"/>
          <w:szCs w:val="18"/>
          <w:u w:val="single" w:color="auto"/>
          <w:color w:val="auto"/>
        </w:rPr>
        <w:t>ELIGIBILITY</w:t>
      </w:r>
    </w:p>
    <w:p>
      <w:pPr>
        <w:spacing w:after="0" w:line="158"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Grantees under the Plan will be such employees, Non-Employee Directors or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97"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STOCK OPTIONS</w:t>
      </w:r>
    </w:p>
    <w:p>
      <w:pPr>
        <w:spacing w:after="0" w:line="144" w:lineRule="exact"/>
        <w:rPr>
          <w:sz w:val="20"/>
          <w:szCs w:val="20"/>
          <w:color w:val="auto"/>
        </w:rPr>
      </w:pPr>
    </w:p>
    <w:p>
      <w:pPr>
        <w:jc w:val="both"/>
        <w:ind w:left="460" w:right="939" w:firstLine="426"/>
        <w:spacing w:after="0" w:line="342" w:lineRule="auto"/>
        <w:tabs>
          <w:tab w:leader="none" w:pos="1136" w:val="left"/>
        </w:tabs>
        <w:numPr>
          <w:ilvl w:val="0"/>
          <w:numId w:val="499"/>
        </w:numPr>
        <w:rPr>
          <w:rFonts w:ascii="Arial" w:cs="Arial" w:eastAsia="Arial" w:hAnsi="Arial"/>
          <w:sz w:val="16"/>
          <w:szCs w:val="16"/>
          <w:color w:val="auto"/>
        </w:rPr>
      </w:pPr>
      <w:r>
        <w:rPr>
          <w:rFonts w:ascii="Arial" w:cs="Arial" w:eastAsia="Arial" w:hAnsi="Arial"/>
          <w:sz w:val="16"/>
          <w:szCs w:val="16"/>
          <w:u w:val="single" w:color="auto"/>
          <w:color w:val="auto"/>
        </w:rPr>
        <w:t>Award of Stock Options</w:t>
      </w:r>
      <w:r>
        <w:rPr>
          <w:rFonts w:ascii="Arial" w:cs="Arial" w:eastAsia="Arial" w:hAnsi="Arial"/>
          <w:sz w:val="16"/>
          <w:szCs w:val="16"/>
          <w:color w:val="auto"/>
        </w:rPr>
        <w:t>. The Administrator may grant Stock Options under the Plan. Any Stock Option granted under the Plan shall be in such form as the Administrator may from time to time approve.</w:t>
      </w:r>
    </w:p>
    <w:p>
      <w:pPr>
        <w:spacing w:after="0" w:line="56"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77" w:name="page478"/>
    <w:bookmarkEnd w:id="47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20" w:lineRule="exact"/>
        <w:rPr>
          <w:sz w:val="20"/>
          <w:szCs w:val="20"/>
          <w:color w:val="auto"/>
        </w:rPr>
      </w:pPr>
    </w:p>
    <w:p>
      <w:pPr>
        <w:ind w:left="460" w:right="519" w:firstLine="426"/>
        <w:spacing w:after="0" w:line="270" w:lineRule="auto"/>
        <w:tabs>
          <w:tab w:leader="none" w:pos="1147" w:val="left"/>
        </w:tabs>
        <w:numPr>
          <w:ilvl w:val="0"/>
          <w:numId w:val="500"/>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113" w:lineRule="exact"/>
        <w:rPr>
          <w:rFonts w:ascii="Arial" w:cs="Arial" w:eastAsia="Arial" w:hAnsi="Arial"/>
          <w:sz w:val="17"/>
          <w:szCs w:val="17"/>
          <w:color w:val="auto"/>
        </w:rPr>
      </w:pPr>
    </w:p>
    <w:p>
      <w:pPr>
        <w:ind w:left="460" w:right="559" w:firstLine="426"/>
        <w:spacing w:after="0" w:line="259" w:lineRule="auto"/>
        <w:tabs>
          <w:tab w:leader="none" w:pos="1136" w:val="left"/>
        </w:tabs>
        <w:numPr>
          <w:ilvl w:val="0"/>
          <w:numId w:val="500"/>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05" w:lineRule="exact"/>
        <w:rPr>
          <w:rFonts w:ascii="Arial" w:cs="Arial" w:eastAsia="Arial" w:hAnsi="Arial"/>
          <w:sz w:val="18"/>
          <w:szCs w:val="18"/>
          <w:color w:val="auto"/>
        </w:rPr>
      </w:pPr>
    </w:p>
    <w:p>
      <w:pPr>
        <w:ind w:left="460" w:right="539" w:firstLine="426"/>
        <w:spacing w:after="0" w:line="257" w:lineRule="auto"/>
        <w:tabs>
          <w:tab w:leader="none" w:pos="1147" w:val="left"/>
        </w:tabs>
        <w:numPr>
          <w:ilvl w:val="0"/>
          <w:numId w:val="500"/>
        </w:numPr>
        <w:rPr>
          <w:rFonts w:ascii="Arial" w:cs="Arial" w:eastAsia="Arial" w:hAnsi="Arial"/>
          <w:sz w:val="18"/>
          <w:szCs w:val="18"/>
          <w:color w:val="auto"/>
        </w:rPr>
      </w:pPr>
      <w:r>
        <w:rPr>
          <w:rFonts w:ascii="Arial" w:cs="Arial" w:eastAsia="Arial" w:hAnsi="Arial"/>
          <w:sz w:val="18"/>
          <w:szCs w:val="18"/>
          <w:u w:val="single" w:color="auto"/>
          <w:color w:val="auto"/>
        </w:rPr>
        <w:t>Exercisability; Rights of a Stockholder</w:t>
      </w:r>
      <w:r>
        <w:rPr>
          <w:rFonts w:ascii="Arial" w:cs="Arial" w:eastAsia="Arial" w:hAnsi="Arial"/>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20" w:lineRule="exact"/>
        <w:rPr>
          <w:rFonts w:ascii="Arial" w:cs="Arial" w:eastAsia="Arial" w:hAnsi="Arial"/>
          <w:sz w:val="18"/>
          <w:szCs w:val="18"/>
          <w:color w:val="auto"/>
        </w:rPr>
      </w:pPr>
    </w:p>
    <w:p>
      <w:pPr>
        <w:ind w:left="460" w:right="619" w:firstLine="426"/>
        <w:spacing w:after="0" w:line="259" w:lineRule="auto"/>
        <w:tabs>
          <w:tab w:leader="none" w:pos="1136" w:val="left"/>
        </w:tabs>
        <w:numPr>
          <w:ilvl w:val="0"/>
          <w:numId w:val="500"/>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Certificate:</w:t>
      </w:r>
    </w:p>
    <w:p>
      <w:pPr>
        <w:spacing w:after="0" w:line="119" w:lineRule="exact"/>
        <w:rPr>
          <w:rFonts w:ascii="Arial" w:cs="Arial" w:eastAsia="Arial" w:hAnsi="Arial"/>
          <w:sz w:val="18"/>
          <w:szCs w:val="18"/>
          <w:color w:val="auto"/>
        </w:rPr>
      </w:pPr>
    </w:p>
    <w:p>
      <w:pPr>
        <w:ind w:left="1540" w:hanging="222"/>
        <w:spacing w:after="0"/>
        <w:tabs>
          <w:tab w:leader="none" w:pos="1540" w:val="left"/>
        </w:tabs>
        <w:numPr>
          <w:ilvl w:val="1"/>
          <w:numId w:val="500"/>
        </w:numPr>
        <w:rPr>
          <w:rFonts w:ascii="Arial" w:cs="Arial" w:eastAsia="Arial" w:hAnsi="Arial"/>
          <w:sz w:val="18"/>
          <w:szCs w:val="18"/>
          <w:color w:val="auto"/>
        </w:rPr>
      </w:pPr>
      <w:r>
        <w:rPr>
          <w:rFonts w:ascii="Arial" w:cs="Arial" w:eastAsia="Arial" w:hAnsi="Arial"/>
          <w:sz w:val="18"/>
          <w:szCs w:val="18"/>
          <w:color w:val="auto"/>
        </w:rPr>
        <w:t>In cash, by certified or bank check or other instrument acceptable to the Administrator;</w:t>
      </w:r>
    </w:p>
    <w:p>
      <w:pPr>
        <w:spacing w:after="0" w:line="144" w:lineRule="exact"/>
        <w:rPr>
          <w:rFonts w:ascii="Arial" w:cs="Arial" w:eastAsia="Arial" w:hAnsi="Arial"/>
          <w:sz w:val="18"/>
          <w:szCs w:val="18"/>
          <w:color w:val="auto"/>
        </w:rPr>
      </w:pPr>
    </w:p>
    <w:p>
      <w:pPr>
        <w:ind w:left="460" w:right="479" w:firstLine="858"/>
        <w:spacing w:after="0" w:line="263" w:lineRule="auto"/>
        <w:tabs>
          <w:tab w:leader="none" w:pos="1586" w:val="left"/>
        </w:tabs>
        <w:numPr>
          <w:ilvl w:val="1"/>
          <w:numId w:val="500"/>
        </w:numPr>
        <w:rPr>
          <w:rFonts w:ascii="Arial" w:cs="Arial" w:eastAsia="Arial" w:hAnsi="Arial"/>
          <w:sz w:val="18"/>
          <w:szCs w:val="18"/>
          <w:color w:val="auto"/>
        </w:rPr>
      </w:pPr>
      <w:r>
        <w:rPr>
          <w:rFonts w:ascii="Arial" w:cs="Arial" w:eastAsia="Arial" w:hAnsi="Arial"/>
          <w:sz w:val="18"/>
          <w:szCs w:val="18"/>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16" w:lineRule="exact"/>
        <w:rPr>
          <w:rFonts w:ascii="Arial" w:cs="Arial" w:eastAsia="Arial" w:hAnsi="Arial"/>
          <w:sz w:val="18"/>
          <w:szCs w:val="18"/>
          <w:color w:val="auto"/>
        </w:rPr>
      </w:pPr>
    </w:p>
    <w:p>
      <w:pPr>
        <w:ind w:left="460" w:right="479" w:firstLine="858"/>
        <w:spacing w:after="0" w:line="296" w:lineRule="auto"/>
        <w:tabs>
          <w:tab w:leader="none" w:pos="1639" w:val="left"/>
        </w:tabs>
        <w:numPr>
          <w:ilvl w:val="1"/>
          <w:numId w:val="500"/>
        </w:numPr>
        <w:rPr>
          <w:rFonts w:ascii="Arial" w:cs="Arial" w:eastAsia="Arial" w:hAnsi="Arial"/>
          <w:sz w:val="16"/>
          <w:szCs w:val="16"/>
          <w:color w:val="auto"/>
        </w:rPr>
      </w:pPr>
      <w:r>
        <w:rPr>
          <w:rFonts w:ascii="Arial" w:cs="Arial" w:eastAsia="Arial" w:hAnsi="Arial"/>
          <w:sz w:val="16"/>
          <w:szCs w:val="16"/>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93" w:lineRule="exact"/>
        <w:rPr>
          <w:rFonts w:ascii="Arial" w:cs="Arial" w:eastAsia="Arial" w:hAnsi="Arial"/>
          <w:sz w:val="16"/>
          <w:szCs w:val="16"/>
          <w:color w:val="auto"/>
        </w:rPr>
      </w:pPr>
    </w:p>
    <w:p>
      <w:pPr>
        <w:ind w:left="460" w:right="619" w:firstLine="858"/>
        <w:spacing w:after="0" w:line="259" w:lineRule="auto"/>
        <w:tabs>
          <w:tab w:leader="none" w:pos="1626" w:val="left"/>
        </w:tabs>
        <w:numPr>
          <w:ilvl w:val="1"/>
          <w:numId w:val="500"/>
        </w:numPr>
        <w:rPr>
          <w:rFonts w:ascii="Arial" w:cs="Arial" w:eastAsia="Arial" w:hAnsi="Arial"/>
          <w:sz w:val="18"/>
          <w:szCs w:val="18"/>
          <w:color w:val="auto"/>
        </w:rPr>
      </w:pPr>
      <w:r>
        <w:rPr>
          <w:rFonts w:ascii="Arial" w:cs="Arial" w:eastAsia="Arial" w:hAnsi="Arial"/>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06" w:lineRule="exact"/>
        <w:rPr>
          <w:sz w:val="20"/>
          <w:szCs w:val="20"/>
          <w:color w:val="auto"/>
        </w:rPr>
      </w:pPr>
    </w:p>
    <w:p>
      <w:pPr>
        <w:ind w:left="460" w:right="479"/>
        <w:spacing w:after="0" w:line="287" w:lineRule="auto"/>
        <w:rPr>
          <w:sz w:val="20"/>
          <w:szCs w:val="20"/>
          <w:color w:val="auto"/>
        </w:rPr>
      </w:pPr>
      <w:r>
        <w:rPr>
          <w:rFonts w:ascii="Arial" w:cs="Arial" w:eastAsia="Arial" w:hAnsi="Arial"/>
          <w:sz w:val="16"/>
          <w:szCs w:val="16"/>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78" w:name="page479"/>
    <w:bookmarkEnd w:id="47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26"/>
        <w:spacing w:after="0" w:line="255" w:lineRule="auto"/>
        <w:tabs>
          <w:tab w:leader="none" w:pos="1117" w:val="left"/>
        </w:tabs>
        <w:numPr>
          <w:ilvl w:val="0"/>
          <w:numId w:val="501"/>
        </w:numPr>
        <w:rPr>
          <w:rFonts w:ascii="Arial" w:cs="Arial" w:eastAsia="Arial" w:hAnsi="Arial"/>
          <w:sz w:val="18"/>
          <w:szCs w:val="18"/>
          <w:color w:val="auto"/>
        </w:rPr>
      </w:pPr>
      <w:r>
        <w:rPr>
          <w:rFonts w:ascii="Arial" w:cs="Arial" w:eastAsia="Arial" w:hAnsi="Arial"/>
          <w:sz w:val="18"/>
          <w:szCs w:val="18"/>
          <w:u w:val="single" w:color="auto"/>
          <w:color w:val="auto"/>
        </w:rPr>
        <w:t>Annual Limit on Incentive Stock Options</w:t>
      </w:r>
      <w:r>
        <w:rPr>
          <w:rFonts w:ascii="Arial" w:cs="Arial" w:eastAsia="Arial" w:hAnsi="Arial"/>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25"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u w:val="single" w:color="auto"/>
          <w:color w:val="auto"/>
        </w:rPr>
        <w:t>STOCK APPRECIATION RIGHTS</w:t>
      </w:r>
    </w:p>
    <w:p>
      <w:pPr>
        <w:spacing w:after="0" w:line="158" w:lineRule="exact"/>
        <w:rPr>
          <w:sz w:val="20"/>
          <w:szCs w:val="20"/>
          <w:color w:val="auto"/>
        </w:rPr>
      </w:pPr>
    </w:p>
    <w:p>
      <w:pPr>
        <w:ind w:left="460" w:right="619" w:firstLine="426"/>
        <w:spacing w:after="0" w:line="255" w:lineRule="auto"/>
        <w:tabs>
          <w:tab w:leader="none" w:pos="1136" w:val="left"/>
        </w:tabs>
        <w:numPr>
          <w:ilvl w:val="0"/>
          <w:numId w:val="502"/>
        </w:numPr>
        <w:rPr>
          <w:rFonts w:ascii="Arial" w:cs="Arial" w:eastAsia="Arial" w:hAnsi="Arial"/>
          <w:sz w:val="18"/>
          <w:szCs w:val="18"/>
          <w:color w:val="auto"/>
        </w:rPr>
      </w:pPr>
      <w:r>
        <w:rPr>
          <w:rFonts w:ascii="Arial" w:cs="Arial" w:eastAsia="Arial" w:hAnsi="Arial"/>
          <w:sz w:val="18"/>
          <w:szCs w:val="18"/>
          <w:u w:val="single" w:color="auto"/>
          <w:color w:val="auto"/>
        </w:rPr>
        <w:t>Award of Stock Appreciation Rights</w:t>
      </w:r>
      <w:r>
        <w:rPr>
          <w:rFonts w:ascii="Arial" w:cs="Arial" w:eastAsia="Arial" w:hAnsi="Arial"/>
          <w:sz w:val="18"/>
          <w:szCs w:val="18"/>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11" w:lineRule="exact"/>
        <w:rPr>
          <w:rFonts w:ascii="Arial" w:cs="Arial" w:eastAsia="Arial" w:hAnsi="Arial"/>
          <w:sz w:val="18"/>
          <w:szCs w:val="18"/>
          <w:color w:val="auto"/>
        </w:rPr>
      </w:pPr>
    </w:p>
    <w:p>
      <w:pPr>
        <w:ind w:left="460" w:right="599" w:firstLine="426"/>
        <w:spacing w:after="0" w:line="293" w:lineRule="auto"/>
        <w:tabs>
          <w:tab w:leader="none" w:pos="1147" w:val="left"/>
        </w:tabs>
        <w:numPr>
          <w:ilvl w:val="0"/>
          <w:numId w:val="502"/>
        </w:numPr>
        <w:rPr>
          <w:rFonts w:ascii="Arial" w:cs="Arial" w:eastAsia="Arial" w:hAnsi="Arial"/>
          <w:sz w:val="16"/>
          <w:szCs w:val="16"/>
          <w:color w:val="auto"/>
        </w:rPr>
      </w:pPr>
      <w:r>
        <w:rPr>
          <w:rFonts w:ascii="Arial" w:cs="Arial" w:eastAsia="Arial" w:hAnsi="Arial"/>
          <w:sz w:val="16"/>
          <w:szCs w:val="16"/>
          <w:u w:val="single" w:color="auto"/>
          <w:color w:val="auto"/>
        </w:rPr>
        <w:t>Exercise Price of Stock Appreciation Rights</w:t>
      </w:r>
      <w:r>
        <w:rPr>
          <w:rFonts w:ascii="Arial" w:cs="Arial" w:eastAsia="Arial" w:hAnsi="Arial"/>
          <w:sz w:val="16"/>
          <w:szCs w:val="16"/>
          <w:color w:val="auto"/>
        </w:rPr>
        <w:t>. The exercise price of a Stock Appreciation Right shall not be less than 100 percent of the Fair Market Value of the Stock on the date of grant. Notwithstanding the foregoing, Stock Appreciation Rights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Appreciation Right is otherwise compliant with Section 409A.</w:t>
      </w:r>
    </w:p>
    <w:p>
      <w:pPr>
        <w:spacing w:after="0" w:line="96" w:lineRule="exact"/>
        <w:rPr>
          <w:rFonts w:ascii="Arial" w:cs="Arial" w:eastAsia="Arial" w:hAnsi="Arial"/>
          <w:sz w:val="16"/>
          <w:szCs w:val="16"/>
          <w:color w:val="auto"/>
        </w:rPr>
      </w:pPr>
    </w:p>
    <w:p>
      <w:pPr>
        <w:ind w:left="460" w:right="719" w:firstLine="426"/>
        <w:spacing w:after="0" w:line="308" w:lineRule="auto"/>
        <w:tabs>
          <w:tab w:leader="none" w:pos="1136" w:val="left"/>
        </w:tabs>
        <w:numPr>
          <w:ilvl w:val="0"/>
          <w:numId w:val="502"/>
        </w:numPr>
        <w:rPr>
          <w:rFonts w:ascii="Arial" w:cs="Arial" w:eastAsia="Arial" w:hAnsi="Arial"/>
          <w:sz w:val="17"/>
          <w:szCs w:val="17"/>
          <w:color w:val="auto"/>
        </w:rPr>
      </w:pPr>
      <w:r>
        <w:rPr>
          <w:rFonts w:ascii="Arial" w:cs="Arial" w:eastAsia="Arial" w:hAnsi="Arial"/>
          <w:sz w:val="17"/>
          <w:szCs w:val="17"/>
          <w:u w:val="single" w:color="auto"/>
          <w:color w:val="auto"/>
        </w:rPr>
        <w:t>Grant and Exercise of Stock Appreciation Rights</w:t>
      </w:r>
      <w:r>
        <w:rPr>
          <w:rFonts w:ascii="Arial" w:cs="Arial" w:eastAsia="Arial" w:hAnsi="Arial"/>
          <w:sz w:val="17"/>
          <w:szCs w:val="17"/>
          <w:color w:val="auto"/>
        </w:rPr>
        <w:t>. Stock Appreciation Rights may be granted by the Administrator independently of any Stock Option granted pursuant to Section 5 of the Plan.</w:t>
      </w:r>
    </w:p>
    <w:p>
      <w:pPr>
        <w:spacing w:after="0" w:line="78" w:lineRule="exact"/>
        <w:rPr>
          <w:rFonts w:ascii="Arial" w:cs="Arial" w:eastAsia="Arial" w:hAnsi="Arial"/>
          <w:sz w:val="17"/>
          <w:szCs w:val="17"/>
          <w:color w:val="auto"/>
        </w:rPr>
      </w:pPr>
    </w:p>
    <w:p>
      <w:pPr>
        <w:ind w:left="460" w:right="479" w:firstLine="426"/>
        <w:spacing w:after="0" w:line="301" w:lineRule="auto"/>
        <w:tabs>
          <w:tab w:leader="none" w:pos="1147" w:val="left"/>
        </w:tabs>
        <w:numPr>
          <w:ilvl w:val="0"/>
          <w:numId w:val="502"/>
        </w:numPr>
        <w:rPr>
          <w:rFonts w:ascii="Arial" w:cs="Arial" w:eastAsia="Arial" w:hAnsi="Arial"/>
          <w:sz w:val="16"/>
          <w:szCs w:val="16"/>
          <w:color w:val="auto"/>
        </w:rPr>
      </w:pPr>
      <w:r>
        <w:rPr>
          <w:rFonts w:ascii="Arial" w:cs="Arial" w:eastAsia="Arial" w:hAnsi="Arial"/>
          <w:sz w:val="16"/>
          <w:szCs w:val="16"/>
          <w:u w:val="single" w:color="auto"/>
          <w:color w:val="auto"/>
        </w:rPr>
        <w:t>Terms and Conditions of Stock Appreciation Rights</w:t>
      </w:r>
      <w:r>
        <w:rPr>
          <w:rFonts w:ascii="Arial" w:cs="Arial" w:eastAsia="Arial" w:hAnsi="Arial"/>
          <w:sz w:val="16"/>
          <w:szCs w:val="16"/>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76"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u w:val="single" w:color="auto"/>
          <w:color w:val="auto"/>
        </w:rPr>
        <w:t>RESTRICTED STOCK AWARDS</w:t>
      </w:r>
    </w:p>
    <w:p>
      <w:pPr>
        <w:spacing w:after="0" w:line="158" w:lineRule="exact"/>
        <w:rPr>
          <w:sz w:val="20"/>
          <w:szCs w:val="20"/>
          <w:color w:val="auto"/>
        </w:rPr>
      </w:pPr>
    </w:p>
    <w:p>
      <w:pPr>
        <w:ind w:left="460" w:right="539" w:firstLine="426"/>
        <w:spacing w:after="0" w:line="301" w:lineRule="auto"/>
        <w:tabs>
          <w:tab w:leader="none" w:pos="1136" w:val="left"/>
        </w:tabs>
        <w:numPr>
          <w:ilvl w:val="1"/>
          <w:numId w:val="503"/>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Awards</w:t>
      </w:r>
      <w:r>
        <w:rPr>
          <w:rFonts w:ascii="Arial" w:cs="Arial" w:eastAsia="Arial" w:hAnsi="Arial"/>
          <w:sz w:val="16"/>
          <w:szCs w:val="16"/>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89" w:lineRule="exact"/>
        <w:rPr>
          <w:rFonts w:ascii="Arial" w:cs="Arial" w:eastAsia="Arial" w:hAnsi="Arial"/>
          <w:sz w:val="16"/>
          <w:szCs w:val="16"/>
          <w:color w:val="auto"/>
        </w:rPr>
      </w:pPr>
    </w:p>
    <w:p>
      <w:pPr>
        <w:ind w:left="460" w:right="479" w:firstLine="426"/>
        <w:spacing w:after="0" w:line="284" w:lineRule="auto"/>
        <w:tabs>
          <w:tab w:leader="none" w:pos="1147" w:val="left"/>
        </w:tabs>
        <w:numPr>
          <w:ilvl w:val="1"/>
          <w:numId w:val="503"/>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Upon the grant of the Restricted Stock Award and payment of any applicable purchase price, if any,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w:t>
      </w:r>
    </w:p>
    <w:p>
      <w:pPr>
        <w:spacing w:after="0" w:line="4" w:lineRule="exact"/>
        <w:rPr>
          <w:rFonts w:ascii="Arial" w:cs="Arial" w:eastAsia="Arial" w:hAnsi="Arial"/>
          <w:sz w:val="16"/>
          <w:szCs w:val="16"/>
          <w:color w:val="auto"/>
        </w:rPr>
      </w:pPr>
    </w:p>
    <w:p>
      <w:pPr>
        <w:ind w:left="460" w:right="479" w:hanging="6"/>
        <w:spacing w:after="0" w:line="252" w:lineRule="auto"/>
        <w:tabs>
          <w:tab w:leader="none" w:pos="675" w:val="left"/>
        </w:tabs>
        <w:numPr>
          <w:ilvl w:val="0"/>
          <w:numId w:val="504"/>
        </w:numPr>
        <w:rPr>
          <w:rFonts w:ascii="Arial" w:cs="Arial" w:eastAsia="Arial" w:hAnsi="Arial"/>
          <w:sz w:val="18"/>
          <w:szCs w:val="18"/>
          <w:color w:val="auto"/>
        </w:rPr>
      </w:pPr>
      <w:r>
        <w:rPr>
          <w:rFonts w:ascii="Arial" w:cs="Arial" w:eastAsia="Arial" w:hAnsi="Arial"/>
          <w:sz w:val="18"/>
          <w:szCs w:val="18"/>
          <w:color w:val="auto"/>
        </w:rPr>
        <w:t>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12" w:lineRule="exact"/>
        <w:rPr>
          <w:rFonts w:ascii="Arial" w:cs="Arial" w:eastAsia="Arial" w:hAnsi="Arial"/>
          <w:sz w:val="18"/>
          <w:szCs w:val="18"/>
          <w:color w:val="auto"/>
        </w:rPr>
      </w:pPr>
    </w:p>
    <w:p>
      <w:pPr>
        <w:ind w:left="1140" w:hanging="254"/>
        <w:spacing w:after="0"/>
        <w:tabs>
          <w:tab w:leader="none" w:pos="1140" w:val="left"/>
        </w:tabs>
        <w:numPr>
          <w:ilvl w:val="1"/>
          <w:numId w:val="504"/>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Restricted Shares may not be sold, assigned, transferred, pledged or otherwise</w:t>
      </w:r>
    </w:p>
    <w:p>
      <w:pPr>
        <w:spacing w:after="0" w:line="23" w:lineRule="exact"/>
        <w:rPr>
          <w:rFonts w:ascii="Arial" w:cs="Arial" w:eastAsia="Arial" w:hAnsi="Arial"/>
          <w:sz w:val="18"/>
          <w:szCs w:val="18"/>
          <w:color w:val="auto"/>
        </w:rPr>
      </w:pPr>
    </w:p>
    <w:p>
      <w:pPr>
        <w:ind w:left="460" w:right="479"/>
        <w:spacing w:after="0" w:line="268" w:lineRule="auto"/>
        <w:rPr>
          <w:rFonts w:ascii="Arial" w:cs="Arial" w:eastAsia="Arial" w:hAnsi="Arial"/>
          <w:sz w:val="18"/>
          <w:szCs w:val="18"/>
          <w:color w:val="auto"/>
        </w:rPr>
      </w:pPr>
      <w:r>
        <w:rPr>
          <w:rFonts w:ascii="Arial" w:cs="Arial" w:eastAsia="Arial" w:hAnsi="Arial"/>
          <w:sz w:val="17"/>
          <w:szCs w:val="17"/>
          <w:color w:val="auto"/>
        </w:rPr>
        <w:t>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79" w:name="page480"/>
    <w:bookmarkEnd w:id="47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spacing w:after="0" w:line="259" w:lineRule="auto"/>
        <w:rPr>
          <w:sz w:val="20"/>
          <w:szCs w:val="20"/>
          <w:color w:val="auto"/>
        </w:rPr>
      </w:pPr>
      <w:r>
        <w:rPr>
          <w:rFonts w:ascii="Arial" w:cs="Arial" w:eastAsia="Arial" w:hAnsi="Arial"/>
          <w:sz w:val="18"/>
          <w:szCs w:val="18"/>
          <w:color w:val="auto"/>
        </w:rPr>
        <w:t>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19" w:lineRule="exact"/>
        <w:rPr>
          <w:sz w:val="20"/>
          <w:szCs w:val="20"/>
          <w:color w:val="auto"/>
        </w:rPr>
      </w:pPr>
    </w:p>
    <w:p>
      <w:pPr>
        <w:ind w:left="460" w:right="639" w:firstLine="426"/>
        <w:spacing w:after="0" w:line="255" w:lineRule="auto"/>
        <w:tabs>
          <w:tab w:leader="none" w:pos="1147" w:val="left"/>
        </w:tabs>
        <w:numPr>
          <w:ilvl w:val="0"/>
          <w:numId w:val="505"/>
        </w:numPr>
        <w:rPr>
          <w:rFonts w:ascii="Arial" w:cs="Arial" w:eastAsia="Arial" w:hAnsi="Arial"/>
          <w:sz w:val="18"/>
          <w:szCs w:val="18"/>
          <w:color w:val="auto"/>
        </w:rPr>
      </w:pPr>
      <w:r>
        <w:rPr>
          <w:rFonts w:ascii="Arial" w:cs="Arial" w:eastAsia="Arial" w:hAnsi="Arial"/>
          <w:sz w:val="18"/>
          <w:szCs w:val="18"/>
          <w:u w:val="single" w:color="auto"/>
          <w:color w:val="auto"/>
        </w:rPr>
        <w:t>Vesting of Restricted Shares</w:t>
      </w:r>
      <w:r>
        <w:rPr>
          <w:rFonts w:ascii="Arial" w:cs="Arial" w:eastAsia="Arial" w:hAnsi="Arial"/>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25"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u w:val="single" w:color="auto"/>
          <w:color w:val="auto"/>
        </w:rPr>
        <w:t>RESTRICTED STOCK UNITS</w:t>
      </w:r>
    </w:p>
    <w:p>
      <w:pPr>
        <w:spacing w:after="0" w:line="144" w:lineRule="exact"/>
        <w:rPr>
          <w:sz w:val="20"/>
          <w:szCs w:val="20"/>
          <w:color w:val="auto"/>
        </w:rPr>
      </w:pPr>
    </w:p>
    <w:p>
      <w:pPr>
        <w:ind w:left="460" w:right="499" w:firstLine="426"/>
        <w:spacing w:after="0" w:line="269" w:lineRule="auto"/>
        <w:tabs>
          <w:tab w:leader="none" w:pos="1136" w:val="left"/>
        </w:tabs>
        <w:numPr>
          <w:ilvl w:val="0"/>
          <w:numId w:val="506"/>
        </w:numPr>
        <w:rPr>
          <w:rFonts w:ascii="Arial" w:cs="Arial" w:eastAsia="Arial" w:hAnsi="Arial"/>
          <w:sz w:val="17"/>
          <w:szCs w:val="17"/>
          <w:color w:val="auto"/>
        </w:rPr>
      </w:pPr>
      <w:r>
        <w:rPr>
          <w:rFonts w:ascii="Arial" w:cs="Arial" w:eastAsia="Arial" w:hAnsi="Arial"/>
          <w:sz w:val="17"/>
          <w:szCs w:val="17"/>
          <w:u w:val="single" w:color="auto"/>
          <w:color w:val="auto"/>
        </w:rPr>
        <w:t>Nature of Restricted Stock Units</w:t>
      </w:r>
      <w:r>
        <w:rPr>
          <w:rFonts w:ascii="Arial" w:cs="Arial" w:eastAsia="Arial" w:hAnsi="Arial"/>
          <w:sz w:val="17"/>
          <w:szCs w:val="17"/>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(or cash, to the extent explicitly provided for in the Award Certificate).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11" w:lineRule="exact"/>
        <w:rPr>
          <w:rFonts w:ascii="Arial" w:cs="Arial" w:eastAsia="Arial" w:hAnsi="Arial"/>
          <w:sz w:val="17"/>
          <w:szCs w:val="17"/>
          <w:color w:val="auto"/>
        </w:rPr>
      </w:pPr>
    </w:p>
    <w:p>
      <w:pPr>
        <w:ind w:left="460" w:right="479" w:firstLine="426"/>
        <w:spacing w:after="0" w:line="269" w:lineRule="auto"/>
        <w:tabs>
          <w:tab w:leader="none" w:pos="1147" w:val="left"/>
        </w:tabs>
        <w:numPr>
          <w:ilvl w:val="0"/>
          <w:numId w:val="506"/>
        </w:numPr>
        <w:rPr>
          <w:rFonts w:ascii="Arial" w:cs="Arial" w:eastAsia="Arial" w:hAnsi="Arial"/>
          <w:sz w:val="17"/>
          <w:szCs w:val="17"/>
          <w:color w:val="auto"/>
        </w:rPr>
      </w:pPr>
      <w:r>
        <w:rPr>
          <w:rFonts w:ascii="Arial" w:cs="Arial" w:eastAsia="Arial" w:hAnsi="Arial"/>
          <w:sz w:val="17"/>
          <w:szCs w:val="17"/>
          <w:u w:val="single" w:color="auto"/>
          <w:color w:val="auto"/>
        </w:rPr>
        <w:t>Election to Receive Restricted Stock Units in Lieu of Compensation</w:t>
      </w:r>
      <w:r>
        <w:rPr>
          <w:rFonts w:ascii="Arial" w:cs="Arial" w:eastAsia="Arial" w:hAnsi="Arial"/>
          <w:sz w:val="17"/>
          <w:szCs w:val="17"/>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11" w:lineRule="exact"/>
        <w:rPr>
          <w:rFonts w:ascii="Arial" w:cs="Arial" w:eastAsia="Arial" w:hAnsi="Arial"/>
          <w:sz w:val="17"/>
          <w:szCs w:val="17"/>
          <w:color w:val="auto"/>
        </w:rPr>
      </w:pPr>
    </w:p>
    <w:p>
      <w:pPr>
        <w:ind w:left="460" w:right="599" w:firstLine="426"/>
        <w:spacing w:after="0" w:line="257" w:lineRule="auto"/>
        <w:tabs>
          <w:tab w:leader="none" w:pos="1136" w:val="left"/>
        </w:tabs>
        <w:numPr>
          <w:ilvl w:val="0"/>
          <w:numId w:val="506"/>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06" w:lineRule="exact"/>
        <w:rPr>
          <w:rFonts w:ascii="Arial" w:cs="Arial" w:eastAsia="Arial" w:hAnsi="Arial"/>
          <w:sz w:val="18"/>
          <w:szCs w:val="18"/>
          <w:color w:val="auto"/>
        </w:rPr>
      </w:pPr>
    </w:p>
    <w:p>
      <w:pPr>
        <w:ind w:left="460" w:right="479" w:firstLine="426"/>
        <w:spacing w:after="0" w:line="279" w:lineRule="auto"/>
        <w:tabs>
          <w:tab w:leader="none" w:pos="1147" w:val="left"/>
        </w:tabs>
        <w:numPr>
          <w:ilvl w:val="0"/>
          <w:numId w:val="506"/>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04"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u w:val="single" w:color="auto"/>
          <w:color w:val="auto"/>
        </w:rPr>
        <w:t>UNRESTRICTED STOCK AWARDS</w:t>
      </w:r>
    </w:p>
    <w:p>
      <w:pPr>
        <w:spacing w:after="0" w:line="158"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u w:val="single" w:color="auto"/>
          <w:color w:val="auto"/>
        </w:rPr>
        <w:t>Grant or Sale of Unrestricted Stock</w:t>
      </w:r>
      <w:r>
        <w:rPr>
          <w:rFonts w:ascii="Arial" w:cs="Arial" w:eastAsia="Arial" w:hAnsi="Arial"/>
          <w:sz w:val="17"/>
          <w:szCs w:val="17"/>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95"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7"/>
          <w:szCs w:val="17"/>
          <w:u w:val="single" w:color="auto"/>
          <w:color w:val="auto"/>
        </w:rPr>
        <w:t>CASH-BASED AWARDS</w:t>
      </w:r>
    </w:p>
    <w:p>
      <w:pPr>
        <w:spacing w:after="0" w:line="158"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u w:val="single" w:color="auto"/>
          <w:color w:val="auto"/>
        </w:rPr>
        <w:t>Grant of Cash-Based Awards</w:t>
      </w:r>
      <w:r>
        <w:rPr>
          <w:rFonts w:ascii="Arial" w:cs="Arial" w:eastAsia="Arial" w:hAnsi="Arial"/>
          <w:sz w:val="18"/>
          <w:szCs w:val="18"/>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80" w:name="page481"/>
    <w:bookmarkEnd w:id="48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spacing w:after="0" w:line="257" w:lineRule="auto"/>
        <w:rPr>
          <w:sz w:val="20"/>
          <w:szCs w:val="20"/>
          <w:color w:val="auto"/>
        </w:rPr>
      </w:pPr>
      <w:r>
        <w:rPr>
          <w:rFonts w:ascii="Arial" w:cs="Arial" w:eastAsia="Arial" w:hAnsi="Arial"/>
          <w:sz w:val="18"/>
          <w:szCs w:val="18"/>
          <w:color w:val="auto"/>
        </w:rPr>
        <w:t>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20"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u w:val="single" w:color="auto"/>
          <w:color w:val="auto"/>
        </w:rPr>
        <w:t>DIVIDEND EQUIVALENT RIGHTS</w:t>
      </w:r>
    </w:p>
    <w:p>
      <w:pPr>
        <w:spacing w:after="0" w:line="158" w:lineRule="exact"/>
        <w:rPr>
          <w:sz w:val="20"/>
          <w:szCs w:val="20"/>
          <w:color w:val="auto"/>
        </w:rPr>
      </w:pPr>
    </w:p>
    <w:p>
      <w:pPr>
        <w:ind w:left="460" w:right="479" w:firstLine="426"/>
        <w:spacing w:after="0" w:line="268" w:lineRule="auto"/>
        <w:tabs>
          <w:tab w:leader="none" w:pos="1136" w:val="left"/>
        </w:tabs>
        <w:numPr>
          <w:ilvl w:val="0"/>
          <w:numId w:val="507"/>
        </w:numPr>
        <w:rPr>
          <w:rFonts w:ascii="Arial" w:cs="Arial" w:eastAsia="Arial" w:hAnsi="Arial"/>
          <w:sz w:val="17"/>
          <w:szCs w:val="17"/>
          <w:color w:val="auto"/>
        </w:rPr>
      </w:pPr>
      <w:r>
        <w:rPr>
          <w:rFonts w:ascii="Arial" w:cs="Arial" w:eastAsia="Arial" w:hAnsi="Arial"/>
          <w:sz w:val="17"/>
          <w:szCs w:val="17"/>
          <w:u w:val="single" w:color="auto"/>
          <w:color w:val="auto"/>
        </w:rPr>
        <w:t>Dividend Equivalent Rights</w:t>
      </w:r>
      <w:r>
        <w:rPr>
          <w:rFonts w:ascii="Arial" w:cs="Arial" w:eastAsia="Arial" w:hAnsi="Arial"/>
          <w:sz w:val="17"/>
          <w:szCs w:val="17"/>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00" w:lineRule="exact"/>
        <w:rPr>
          <w:rFonts w:ascii="Arial" w:cs="Arial" w:eastAsia="Arial" w:hAnsi="Arial"/>
          <w:sz w:val="17"/>
          <w:szCs w:val="17"/>
          <w:color w:val="auto"/>
        </w:rPr>
      </w:pPr>
    </w:p>
    <w:p>
      <w:pPr>
        <w:ind w:left="460" w:right="499" w:firstLine="426"/>
        <w:spacing w:after="0" w:line="279" w:lineRule="auto"/>
        <w:tabs>
          <w:tab w:leader="none" w:pos="1147" w:val="left"/>
        </w:tabs>
        <w:numPr>
          <w:ilvl w:val="0"/>
          <w:numId w:val="507"/>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04"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7"/>
          <w:szCs w:val="17"/>
          <w:u w:val="single" w:color="auto"/>
          <w:color w:val="auto"/>
        </w:rPr>
        <w:t>TRANSFERABILITY OF AWARDS</w:t>
      </w:r>
    </w:p>
    <w:p>
      <w:pPr>
        <w:spacing w:after="0" w:line="158" w:lineRule="exact"/>
        <w:rPr>
          <w:sz w:val="20"/>
          <w:szCs w:val="20"/>
          <w:color w:val="auto"/>
        </w:rPr>
      </w:pPr>
    </w:p>
    <w:p>
      <w:pPr>
        <w:ind w:left="460" w:right="519" w:firstLine="426"/>
        <w:spacing w:after="0" w:line="273" w:lineRule="auto"/>
        <w:tabs>
          <w:tab w:leader="none" w:pos="1136" w:val="left"/>
        </w:tabs>
        <w:numPr>
          <w:ilvl w:val="0"/>
          <w:numId w:val="508"/>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96" w:lineRule="exact"/>
        <w:rPr>
          <w:rFonts w:ascii="Arial" w:cs="Arial" w:eastAsia="Arial" w:hAnsi="Arial"/>
          <w:sz w:val="17"/>
          <w:szCs w:val="17"/>
          <w:color w:val="auto"/>
        </w:rPr>
      </w:pPr>
    </w:p>
    <w:p>
      <w:pPr>
        <w:ind w:left="460" w:right="479" w:firstLine="426"/>
        <w:spacing w:after="0" w:line="254" w:lineRule="auto"/>
        <w:tabs>
          <w:tab w:leader="none" w:pos="1147" w:val="left"/>
        </w:tabs>
        <w:numPr>
          <w:ilvl w:val="0"/>
          <w:numId w:val="508"/>
        </w:numPr>
        <w:rPr>
          <w:rFonts w:ascii="Arial" w:cs="Arial" w:eastAsia="Arial" w:hAnsi="Arial"/>
          <w:sz w:val="18"/>
          <w:szCs w:val="18"/>
          <w:color w:val="auto"/>
        </w:rPr>
      </w:pPr>
      <w:r>
        <w:rPr>
          <w:rFonts w:ascii="Arial" w:cs="Arial" w:eastAsia="Arial" w:hAnsi="Arial"/>
          <w:sz w:val="18"/>
          <w:szCs w:val="18"/>
          <w:u w:val="single" w:color="auto"/>
          <w:color w:val="auto"/>
        </w:rPr>
        <w:t>Administrator Action</w:t>
      </w:r>
      <w:r>
        <w:rPr>
          <w:rFonts w:ascii="Arial" w:cs="Arial" w:eastAsia="Arial" w:hAnsi="Arial"/>
          <w:sz w:val="18"/>
          <w:szCs w:val="18"/>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27" w:lineRule="exact"/>
        <w:rPr>
          <w:rFonts w:ascii="Arial" w:cs="Arial" w:eastAsia="Arial" w:hAnsi="Arial"/>
          <w:sz w:val="18"/>
          <w:szCs w:val="18"/>
          <w:color w:val="auto"/>
        </w:rPr>
      </w:pPr>
    </w:p>
    <w:p>
      <w:pPr>
        <w:ind w:left="460" w:right="499" w:firstLine="426"/>
        <w:spacing w:after="0" w:line="272" w:lineRule="auto"/>
        <w:tabs>
          <w:tab w:leader="none" w:pos="1136" w:val="left"/>
        </w:tabs>
        <w:numPr>
          <w:ilvl w:val="0"/>
          <w:numId w:val="508"/>
        </w:numPr>
        <w:rPr>
          <w:rFonts w:ascii="Arial" w:cs="Arial" w:eastAsia="Arial" w:hAnsi="Arial"/>
          <w:sz w:val="17"/>
          <w:szCs w:val="17"/>
          <w:color w:val="auto"/>
        </w:rPr>
      </w:pPr>
      <w:r>
        <w:rPr>
          <w:rFonts w:ascii="Arial" w:cs="Arial" w:eastAsia="Arial" w:hAnsi="Arial"/>
          <w:sz w:val="17"/>
          <w:szCs w:val="17"/>
          <w:u w:val="single" w:color="auto"/>
          <w:color w:val="auto"/>
        </w:rPr>
        <w:t>Family Member</w:t>
      </w:r>
      <w:r>
        <w:rPr>
          <w:rFonts w:ascii="Arial" w:cs="Arial" w:eastAsia="Arial" w:hAnsi="Arial"/>
          <w:sz w:val="17"/>
          <w:szCs w:val="17"/>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09" w:lineRule="exact"/>
        <w:rPr>
          <w:rFonts w:ascii="Arial" w:cs="Arial" w:eastAsia="Arial" w:hAnsi="Arial"/>
          <w:sz w:val="17"/>
          <w:szCs w:val="17"/>
          <w:color w:val="auto"/>
        </w:rPr>
      </w:pPr>
    </w:p>
    <w:p>
      <w:pPr>
        <w:ind w:left="460" w:right="499" w:firstLine="426"/>
        <w:spacing w:after="0" w:line="273" w:lineRule="auto"/>
        <w:tabs>
          <w:tab w:leader="none" w:pos="1147" w:val="left"/>
        </w:tabs>
        <w:numPr>
          <w:ilvl w:val="0"/>
          <w:numId w:val="508"/>
        </w:numPr>
        <w:rPr>
          <w:rFonts w:ascii="Arial" w:cs="Arial" w:eastAsia="Arial" w:hAnsi="Arial"/>
          <w:sz w:val="17"/>
          <w:szCs w:val="17"/>
          <w:color w:val="auto"/>
        </w:rPr>
      </w:pPr>
      <w:r>
        <w:rPr>
          <w:rFonts w:ascii="Arial" w:cs="Arial" w:eastAsia="Arial" w:hAnsi="Arial"/>
          <w:sz w:val="17"/>
          <w:szCs w:val="17"/>
          <w:u w:val="single" w:color="auto"/>
          <w:color w:val="auto"/>
        </w:rPr>
        <w:t>Designation of Beneficiary</w:t>
      </w:r>
      <w:r>
        <w:rPr>
          <w:rFonts w:ascii="Arial" w:cs="Arial" w:eastAsia="Arial" w:hAnsi="Arial"/>
          <w:sz w:val="17"/>
          <w:szCs w:val="17"/>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81" w:name="page482"/>
    <w:bookmarkEnd w:id="48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8"/>
          <w:szCs w:val="18"/>
          <w:u w:val="single" w:color="auto"/>
          <w:color w:val="auto"/>
        </w:rPr>
        <w:t>TAX WITHHOLDING</w:t>
      </w:r>
    </w:p>
    <w:p>
      <w:pPr>
        <w:spacing w:after="0" w:line="158" w:lineRule="exact"/>
        <w:rPr>
          <w:sz w:val="20"/>
          <w:szCs w:val="20"/>
          <w:color w:val="auto"/>
        </w:rPr>
      </w:pPr>
    </w:p>
    <w:p>
      <w:pPr>
        <w:ind w:left="460" w:right="479" w:firstLine="426"/>
        <w:spacing w:after="0" w:line="271" w:lineRule="auto"/>
        <w:tabs>
          <w:tab w:leader="none" w:pos="1136" w:val="left"/>
        </w:tabs>
        <w:numPr>
          <w:ilvl w:val="0"/>
          <w:numId w:val="509"/>
        </w:numPr>
        <w:rPr>
          <w:rFonts w:ascii="Arial" w:cs="Arial" w:eastAsia="Arial" w:hAnsi="Arial"/>
          <w:sz w:val="17"/>
          <w:szCs w:val="17"/>
          <w:color w:val="auto"/>
        </w:rPr>
      </w:pPr>
      <w:r>
        <w:rPr>
          <w:rFonts w:ascii="Arial" w:cs="Arial" w:eastAsia="Arial" w:hAnsi="Arial"/>
          <w:sz w:val="17"/>
          <w:szCs w:val="17"/>
          <w:u w:val="single" w:color="auto"/>
          <w:color w:val="auto"/>
        </w:rPr>
        <w:t>Payment by Grantee</w:t>
      </w:r>
      <w:r>
        <w:rPr>
          <w:rFonts w:ascii="Arial" w:cs="Arial" w:eastAsia="Arial" w:hAnsi="Arial"/>
          <w:sz w:val="17"/>
          <w:szCs w:val="17"/>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10" w:lineRule="exact"/>
        <w:rPr>
          <w:rFonts w:ascii="Arial" w:cs="Arial" w:eastAsia="Arial" w:hAnsi="Arial"/>
          <w:sz w:val="17"/>
          <w:szCs w:val="17"/>
          <w:color w:val="auto"/>
        </w:rPr>
      </w:pPr>
    </w:p>
    <w:p>
      <w:pPr>
        <w:ind w:left="460" w:right="579" w:firstLine="426"/>
        <w:spacing w:after="0" w:line="288" w:lineRule="auto"/>
        <w:tabs>
          <w:tab w:leader="none" w:pos="1147" w:val="left"/>
        </w:tabs>
        <w:numPr>
          <w:ilvl w:val="0"/>
          <w:numId w:val="509"/>
        </w:numPr>
        <w:rPr>
          <w:rFonts w:ascii="Arial" w:cs="Arial" w:eastAsia="Arial" w:hAnsi="Arial"/>
          <w:sz w:val="16"/>
          <w:szCs w:val="16"/>
          <w:color w:val="auto"/>
        </w:rPr>
      </w:pPr>
      <w:r>
        <w:rPr>
          <w:rFonts w:ascii="Arial" w:cs="Arial" w:eastAsia="Arial" w:hAnsi="Arial"/>
          <w:sz w:val="16"/>
          <w:szCs w:val="16"/>
          <w:u w:val="single" w:color="auto"/>
          <w:color w:val="auto"/>
        </w:rPr>
        <w:t>Payment in Stock</w:t>
      </w:r>
      <w:r>
        <w:rPr>
          <w:rFonts w:ascii="Arial" w:cs="Arial" w:eastAsia="Arial" w:hAnsi="Arial"/>
          <w:sz w:val="16"/>
          <w:szCs w:val="16"/>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87"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7"/>
          <w:szCs w:val="17"/>
          <w:u w:val="single" w:color="auto"/>
          <w:color w:val="auto"/>
        </w:rPr>
        <w:t>SECTION 409A AWARDS</w:t>
      </w:r>
    </w:p>
    <w:p>
      <w:pPr>
        <w:spacing w:after="0" w:line="158" w:lineRule="exact"/>
        <w:rPr>
          <w:sz w:val="20"/>
          <w:szCs w:val="20"/>
          <w:color w:val="auto"/>
        </w:rPr>
      </w:pPr>
    </w:p>
    <w:p>
      <w:pPr>
        <w:ind w:left="460" w:right="499" w:firstLine="432"/>
        <w:spacing w:after="0" w:line="283" w:lineRule="auto"/>
        <w:rPr>
          <w:sz w:val="20"/>
          <w:szCs w:val="20"/>
          <w:color w:val="auto"/>
        </w:rPr>
      </w:pPr>
      <w:r>
        <w:rPr>
          <w:rFonts w:ascii="Arial" w:cs="Arial" w:eastAsia="Arial" w:hAnsi="Arial"/>
          <w:sz w:val="16"/>
          <w:szCs w:val="16"/>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w:t>
      </w:r>
    </w:p>
    <w:p>
      <w:pPr>
        <w:spacing w:after="0" w:line="4" w:lineRule="exact"/>
        <w:rPr>
          <w:sz w:val="20"/>
          <w:szCs w:val="20"/>
          <w:color w:val="auto"/>
        </w:rPr>
      </w:pPr>
    </w:p>
    <w:p>
      <w:pPr>
        <w:jc w:val="both"/>
        <w:ind w:left="460" w:right="619"/>
        <w:spacing w:after="0" w:line="253" w:lineRule="auto"/>
        <w:rPr>
          <w:sz w:val="20"/>
          <w:szCs w:val="20"/>
          <w:color w:val="auto"/>
        </w:rPr>
      </w:pPr>
      <w:r>
        <w:rPr>
          <w:rFonts w:ascii="Arial" w:cs="Arial" w:eastAsia="Arial" w:hAnsi="Arial"/>
          <w:sz w:val="18"/>
          <w:szCs w:val="18"/>
          <w:color w:val="auto"/>
        </w:rPr>
        <w:t>Section 409A. The Company makes no representation that any or all of the payments or benefits described in the Plan will be exempt from or comply with Section 409A of the Code and makes no undertaking to preclude Section 409A of the Code from applying to any such payment. The grantee shall be solely responsible for the payment of any taxes and penalties incurred under Section 409A.</w:t>
      </w:r>
    </w:p>
    <w:p>
      <w:pPr>
        <w:spacing w:after="0" w:line="125" w:lineRule="exact"/>
        <w:rPr>
          <w:sz w:val="20"/>
          <w:szCs w:val="20"/>
          <w:color w:val="auto"/>
        </w:rPr>
      </w:pPr>
    </w:p>
    <w:p>
      <w:pPr>
        <w:ind w:left="1320" w:right="879" w:hanging="863"/>
        <w:spacing w:after="0" w:line="277" w:lineRule="auto"/>
        <w:rPr>
          <w:sz w:val="20"/>
          <w:szCs w:val="20"/>
          <w:color w:val="auto"/>
        </w:rPr>
      </w:pPr>
      <w:r>
        <w:rPr>
          <w:rFonts w:ascii="Arial" w:cs="Arial" w:eastAsia="Arial" w:hAnsi="Arial"/>
          <w:sz w:val="18"/>
          <w:szCs w:val="18"/>
          <w:color w:val="auto"/>
        </w:rPr>
        <w:t>SECTION 15.</w:t>
      </w:r>
      <w:r>
        <w:rPr>
          <w:sz w:val="20"/>
          <w:szCs w:val="20"/>
          <w:color w:val="auto"/>
        </w:rPr>
        <w:t xml:space="preserve"> </w:t>
      </w:r>
      <w:r>
        <w:rPr>
          <w:rFonts w:ascii="Arial" w:cs="Arial" w:eastAsia="Arial" w:hAnsi="Arial"/>
          <w:sz w:val="18"/>
          <w:szCs w:val="18"/>
          <w:u w:val="single" w:color="auto"/>
          <w:color w:val="auto"/>
        </w:rPr>
        <w:t>TERMINATION OF SERVICE RELATIONSHIP, TRANSFER, LEAVE OF ABSENCE, ETC.</w:t>
      </w:r>
    </w:p>
    <w:p>
      <w:pPr>
        <w:spacing w:after="0" w:line="89" w:lineRule="exact"/>
        <w:rPr>
          <w:sz w:val="20"/>
          <w:szCs w:val="20"/>
          <w:color w:val="auto"/>
        </w:rPr>
      </w:pPr>
    </w:p>
    <w:p>
      <w:pPr>
        <w:ind w:left="460" w:right="499" w:firstLine="426"/>
        <w:spacing w:after="0" w:line="263" w:lineRule="auto"/>
        <w:tabs>
          <w:tab w:leader="none" w:pos="1136" w:val="left"/>
        </w:tabs>
        <w:numPr>
          <w:ilvl w:val="0"/>
          <w:numId w:val="510"/>
        </w:numPr>
        <w:rPr>
          <w:rFonts w:ascii="Arial" w:cs="Arial" w:eastAsia="Arial" w:hAnsi="Arial"/>
          <w:sz w:val="18"/>
          <w:szCs w:val="18"/>
          <w:color w:val="auto"/>
        </w:rPr>
      </w:pPr>
      <w:r>
        <w:rPr>
          <w:rFonts w:ascii="Arial" w:cs="Arial" w:eastAsia="Arial" w:hAnsi="Arial"/>
          <w:sz w:val="18"/>
          <w:szCs w:val="18"/>
          <w:u w:val="single" w:color="auto"/>
          <w:color w:val="auto"/>
        </w:rPr>
        <w:t>Termination of Service Relationship</w:t>
      </w:r>
      <w:r>
        <w:rPr>
          <w:rFonts w:ascii="Arial" w:cs="Arial" w:eastAsia="Arial" w:hAnsi="Arial"/>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116" w:lineRule="exact"/>
        <w:rPr>
          <w:rFonts w:ascii="Arial" w:cs="Arial" w:eastAsia="Arial" w:hAnsi="Arial"/>
          <w:sz w:val="18"/>
          <w:szCs w:val="18"/>
          <w:color w:val="auto"/>
        </w:rPr>
      </w:pPr>
    </w:p>
    <w:p>
      <w:pPr>
        <w:ind w:left="460" w:right="1179" w:firstLine="426"/>
        <w:spacing w:after="0" w:line="277" w:lineRule="auto"/>
        <w:tabs>
          <w:tab w:leader="none" w:pos="1147" w:val="left"/>
        </w:tabs>
        <w:numPr>
          <w:ilvl w:val="0"/>
          <w:numId w:val="510"/>
        </w:numPr>
        <w:rPr>
          <w:rFonts w:ascii="Arial" w:cs="Arial" w:eastAsia="Arial" w:hAnsi="Arial"/>
          <w:sz w:val="18"/>
          <w:szCs w:val="18"/>
          <w:color w:val="auto"/>
        </w:rPr>
      </w:pPr>
      <w:r>
        <w:rPr>
          <w:rFonts w:ascii="Arial" w:cs="Arial" w:eastAsia="Arial" w:hAnsi="Arial"/>
          <w:sz w:val="18"/>
          <w:szCs w:val="18"/>
          <w:color w:val="auto"/>
        </w:rPr>
        <w:t>For purposes of the Plan, the following events shall not be deemed a termination of a Service Relationship:</w:t>
      </w:r>
    </w:p>
    <w:p>
      <w:pPr>
        <w:spacing w:after="0" w:line="102" w:lineRule="exact"/>
        <w:rPr>
          <w:rFonts w:ascii="Arial" w:cs="Arial" w:eastAsia="Arial" w:hAnsi="Arial"/>
          <w:sz w:val="18"/>
          <w:szCs w:val="18"/>
          <w:color w:val="auto"/>
        </w:rPr>
      </w:pPr>
    </w:p>
    <w:p>
      <w:pPr>
        <w:ind w:left="460" w:right="959" w:firstLine="858"/>
        <w:spacing w:after="0" w:line="277" w:lineRule="auto"/>
        <w:tabs>
          <w:tab w:leader="none" w:pos="1539" w:val="left"/>
        </w:tabs>
        <w:numPr>
          <w:ilvl w:val="1"/>
          <w:numId w:val="510"/>
        </w:numPr>
        <w:rPr>
          <w:rFonts w:ascii="Arial" w:cs="Arial" w:eastAsia="Arial" w:hAnsi="Arial"/>
          <w:sz w:val="18"/>
          <w:szCs w:val="18"/>
          <w:color w:val="auto"/>
        </w:rPr>
      </w:pPr>
      <w:r>
        <w:rPr>
          <w:rFonts w:ascii="Arial" w:cs="Arial" w:eastAsia="Arial" w:hAnsi="Arial"/>
          <w:sz w:val="18"/>
          <w:szCs w:val="18"/>
          <w:color w:val="auto"/>
        </w:rPr>
        <w:t>a transfer to the employment of the Company from an Affiliate or from the Company to an Affiliate, or from one Affiliate to another; or</w:t>
      </w:r>
    </w:p>
    <w:p>
      <w:pPr>
        <w:spacing w:after="0" w:line="89" w:lineRule="exact"/>
        <w:rPr>
          <w:rFonts w:ascii="Arial" w:cs="Arial" w:eastAsia="Arial" w:hAnsi="Arial"/>
          <w:sz w:val="18"/>
          <w:szCs w:val="18"/>
          <w:color w:val="auto"/>
        </w:rPr>
      </w:pPr>
    </w:p>
    <w:p>
      <w:pPr>
        <w:ind w:left="460" w:right="519" w:firstLine="858"/>
        <w:spacing w:after="0" w:line="259" w:lineRule="auto"/>
        <w:tabs>
          <w:tab w:leader="none" w:pos="1589" w:val="left"/>
        </w:tabs>
        <w:numPr>
          <w:ilvl w:val="1"/>
          <w:numId w:val="510"/>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19"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7"/>
          <w:szCs w:val="17"/>
          <w:u w:val="single" w:color="auto"/>
          <w:color w:val="auto"/>
        </w:rPr>
        <w:t>AMENDMENTS AND TERMINATION</w:t>
      </w:r>
    </w:p>
    <w:p>
      <w:pPr>
        <w:spacing w:after="0" w:line="158"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82" w:name="page483"/>
    <w:bookmarkEnd w:id="48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72" w:lineRule="auto"/>
        <w:rPr>
          <w:sz w:val="20"/>
          <w:szCs w:val="20"/>
          <w:color w:val="auto"/>
        </w:rPr>
      </w:pPr>
      <w:r>
        <w:rPr>
          <w:rFonts w:ascii="Arial" w:cs="Arial" w:eastAsia="Arial" w:hAnsi="Arial"/>
          <w:sz w:val="17"/>
          <w:szCs w:val="17"/>
          <w:color w:val="auto"/>
        </w:rPr>
        <w:t>The Administrator is specifically authorized to exercise its discretion to reduce the exercise price of outstanding Stock Options or Stock Appreciation Rights or effect the repricing of such Awards through cancellation and re-grants.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110"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6"/>
          <w:szCs w:val="16"/>
          <w:u w:val="single" w:color="auto"/>
          <w:color w:val="auto"/>
        </w:rPr>
        <w:t>STATUS OF PLAN</w:t>
      </w:r>
    </w:p>
    <w:p>
      <w:pPr>
        <w:spacing w:after="0" w:line="158"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14"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7"/>
          <w:szCs w:val="17"/>
          <w:u w:val="single" w:color="auto"/>
          <w:color w:val="auto"/>
        </w:rPr>
        <w:t>GENERAL PROVISIONS</w:t>
      </w:r>
    </w:p>
    <w:p>
      <w:pPr>
        <w:spacing w:after="0" w:line="158" w:lineRule="exact"/>
        <w:rPr>
          <w:sz w:val="20"/>
          <w:szCs w:val="20"/>
          <w:color w:val="auto"/>
        </w:rPr>
      </w:pPr>
    </w:p>
    <w:p>
      <w:pPr>
        <w:ind w:left="460" w:right="579" w:firstLine="426"/>
        <w:spacing w:after="0" w:line="263" w:lineRule="auto"/>
        <w:tabs>
          <w:tab w:leader="none" w:pos="1136" w:val="left"/>
        </w:tabs>
        <w:numPr>
          <w:ilvl w:val="0"/>
          <w:numId w:val="511"/>
        </w:numPr>
        <w:rPr>
          <w:rFonts w:ascii="Arial" w:cs="Arial" w:eastAsia="Arial" w:hAnsi="Arial"/>
          <w:sz w:val="18"/>
          <w:szCs w:val="18"/>
          <w:color w:val="auto"/>
        </w:rPr>
      </w:pPr>
      <w:r>
        <w:rPr>
          <w:rFonts w:ascii="Arial" w:cs="Arial" w:eastAsia="Arial" w:hAnsi="Arial"/>
          <w:sz w:val="18"/>
          <w:szCs w:val="18"/>
          <w:u w:val="single" w:color="auto"/>
          <w:color w:val="auto"/>
        </w:rPr>
        <w:t>No Distribution</w:t>
      </w:r>
      <w:r>
        <w:rPr>
          <w:rFonts w:ascii="Arial" w:cs="Arial" w:eastAsia="Arial" w:hAnsi="Arial"/>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16" w:lineRule="exact"/>
        <w:rPr>
          <w:rFonts w:ascii="Arial" w:cs="Arial" w:eastAsia="Arial" w:hAnsi="Arial"/>
          <w:sz w:val="18"/>
          <w:szCs w:val="18"/>
          <w:color w:val="auto"/>
        </w:rPr>
      </w:pPr>
    </w:p>
    <w:p>
      <w:pPr>
        <w:ind w:left="460" w:right="479" w:firstLine="426"/>
        <w:spacing w:after="0" w:line="284" w:lineRule="auto"/>
        <w:tabs>
          <w:tab w:leader="none" w:pos="1147" w:val="left"/>
        </w:tabs>
        <w:numPr>
          <w:ilvl w:val="0"/>
          <w:numId w:val="511"/>
        </w:numPr>
        <w:rPr>
          <w:rFonts w:ascii="Arial" w:cs="Arial" w:eastAsia="Arial" w:hAnsi="Arial"/>
          <w:sz w:val="16"/>
          <w:szCs w:val="16"/>
          <w:color w:val="auto"/>
        </w:rPr>
      </w:pPr>
      <w:r>
        <w:rPr>
          <w:rFonts w:ascii="Arial" w:cs="Arial" w:eastAsia="Arial" w:hAnsi="Arial"/>
          <w:sz w:val="16"/>
          <w:szCs w:val="16"/>
          <w:u w:val="single" w:color="auto"/>
          <w:color w:val="auto"/>
        </w:rPr>
        <w:t>Issuance of Stock</w:t>
      </w:r>
      <w:r>
        <w:rPr>
          <w:rFonts w:ascii="Arial" w:cs="Arial" w:eastAsia="Arial" w:hAnsi="Arial"/>
          <w:sz w:val="16"/>
          <w:szCs w:val="16"/>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97" w:lineRule="exact"/>
        <w:rPr>
          <w:rFonts w:ascii="Arial" w:cs="Arial" w:eastAsia="Arial" w:hAnsi="Arial"/>
          <w:sz w:val="16"/>
          <w:szCs w:val="16"/>
          <w:color w:val="auto"/>
        </w:rPr>
      </w:pPr>
    </w:p>
    <w:p>
      <w:pPr>
        <w:ind w:left="460" w:right="499" w:firstLine="426"/>
        <w:spacing w:after="0" w:line="259" w:lineRule="auto"/>
        <w:tabs>
          <w:tab w:leader="none" w:pos="1136" w:val="left"/>
        </w:tabs>
        <w:numPr>
          <w:ilvl w:val="0"/>
          <w:numId w:val="511"/>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of Stock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canceled, terminated or otherwise eliminated.</w:t>
      </w:r>
    </w:p>
    <w:p>
      <w:pPr>
        <w:spacing w:after="0" w:line="119" w:lineRule="exact"/>
        <w:rPr>
          <w:rFonts w:ascii="Arial" w:cs="Arial" w:eastAsia="Arial" w:hAnsi="Arial"/>
          <w:sz w:val="18"/>
          <w:szCs w:val="18"/>
          <w:color w:val="auto"/>
        </w:rPr>
      </w:pPr>
    </w:p>
    <w:p>
      <w:pPr>
        <w:jc w:val="both"/>
        <w:ind w:left="460" w:right="479" w:firstLine="426"/>
        <w:spacing w:after="0" w:line="259" w:lineRule="auto"/>
        <w:tabs>
          <w:tab w:leader="none" w:pos="1147" w:val="left"/>
        </w:tabs>
        <w:numPr>
          <w:ilvl w:val="0"/>
          <w:numId w:val="511"/>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83" w:name="page484"/>
    <w:bookmarkEnd w:id="48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firstLine="426"/>
        <w:spacing w:after="0" w:line="257" w:lineRule="auto"/>
        <w:tabs>
          <w:tab w:leader="none" w:pos="1136" w:val="left"/>
        </w:tabs>
        <w:numPr>
          <w:ilvl w:val="0"/>
          <w:numId w:val="512"/>
        </w:numPr>
        <w:rPr>
          <w:rFonts w:ascii="Arial" w:cs="Arial" w:eastAsia="Arial" w:hAnsi="Arial"/>
          <w:sz w:val="18"/>
          <w:szCs w:val="18"/>
          <w:color w:val="auto"/>
        </w:rPr>
      </w:pPr>
      <w:r>
        <w:rPr>
          <w:rFonts w:ascii="Arial" w:cs="Arial" w:eastAsia="Arial" w:hAnsi="Arial"/>
          <w:sz w:val="18"/>
          <w:szCs w:val="18"/>
          <w:u w:val="single" w:color="auto"/>
          <w:color w:val="auto"/>
        </w:rPr>
        <w:t>Other Compensation Arrangements; No Employment Rights</w:t>
      </w:r>
      <w:r>
        <w:rPr>
          <w:rFonts w:ascii="Arial" w:cs="Arial" w:eastAsia="Arial" w:hAnsi="Arial"/>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20" w:lineRule="exact"/>
        <w:rPr>
          <w:rFonts w:ascii="Arial" w:cs="Arial" w:eastAsia="Arial" w:hAnsi="Arial"/>
          <w:sz w:val="18"/>
          <w:szCs w:val="18"/>
          <w:color w:val="auto"/>
        </w:rPr>
      </w:pPr>
    </w:p>
    <w:p>
      <w:pPr>
        <w:ind w:left="460" w:right="639" w:firstLine="426"/>
        <w:spacing w:after="0" w:line="277" w:lineRule="auto"/>
        <w:tabs>
          <w:tab w:leader="none" w:pos="1117" w:val="left"/>
        </w:tabs>
        <w:numPr>
          <w:ilvl w:val="0"/>
          <w:numId w:val="512"/>
        </w:numPr>
        <w:rPr>
          <w:rFonts w:ascii="Arial" w:cs="Arial" w:eastAsia="Arial" w:hAnsi="Arial"/>
          <w:sz w:val="18"/>
          <w:szCs w:val="18"/>
          <w:color w:val="auto"/>
        </w:rPr>
      </w:pPr>
      <w:r>
        <w:rPr>
          <w:rFonts w:ascii="Arial" w:cs="Arial" w:eastAsia="Arial" w:hAnsi="Arial"/>
          <w:sz w:val="18"/>
          <w:szCs w:val="18"/>
          <w:u w:val="single" w:color="auto"/>
          <w:color w:val="auto"/>
        </w:rPr>
        <w:t>Trading Policy Restrictions</w:t>
      </w:r>
      <w:r>
        <w:rPr>
          <w:rFonts w:ascii="Arial" w:cs="Arial" w:eastAsia="Arial" w:hAnsi="Arial"/>
          <w:sz w:val="18"/>
          <w:szCs w:val="18"/>
          <w:color w:val="auto"/>
        </w:rPr>
        <w:t>. Option exercises and other Awards under the Plan shall be subject to the Company’s insider trading policies and procedures, as in effect from time to time.</w:t>
      </w:r>
    </w:p>
    <w:p>
      <w:pPr>
        <w:spacing w:after="0" w:line="102" w:lineRule="exact"/>
        <w:rPr>
          <w:rFonts w:ascii="Arial" w:cs="Arial" w:eastAsia="Arial" w:hAnsi="Arial"/>
          <w:sz w:val="18"/>
          <w:szCs w:val="18"/>
          <w:color w:val="auto"/>
        </w:rPr>
      </w:pPr>
    </w:p>
    <w:p>
      <w:pPr>
        <w:ind w:left="460" w:right="619" w:firstLine="426"/>
        <w:spacing w:after="0" w:line="279" w:lineRule="auto"/>
        <w:tabs>
          <w:tab w:leader="none" w:pos="1147" w:val="left"/>
        </w:tabs>
        <w:numPr>
          <w:ilvl w:val="0"/>
          <w:numId w:val="512"/>
        </w:numPr>
        <w:rPr>
          <w:rFonts w:ascii="Arial" w:cs="Arial" w:eastAsia="Arial" w:hAnsi="Arial"/>
          <w:sz w:val="17"/>
          <w:szCs w:val="17"/>
          <w:color w:val="auto"/>
        </w:rPr>
      </w:pPr>
      <w:r>
        <w:rPr>
          <w:rFonts w:ascii="Arial" w:cs="Arial" w:eastAsia="Arial" w:hAnsi="Arial"/>
          <w:sz w:val="17"/>
          <w:szCs w:val="17"/>
          <w:u w:val="single" w:color="auto"/>
          <w:color w:val="auto"/>
        </w:rPr>
        <w:t>Clawback Policy</w:t>
      </w:r>
      <w:r>
        <w:rPr>
          <w:rFonts w:ascii="Arial" w:cs="Arial" w:eastAsia="Arial" w:hAnsi="Arial"/>
          <w:sz w:val="17"/>
          <w:szCs w:val="17"/>
          <w:color w:val="auto"/>
        </w:rPr>
        <w:t>. A participant’s rights with respect to any Award hereunder shall in all events be subject to reduction, cancellation, forfeiture or recoupment to the extent necessary to comply with (i) any right that the Company may have under any Company clawback, forfeiture or recoupment policy as in effect from time to time or other agreement or arrangement with a grantee, or (ii) applicable law.</w:t>
      </w:r>
    </w:p>
    <w:p>
      <w:pPr>
        <w:spacing w:after="0" w:line="90"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7"/>
          <w:szCs w:val="17"/>
          <w:u w:val="single" w:color="auto"/>
          <w:color w:val="auto"/>
        </w:rPr>
        <w:t>EFFECTIVE DATE OF PLAN</w:t>
      </w:r>
    </w:p>
    <w:p>
      <w:pPr>
        <w:spacing w:after="0" w:line="158"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This Plan shall become effective upon the date immediately preceding the Registration Date following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09"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8"/>
          <w:szCs w:val="18"/>
          <w:color w:val="auto"/>
        </w:rPr>
        <w:t>SECTION 20.</w:t>
      </w:r>
      <w:r>
        <w:rPr>
          <w:sz w:val="20"/>
          <w:szCs w:val="20"/>
          <w:color w:val="auto"/>
        </w:rPr>
        <w:tab/>
      </w:r>
      <w:r>
        <w:rPr>
          <w:rFonts w:ascii="Arial" w:cs="Arial" w:eastAsia="Arial" w:hAnsi="Arial"/>
          <w:sz w:val="17"/>
          <w:szCs w:val="17"/>
          <w:u w:val="single" w:color="auto"/>
          <w:color w:val="auto"/>
        </w:rPr>
        <w:t>GOVERNING LAW</w:t>
      </w:r>
    </w:p>
    <w:p>
      <w:pPr>
        <w:spacing w:after="0" w:line="144" w:lineRule="exact"/>
        <w:rPr>
          <w:sz w:val="20"/>
          <w:szCs w:val="20"/>
          <w:color w:val="auto"/>
        </w:rPr>
      </w:pPr>
    </w:p>
    <w:p>
      <w:pPr>
        <w:jc w:val="both"/>
        <w:ind w:left="460" w:right="539" w:firstLine="432"/>
        <w:spacing w:after="0" w:line="279" w:lineRule="auto"/>
        <w:rPr>
          <w:sz w:val="20"/>
          <w:szCs w:val="20"/>
          <w:color w:val="auto"/>
        </w:rPr>
      </w:pPr>
      <w:r>
        <w:rPr>
          <w:rFonts w:ascii="Arial" w:cs="Arial" w:eastAsia="Arial" w:hAnsi="Arial"/>
          <w:sz w:val="17"/>
          <w:szCs w:val="17"/>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APPROVED BY BOARD OF DIRECTORS: _______________, 2021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APPROVED BY STOCKHOLDERS: _______________, 2021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84" w:name="page485"/>
    <w:bookmarkEnd w:id="48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Exhibit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EMPLOYEE STOCK PURCHASE PLAN</w:t>
      </w:r>
    </w:p>
    <w:p>
      <w:pPr>
        <w:spacing w:after="0" w:line="148" w:lineRule="exact"/>
        <w:rPr>
          <w:sz w:val="20"/>
          <w:szCs w:val="20"/>
          <w:color w:val="auto"/>
        </w:rPr>
      </w:pPr>
    </w:p>
    <w:p>
      <w:pPr>
        <w:ind w:left="460" w:right="539" w:firstLine="432"/>
        <w:spacing w:after="0" w:line="278" w:lineRule="auto"/>
        <w:rPr>
          <w:sz w:val="20"/>
          <w:szCs w:val="20"/>
          <w:color w:val="auto"/>
        </w:rPr>
      </w:pPr>
      <w:r>
        <w:rPr>
          <w:rFonts w:ascii="Arial" w:cs="Arial" w:eastAsia="Arial" w:hAnsi="Arial"/>
          <w:sz w:val="16"/>
          <w:szCs w:val="16"/>
          <w:color w:val="auto"/>
        </w:rPr>
        <w:t>The purpose of the Tango Therapeutics, Inc. 2021 Employee Stock Purchase Plan (the “Plan”) is to provide eligible employees of Tango Therapeutics, Inc. (the “Company”) and each Designated Subsidiary (as defined in Section 11) with opportunities to purchase shares of the Company’s common stock, par value $0.001 per share (the “Common Stock”). An aggregate of [_____]</w:t>
      </w:r>
      <w:r>
        <w:rPr>
          <w:rFonts w:ascii="Arial" w:cs="Arial" w:eastAsia="Arial" w:hAnsi="Arial"/>
          <w:sz w:val="18"/>
          <w:szCs w:val="18"/>
          <w:color w:val="auto"/>
          <w:vertAlign w:val="superscript"/>
        </w:rPr>
        <w:t>1</w:t>
      </w:r>
      <w:r>
        <w:rPr>
          <w:rFonts w:ascii="Arial" w:cs="Arial" w:eastAsia="Arial" w:hAnsi="Arial"/>
          <w:sz w:val="16"/>
          <w:szCs w:val="16"/>
          <w:color w:val="auto"/>
        </w:rPr>
        <w:t xml:space="preserve"> shares of Common Stock have been approved and</w:t>
      </w:r>
    </w:p>
    <w:p>
      <w:pPr>
        <w:spacing w:after="0" w:line="1" w:lineRule="exact"/>
        <w:rPr>
          <w:sz w:val="20"/>
          <w:szCs w:val="20"/>
          <w:color w:val="auto"/>
        </w:rPr>
      </w:pPr>
    </w:p>
    <w:p>
      <w:pPr>
        <w:ind w:left="460" w:right="539"/>
        <w:spacing w:after="0" w:line="263" w:lineRule="auto"/>
        <w:rPr>
          <w:sz w:val="20"/>
          <w:szCs w:val="20"/>
          <w:color w:val="auto"/>
        </w:rPr>
      </w:pPr>
      <w:r>
        <w:rPr>
          <w:rFonts w:ascii="Arial" w:cs="Arial" w:eastAsia="Arial" w:hAnsi="Arial"/>
          <w:sz w:val="17"/>
          <w:szCs w:val="17"/>
          <w:color w:val="auto"/>
        </w:rPr>
        <w:t>reserved for this purpose, plus on January 1, 2022, and each January 1 thereafter through January 1, 2031, the number of shares of Common Stock reserved and available for issuance under the Plan shall be cumulatively increased by the least of (i) one percent (1%) of the number of shares of Common Stock issued and outstanding on the immediately preceding December 31</w:t>
      </w:r>
      <w:r>
        <w:rPr>
          <w:rFonts w:ascii="Arial" w:cs="Arial" w:eastAsia="Arial" w:hAnsi="Arial"/>
          <w:sz w:val="19"/>
          <w:szCs w:val="19"/>
          <w:color w:val="auto"/>
          <w:vertAlign w:val="superscript"/>
        </w:rPr>
        <w:t>st</w:t>
      </w:r>
      <w:r>
        <w:rPr>
          <w:rFonts w:ascii="Arial" w:cs="Arial" w:eastAsia="Arial" w:hAnsi="Arial"/>
          <w:sz w:val="17"/>
          <w:szCs w:val="17"/>
          <w:color w:val="auto"/>
        </w:rPr>
        <w:t>, (ii) [•]</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shares of Common Stock or (iii) such number of shares of Common Stock as determined by the Administrator. The Plan is intended to constitute an “employee stock purchase plan” within the meaning of Section 423(b) of the Internal Revenue Code of 1986, as amended (the “Code”), and shall be interpreted in accordance with that intent.</w:t>
      </w:r>
    </w:p>
    <w:p>
      <w:pPr>
        <w:spacing w:after="0" w:line="120" w:lineRule="exact"/>
        <w:rPr>
          <w:sz w:val="20"/>
          <w:szCs w:val="20"/>
          <w:color w:val="auto"/>
        </w:rPr>
      </w:pPr>
    </w:p>
    <w:p>
      <w:pPr>
        <w:ind w:left="460" w:right="599" w:firstLine="426"/>
        <w:spacing w:after="0" w:line="269" w:lineRule="auto"/>
        <w:tabs>
          <w:tab w:leader="none" w:pos="1072" w:val="left"/>
        </w:tabs>
        <w:numPr>
          <w:ilvl w:val="0"/>
          <w:numId w:val="513"/>
        </w:numPr>
        <w:rPr>
          <w:rFonts w:ascii="Arial" w:cs="Arial" w:eastAsia="Arial" w:hAnsi="Arial"/>
          <w:sz w:val="17"/>
          <w:szCs w:val="17"/>
          <w:color w:val="auto"/>
        </w:rPr>
      </w:pPr>
      <w:r>
        <w:rPr>
          <w:rFonts w:ascii="Arial" w:cs="Arial" w:eastAsia="Arial" w:hAnsi="Arial"/>
          <w:sz w:val="17"/>
          <w:szCs w:val="17"/>
          <w:u w:val="single" w:color="auto"/>
          <w:color w:val="auto"/>
        </w:rPr>
        <w:t>Administration</w:t>
      </w:r>
      <w:r>
        <w:rPr>
          <w:rFonts w:ascii="Arial" w:cs="Arial" w:eastAsia="Arial" w:hAnsi="Arial"/>
          <w:sz w:val="17"/>
          <w:szCs w:val="17"/>
          <w:color w:val="auto"/>
        </w:rPr>
        <w:t>. The Plan will be administered by the person or persons (the “Administrator”) appointed by the Company’s Board of Directors (the “Board”) for such purpose. The Administrator has authority at any time to: (i) adopt, alter and repeal such rules, guidelines and practices for the administration of the Plan and for its own acts and proceedings as it shall deem advisable; (ii) interpret the terms and provisions of the Plan; (iii) make all determinations it deems advisable for the administration of the Plan; (iv) decide all disputes arising in connection with the Plan; and (v) otherwise supervise the administration of the Plan. All interpretations and decisions of the Administrator shall be binding on all persons, including the Company and the Participants. No member of the Board or individual exercising administrative authority with respect to the Plan shall be liable for any action or determination made in good faith with respect to the Plan or any option granted hereunder.</w:t>
      </w:r>
    </w:p>
    <w:p>
      <w:pPr>
        <w:spacing w:after="0" w:line="117" w:lineRule="exact"/>
        <w:rPr>
          <w:rFonts w:ascii="Arial" w:cs="Arial" w:eastAsia="Arial" w:hAnsi="Arial"/>
          <w:sz w:val="17"/>
          <w:szCs w:val="17"/>
          <w:color w:val="auto"/>
        </w:rPr>
      </w:pPr>
    </w:p>
    <w:p>
      <w:pPr>
        <w:ind w:left="460" w:right="479" w:firstLine="426"/>
        <w:spacing w:after="0" w:line="255" w:lineRule="auto"/>
        <w:tabs>
          <w:tab w:leader="none" w:pos="1072" w:val="left"/>
        </w:tabs>
        <w:numPr>
          <w:ilvl w:val="0"/>
          <w:numId w:val="513"/>
        </w:numPr>
        <w:rPr>
          <w:rFonts w:ascii="Arial" w:cs="Arial" w:eastAsia="Arial" w:hAnsi="Arial"/>
          <w:sz w:val="18"/>
          <w:szCs w:val="18"/>
          <w:color w:val="auto"/>
        </w:rPr>
      </w:pPr>
      <w:r>
        <w:rPr>
          <w:rFonts w:ascii="Arial" w:cs="Arial" w:eastAsia="Arial" w:hAnsi="Arial"/>
          <w:sz w:val="18"/>
          <w:szCs w:val="18"/>
          <w:u w:val="single" w:color="auto"/>
          <w:color w:val="auto"/>
        </w:rPr>
        <w:t>Offerings</w:t>
      </w:r>
      <w:r>
        <w:rPr>
          <w:rFonts w:ascii="Arial" w:cs="Arial" w:eastAsia="Arial" w:hAnsi="Arial"/>
          <w:sz w:val="18"/>
          <w:szCs w:val="18"/>
          <w:color w:val="auto"/>
        </w:rPr>
        <w:t>. The Company may make one or more offerings to eligible employees to purchase Common Stock under the Plan (“Offerings”). Unless otherwise determined by the Administrator, an Offering will begin on the first business day occurring on or after each [May 1] and [November 1] and will end on the last business day occurring on or before the following [October 31] and [April 30] respectively. The Administrator may, in its discretion, designate a different period for any Offering, provided that no Offering shall exceed 27 months in duration.</w:t>
      </w:r>
    </w:p>
    <w:p>
      <w:pPr>
        <w:spacing w:after="0" w:line="111" w:lineRule="exact"/>
        <w:rPr>
          <w:rFonts w:ascii="Arial" w:cs="Arial" w:eastAsia="Arial" w:hAnsi="Arial"/>
          <w:sz w:val="18"/>
          <w:szCs w:val="18"/>
          <w:color w:val="auto"/>
        </w:rPr>
      </w:pPr>
    </w:p>
    <w:p>
      <w:pPr>
        <w:ind w:left="460" w:right="519" w:firstLine="426"/>
        <w:spacing w:after="0" w:line="283" w:lineRule="auto"/>
        <w:tabs>
          <w:tab w:leader="none" w:pos="1072" w:val="left"/>
        </w:tabs>
        <w:numPr>
          <w:ilvl w:val="0"/>
          <w:numId w:val="513"/>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All individuals classified as employees on the payroll records of the Company and each Designated Subsidiary are eligible to participate in any one or more of the Offerings under the Plan, provided that as of the first day of the applicable Offering (the “Offering Date”) they are customarily employed by the Company or a Designated Subsidiary for [more than 20 hours a week and have completed at least (30) months] of employment]</w:t>
      </w:r>
      <w:r>
        <w:rPr>
          <w:rFonts w:ascii="Arial" w:cs="Arial" w:eastAsia="Arial" w:hAnsi="Arial"/>
          <w:sz w:val="18"/>
          <w:szCs w:val="18"/>
          <w:color w:val="auto"/>
          <w:vertAlign w:val="superscript"/>
        </w:rPr>
        <w:t>3</w:t>
      </w:r>
      <w:r>
        <w:rPr>
          <w:rFonts w:ascii="Arial" w:cs="Arial" w:eastAsia="Arial" w:hAnsi="Arial"/>
          <w:sz w:val="16"/>
          <w:szCs w:val="16"/>
          <w:color w:val="auto"/>
        </w:rPr>
        <w:t>. Notwithstanding any other provision herein, individuals who are not contemporaneously classified as employees of the Company or a Designated Subsidiary for purposes of the Company’s or applicable Designated Subsidiary’s payroll system are not considered to be eligible employees of the Company or any Designated Subsidiary and shall not be eligible to participate in the Plan. In the event any such individuals are reclassified as employees of the Company or a Designated Subsidiary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Subsidiary on the Company’s or Designated Subsidiary’s payroll system to become eligible to participate in this Plan is through an amendment to this Plan, duly executed by the Company, which specifically renders such individuals eligible to participate herein.</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ectPr>
          <w:pgSz w:w="11900" w:h="16838" w:orient="portrait"/>
          <w:cols w:equalWidth="0" w:num="1">
            <w:col w:w="9019"/>
          </w:cols>
          <w:pgMar w:left="1440" w:top="273" w:right="1440" w:bottom="1440" w:gutter="0" w:footer="0" w:header="0"/>
        </w:sectPr>
      </w:pPr>
    </w:p>
    <w:p>
      <w:pPr>
        <w:spacing w:after="0" w:line="99" w:lineRule="exact"/>
        <w:rPr>
          <w:sz w:val="20"/>
          <w:szCs w:val="20"/>
          <w:color w:val="auto"/>
        </w:rPr>
      </w:pPr>
    </w:p>
    <w:p>
      <w:pPr>
        <w:ind w:left="460"/>
        <w:spacing w:after="0"/>
        <w:rPr>
          <w:sz w:val="20"/>
          <w:szCs w:val="20"/>
          <w:color w:val="auto"/>
        </w:rPr>
      </w:pPr>
      <w:r>
        <w:rPr>
          <w:rFonts w:ascii="Arial" w:cs="Arial" w:eastAsia="Arial" w:hAnsi="Arial"/>
          <w:sz w:val="7"/>
          <w:szCs w:val="7"/>
          <w:color w:val="auto"/>
        </w:rPr>
        <w:t>1</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7"/>
          <w:szCs w:val="7"/>
          <w:color w:val="auto"/>
        </w:rPr>
        <w:t>2</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7"/>
          <w:szCs w:val="7"/>
          <w:color w:val="auto"/>
        </w:rPr>
        <w:t>3</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to Draft: </w:t>
      </w:r>
      <w:r>
        <w:rPr>
          <w:rFonts w:ascii="Arial" w:cs="Arial" w:eastAsia="Arial" w:hAnsi="Arial"/>
          <w:sz w:val="16"/>
          <w:szCs w:val="16"/>
          <w:color w:val="auto"/>
        </w:rPr>
        <w:t>Size of initial share to equal .85% to 1% of the post-IPO fully diluted shares.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to Draft</w:t>
      </w:r>
      <w:r>
        <w:rPr>
          <w:rFonts w:ascii="Arial" w:cs="Arial" w:eastAsia="Arial" w:hAnsi="Arial"/>
          <w:sz w:val="16"/>
          <w:szCs w:val="16"/>
          <w:color w:val="auto"/>
        </w:rPr>
        <w:t>: 2x the initial share pool.</w:t>
      </w:r>
    </w:p>
    <w:p>
      <w:pPr>
        <w:spacing w:after="0" w:line="19" w:lineRule="exact"/>
        <w:rPr>
          <w:sz w:val="20"/>
          <w:szCs w:val="20"/>
          <w:color w:val="auto"/>
        </w:rPr>
      </w:pPr>
    </w:p>
    <w:p>
      <w:pPr>
        <w:ind w:left="20" w:right="479" w:hanging="6"/>
        <w:spacing w:after="0" w:line="276" w:lineRule="auto"/>
        <w:rPr>
          <w:sz w:val="20"/>
          <w:szCs w:val="20"/>
          <w:color w:val="auto"/>
        </w:rPr>
      </w:pPr>
      <w:r>
        <w:rPr>
          <w:rFonts w:ascii="Arial" w:cs="Arial" w:eastAsia="Arial" w:hAnsi="Arial"/>
          <w:sz w:val="16"/>
          <w:szCs w:val="16"/>
          <w:b w:val="1"/>
          <w:bCs w:val="1"/>
          <w:color w:val="auto"/>
        </w:rPr>
        <w:t xml:space="preserve">Note to Draft: </w:t>
      </w:r>
      <w:r>
        <w:rPr>
          <w:rFonts w:ascii="Arial" w:cs="Arial" w:eastAsia="Arial" w:hAnsi="Arial"/>
          <w:sz w:val="16"/>
          <w:szCs w:val="16"/>
          <w:color w:val="auto"/>
        </w:rPr>
        <w:t>Eligibility criteria to be discussed. The Code places certain limits on the employees who may be excluded</w:t>
      </w:r>
      <w:r>
        <w:rPr>
          <w:rFonts w:ascii="Arial" w:cs="Arial" w:eastAsia="Arial" w:hAnsi="Arial"/>
          <w:sz w:val="16"/>
          <w:szCs w:val="16"/>
          <w:b w:val="1"/>
          <w:bCs w:val="1"/>
          <w:color w:val="auto"/>
        </w:rPr>
        <w:t xml:space="preserve"> </w:t>
      </w:r>
      <w:r>
        <w:rPr>
          <w:rFonts w:ascii="Arial" w:cs="Arial" w:eastAsia="Arial" w:hAnsi="Arial"/>
          <w:sz w:val="16"/>
          <w:szCs w:val="16"/>
          <w:color w:val="auto"/>
        </w:rPr>
        <w:t>from participation and the trend has generally been towards allowing broad participation with no requirement to have completed a minimum period of employment.</w:t>
      </w:r>
    </w:p>
    <w:p>
      <w:pPr>
        <w:spacing w:after="0" w:line="153" w:lineRule="exact"/>
        <w:rPr>
          <w:sz w:val="20"/>
          <w:szCs w:val="20"/>
          <w:color w:val="auto"/>
        </w:rPr>
      </w:pPr>
    </w:p>
    <w:p>
      <w:pPr>
        <w:sectPr>
          <w:pgSz w:w="11900" w:h="16838" w:orient="portrait"/>
          <w:cols w:equalWidth="0" w:num="2">
            <w:col w:w="500" w:space="160"/>
            <w:col w:w="8359"/>
          </w:cols>
          <w:pgMar w:left="1440" w:top="273" w:right="1440"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Annex A-129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type w:val="continuous"/>
        </w:sectPr>
      </w:pPr>
    </w:p>
    <w:bookmarkStart w:id="485" w:name="page486"/>
    <w:bookmarkEnd w:id="48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060" w:hanging="174"/>
        <w:spacing w:after="0"/>
        <w:tabs>
          <w:tab w:leader="none" w:pos="1060" w:val="left"/>
        </w:tabs>
        <w:numPr>
          <w:ilvl w:val="0"/>
          <w:numId w:val="514"/>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60" w:right="519" w:firstLine="858"/>
        <w:spacing w:after="0" w:line="259" w:lineRule="auto"/>
        <w:tabs>
          <w:tab w:leader="none" w:pos="1568" w:val="left"/>
        </w:tabs>
        <w:numPr>
          <w:ilvl w:val="1"/>
          <w:numId w:val="514"/>
        </w:numPr>
        <w:rPr>
          <w:rFonts w:ascii="Arial" w:cs="Arial" w:eastAsia="Arial" w:hAnsi="Arial"/>
          <w:sz w:val="18"/>
          <w:szCs w:val="18"/>
          <w:color w:val="auto"/>
        </w:rPr>
      </w:pPr>
      <w:r>
        <w:rPr>
          <w:rFonts w:ascii="Arial" w:cs="Arial" w:eastAsia="Arial" w:hAnsi="Arial"/>
          <w:sz w:val="18"/>
          <w:szCs w:val="18"/>
          <w:u w:val="single" w:color="auto"/>
          <w:color w:val="auto"/>
        </w:rPr>
        <w:t>Participants</w:t>
      </w:r>
      <w:r>
        <w:rPr>
          <w:rFonts w:ascii="Arial" w:cs="Arial" w:eastAsia="Arial" w:hAnsi="Arial"/>
          <w:sz w:val="18"/>
          <w:szCs w:val="18"/>
          <w:color w:val="auto"/>
        </w:rPr>
        <w:t>. An eligible employee who is not a Participant in any prior Offering may participate in a subsequent Offering by submitting an enrollment form to his or her appropriate payroll location at least 15 business days before the Offering Date (or by such other deadline as shall be established by the Administrator for the Offering).</w:t>
      </w:r>
    </w:p>
    <w:p>
      <w:pPr>
        <w:spacing w:after="0" w:line="119" w:lineRule="exact"/>
        <w:rPr>
          <w:rFonts w:ascii="Arial" w:cs="Arial" w:eastAsia="Arial" w:hAnsi="Arial"/>
          <w:sz w:val="18"/>
          <w:szCs w:val="18"/>
          <w:color w:val="auto"/>
        </w:rPr>
      </w:pPr>
    </w:p>
    <w:p>
      <w:pPr>
        <w:ind w:left="460" w:right="539" w:firstLine="858"/>
        <w:spacing w:after="0" w:line="271" w:lineRule="auto"/>
        <w:tabs>
          <w:tab w:leader="none" w:pos="1579" w:val="left"/>
        </w:tabs>
        <w:numPr>
          <w:ilvl w:val="1"/>
          <w:numId w:val="514"/>
        </w:numPr>
        <w:rPr>
          <w:rFonts w:ascii="Arial" w:cs="Arial" w:eastAsia="Arial" w:hAnsi="Arial"/>
          <w:sz w:val="17"/>
          <w:szCs w:val="17"/>
          <w:color w:val="auto"/>
        </w:rPr>
      </w:pPr>
      <w:r>
        <w:rPr>
          <w:rFonts w:ascii="Arial" w:cs="Arial" w:eastAsia="Arial" w:hAnsi="Arial"/>
          <w:sz w:val="17"/>
          <w:szCs w:val="17"/>
          <w:u w:val="single" w:color="auto"/>
          <w:color w:val="auto"/>
        </w:rPr>
        <w:t>Enrollment</w:t>
      </w:r>
      <w:r>
        <w:rPr>
          <w:rFonts w:ascii="Arial" w:cs="Arial" w:eastAsia="Arial" w:hAnsi="Arial"/>
          <w:sz w:val="17"/>
          <w:szCs w:val="17"/>
          <w:color w:val="auto"/>
        </w:rPr>
        <w:t>. The enrollment form will (a) state a whole percentage to be deducted from an eligible employee’s Compensation (as defined in Section 11) per pay period, (b) authorize the purchase of Common Stock in each Offering in accordance with the terms of the Plan and (c) specify the exact name or names in which shares of Common Stock purchased for such individual are to be issued pursuant to Section 10. An employee who does not enroll in accordance with these procedures will be deemed to have waived the right to participate. Unless a Participant files a new enrollment form or withdraws from the Plan, such Participant’s deductions and purchases will continue at the same percentage of Compensation for future Offerings, provided he or she remains eligible.</w:t>
      </w:r>
    </w:p>
    <w:p>
      <w:pPr>
        <w:spacing w:after="0" w:line="97" w:lineRule="exact"/>
        <w:rPr>
          <w:rFonts w:ascii="Arial" w:cs="Arial" w:eastAsia="Arial" w:hAnsi="Arial"/>
          <w:sz w:val="17"/>
          <w:szCs w:val="17"/>
          <w:color w:val="auto"/>
        </w:rPr>
      </w:pPr>
    </w:p>
    <w:p>
      <w:pPr>
        <w:ind w:left="460" w:right="599" w:firstLine="858"/>
        <w:spacing w:after="0" w:line="277" w:lineRule="auto"/>
        <w:tabs>
          <w:tab w:leader="none" w:pos="1569" w:val="left"/>
        </w:tabs>
        <w:numPr>
          <w:ilvl w:val="1"/>
          <w:numId w:val="514"/>
        </w:numPr>
        <w:rPr>
          <w:rFonts w:ascii="Arial" w:cs="Arial" w:eastAsia="Arial" w:hAnsi="Arial"/>
          <w:sz w:val="18"/>
          <w:szCs w:val="18"/>
          <w:color w:val="auto"/>
        </w:rPr>
      </w:pPr>
      <w:r>
        <w:rPr>
          <w:rFonts w:ascii="Arial" w:cs="Arial" w:eastAsia="Arial" w:hAnsi="Arial"/>
          <w:sz w:val="18"/>
          <w:szCs w:val="18"/>
          <w:color w:val="auto"/>
        </w:rPr>
        <w:t>Notwithstanding the foregoing, participation in the Plan will neither be permitted nor be denied contrary to the requirements of the Code.</w:t>
      </w:r>
    </w:p>
    <w:p>
      <w:pPr>
        <w:spacing w:after="0" w:line="102" w:lineRule="exact"/>
        <w:rPr>
          <w:rFonts w:ascii="Arial" w:cs="Arial" w:eastAsia="Arial" w:hAnsi="Arial"/>
          <w:sz w:val="18"/>
          <w:szCs w:val="18"/>
          <w:color w:val="auto"/>
        </w:rPr>
      </w:pPr>
    </w:p>
    <w:p>
      <w:pPr>
        <w:ind w:left="460" w:right="719" w:firstLine="426"/>
        <w:spacing w:after="0" w:line="289" w:lineRule="auto"/>
        <w:tabs>
          <w:tab w:leader="none" w:pos="1072" w:val="left"/>
        </w:tabs>
        <w:numPr>
          <w:ilvl w:val="0"/>
          <w:numId w:val="514"/>
        </w:numPr>
        <w:rPr>
          <w:rFonts w:ascii="Arial" w:cs="Arial" w:eastAsia="Arial" w:hAnsi="Arial"/>
          <w:sz w:val="16"/>
          <w:szCs w:val="16"/>
          <w:color w:val="auto"/>
        </w:rPr>
      </w:pPr>
      <w:r>
        <w:rPr>
          <w:rFonts w:ascii="Arial" w:cs="Arial" w:eastAsia="Arial" w:hAnsi="Arial"/>
          <w:sz w:val="16"/>
          <w:szCs w:val="16"/>
          <w:u w:val="single" w:color="auto"/>
          <w:color w:val="auto"/>
        </w:rPr>
        <w:t>Employee Contributions</w:t>
      </w:r>
      <w:r>
        <w:rPr>
          <w:rFonts w:ascii="Arial" w:cs="Arial" w:eastAsia="Arial" w:hAnsi="Arial"/>
          <w:sz w:val="16"/>
          <w:szCs w:val="16"/>
          <w:color w:val="auto"/>
        </w:rPr>
        <w:t>. Each eligible employee may authorize payroll deductions at a minimum of [one (1) percent] up to a maximum of [fifteen (15) percent]</w:t>
      </w:r>
      <w:r>
        <w:rPr>
          <w:rFonts w:ascii="Arial" w:cs="Arial" w:eastAsia="Arial" w:hAnsi="Arial"/>
          <w:sz w:val="18"/>
          <w:szCs w:val="18"/>
          <w:color w:val="auto"/>
          <w:vertAlign w:val="superscript"/>
        </w:rPr>
        <w:t>4</w:t>
      </w:r>
      <w:r>
        <w:rPr>
          <w:rFonts w:ascii="Arial" w:cs="Arial" w:eastAsia="Arial" w:hAnsi="Arial"/>
          <w:sz w:val="16"/>
          <w:szCs w:val="16"/>
          <w:color w:val="auto"/>
        </w:rPr>
        <w:t xml:space="preserve"> of such employee’s Compensation for each pay period. The Company will maintain book accounts showing the amount of payroll deductions made by each Participant for each Offering. No interest will accrue or be paid on payroll deductions.</w:t>
      </w:r>
    </w:p>
    <w:p>
      <w:pPr>
        <w:spacing w:after="0" w:line="98" w:lineRule="exact"/>
        <w:rPr>
          <w:rFonts w:ascii="Arial" w:cs="Arial" w:eastAsia="Arial" w:hAnsi="Arial"/>
          <w:sz w:val="16"/>
          <w:szCs w:val="16"/>
          <w:color w:val="auto"/>
        </w:rPr>
      </w:pPr>
    </w:p>
    <w:p>
      <w:pPr>
        <w:ind w:left="460" w:right="479" w:firstLine="426"/>
        <w:spacing w:after="0" w:line="254" w:lineRule="auto"/>
        <w:tabs>
          <w:tab w:leader="none" w:pos="1072" w:val="left"/>
        </w:tabs>
        <w:numPr>
          <w:ilvl w:val="0"/>
          <w:numId w:val="514"/>
        </w:numPr>
        <w:rPr>
          <w:rFonts w:ascii="Arial" w:cs="Arial" w:eastAsia="Arial" w:hAnsi="Arial"/>
          <w:sz w:val="18"/>
          <w:szCs w:val="18"/>
          <w:color w:val="auto"/>
        </w:rPr>
      </w:pPr>
      <w:r>
        <w:rPr>
          <w:rFonts w:ascii="Arial" w:cs="Arial" w:eastAsia="Arial" w:hAnsi="Arial"/>
          <w:sz w:val="18"/>
          <w:szCs w:val="18"/>
          <w:u w:val="single" w:color="auto"/>
          <w:color w:val="auto"/>
        </w:rPr>
        <w:t>Deduction Changes</w:t>
      </w:r>
      <w:r>
        <w:rPr>
          <w:rFonts w:ascii="Arial" w:cs="Arial" w:eastAsia="Arial" w:hAnsi="Arial"/>
          <w:sz w:val="18"/>
          <w:szCs w:val="18"/>
          <w:color w:val="auto"/>
        </w:rPr>
        <w:t>. Except as may be determined by the Administrator in advance of an Offering, a Participant may not increase or decrease his or her payroll deduction during any Offering, but may increase or decrease his or her payroll deduction with respect to the next Offering (subject to the limitations of Section 5) by filing a new enrollment form at least fifteen (15) business days before the next Offering Date (or by such other deadline as shall be established by the Administrator for the Offering). The Administrator may, in advance of any Offering, establish rules permitting a Participant to increase, decrease or terminate his or her payroll deduction during an Offering.</w:t>
      </w:r>
    </w:p>
    <w:p>
      <w:pPr>
        <w:spacing w:after="0" w:line="113" w:lineRule="exact"/>
        <w:rPr>
          <w:rFonts w:ascii="Arial" w:cs="Arial" w:eastAsia="Arial" w:hAnsi="Arial"/>
          <w:sz w:val="18"/>
          <w:szCs w:val="18"/>
          <w:color w:val="auto"/>
        </w:rPr>
      </w:pPr>
    </w:p>
    <w:p>
      <w:pPr>
        <w:ind w:left="460" w:right="459" w:firstLine="426"/>
        <w:spacing w:after="0" w:line="254" w:lineRule="auto"/>
        <w:tabs>
          <w:tab w:leader="none" w:pos="1072" w:val="left"/>
        </w:tabs>
        <w:numPr>
          <w:ilvl w:val="0"/>
          <w:numId w:val="514"/>
        </w:numPr>
        <w:rPr>
          <w:rFonts w:ascii="Arial" w:cs="Arial" w:eastAsia="Arial" w:hAnsi="Arial"/>
          <w:sz w:val="18"/>
          <w:szCs w:val="18"/>
          <w:color w:val="auto"/>
        </w:rPr>
      </w:pPr>
      <w:r>
        <w:rPr>
          <w:rFonts w:ascii="Arial" w:cs="Arial" w:eastAsia="Arial" w:hAnsi="Arial"/>
          <w:sz w:val="18"/>
          <w:szCs w:val="18"/>
          <w:u w:val="single" w:color="auto"/>
          <w:color w:val="auto"/>
        </w:rPr>
        <w:t>Withdrawal</w:t>
      </w:r>
      <w:r>
        <w:rPr>
          <w:rFonts w:ascii="Arial" w:cs="Arial" w:eastAsia="Arial" w:hAnsi="Arial"/>
          <w:sz w:val="18"/>
          <w:szCs w:val="18"/>
          <w:color w:val="auto"/>
        </w:rPr>
        <w:t>. A Participant may withdraw from participation in the Plan by delivering a written notice of withdrawal to his or her appropriate payroll location. The Participant’s withdrawal will be effective as of the next business day. Following a Participant’s withdrawal, the Company will promptly refund such individual’s entire account balance under the Plan to him or her (after payment for any Common Stock purchased before the effective date of withdrawal). Partial withdrawals are not permitted. Such an employee may not begin participation again during the remainder of the Offering, but may enroll in a subsequent Offering in accordance with Section 4.</w:t>
      </w:r>
    </w:p>
    <w:p>
      <w:pPr>
        <w:spacing w:after="0" w:line="127" w:lineRule="exact"/>
        <w:rPr>
          <w:rFonts w:ascii="Arial" w:cs="Arial" w:eastAsia="Arial" w:hAnsi="Arial"/>
          <w:sz w:val="18"/>
          <w:szCs w:val="18"/>
          <w:color w:val="auto"/>
        </w:rPr>
      </w:pPr>
    </w:p>
    <w:p>
      <w:pPr>
        <w:ind w:left="460" w:right="559" w:firstLine="426"/>
        <w:spacing w:after="0" w:line="287" w:lineRule="auto"/>
        <w:tabs>
          <w:tab w:leader="none" w:pos="1072" w:val="left"/>
        </w:tabs>
        <w:numPr>
          <w:ilvl w:val="0"/>
          <w:numId w:val="514"/>
        </w:numPr>
        <w:rPr>
          <w:rFonts w:ascii="Arial" w:cs="Arial" w:eastAsia="Arial" w:hAnsi="Arial"/>
          <w:sz w:val="16"/>
          <w:szCs w:val="16"/>
          <w:color w:val="auto"/>
        </w:rPr>
      </w:pPr>
      <w:r>
        <w:rPr>
          <w:rFonts w:ascii="Arial" w:cs="Arial" w:eastAsia="Arial" w:hAnsi="Arial"/>
          <w:sz w:val="16"/>
          <w:szCs w:val="16"/>
          <w:u w:val="single" w:color="auto"/>
          <w:color w:val="auto"/>
        </w:rPr>
        <w:t>Grant of Options</w:t>
      </w:r>
      <w:r>
        <w:rPr>
          <w:rFonts w:ascii="Arial" w:cs="Arial" w:eastAsia="Arial" w:hAnsi="Arial"/>
          <w:sz w:val="16"/>
          <w:szCs w:val="16"/>
          <w:color w:val="auto"/>
        </w:rPr>
        <w:t>. On each Offering Date, the Company will grant to each eligible employee who is then a Participant in the Plan an option (“Option”) to purchase on the last day of such Offering (the “Exercise Date”), at the Option Price hereinafter provided for, the lowest of (a) a number of shares of Common Stock determined by dividing such Participant’s accumulated payroll deductions on such Exercise Date by the Option Price (as defined herein), (b) the number of shares determined by dividing $25,000 by the Fair Market Value of the Common Stock on the Offering Date for such Offering; or (c) such other lesser maximum number of shares as shall have been established by the Administrator in advance of the Offering; provided, however, that such Option shall be subject to the limitations set forth below. Each Participant’s Option shall be exercisable only to the extent of such Participant’s accumulated payroll deductions on the Exercise Date. The purchase price for each share purchased under each Option (the “Option Price”) will be at a maximum discount of 15 percent of the Fair Market Value of the Common Stock on the Offering Date or the Exercise Date, whichever is less.</w:t>
      </w:r>
    </w:p>
    <w:p>
      <w:pPr>
        <w:spacing w:after="0" w:line="104" w:lineRule="exact"/>
        <w:rPr>
          <w:sz w:val="20"/>
          <w:szCs w:val="20"/>
          <w:color w:val="auto"/>
        </w:rPr>
      </w:pPr>
    </w:p>
    <w:p>
      <w:pPr>
        <w:ind w:left="460" w:right="539" w:firstLine="432"/>
        <w:spacing w:after="0" w:line="252" w:lineRule="auto"/>
        <w:rPr>
          <w:sz w:val="20"/>
          <w:szCs w:val="20"/>
          <w:color w:val="auto"/>
        </w:rPr>
      </w:pPr>
      <w:r>
        <w:rPr>
          <w:rFonts w:ascii="Arial" w:cs="Arial" w:eastAsia="Arial" w:hAnsi="Arial"/>
          <w:sz w:val="18"/>
          <w:szCs w:val="18"/>
          <w:color w:val="auto"/>
        </w:rPr>
        <w:t>Notwithstanding the foregoing, no Participant may be granted an option hereunder if such Participant, immediately after the option was granted, would be treated as owning stock possessing five (5) percent or more of the total combined voting power or value of all classes of stock of the Company or any Parent or Subsidiary (as defined in Section 11). For purposes of the preceding sentence, the attribution rules of Section 424(d) of the Code shall apply in determining the stock ownership of a Participant, and all stock which the Participant has a contractual right to purchase shall be treated as stock owned by the Participant. In addition, no Participant may be granted an</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680" w:hanging="226"/>
        <w:spacing w:after="0"/>
        <w:tabs>
          <w:tab w:leader="none" w:pos="680" w:val="left"/>
        </w:tabs>
        <w:numPr>
          <w:ilvl w:val="0"/>
          <w:numId w:val="515"/>
        </w:numPr>
        <w:rPr>
          <w:rFonts w:ascii="Arial" w:cs="Arial" w:eastAsia="Arial" w:hAnsi="Arial"/>
          <w:sz w:val="19"/>
          <w:szCs w:val="19"/>
          <w:color w:val="auto"/>
          <w:vertAlign w:val="superscript"/>
        </w:rPr>
      </w:pPr>
      <w:r>
        <w:rPr>
          <w:rFonts w:ascii="Arial" w:cs="Arial" w:eastAsia="Arial" w:hAnsi="Arial"/>
          <w:sz w:val="16"/>
          <w:szCs w:val="16"/>
          <w:b w:val="1"/>
          <w:bCs w:val="1"/>
          <w:color w:val="auto"/>
        </w:rPr>
        <w:t xml:space="preserve">Note to Draft: </w:t>
      </w:r>
      <w:r>
        <w:rPr>
          <w:rFonts w:ascii="Arial" w:cs="Arial" w:eastAsia="Arial" w:hAnsi="Arial"/>
          <w:sz w:val="16"/>
          <w:szCs w:val="16"/>
          <w:color w:val="auto"/>
        </w:rPr>
        <w:t>Minimum and maximum percentages to be confirmed.</w:t>
      </w:r>
    </w:p>
    <w:p>
      <w:pPr>
        <w:sectPr>
          <w:pgSz w:w="11900" w:h="16838" w:orient="portrait"/>
          <w:cols w:equalWidth="0" w:num="1">
            <w:col w:w="9019"/>
          </w:cols>
          <w:pgMar w:left="1440" w:top="273"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Annex A-130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type w:val="continuous"/>
        </w:sectPr>
      </w:pPr>
    </w:p>
    <w:bookmarkStart w:id="486" w:name="page487"/>
    <w:bookmarkEnd w:id="48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55" w:lineRule="auto"/>
        <w:rPr>
          <w:sz w:val="20"/>
          <w:szCs w:val="20"/>
          <w:color w:val="auto"/>
        </w:rPr>
      </w:pPr>
      <w:r>
        <w:rPr>
          <w:rFonts w:ascii="Arial" w:cs="Arial" w:eastAsia="Arial" w:hAnsi="Arial"/>
          <w:sz w:val="18"/>
          <w:szCs w:val="18"/>
          <w:color w:val="auto"/>
        </w:rPr>
        <w:t>Option which permits his or her rights to purchase stock under the Plan, and any other employee stock purchase plan of the Company and its Parents and Subsidiaries, to accrue at a rate which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spacing w:after="0" w:line="125" w:lineRule="exact"/>
        <w:rPr>
          <w:sz w:val="20"/>
          <w:szCs w:val="20"/>
          <w:color w:val="auto"/>
        </w:rPr>
      </w:pPr>
    </w:p>
    <w:p>
      <w:pPr>
        <w:ind w:left="460" w:right="619" w:firstLine="426"/>
        <w:spacing w:after="0" w:line="254" w:lineRule="auto"/>
        <w:tabs>
          <w:tab w:leader="none" w:pos="1072" w:val="left"/>
        </w:tabs>
        <w:numPr>
          <w:ilvl w:val="0"/>
          <w:numId w:val="516"/>
        </w:numPr>
        <w:rPr>
          <w:rFonts w:ascii="Arial" w:cs="Arial" w:eastAsia="Arial" w:hAnsi="Arial"/>
          <w:sz w:val="18"/>
          <w:szCs w:val="18"/>
          <w:color w:val="auto"/>
        </w:rPr>
      </w:pPr>
      <w:r>
        <w:rPr>
          <w:rFonts w:ascii="Arial" w:cs="Arial" w:eastAsia="Arial" w:hAnsi="Arial"/>
          <w:sz w:val="18"/>
          <w:szCs w:val="18"/>
          <w:u w:val="single" w:color="auto"/>
          <w:color w:val="auto"/>
        </w:rPr>
        <w:t>Exercise of Option and Purchase of Shares</w:t>
      </w:r>
      <w:r>
        <w:rPr>
          <w:rFonts w:ascii="Arial" w:cs="Arial" w:eastAsia="Arial" w:hAnsi="Arial"/>
          <w:sz w:val="18"/>
          <w:szCs w:val="18"/>
          <w:color w:val="auto"/>
        </w:rPr>
        <w:t>. Each employee who continues to be a Participant in the Plan on the Exercise Date shall be deemed to have exercised his or her Option on such date and shall acquire from the Company such number of whole shares of Common Stock reserved for the purpose of the Plan as his or her accumulated payroll deductions on such date will purchase at the Option Price, subject to any other limitations contained in the Plan. Any amount remaining in a Participant’s account at the end of an Offering solely by reason of the inability to purchase a fractional share will be carried forward to the next Offering; any other balance remaining in a Participant’s account at the end of an Offering will be refunded to the Participant promptly.</w:t>
      </w:r>
    </w:p>
    <w:p>
      <w:pPr>
        <w:spacing w:after="0" w:line="124" w:lineRule="exact"/>
        <w:rPr>
          <w:rFonts w:ascii="Arial" w:cs="Arial" w:eastAsia="Arial" w:hAnsi="Arial"/>
          <w:sz w:val="18"/>
          <w:szCs w:val="18"/>
          <w:color w:val="auto"/>
        </w:rPr>
      </w:pPr>
    </w:p>
    <w:p>
      <w:pPr>
        <w:jc w:val="both"/>
        <w:ind w:left="460" w:right="459" w:firstLine="426"/>
        <w:spacing w:after="0" w:line="279" w:lineRule="auto"/>
        <w:tabs>
          <w:tab w:leader="none" w:pos="1162" w:val="left"/>
        </w:tabs>
        <w:numPr>
          <w:ilvl w:val="0"/>
          <w:numId w:val="516"/>
        </w:numPr>
        <w:rPr>
          <w:rFonts w:ascii="Arial" w:cs="Arial" w:eastAsia="Arial" w:hAnsi="Arial"/>
          <w:sz w:val="17"/>
          <w:szCs w:val="17"/>
          <w:color w:val="auto"/>
        </w:rPr>
      </w:pPr>
      <w:r>
        <w:rPr>
          <w:rFonts w:ascii="Arial" w:cs="Arial" w:eastAsia="Arial" w:hAnsi="Arial"/>
          <w:sz w:val="17"/>
          <w:szCs w:val="17"/>
          <w:u w:val="single" w:color="auto"/>
          <w:color w:val="auto"/>
        </w:rPr>
        <w:t>Issuance of Certificates</w:t>
      </w:r>
      <w:r>
        <w:rPr>
          <w:rFonts w:ascii="Arial" w:cs="Arial" w:eastAsia="Arial" w:hAnsi="Arial"/>
          <w:sz w:val="17"/>
          <w:szCs w:val="17"/>
          <w:color w:val="auto"/>
        </w:rPr>
        <w:t>. Certificates or book-entries at the Company’s transfer agent representing shares of Common Stock purchased under the Plan may be issued only in the name of the employee, in the name of the employee and another person of legal age as joint tenants with rights of survivorship, or in the name of a broker authorized by the employee to be his, her or their, nominee for such purpose.</w:t>
      </w:r>
    </w:p>
    <w:p>
      <w:pPr>
        <w:spacing w:after="0" w:line="90" w:lineRule="exact"/>
        <w:rPr>
          <w:rFonts w:ascii="Arial" w:cs="Arial" w:eastAsia="Arial" w:hAnsi="Arial"/>
          <w:sz w:val="17"/>
          <w:szCs w:val="17"/>
          <w:color w:val="auto"/>
        </w:rPr>
      </w:pPr>
    </w:p>
    <w:p>
      <w:pPr>
        <w:ind w:left="1140" w:hanging="254"/>
        <w:spacing w:after="0"/>
        <w:tabs>
          <w:tab w:leader="none" w:pos="1140" w:val="left"/>
        </w:tabs>
        <w:numPr>
          <w:ilvl w:val="0"/>
          <w:numId w:val="51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58" w:lineRule="exact"/>
        <w:rPr>
          <w:sz w:val="20"/>
          <w:szCs w:val="20"/>
          <w:color w:val="auto"/>
        </w:rPr>
      </w:pPr>
    </w:p>
    <w:p>
      <w:pPr>
        <w:ind w:left="460" w:right="739" w:firstLine="432"/>
        <w:spacing w:after="0" w:line="342" w:lineRule="auto"/>
        <w:rPr>
          <w:sz w:val="20"/>
          <w:szCs w:val="20"/>
          <w:color w:val="auto"/>
        </w:rPr>
      </w:pPr>
      <w:r>
        <w:rPr>
          <w:rFonts w:ascii="Arial" w:cs="Arial" w:eastAsia="Arial" w:hAnsi="Arial"/>
          <w:sz w:val="16"/>
          <w:szCs w:val="16"/>
          <w:color w:val="auto"/>
        </w:rPr>
        <w:t>The term “Closing Date” means the date of the closing of the transactions contemplated by that certain Merger Agreement, dated as of April 13, 2021, by and among the Company and the other parties thereto.</w:t>
      </w:r>
    </w:p>
    <w:p>
      <w:pPr>
        <w:spacing w:after="0" w:line="5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term “Compensation” means the regular salary or basic hourly rate of compensation.</w:t>
      </w:r>
    </w:p>
    <w:p>
      <w:pPr>
        <w:spacing w:after="0" w:line="144" w:lineRule="exact"/>
        <w:rPr>
          <w:sz w:val="20"/>
          <w:szCs w:val="20"/>
          <w:color w:val="auto"/>
        </w:rPr>
      </w:pPr>
    </w:p>
    <w:p>
      <w:pPr>
        <w:ind w:left="460" w:right="619" w:firstLine="432"/>
        <w:spacing w:after="0" w:line="301" w:lineRule="auto"/>
        <w:rPr>
          <w:sz w:val="20"/>
          <w:szCs w:val="20"/>
          <w:color w:val="auto"/>
        </w:rPr>
      </w:pPr>
      <w:r>
        <w:rPr>
          <w:rFonts w:ascii="Arial" w:cs="Arial" w:eastAsia="Arial" w:hAnsi="Arial"/>
          <w:sz w:val="16"/>
          <w:szCs w:val="16"/>
          <w:color w:val="auto"/>
        </w:rPr>
        <w:t>The term “Designated Subsidiary” means any present or future Subsidiary (as defined below) that has been designated by the Board to participate in the Plan. The Board may so designate any Subsidiary, or revoke any such designation, at any time and from time to time, either before or after the Plan is approved by the stockholders. The current list of Designated Subsidiaries is attached hereto as Appendix A.</w:t>
      </w:r>
    </w:p>
    <w:p>
      <w:pPr>
        <w:spacing w:after="0" w:line="90"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The term “Fair Market Value of the Common Stock” on any given date means the fair market value of the Common Stock determined in good faith by the Administrator; provided, however, that if the Common Stock is admitted to quotation on the National Association of Securities Dealers Automated Quotation System (“Nasdaq”), the Nasdaq Global Market, The New York Stock Exchange or another national securities exchange, the determination shall be made by reference to the closing price on such date. If there is no closing price for such date, the determination shall be made by reference to the last date preceding such date for which there is a closing price.</w:t>
      </w:r>
    </w:p>
    <w:p>
      <w:pPr>
        <w:spacing w:after="0" w:line="127" w:lineRule="exact"/>
        <w:rPr>
          <w:sz w:val="20"/>
          <w:szCs w:val="20"/>
          <w:color w:val="auto"/>
        </w:rPr>
      </w:pPr>
    </w:p>
    <w:p>
      <w:pPr>
        <w:ind w:left="460" w:right="1539" w:firstLine="432"/>
        <w:spacing w:after="0" w:line="277" w:lineRule="auto"/>
        <w:rPr>
          <w:sz w:val="20"/>
          <w:szCs w:val="20"/>
          <w:color w:val="auto"/>
        </w:rPr>
      </w:pPr>
      <w:r>
        <w:rPr>
          <w:rFonts w:ascii="Arial" w:cs="Arial" w:eastAsia="Arial" w:hAnsi="Arial"/>
          <w:sz w:val="18"/>
          <w:szCs w:val="18"/>
          <w:color w:val="auto"/>
        </w:rPr>
        <w:t>The term “Parent” means a “parent corporation” with respect to the Company, as defined in Section 424(e) of the Code.</w:t>
      </w:r>
    </w:p>
    <w:p>
      <w:pPr>
        <w:spacing w:after="0" w:line="89" w:lineRule="exact"/>
        <w:rPr>
          <w:sz w:val="20"/>
          <w:szCs w:val="20"/>
          <w:color w:val="auto"/>
        </w:rPr>
      </w:pPr>
    </w:p>
    <w:p>
      <w:pPr>
        <w:ind w:left="460" w:right="999" w:firstLine="432"/>
        <w:spacing w:after="0" w:line="277" w:lineRule="auto"/>
        <w:rPr>
          <w:sz w:val="20"/>
          <w:szCs w:val="20"/>
          <w:color w:val="auto"/>
        </w:rPr>
      </w:pPr>
      <w:r>
        <w:rPr>
          <w:rFonts w:ascii="Arial" w:cs="Arial" w:eastAsia="Arial" w:hAnsi="Arial"/>
          <w:sz w:val="18"/>
          <w:szCs w:val="18"/>
          <w:color w:val="auto"/>
        </w:rPr>
        <w:t>The term “Participant” means an individual who is eligible as determined in Section 3 and who has complied with the provisions of Section 4.</w:t>
      </w:r>
    </w:p>
    <w:p>
      <w:pPr>
        <w:spacing w:after="0" w:line="103"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The term “Subsidiary” means a “subsidiary corporation” with respect to the Company, as defined in Section 424(f) of the Code.</w:t>
      </w:r>
    </w:p>
    <w:p>
      <w:pPr>
        <w:spacing w:after="0" w:line="103" w:lineRule="exact"/>
        <w:rPr>
          <w:sz w:val="20"/>
          <w:szCs w:val="20"/>
          <w:color w:val="auto"/>
        </w:rPr>
      </w:pPr>
    </w:p>
    <w:p>
      <w:pPr>
        <w:ind w:left="460" w:right="479" w:firstLine="426"/>
        <w:spacing w:after="0" w:line="287" w:lineRule="auto"/>
        <w:tabs>
          <w:tab w:leader="none" w:pos="1162" w:val="left"/>
        </w:tabs>
        <w:numPr>
          <w:ilvl w:val="0"/>
          <w:numId w:val="517"/>
        </w:numPr>
        <w:rPr>
          <w:rFonts w:ascii="Arial" w:cs="Arial" w:eastAsia="Arial" w:hAnsi="Arial"/>
          <w:sz w:val="16"/>
          <w:szCs w:val="16"/>
          <w:color w:val="auto"/>
        </w:rPr>
      </w:pPr>
      <w:r>
        <w:rPr>
          <w:rFonts w:ascii="Arial" w:cs="Arial" w:eastAsia="Arial" w:hAnsi="Arial"/>
          <w:sz w:val="16"/>
          <w:szCs w:val="16"/>
          <w:u w:val="single" w:color="auto"/>
          <w:color w:val="auto"/>
        </w:rPr>
        <w:t>Rights on Termination of Employment</w:t>
      </w:r>
      <w:r>
        <w:rPr>
          <w:rFonts w:ascii="Arial" w:cs="Arial" w:eastAsia="Arial" w:hAnsi="Arial"/>
          <w:sz w:val="16"/>
          <w:szCs w:val="16"/>
          <w:color w:val="auto"/>
        </w:rPr>
        <w:t>. If a Participant’s employment terminates for any reason before the Exercise Date for any Offering, no payroll deduction will be taken from any pay due and owing to the Participant and the balance in the Participant’s account will be paid to such Participant or, in the case of such Participant’s death, to his or her designated beneficiary as if such Participant had withdrawn from the Plan under Section 7. An employee will be deemed to have terminated employment, for this purpose, if the corporation that employs him or her, having been a Designated Subsidiary, ceases to be a Subsidiary, or if the employee is transferred to any corporation other than the Company or a Designated Subsidiary.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87" w:name="page488"/>
    <w:bookmarkEnd w:id="48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26"/>
        <w:spacing w:after="0" w:line="254" w:lineRule="auto"/>
        <w:tabs>
          <w:tab w:leader="none" w:pos="1162"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t>Special Rules</w:t>
      </w:r>
      <w:r>
        <w:rPr>
          <w:rFonts w:ascii="Arial" w:cs="Arial" w:eastAsia="Arial" w:hAnsi="Arial"/>
          <w:sz w:val="18"/>
          <w:szCs w:val="18"/>
          <w:color w:val="auto"/>
        </w:rPr>
        <w:t>. Notwithstanding anything herein to the contrary, the Administrator may adopt special rules applicable to the employees of a particular Designated Subsidiary, whenever the Administrator determines that such rules are necessary or appropriate for the implementation of the Plan in a jurisdiction where such Designated Subsidiary has employees; provided that such rules are consistent with the requirements of Section 423(b) of the Code. Any special rules established pursuant to this Section 13 shall, to the extent possible, result in the employees subject to such rules having substantially the same rights as other Participants in the Plan.</w:t>
      </w:r>
    </w:p>
    <w:p>
      <w:pPr>
        <w:spacing w:after="0" w:line="127" w:lineRule="exact"/>
        <w:rPr>
          <w:rFonts w:ascii="Arial" w:cs="Arial" w:eastAsia="Arial" w:hAnsi="Arial"/>
          <w:sz w:val="18"/>
          <w:szCs w:val="18"/>
          <w:color w:val="auto"/>
        </w:rPr>
      </w:pPr>
    </w:p>
    <w:p>
      <w:pPr>
        <w:jc w:val="both"/>
        <w:ind w:left="460" w:right="839" w:firstLine="426"/>
        <w:spacing w:after="0" w:line="311" w:lineRule="auto"/>
        <w:tabs>
          <w:tab w:leader="none" w:pos="1162" w:val="left"/>
        </w:tabs>
        <w:numPr>
          <w:ilvl w:val="0"/>
          <w:numId w:val="518"/>
        </w:numPr>
        <w:rPr>
          <w:rFonts w:ascii="Arial" w:cs="Arial" w:eastAsia="Arial" w:hAnsi="Arial"/>
          <w:sz w:val="16"/>
          <w:szCs w:val="16"/>
          <w:color w:val="auto"/>
        </w:rPr>
      </w:pPr>
      <w:r>
        <w:rPr>
          <w:rFonts w:ascii="Arial" w:cs="Arial" w:eastAsia="Arial" w:hAnsi="Arial"/>
          <w:sz w:val="16"/>
          <w:szCs w:val="16"/>
          <w:u w:val="single" w:color="auto"/>
          <w:color w:val="auto"/>
        </w:rPr>
        <w:t>Optionees Not Stockholders</w:t>
      </w:r>
      <w:r>
        <w:rPr>
          <w:rFonts w:ascii="Arial" w:cs="Arial" w:eastAsia="Arial" w:hAnsi="Arial"/>
          <w:sz w:val="16"/>
          <w:szCs w:val="16"/>
          <w:color w:val="auto"/>
        </w:rPr>
        <w:t>. Neither the granting of an Option to a Participant nor the deductions from his or her pay shall constitute such Participant a holder of the shares of Common Stock covered by an Option under the Plan until such shares have been purchased by and issued to him or her.</w:t>
      </w:r>
    </w:p>
    <w:p>
      <w:pPr>
        <w:spacing w:after="0" w:line="81" w:lineRule="exact"/>
        <w:rPr>
          <w:rFonts w:ascii="Arial" w:cs="Arial" w:eastAsia="Arial" w:hAnsi="Arial"/>
          <w:sz w:val="16"/>
          <w:szCs w:val="16"/>
          <w:color w:val="auto"/>
        </w:rPr>
      </w:pPr>
    </w:p>
    <w:p>
      <w:pPr>
        <w:ind w:left="460" w:right="559" w:firstLine="426"/>
        <w:spacing w:after="0" w:line="263" w:lineRule="auto"/>
        <w:tabs>
          <w:tab w:leader="none" w:pos="1162"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t>Rights Not Transferable</w:t>
      </w:r>
      <w:r>
        <w:rPr>
          <w:rFonts w:ascii="Arial" w:cs="Arial" w:eastAsia="Arial" w:hAnsi="Arial"/>
          <w:sz w:val="18"/>
          <w:szCs w:val="18"/>
          <w:color w:val="auto"/>
        </w:rPr>
        <w:t>. Rights under the Plan are not transferable by a Participant other than by will or the laws of descent and distribution, and are exercisable during the Participant’s lifetime only by the Participant.</w:t>
      </w:r>
    </w:p>
    <w:p>
      <w:pPr>
        <w:spacing w:after="0" w:line="102" w:lineRule="exact"/>
        <w:rPr>
          <w:rFonts w:ascii="Arial" w:cs="Arial" w:eastAsia="Arial" w:hAnsi="Arial"/>
          <w:sz w:val="18"/>
          <w:szCs w:val="18"/>
          <w:color w:val="auto"/>
        </w:rPr>
      </w:pPr>
    </w:p>
    <w:p>
      <w:pPr>
        <w:ind w:left="460" w:right="719" w:firstLine="426"/>
        <w:spacing w:after="0" w:line="277" w:lineRule="auto"/>
        <w:tabs>
          <w:tab w:leader="none" w:pos="1162"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t>Application of Funds</w:t>
      </w:r>
      <w:r>
        <w:rPr>
          <w:rFonts w:ascii="Arial" w:cs="Arial" w:eastAsia="Arial" w:hAnsi="Arial"/>
          <w:sz w:val="18"/>
          <w:szCs w:val="18"/>
          <w:color w:val="auto"/>
        </w:rPr>
        <w:t>. All funds received or held by the Company under the Plan may be combined with other corporate funds and may be used for any corporate purpose.</w:t>
      </w:r>
    </w:p>
    <w:p>
      <w:pPr>
        <w:spacing w:after="0" w:line="102" w:lineRule="exact"/>
        <w:rPr>
          <w:rFonts w:ascii="Arial" w:cs="Arial" w:eastAsia="Arial" w:hAnsi="Arial"/>
          <w:sz w:val="18"/>
          <w:szCs w:val="18"/>
          <w:color w:val="auto"/>
        </w:rPr>
      </w:pPr>
    </w:p>
    <w:p>
      <w:pPr>
        <w:ind w:left="460" w:right="479" w:firstLine="426"/>
        <w:spacing w:after="0" w:line="279" w:lineRule="auto"/>
        <w:tabs>
          <w:tab w:leader="none" w:pos="1162" w:val="left"/>
        </w:tabs>
        <w:numPr>
          <w:ilvl w:val="0"/>
          <w:numId w:val="518"/>
        </w:numPr>
        <w:rPr>
          <w:rFonts w:ascii="Arial" w:cs="Arial" w:eastAsia="Arial" w:hAnsi="Arial"/>
          <w:sz w:val="17"/>
          <w:szCs w:val="17"/>
          <w:color w:val="auto"/>
        </w:rPr>
      </w:pPr>
      <w:r>
        <w:rPr>
          <w:rFonts w:ascii="Arial" w:cs="Arial" w:eastAsia="Arial" w:hAnsi="Arial"/>
          <w:sz w:val="17"/>
          <w:szCs w:val="17"/>
          <w:u w:val="single" w:color="auto"/>
          <w:color w:val="auto"/>
        </w:rPr>
        <w:t>Adjustment in Case of Changes Affecting Common Stock</w:t>
      </w:r>
      <w:r>
        <w:rPr>
          <w:rFonts w:ascii="Arial" w:cs="Arial" w:eastAsia="Arial" w:hAnsi="Arial"/>
          <w:sz w:val="17"/>
          <w:szCs w:val="17"/>
          <w:color w:val="auto"/>
        </w:rPr>
        <w:t>. In the event of a subdivision of outstanding shares of Common Stock, the payment of a dividend in Common Stock or any other change affecting the Common Stock, the number of shares approved for the Plan and the share limitation set forth in Section 8 shall be equitably or proportionately adjusted to give proper effect to such event.</w:t>
      </w:r>
    </w:p>
    <w:p>
      <w:pPr>
        <w:spacing w:after="0" w:line="103" w:lineRule="exact"/>
        <w:rPr>
          <w:rFonts w:ascii="Arial" w:cs="Arial" w:eastAsia="Arial" w:hAnsi="Arial"/>
          <w:sz w:val="17"/>
          <w:szCs w:val="17"/>
          <w:color w:val="auto"/>
        </w:rPr>
      </w:pPr>
    </w:p>
    <w:p>
      <w:pPr>
        <w:ind w:left="460" w:right="699" w:firstLine="426"/>
        <w:spacing w:after="0" w:line="257" w:lineRule="auto"/>
        <w:tabs>
          <w:tab w:leader="none" w:pos="1162"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t>Amendment of the Plan</w:t>
      </w:r>
      <w:r>
        <w:rPr>
          <w:rFonts w:ascii="Arial" w:cs="Arial" w:eastAsia="Arial" w:hAnsi="Arial"/>
          <w:sz w:val="18"/>
          <w:szCs w:val="18"/>
          <w:color w:val="auto"/>
        </w:rPr>
        <w:t>. The Board may at any time and from time to time amend the Plan in any respect, except that without the approval within 12 months of such Board action by the stockholders, no amendment shall be made increasing the number of shares approved for the Plan or making any other change that would require stockholder approval in order for the Plan, as amended, to qualify as an “employee stock purchase plan” under Section 423(b) of the Code.</w:t>
      </w:r>
    </w:p>
    <w:p>
      <w:pPr>
        <w:spacing w:after="0" w:line="106" w:lineRule="exact"/>
        <w:rPr>
          <w:rFonts w:ascii="Arial" w:cs="Arial" w:eastAsia="Arial" w:hAnsi="Arial"/>
          <w:sz w:val="18"/>
          <w:szCs w:val="18"/>
          <w:color w:val="auto"/>
        </w:rPr>
      </w:pPr>
    </w:p>
    <w:p>
      <w:pPr>
        <w:ind w:left="460" w:right="479" w:firstLine="426"/>
        <w:spacing w:after="0" w:line="275" w:lineRule="auto"/>
        <w:tabs>
          <w:tab w:leader="none" w:pos="1162" w:val="left"/>
        </w:tabs>
        <w:numPr>
          <w:ilvl w:val="0"/>
          <w:numId w:val="518"/>
        </w:numPr>
        <w:rPr>
          <w:rFonts w:ascii="Arial" w:cs="Arial" w:eastAsia="Arial" w:hAnsi="Arial"/>
          <w:sz w:val="17"/>
          <w:szCs w:val="17"/>
          <w:color w:val="auto"/>
        </w:rPr>
      </w:pPr>
      <w:r>
        <w:rPr>
          <w:rFonts w:ascii="Arial" w:cs="Arial" w:eastAsia="Arial" w:hAnsi="Arial"/>
          <w:sz w:val="17"/>
          <w:szCs w:val="17"/>
          <w:u w:val="single" w:color="auto"/>
          <w:color w:val="auto"/>
        </w:rPr>
        <w:t>Insufficient Shares</w:t>
      </w:r>
      <w:r>
        <w:rPr>
          <w:rFonts w:ascii="Arial" w:cs="Arial" w:eastAsia="Arial" w:hAnsi="Arial"/>
          <w:sz w:val="17"/>
          <w:szCs w:val="17"/>
          <w:color w:val="auto"/>
        </w:rPr>
        <w:t>. If the total number of shares of Common Stock that would otherwise be purchased on any Exercise Date plus the number of shares purchased under previous Offerings under the Plan exceeds the maximum number of shares issuable under the Plan, the shares then available shall be apportioned among Participants in proportion to the amount of payroll deductions accumulated on behalf of each Participant that would otherwise be used to purchase Common Stock on such Exercise Date.</w:t>
      </w:r>
    </w:p>
    <w:p>
      <w:pPr>
        <w:spacing w:after="0" w:line="108" w:lineRule="exact"/>
        <w:rPr>
          <w:rFonts w:ascii="Arial" w:cs="Arial" w:eastAsia="Arial" w:hAnsi="Arial"/>
          <w:sz w:val="17"/>
          <w:szCs w:val="17"/>
          <w:color w:val="auto"/>
        </w:rPr>
      </w:pPr>
    </w:p>
    <w:p>
      <w:pPr>
        <w:ind w:left="460" w:right="659" w:firstLine="426"/>
        <w:spacing w:after="0" w:line="277" w:lineRule="auto"/>
        <w:tabs>
          <w:tab w:leader="none" w:pos="1162"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r>
        <w:rPr>
          <w:rFonts w:ascii="Arial" w:cs="Arial" w:eastAsia="Arial" w:hAnsi="Arial"/>
          <w:sz w:val="18"/>
          <w:szCs w:val="18"/>
          <w:color w:val="auto"/>
        </w:rPr>
        <w:t>. The Plan may be terminated at any time by the Board. Upon termination of the Plan, all amounts in the accounts of Participants shall be promptly refunded.</w:t>
      </w:r>
    </w:p>
    <w:p>
      <w:pPr>
        <w:spacing w:after="0" w:line="102" w:lineRule="exact"/>
        <w:rPr>
          <w:rFonts w:ascii="Arial" w:cs="Arial" w:eastAsia="Arial" w:hAnsi="Arial"/>
          <w:sz w:val="18"/>
          <w:szCs w:val="18"/>
          <w:color w:val="auto"/>
        </w:rPr>
      </w:pPr>
    </w:p>
    <w:p>
      <w:pPr>
        <w:ind w:left="460" w:right="579" w:firstLine="426"/>
        <w:spacing w:after="0" w:line="263" w:lineRule="auto"/>
        <w:tabs>
          <w:tab w:leader="none" w:pos="1162"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t>Governmental Regulations</w:t>
      </w:r>
      <w:r>
        <w:rPr>
          <w:rFonts w:ascii="Arial" w:cs="Arial" w:eastAsia="Arial" w:hAnsi="Arial"/>
          <w:sz w:val="18"/>
          <w:szCs w:val="18"/>
          <w:color w:val="auto"/>
        </w:rPr>
        <w:t>. The Company’s obligation to sell and deliver Common Stock under the Plan is subject to obtaining all governmental approvals required in connection with the authorization, issuance, or sale of such stock.</w:t>
      </w:r>
    </w:p>
    <w:p>
      <w:pPr>
        <w:spacing w:after="0" w:line="102" w:lineRule="exact"/>
        <w:rPr>
          <w:rFonts w:ascii="Arial" w:cs="Arial" w:eastAsia="Arial" w:hAnsi="Arial"/>
          <w:sz w:val="18"/>
          <w:szCs w:val="18"/>
          <w:color w:val="auto"/>
        </w:rPr>
      </w:pPr>
    </w:p>
    <w:p>
      <w:pPr>
        <w:jc w:val="both"/>
        <w:ind w:left="460" w:right="779" w:firstLine="426"/>
        <w:spacing w:after="0" w:line="301" w:lineRule="auto"/>
        <w:tabs>
          <w:tab w:leader="none" w:pos="1162" w:val="left"/>
        </w:tabs>
        <w:numPr>
          <w:ilvl w:val="0"/>
          <w:numId w:val="518"/>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Plan and all Options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89" w:lineRule="exact"/>
        <w:rPr>
          <w:rFonts w:ascii="Arial" w:cs="Arial" w:eastAsia="Arial" w:hAnsi="Arial"/>
          <w:sz w:val="16"/>
          <w:szCs w:val="16"/>
          <w:color w:val="auto"/>
        </w:rPr>
      </w:pPr>
    </w:p>
    <w:p>
      <w:pPr>
        <w:ind w:left="460" w:right="739" w:firstLine="426"/>
        <w:spacing w:after="0" w:line="342" w:lineRule="auto"/>
        <w:tabs>
          <w:tab w:leader="none" w:pos="1162" w:val="left"/>
        </w:tabs>
        <w:numPr>
          <w:ilvl w:val="0"/>
          <w:numId w:val="518"/>
        </w:numPr>
        <w:rPr>
          <w:rFonts w:ascii="Arial" w:cs="Arial" w:eastAsia="Arial" w:hAnsi="Arial"/>
          <w:sz w:val="16"/>
          <w:szCs w:val="16"/>
          <w:color w:val="auto"/>
        </w:rPr>
      </w:pPr>
      <w:r>
        <w:rPr>
          <w:rFonts w:ascii="Arial" w:cs="Arial" w:eastAsia="Arial" w:hAnsi="Arial"/>
          <w:sz w:val="16"/>
          <w:szCs w:val="16"/>
          <w:u w:val="single" w:color="auto"/>
          <w:color w:val="auto"/>
        </w:rPr>
        <w:t>Issuance of Shares</w:t>
      </w:r>
      <w:r>
        <w:rPr>
          <w:rFonts w:ascii="Arial" w:cs="Arial" w:eastAsia="Arial" w:hAnsi="Arial"/>
          <w:sz w:val="16"/>
          <w:szCs w:val="16"/>
          <w:color w:val="auto"/>
        </w:rPr>
        <w:t>. Shares may be issued upon exercise of an Option from authorized but unissued Common Stock, from shares held in the treasury of the Company, or from any other proper source.</w:t>
      </w:r>
    </w:p>
    <w:p>
      <w:pPr>
        <w:spacing w:after="0" w:line="56" w:lineRule="exact"/>
        <w:rPr>
          <w:rFonts w:ascii="Arial" w:cs="Arial" w:eastAsia="Arial" w:hAnsi="Arial"/>
          <w:sz w:val="16"/>
          <w:szCs w:val="16"/>
          <w:color w:val="auto"/>
        </w:rPr>
      </w:pPr>
    </w:p>
    <w:p>
      <w:pPr>
        <w:jc w:val="both"/>
        <w:ind w:left="460" w:right="799" w:firstLine="426"/>
        <w:spacing w:after="0" w:line="279" w:lineRule="auto"/>
        <w:tabs>
          <w:tab w:leader="none" w:pos="1162" w:val="left"/>
        </w:tabs>
        <w:numPr>
          <w:ilvl w:val="0"/>
          <w:numId w:val="518"/>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Participation in the Plan is subject to any minimum required tax withholding on income of the Participant in connection with the Plan. Each Participant agrees, by entering the Plan, that the Company and its Subsidiaries shall have the right to deduct any such taxes from any payment of any kind otherwise due to the Participant, including shares issuable under the Plan.</w:t>
      </w:r>
    </w:p>
    <w:p>
      <w:pPr>
        <w:spacing w:after="0" w:line="90" w:lineRule="exact"/>
        <w:rPr>
          <w:rFonts w:ascii="Arial" w:cs="Arial" w:eastAsia="Arial" w:hAnsi="Arial"/>
          <w:sz w:val="17"/>
          <w:szCs w:val="17"/>
          <w:color w:val="auto"/>
        </w:rPr>
      </w:pPr>
    </w:p>
    <w:p>
      <w:pPr>
        <w:ind w:left="460" w:right="479" w:firstLine="426"/>
        <w:spacing w:after="0" w:line="259" w:lineRule="auto"/>
        <w:tabs>
          <w:tab w:leader="none" w:pos="1162"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t>Notification Upon Sale of Shares</w:t>
      </w:r>
      <w:r>
        <w:rPr>
          <w:rFonts w:ascii="Arial" w:cs="Arial" w:eastAsia="Arial" w:hAnsi="Arial"/>
          <w:sz w:val="18"/>
          <w:szCs w:val="18"/>
          <w:color w:val="auto"/>
        </w:rPr>
        <w:t>. Each Participant agrees, by entering the Plan, to give the Company prompt notice of any disposition of shares purchased under the Plan where such disposition occurs within two years after the date of grant of the Option pursuant to which such shares were purchased or within one year after the date such shares were purchased.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88" w:name="page489"/>
    <w:bookmarkEnd w:id="48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firstLine="426"/>
        <w:spacing w:after="0" w:line="263" w:lineRule="auto"/>
        <w:tabs>
          <w:tab w:leader="none" w:pos="1162" w:val="left"/>
        </w:tabs>
        <w:numPr>
          <w:ilvl w:val="0"/>
          <w:numId w:val="519"/>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Plan shall become effective upon the date immediately preceding the Closing Date following stockholder approval in accordance with applicable state law, the Company’s bylaws and articles of incorporation, each as amended, and applicable stock exchange rules.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89" w:name="page490"/>
    <w:bookmarkEnd w:id="48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Designated Subsidiaries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90" w:name="page491"/>
    <w:bookmarkEnd w:id="49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91" w:name="page492"/>
    <w:bookmarkEnd w:id="49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ind w:left="460" w:right="2599" w:firstLine="2140"/>
        <w:spacing w:after="0" w:line="417" w:lineRule="auto"/>
        <w:rPr>
          <w:sz w:val="20"/>
          <w:szCs w:val="20"/>
          <w:color w:val="auto"/>
        </w:rPr>
      </w:pPr>
      <w:r>
        <w:rPr>
          <w:rFonts w:ascii="Arial" w:cs="Arial" w:eastAsia="Arial" w:hAnsi="Arial"/>
          <w:sz w:val="18"/>
          <w:szCs w:val="18"/>
          <w:b w:val="1"/>
          <w:bCs w:val="1"/>
          <w:color w:val="auto"/>
        </w:rPr>
        <w:t xml:space="preserve">2021 STOCK OPTION AND INCENTIVE PLAN </w:t>
      </w: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PURPOSE OF THE PLAN; DEFINITIONS</w:t>
      </w:r>
    </w:p>
    <w:p>
      <w:pPr>
        <w:ind w:left="460" w:right="479" w:firstLine="432"/>
        <w:spacing w:after="0" w:line="271" w:lineRule="auto"/>
        <w:rPr>
          <w:sz w:val="20"/>
          <w:szCs w:val="20"/>
          <w:color w:val="auto"/>
        </w:rPr>
      </w:pPr>
      <w:r>
        <w:rPr>
          <w:rFonts w:ascii="Arial" w:cs="Arial" w:eastAsia="Arial" w:hAnsi="Arial"/>
          <w:sz w:val="17"/>
          <w:szCs w:val="17"/>
          <w:color w:val="auto"/>
        </w:rPr>
        <w:t>The name of the plan is the Tango Therapeutics, Inc. 2021 Stock Option and Incentive Plan (as amended from time to time, the “Plan”). The purpose of the Plan is to encourage and enable the officers, employees, Non-Employee Directors and Consultants of Tango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terms shall be defined as set forth below:</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“Act” </w:t>
      </w:r>
      <w:r>
        <w:rPr>
          <w:rFonts w:ascii="Arial" w:cs="Arial" w:eastAsia="Arial" w:hAnsi="Arial"/>
          <w:sz w:val="18"/>
          <w:szCs w:val="18"/>
          <w:color w:val="auto"/>
        </w:rPr>
        <w:t>means the Securities Act of 1933, as amended, and the rules and regulations thereunder.</w:t>
      </w:r>
    </w:p>
    <w:p>
      <w:pPr>
        <w:spacing w:after="0" w:line="158" w:lineRule="exact"/>
        <w:rPr>
          <w:sz w:val="20"/>
          <w:szCs w:val="20"/>
          <w:color w:val="auto"/>
        </w:rPr>
      </w:pPr>
    </w:p>
    <w:p>
      <w:pPr>
        <w:ind w:left="460" w:right="779" w:firstLine="432"/>
        <w:spacing w:after="0" w:line="263" w:lineRule="auto"/>
        <w:rPr>
          <w:sz w:val="20"/>
          <w:szCs w:val="20"/>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either the Board or the compensation committee of the Board or a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performing the functions of the compensation committee and which is comprised of not less than two Non-Employee Directors who are independent.</w:t>
      </w:r>
    </w:p>
    <w:p>
      <w:pPr>
        <w:spacing w:after="0" w:line="116" w:lineRule="exact"/>
        <w:rPr>
          <w:sz w:val="20"/>
          <w:szCs w:val="20"/>
          <w:color w:val="auto"/>
        </w:rPr>
      </w:pPr>
    </w:p>
    <w:p>
      <w:pPr>
        <w:ind w:left="460" w:right="759" w:firstLine="432"/>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84" w:lineRule="exact"/>
        <w:rPr>
          <w:sz w:val="20"/>
          <w:szCs w:val="20"/>
          <w:color w:val="auto"/>
        </w:rPr>
      </w:pPr>
    </w:p>
    <w:p>
      <w:pPr>
        <w:ind w:left="460" w:right="779" w:firstLine="432"/>
        <w:spacing w:after="0" w:line="259" w:lineRule="auto"/>
        <w:rPr>
          <w:sz w:val="20"/>
          <w:szCs w:val="20"/>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or</w:t>
      </w:r>
      <w:r>
        <w:rPr>
          <w:rFonts w:ascii="Arial" w:cs="Arial" w:eastAsia="Arial" w:hAnsi="Arial"/>
          <w:sz w:val="18"/>
          <w:szCs w:val="18"/>
          <w:i w:val="1"/>
          <w:iCs w:val="1"/>
          <w:color w:val="auto"/>
        </w:rPr>
        <w:t xml:space="preserve"> “Awards,” </w:t>
      </w:r>
      <w:r>
        <w:rPr>
          <w:rFonts w:ascii="Arial" w:cs="Arial" w:eastAsia="Arial" w:hAnsi="Arial"/>
          <w:sz w:val="18"/>
          <w:szCs w:val="18"/>
          <w:color w:val="auto"/>
        </w:rPr>
        <w:t>except where referring to a particular category of grant under the Plan, shall</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Incentive Stock Options, Non-Qualified Stock Options, Stock Appreciation Rights, Restricted Stock Awards, Restricted Stock Units, Unrestricted Stock Awards, Cash-Based Awards, and Dividend Equivalent Rights.</w:t>
      </w:r>
    </w:p>
    <w:p>
      <w:pPr>
        <w:spacing w:after="0" w:line="119"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i w:val="1"/>
          <w:iCs w:val="1"/>
          <w:color w:val="auto"/>
        </w:rPr>
        <w:t xml:space="preserve">“Award Certificate” </w:t>
      </w:r>
      <w:r>
        <w:rPr>
          <w:rFonts w:ascii="Arial" w:cs="Arial" w:eastAsia="Arial" w:hAnsi="Arial"/>
          <w:sz w:val="18"/>
          <w:szCs w:val="18"/>
          <w:color w:val="auto"/>
        </w:rPr>
        <w:t>means a written or electronic document setting forth the terms and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an Award granted under the Plan. Each Award Certificate is subject to the terms and conditions of the Plan.</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 xml:space="preserve">“Cash-Based Award” </w:t>
      </w:r>
      <w:r>
        <w:rPr>
          <w:rFonts w:ascii="Arial" w:cs="Arial" w:eastAsia="Arial" w:hAnsi="Arial"/>
          <w:sz w:val="17"/>
          <w:szCs w:val="17"/>
          <w:color w:val="auto"/>
        </w:rPr>
        <w:t>means an Award entitling the recipient to receive a cash-denominated payment.</w:t>
      </w:r>
    </w:p>
    <w:p>
      <w:pPr>
        <w:spacing w:after="0" w:line="169"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 and any successor Code,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rules, regulations and interpretations.</w:t>
      </w:r>
    </w:p>
    <w:p>
      <w:pPr>
        <w:spacing w:after="0" w:line="103"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i w:val="1"/>
          <w:iCs w:val="1"/>
          <w:color w:val="auto"/>
        </w:rPr>
        <w:t xml:space="preserve">“Consultant” </w:t>
      </w:r>
      <w:r>
        <w:rPr>
          <w:rFonts w:ascii="Arial" w:cs="Arial" w:eastAsia="Arial" w:hAnsi="Arial"/>
          <w:sz w:val="18"/>
          <w:szCs w:val="18"/>
          <w:color w:val="auto"/>
        </w:rPr>
        <w:t>means a consultant or adviser who provides</w:t>
      </w:r>
      <w:r>
        <w:rPr>
          <w:rFonts w:ascii="Arial" w:cs="Arial" w:eastAsia="Arial" w:hAnsi="Arial"/>
          <w:sz w:val="18"/>
          <w:szCs w:val="18"/>
          <w:i w:val="1"/>
          <w:iCs w:val="1"/>
          <w:color w:val="auto"/>
        </w:rPr>
        <w:t xml:space="preserve"> bona fide </w:t>
      </w:r>
      <w:r>
        <w:rPr>
          <w:rFonts w:ascii="Arial" w:cs="Arial" w:eastAsia="Arial" w:hAnsi="Arial"/>
          <w:sz w:val="18"/>
          <w:szCs w:val="18"/>
          <w:color w:val="auto"/>
        </w:rPr>
        <w:t>services to the Company or an</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as an independent contractor and who qualifies as a consultant or advisor under Instruction A.1.(a)(1) of Form S-8 under the Act.</w:t>
      </w:r>
    </w:p>
    <w:p>
      <w:pPr>
        <w:spacing w:after="0" w:line="103"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7"/>
          <w:szCs w:val="17"/>
          <w:i w:val="1"/>
          <w:iCs w:val="1"/>
          <w:color w:val="auto"/>
        </w:rPr>
        <w:t xml:space="preserve">“Dividend Equivalent Right” </w:t>
      </w:r>
      <w:r>
        <w:rPr>
          <w:rFonts w:ascii="Arial" w:cs="Arial" w:eastAsia="Arial" w:hAnsi="Arial"/>
          <w:sz w:val="17"/>
          <w:szCs w:val="17"/>
          <w:color w:val="auto"/>
        </w:rPr>
        <w:t>means an Award entitling the grantee to receive credits based on cash</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that would have been paid on the shares of Stock specified in the Dividend Equivalent Right (or other award to which it relates) if such shares had been issued to and held by the grantee.</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means the date on which the Plan becomes effective as set forth in Section 19.</w:t>
      </w:r>
    </w:p>
    <w:p>
      <w:pPr>
        <w:spacing w:after="0" w:line="158"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 and the rules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w:t>
      </w:r>
    </w:p>
    <w:p>
      <w:pPr>
        <w:spacing w:after="0" w:line="89"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of the Stock on any given date means the fair market value of the Stock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 provided further,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92" w:name="page493"/>
    <w:bookmarkEnd w:id="49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59"/>
        <w:spacing w:after="0" w:line="263" w:lineRule="auto"/>
        <w:rPr>
          <w:sz w:val="20"/>
          <w:szCs w:val="20"/>
          <w:color w:val="auto"/>
        </w:rPr>
      </w:pPr>
      <w:r>
        <w:rPr>
          <w:rFonts w:ascii="Arial" w:cs="Arial" w:eastAsia="Arial" w:hAnsi="Arial"/>
          <w:sz w:val="18"/>
          <w:szCs w:val="18"/>
          <w:color w:val="auto"/>
        </w:rPr>
        <w:t>however, that if the date for which Fair Market Value is determined is the Registration Date, the Fair Market Value shall be the “Price to the Public” (or equivalent) set forth on the cover page for the final prospectus relating to the Company’s initial public offering.</w:t>
      </w:r>
    </w:p>
    <w:p>
      <w:pPr>
        <w:spacing w:after="0" w:line="116"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i w:val="1"/>
          <w:iCs w:val="1"/>
          <w:color w:val="auto"/>
        </w:rPr>
        <w:t xml:space="preserve">“Incentive Stock Option” </w:t>
      </w:r>
      <w:r>
        <w:rPr>
          <w:rFonts w:ascii="Arial" w:cs="Arial" w:eastAsia="Arial" w:hAnsi="Arial"/>
          <w:sz w:val="18"/>
          <w:szCs w:val="18"/>
          <w:color w:val="auto"/>
        </w:rPr>
        <w:t>means any Stock Option designated and qualified as an “incentive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as defined in Section 422 of the Code.</w:t>
      </w:r>
    </w:p>
    <w:p>
      <w:pPr>
        <w:spacing w:after="0" w:line="103"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i w:val="1"/>
          <w:iCs w:val="1"/>
          <w:color w:val="auto"/>
        </w:rPr>
        <w:t xml:space="preserve">“Non-Employee Director” </w:t>
      </w:r>
      <w:r>
        <w:rPr>
          <w:rFonts w:ascii="Arial" w:cs="Arial" w:eastAsia="Arial" w:hAnsi="Arial"/>
          <w:sz w:val="18"/>
          <w:szCs w:val="18"/>
          <w:color w:val="auto"/>
        </w:rPr>
        <w:t>means a member of the Board who is not also an employee of the Company or</w:t>
      </w:r>
      <w:r>
        <w:rPr>
          <w:rFonts w:ascii="Arial" w:cs="Arial" w:eastAsia="Arial" w:hAnsi="Arial"/>
          <w:sz w:val="18"/>
          <w:szCs w:val="18"/>
          <w:i w:val="1"/>
          <w:iCs w:val="1"/>
          <w:color w:val="auto"/>
        </w:rPr>
        <w:t xml:space="preserve"> </w:t>
      </w:r>
      <w:r>
        <w:rPr>
          <w:rFonts w:ascii="Arial" w:cs="Arial" w:eastAsia="Arial" w:hAnsi="Arial"/>
          <w:sz w:val="18"/>
          <w:szCs w:val="18"/>
          <w:color w:val="auto"/>
        </w:rPr>
        <w:t>any Subsidiary.</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means any Stock Option that is not an Incentive Stock Option.</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“Option” </w:t>
      </w:r>
      <w:r>
        <w:rPr>
          <w:rFonts w:ascii="Arial" w:cs="Arial" w:eastAsia="Arial" w:hAnsi="Arial"/>
          <w:sz w:val="16"/>
          <w:szCs w:val="16"/>
          <w:color w:val="auto"/>
        </w:rPr>
        <w:t>or</w:t>
      </w:r>
      <w:r>
        <w:rPr>
          <w:rFonts w:ascii="Arial" w:cs="Arial" w:eastAsia="Arial" w:hAnsi="Arial"/>
          <w:sz w:val="16"/>
          <w:szCs w:val="16"/>
          <w:i w:val="1"/>
          <w:iCs w:val="1"/>
          <w:color w:val="auto"/>
        </w:rPr>
        <w:t xml:space="preserve"> “Stock Option” </w:t>
      </w:r>
      <w:r>
        <w:rPr>
          <w:rFonts w:ascii="Arial" w:cs="Arial" w:eastAsia="Arial" w:hAnsi="Arial"/>
          <w:sz w:val="16"/>
          <w:szCs w:val="16"/>
          <w:color w:val="auto"/>
        </w:rPr>
        <w:t>means any option to purchase shares of Stock granted pursuant to Section 5.</w:t>
      </w:r>
    </w:p>
    <w:p>
      <w:pPr>
        <w:spacing w:after="0" w:line="181"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i w:val="1"/>
          <w:iCs w:val="1"/>
          <w:color w:val="auto"/>
        </w:rPr>
        <w:t xml:space="preserve">“Registration Date” </w:t>
      </w:r>
      <w:r>
        <w:rPr>
          <w:rFonts w:ascii="Arial" w:cs="Arial" w:eastAsia="Arial" w:hAnsi="Arial"/>
          <w:sz w:val="18"/>
          <w:szCs w:val="18"/>
          <w:color w:val="auto"/>
        </w:rPr>
        <w:t>means the date upon which the registration statement on Form S-1 that is filed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with respect to its initial public offering is declared effective by the Securities and Exchange Commission.</w:t>
      </w:r>
    </w:p>
    <w:p>
      <w:pPr>
        <w:spacing w:after="0" w:line="103"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means the shares of Stock underlying a Restricted Stock Award that remain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a risk of forfeiture or the Company’s right of repurchase.</w:t>
      </w:r>
    </w:p>
    <w:p>
      <w:pPr>
        <w:spacing w:after="0" w:line="103"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i w:val="1"/>
          <w:iCs w:val="1"/>
          <w:color w:val="auto"/>
        </w:rPr>
        <w:t xml:space="preserve">“Restricted Stock Award” </w:t>
      </w:r>
      <w:r>
        <w:rPr>
          <w:rFonts w:ascii="Arial" w:cs="Arial" w:eastAsia="Arial" w:hAnsi="Arial"/>
          <w:sz w:val="18"/>
          <w:szCs w:val="18"/>
          <w:color w:val="auto"/>
        </w:rPr>
        <w:t>means an Award of Restricted Shares subject to such restrictions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as the Administrator may determine at the time of grant.</w:t>
      </w:r>
    </w:p>
    <w:p>
      <w:pPr>
        <w:spacing w:after="0" w:line="103"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means an Award of stock units subject to such restrictions and conditions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may determine at the time of grant.</w:t>
      </w:r>
    </w:p>
    <w:p>
      <w:pPr>
        <w:spacing w:after="0" w:line="89"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i w:val="1"/>
          <w:iCs w:val="1"/>
          <w:color w:val="auto"/>
        </w:rPr>
        <w:t xml:space="preserve">“Sale Event” </w:t>
      </w:r>
      <w:r>
        <w:rPr>
          <w:rFonts w:ascii="Arial" w:cs="Arial" w:eastAsia="Arial" w:hAnsi="Arial"/>
          <w:sz w:val="17"/>
          <w:szCs w:val="17"/>
          <w:color w:val="auto"/>
        </w:rPr>
        <w:t>means (i) the sale of all or substantially all of the assets of the Company on a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18" w:lineRule="exact"/>
        <w:rPr>
          <w:sz w:val="20"/>
          <w:szCs w:val="20"/>
          <w:color w:val="auto"/>
        </w:rPr>
      </w:pPr>
    </w:p>
    <w:p>
      <w:pPr>
        <w:ind w:left="460" w:right="1119" w:firstLine="43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Sale Price</w:t>
      </w:r>
      <w:r>
        <w:rPr>
          <w:rFonts w:ascii="Arial" w:cs="Arial" w:eastAsia="Arial" w:hAnsi="Arial"/>
          <w:sz w:val="17"/>
          <w:szCs w:val="17"/>
          <w:color w:val="auto"/>
        </w:rPr>
        <w:t>” means the value as determined by the Administrator of the consideration payable, or otherwise to be received by stockholders, per share of Stock pursuant to a Sale Event.</w:t>
      </w:r>
    </w:p>
    <w:p>
      <w:pPr>
        <w:spacing w:after="0" w:line="79"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means Section 409A of the Code and the regulations and other guidance promulgated</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w:t>
      </w:r>
    </w:p>
    <w:p>
      <w:pPr>
        <w:spacing w:after="0" w:line="89"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7"/>
          <w:szCs w:val="17"/>
          <w:i w:val="1"/>
          <w:iCs w:val="1"/>
          <w:color w:val="auto"/>
        </w:rPr>
        <w:t xml:space="preserve">“Service Relationship” </w:t>
      </w:r>
      <w:r>
        <w:rPr>
          <w:rFonts w:ascii="Arial" w:cs="Arial" w:eastAsia="Arial" w:hAnsi="Arial"/>
          <w:sz w:val="17"/>
          <w:szCs w:val="17"/>
          <w:color w:val="auto"/>
        </w:rPr>
        <w:t>means any relationship as an employee, director or Consultant of the Company or</w:t>
      </w:r>
      <w:r>
        <w:rPr>
          <w:rFonts w:ascii="Arial" w:cs="Arial" w:eastAsia="Arial" w:hAnsi="Arial"/>
          <w:sz w:val="17"/>
          <w:szCs w:val="17"/>
          <w:i w:val="1"/>
          <w:iCs w:val="1"/>
          <w:color w:val="auto"/>
        </w:rPr>
        <w:t xml:space="preserve"> </w:t>
      </w:r>
      <w:r>
        <w:rPr>
          <w:rFonts w:ascii="Arial" w:cs="Arial" w:eastAsia="Arial" w:hAnsi="Arial"/>
          <w:sz w:val="17"/>
          <w:szCs w:val="17"/>
          <w:color w:val="auto"/>
        </w:rPr>
        <w:t>any Affiliate (e.g., a Service Relationship shall be deemed to continue without interruption in the event an individual’s status changes from full-time employee to part-time employee or Consultant).</w:t>
      </w:r>
    </w:p>
    <w:p>
      <w:pPr>
        <w:spacing w:after="0" w:line="98"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means the Common Stock, par value $0.001 per share, of the Company, subject to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3.</w:t>
      </w:r>
    </w:p>
    <w:p>
      <w:pPr>
        <w:spacing w:after="0" w:line="103"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i w:val="1"/>
          <w:iCs w:val="1"/>
          <w:color w:val="auto"/>
        </w:rPr>
        <w:t xml:space="preserve">“Stock Appreciation Right” </w:t>
      </w:r>
      <w:r>
        <w:rPr>
          <w:rFonts w:ascii="Arial" w:cs="Arial" w:eastAsia="Arial" w:hAnsi="Arial"/>
          <w:sz w:val="18"/>
          <w:szCs w:val="18"/>
          <w:color w:val="auto"/>
        </w:rPr>
        <w:t>means an Award entitling the recipient to receive shares of Stock (or cash,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07"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or other entity (other than the Company) in which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at least a 50 percent interest, either directly or indirectly.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93" w:name="page494"/>
    <w:bookmarkEnd w:id="49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i w:val="1"/>
          <w:iCs w:val="1"/>
          <w:color w:val="auto"/>
        </w:rPr>
        <w:t xml:space="preserve">“Ten Percent Owner” </w:t>
      </w:r>
      <w:r>
        <w:rPr>
          <w:rFonts w:ascii="Arial" w:cs="Arial" w:eastAsia="Arial" w:hAnsi="Arial"/>
          <w:sz w:val="18"/>
          <w:szCs w:val="18"/>
          <w:color w:val="auto"/>
        </w:rPr>
        <w:t>means an employee who owns or is deemed to own (by reason of the attribution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rules of Section 424(d) of the Code) more than 10 percent of the combined voting power of all classes of stock of the Company or any parent or subsidiary corporation.</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“Unrestricted Stock Award” </w:t>
      </w:r>
      <w:r>
        <w:rPr>
          <w:rFonts w:ascii="Arial" w:cs="Arial" w:eastAsia="Arial" w:hAnsi="Arial"/>
          <w:sz w:val="18"/>
          <w:szCs w:val="18"/>
          <w:color w:val="auto"/>
        </w:rPr>
        <w:t>means an Award of shares of Stock free of any restrictions.</w:t>
      </w:r>
    </w:p>
    <w:p>
      <w:pPr>
        <w:spacing w:after="0" w:line="158" w:lineRule="exact"/>
        <w:rPr>
          <w:sz w:val="20"/>
          <w:szCs w:val="20"/>
          <w:color w:val="auto"/>
        </w:rPr>
      </w:pPr>
    </w:p>
    <w:p>
      <w:pPr>
        <w:ind w:left="1540" w:right="539" w:hanging="1079"/>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ADMINISTRATION OF PLAN; ADMINISTRATOR AUTHORITY TO SELECT GRANTEES</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 DETERMINE AWARDS</w:t>
      </w:r>
    </w:p>
    <w:p>
      <w:pPr>
        <w:spacing w:after="0" w:line="89" w:lineRule="exact"/>
        <w:rPr>
          <w:sz w:val="20"/>
          <w:szCs w:val="20"/>
          <w:color w:val="auto"/>
        </w:rPr>
      </w:pPr>
    </w:p>
    <w:p>
      <w:pPr>
        <w:ind w:left="1320" w:hanging="434"/>
        <w:spacing w:after="0"/>
        <w:tabs>
          <w:tab w:leader="none" w:pos="1320" w:val="left"/>
        </w:tabs>
        <w:numPr>
          <w:ilvl w:val="0"/>
          <w:numId w:val="520"/>
        </w:numPr>
        <w:rPr>
          <w:rFonts w:ascii="Arial" w:cs="Arial" w:eastAsia="Arial" w:hAnsi="Arial"/>
          <w:sz w:val="18"/>
          <w:szCs w:val="18"/>
          <w:color w:val="auto"/>
        </w:rPr>
      </w:pPr>
      <w:r>
        <w:rPr>
          <w:rFonts w:ascii="Arial" w:cs="Arial" w:eastAsia="Arial" w:hAnsi="Arial"/>
          <w:sz w:val="18"/>
          <w:szCs w:val="18"/>
          <w:u w:val="single" w:color="auto"/>
          <w:color w:val="auto"/>
        </w:rPr>
        <w:t>Administration of Plan</w:t>
      </w:r>
      <w:r>
        <w:rPr>
          <w:rFonts w:ascii="Arial" w:cs="Arial" w:eastAsia="Arial" w:hAnsi="Arial"/>
          <w:sz w:val="18"/>
          <w:szCs w:val="18"/>
          <w:color w:val="auto"/>
        </w:rPr>
        <w:t>. The Plan shall be administered by the Administrator.</w:t>
      </w:r>
    </w:p>
    <w:p>
      <w:pPr>
        <w:spacing w:after="0" w:line="157" w:lineRule="exact"/>
        <w:rPr>
          <w:rFonts w:ascii="Arial" w:cs="Arial" w:eastAsia="Arial" w:hAnsi="Arial"/>
          <w:sz w:val="18"/>
          <w:szCs w:val="18"/>
          <w:color w:val="auto"/>
        </w:rPr>
      </w:pPr>
    </w:p>
    <w:p>
      <w:pPr>
        <w:ind w:left="460" w:right="779" w:firstLine="426"/>
        <w:spacing w:after="0" w:line="277" w:lineRule="auto"/>
        <w:tabs>
          <w:tab w:leader="none" w:pos="1327" w:val="left"/>
        </w:tabs>
        <w:numPr>
          <w:ilvl w:val="0"/>
          <w:numId w:val="520"/>
        </w:numPr>
        <w:rPr>
          <w:rFonts w:ascii="Arial" w:cs="Arial" w:eastAsia="Arial" w:hAnsi="Arial"/>
          <w:sz w:val="18"/>
          <w:szCs w:val="18"/>
          <w:color w:val="auto"/>
        </w:rPr>
      </w:pPr>
      <w:r>
        <w:rPr>
          <w:rFonts w:ascii="Arial" w:cs="Arial" w:eastAsia="Arial" w:hAnsi="Arial"/>
          <w:sz w:val="18"/>
          <w:szCs w:val="18"/>
          <w:u w:val="single" w:color="auto"/>
          <w:color w:val="auto"/>
        </w:rPr>
        <w:t>Powers of Administrator</w:t>
      </w:r>
      <w:r>
        <w:rPr>
          <w:rFonts w:ascii="Arial" w:cs="Arial" w:eastAsia="Arial" w:hAnsi="Arial"/>
          <w:sz w:val="18"/>
          <w:szCs w:val="18"/>
          <w:color w:val="auto"/>
        </w:rPr>
        <w:t>. The Administrator shall have the power and authority to grant Awards consistent with the terms of the Plan, including the power and authority:</w:t>
      </w:r>
    </w:p>
    <w:p>
      <w:pPr>
        <w:spacing w:after="0" w:line="102" w:lineRule="exact"/>
        <w:rPr>
          <w:rFonts w:ascii="Arial" w:cs="Arial" w:eastAsia="Arial" w:hAnsi="Arial"/>
          <w:sz w:val="18"/>
          <w:szCs w:val="18"/>
          <w:color w:val="auto"/>
        </w:rPr>
      </w:pPr>
    </w:p>
    <w:p>
      <w:pPr>
        <w:ind w:left="1720" w:hanging="402"/>
        <w:spacing w:after="0"/>
        <w:tabs>
          <w:tab w:leader="none" w:pos="1720" w:val="left"/>
        </w:tabs>
        <w:numPr>
          <w:ilvl w:val="1"/>
          <w:numId w:val="520"/>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144" w:lineRule="exact"/>
        <w:rPr>
          <w:rFonts w:ascii="Arial" w:cs="Arial" w:eastAsia="Arial" w:hAnsi="Arial"/>
          <w:sz w:val="18"/>
          <w:szCs w:val="18"/>
          <w:color w:val="auto"/>
        </w:rPr>
      </w:pPr>
    </w:p>
    <w:p>
      <w:pPr>
        <w:jc w:val="both"/>
        <w:ind w:left="460" w:right="739" w:firstLine="858"/>
        <w:spacing w:after="0" w:line="259" w:lineRule="auto"/>
        <w:tabs>
          <w:tab w:leader="none" w:pos="1769" w:val="left"/>
        </w:tabs>
        <w:numPr>
          <w:ilvl w:val="1"/>
          <w:numId w:val="520"/>
        </w:numPr>
        <w:rPr>
          <w:rFonts w:ascii="Arial" w:cs="Arial" w:eastAsia="Arial" w:hAnsi="Arial"/>
          <w:sz w:val="18"/>
          <w:szCs w:val="18"/>
          <w:color w:val="auto"/>
        </w:rPr>
      </w:pPr>
      <w:r>
        <w:rPr>
          <w:rFonts w:ascii="Arial" w:cs="Arial" w:eastAsia="Arial" w:hAnsi="Arial"/>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19" w:lineRule="exact"/>
        <w:rPr>
          <w:rFonts w:ascii="Arial" w:cs="Arial" w:eastAsia="Arial" w:hAnsi="Arial"/>
          <w:sz w:val="18"/>
          <w:szCs w:val="18"/>
          <w:color w:val="auto"/>
        </w:rPr>
      </w:pPr>
    </w:p>
    <w:p>
      <w:pPr>
        <w:ind w:left="1820" w:hanging="502"/>
        <w:spacing w:after="0"/>
        <w:tabs>
          <w:tab w:leader="none" w:pos="1820" w:val="left"/>
        </w:tabs>
        <w:numPr>
          <w:ilvl w:val="1"/>
          <w:numId w:val="520"/>
        </w:numPr>
        <w:rPr>
          <w:rFonts w:ascii="Arial" w:cs="Arial" w:eastAsia="Arial" w:hAnsi="Arial"/>
          <w:sz w:val="18"/>
          <w:szCs w:val="18"/>
          <w:color w:val="auto"/>
        </w:rPr>
      </w:pPr>
      <w:r>
        <w:rPr>
          <w:rFonts w:ascii="Arial" w:cs="Arial" w:eastAsia="Arial" w:hAnsi="Arial"/>
          <w:sz w:val="18"/>
          <w:szCs w:val="18"/>
          <w:color w:val="auto"/>
        </w:rPr>
        <w:t>to determine the number of shares of Stock to be covered by any Award;</w:t>
      </w:r>
    </w:p>
    <w:p>
      <w:pPr>
        <w:spacing w:after="0" w:line="157" w:lineRule="exact"/>
        <w:rPr>
          <w:rFonts w:ascii="Arial" w:cs="Arial" w:eastAsia="Arial" w:hAnsi="Arial"/>
          <w:sz w:val="18"/>
          <w:szCs w:val="18"/>
          <w:color w:val="auto"/>
        </w:rPr>
      </w:pPr>
    </w:p>
    <w:p>
      <w:pPr>
        <w:ind w:left="460" w:right="659" w:firstLine="858"/>
        <w:spacing w:after="0" w:line="263" w:lineRule="auto"/>
        <w:tabs>
          <w:tab w:leader="none" w:pos="1809" w:val="left"/>
        </w:tabs>
        <w:numPr>
          <w:ilvl w:val="1"/>
          <w:numId w:val="520"/>
        </w:numPr>
        <w:rPr>
          <w:rFonts w:ascii="Arial" w:cs="Arial" w:eastAsia="Arial" w:hAnsi="Arial"/>
          <w:sz w:val="18"/>
          <w:szCs w:val="18"/>
          <w:color w:val="auto"/>
        </w:rPr>
      </w:pPr>
      <w:r>
        <w:rPr>
          <w:rFonts w:ascii="Arial" w:cs="Arial" w:eastAsia="Arial" w:hAnsi="Arial"/>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02" w:lineRule="exact"/>
        <w:rPr>
          <w:rFonts w:ascii="Arial" w:cs="Arial" w:eastAsia="Arial" w:hAnsi="Arial"/>
          <w:sz w:val="18"/>
          <w:szCs w:val="18"/>
          <w:color w:val="auto"/>
        </w:rPr>
      </w:pPr>
    </w:p>
    <w:p>
      <w:pPr>
        <w:ind w:left="1760" w:hanging="442"/>
        <w:spacing w:after="0"/>
        <w:tabs>
          <w:tab w:leader="none" w:pos="1760" w:val="left"/>
        </w:tabs>
        <w:numPr>
          <w:ilvl w:val="1"/>
          <w:numId w:val="520"/>
        </w:numPr>
        <w:rPr>
          <w:rFonts w:ascii="Arial" w:cs="Arial" w:eastAsia="Arial" w:hAnsi="Arial"/>
          <w:sz w:val="17"/>
          <w:szCs w:val="17"/>
          <w:color w:val="auto"/>
        </w:rPr>
      </w:pPr>
      <w:r>
        <w:rPr>
          <w:rFonts w:ascii="Arial" w:cs="Arial" w:eastAsia="Arial" w:hAnsi="Arial"/>
          <w:sz w:val="17"/>
          <w:szCs w:val="17"/>
          <w:color w:val="auto"/>
        </w:rPr>
        <w:t>to accelerate at any time the exercisability or vesting of all or any portion of any Award;</w:t>
      </w:r>
    </w:p>
    <w:p>
      <w:pPr>
        <w:spacing w:after="0" w:line="169" w:lineRule="exact"/>
        <w:rPr>
          <w:rFonts w:ascii="Arial" w:cs="Arial" w:eastAsia="Arial" w:hAnsi="Arial"/>
          <w:sz w:val="17"/>
          <w:szCs w:val="17"/>
          <w:color w:val="auto"/>
        </w:rPr>
      </w:pPr>
    </w:p>
    <w:p>
      <w:pPr>
        <w:ind w:left="460" w:right="559" w:firstLine="858"/>
        <w:spacing w:after="0" w:line="277" w:lineRule="auto"/>
        <w:tabs>
          <w:tab w:leader="none" w:pos="1854" w:val="left"/>
        </w:tabs>
        <w:numPr>
          <w:ilvl w:val="1"/>
          <w:numId w:val="520"/>
        </w:numPr>
        <w:rPr>
          <w:rFonts w:ascii="Arial" w:cs="Arial" w:eastAsia="Arial" w:hAnsi="Arial"/>
          <w:sz w:val="18"/>
          <w:szCs w:val="18"/>
          <w:color w:val="auto"/>
        </w:rPr>
      </w:pPr>
      <w:r>
        <w:rPr>
          <w:rFonts w:ascii="Arial" w:cs="Arial" w:eastAsia="Arial" w:hAnsi="Arial"/>
          <w:sz w:val="18"/>
          <w:szCs w:val="18"/>
          <w:color w:val="auto"/>
        </w:rPr>
        <w:t>subject to the provisions of Section 5(c) or Section 6(d), as applicable, to extend at any time the period in which Stock Options and Stock Appreciation Rights may be exercised; and</w:t>
      </w:r>
    </w:p>
    <w:p>
      <w:pPr>
        <w:spacing w:after="0" w:line="102" w:lineRule="exact"/>
        <w:rPr>
          <w:rFonts w:ascii="Arial" w:cs="Arial" w:eastAsia="Arial" w:hAnsi="Arial"/>
          <w:sz w:val="18"/>
          <w:szCs w:val="18"/>
          <w:color w:val="auto"/>
        </w:rPr>
      </w:pPr>
    </w:p>
    <w:p>
      <w:pPr>
        <w:ind w:left="460" w:right="539" w:firstLine="858"/>
        <w:spacing w:after="0" w:line="275" w:lineRule="auto"/>
        <w:tabs>
          <w:tab w:leader="none" w:pos="1859" w:val="left"/>
        </w:tabs>
        <w:numPr>
          <w:ilvl w:val="1"/>
          <w:numId w:val="520"/>
        </w:numPr>
        <w:rPr>
          <w:rFonts w:ascii="Arial" w:cs="Arial" w:eastAsia="Arial" w:hAnsi="Arial"/>
          <w:sz w:val="17"/>
          <w:szCs w:val="17"/>
          <w:color w:val="auto"/>
        </w:rPr>
      </w:pPr>
      <w:r>
        <w:rPr>
          <w:rFonts w:ascii="Arial" w:cs="Arial" w:eastAsia="Arial" w:hAnsi="Arial"/>
          <w:sz w:val="17"/>
          <w:szCs w:val="17"/>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95" w:lineRule="exact"/>
        <w:rPr>
          <w:sz w:val="20"/>
          <w:szCs w:val="20"/>
          <w:color w:val="auto"/>
        </w:rPr>
      </w:pPr>
    </w:p>
    <w:p>
      <w:pPr>
        <w:ind w:left="460" w:right="1019" w:firstLine="432"/>
        <w:spacing w:after="0" w:line="277" w:lineRule="auto"/>
        <w:rPr>
          <w:sz w:val="20"/>
          <w:szCs w:val="20"/>
          <w:color w:val="auto"/>
        </w:rPr>
      </w:pPr>
      <w:r>
        <w:rPr>
          <w:rFonts w:ascii="Arial" w:cs="Arial" w:eastAsia="Arial" w:hAnsi="Arial"/>
          <w:sz w:val="18"/>
          <w:szCs w:val="18"/>
          <w:color w:val="auto"/>
        </w:rPr>
        <w:t>All decisions and interpretations of the Administrator shall be binding on all persons, including the Company and Plan grantees.</w:t>
      </w:r>
    </w:p>
    <w:p>
      <w:pPr>
        <w:spacing w:after="0" w:line="103" w:lineRule="exact"/>
        <w:rPr>
          <w:sz w:val="20"/>
          <w:szCs w:val="20"/>
          <w:color w:val="auto"/>
        </w:rPr>
      </w:pPr>
    </w:p>
    <w:p>
      <w:pPr>
        <w:ind w:left="460" w:right="539" w:firstLine="426"/>
        <w:spacing w:after="0" w:line="269" w:lineRule="auto"/>
        <w:tabs>
          <w:tab w:leader="none" w:pos="1316" w:val="left"/>
        </w:tabs>
        <w:numPr>
          <w:ilvl w:val="0"/>
          <w:numId w:val="521"/>
        </w:numPr>
        <w:rPr>
          <w:rFonts w:ascii="Arial" w:cs="Arial" w:eastAsia="Arial" w:hAnsi="Arial"/>
          <w:sz w:val="17"/>
          <w:szCs w:val="17"/>
          <w:color w:val="auto"/>
        </w:rPr>
      </w:pPr>
      <w:r>
        <w:rPr>
          <w:rFonts w:ascii="Arial" w:cs="Arial" w:eastAsia="Arial" w:hAnsi="Arial"/>
          <w:sz w:val="17"/>
          <w:szCs w:val="17"/>
          <w:u w:val="single" w:color="auto"/>
          <w:color w:val="auto"/>
        </w:rPr>
        <w:t>Delegation of Authority to Grant Awards</w:t>
      </w:r>
      <w:r>
        <w:rPr>
          <w:rFonts w:ascii="Arial" w:cs="Arial" w:eastAsia="Arial" w:hAnsi="Arial"/>
          <w:sz w:val="17"/>
          <w:szCs w:val="17"/>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17" w:lineRule="exact"/>
        <w:rPr>
          <w:rFonts w:ascii="Arial" w:cs="Arial" w:eastAsia="Arial" w:hAnsi="Arial"/>
          <w:sz w:val="17"/>
          <w:szCs w:val="17"/>
          <w:color w:val="auto"/>
        </w:rPr>
      </w:pPr>
    </w:p>
    <w:p>
      <w:pPr>
        <w:ind w:left="460" w:right="499" w:firstLine="426"/>
        <w:spacing w:after="0" w:line="263" w:lineRule="auto"/>
        <w:tabs>
          <w:tab w:leader="none" w:pos="1327" w:val="left"/>
        </w:tabs>
        <w:numPr>
          <w:ilvl w:val="0"/>
          <w:numId w:val="521"/>
        </w:numPr>
        <w:rPr>
          <w:rFonts w:ascii="Arial" w:cs="Arial" w:eastAsia="Arial" w:hAnsi="Arial"/>
          <w:sz w:val="18"/>
          <w:szCs w:val="18"/>
          <w:color w:val="auto"/>
        </w:rPr>
      </w:pPr>
      <w:r>
        <w:rPr>
          <w:rFonts w:ascii="Arial" w:cs="Arial" w:eastAsia="Arial" w:hAnsi="Arial"/>
          <w:sz w:val="18"/>
          <w:szCs w:val="18"/>
          <w:u w:val="single" w:color="auto"/>
          <w:color w:val="auto"/>
        </w:rPr>
        <w:t>Award Certificate</w:t>
      </w:r>
      <w:r>
        <w:rPr>
          <w:rFonts w:ascii="Arial" w:cs="Arial" w:eastAsia="Arial" w:hAnsi="Arial"/>
          <w:sz w:val="18"/>
          <w:szCs w:val="18"/>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02" w:lineRule="exact"/>
        <w:rPr>
          <w:rFonts w:ascii="Arial" w:cs="Arial" w:eastAsia="Arial" w:hAnsi="Arial"/>
          <w:sz w:val="18"/>
          <w:szCs w:val="18"/>
          <w:color w:val="auto"/>
        </w:rPr>
      </w:pPr>
    </w:p>
    <w:p>
      <w:pPr>
        <w:ind w:left="460" w:right="519" w:firstLine="426"/>
        <w:spacing w:after="0" w:line="255" w:lineRule="auto"/>
        <w:tabs>
          <w:tab w:leader="none" w:pos="1316" w:val="left"/>
        </w:tabs>
        <w:numPr>
          <w:ilvl w:val="0"/>
          <w:numId w:val="52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94" w:name="page495"/>
    <w:bookmarkEnd w:id="49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59"/>
        <w:spacing w:after="0" w:line="263" w:lineRule="auto"/>
        <w:rPr>
          <w:sz w:val="20"/>
          <w:szCs w:val="20"/>
          <w:color w:val="auto"/>
        </w:rPr>
      </w:pPr>
      <w:r>
        <w:rPr>
          <w:rFonts w:ascii="Arial" w:cs="Arial" w:eastAsia="Arial" w:hAnsi="Arial"/>
          <w:sz w:val="18"/>
          <w:szCs w:val="18"/>
          <w:color w:val="auto"/>
        </w:rPr>
        <w:t>permitted by law and/or under the Company’s articles or bylaws or any directors’ and officers’ liability insurance coverage which may be in effect from time to time and/or any indemnification agreement between such individual and the Company.</w:t>
      </w:r>
    </w:p>
    <w:p>
      <w:pPr>
        <w:spacing w:after="0" w:line="116" w:lineRule="exact"/>
        <w:rPr>
          <w:sz w:val="20"/>
          <w:szCs w:val="20"/>
          <w:color w:val="auto"/>
        </w:rPr>
      </w:pPr>
    </w:p>
    <w:p>
      <w:pPr>
        <w:ind w:left="460" w:right="479" w:firstLine="426"/>
        <w:spacing w:after="0" w:line="286" w:lineRule="auto"/>
        <w:tabs>
          <w:tab w:leader="none" w:pos="1297" w:val="left"/>
        </w:tabs>
        <w:numPr>
          <w:ilvl w:val="0"/>
          <w:numId w:val="522"/>
        </w:numPr>
        <w:rPr>
          <w:rFonts w:ascii="Arial" w:cs="Arial" w:eastAsia="Arial" w:hAnsi="Arial"/>
          <w:sz w:val="16"/>
          <w:szCs w:val="16"/>
          <w:color w:val="auto"/>
        </w:rPr>
      </w:pPr>
      <w:r>
        <w:rPr>
          <w:rFonts w:ascii="Arial" w:cs="Arial" w:eastAsia="Arial" w:hAnsi="Arial"/>
          <w:sz w:val="16"/>
          <w:szCs w:val="16"/>
          <w:u w:val="single" w:color="auto"/>
          <w:color w:val="auto"/>
        </w:rPr>
        <w:t>Foreign Award Recipients</w:t>
      </w:r>
      <w:r>
        <w:rPr>
          <w:rFonts w:ascii="Arial" w:cs="Arial" w:eastAsia="Arial" w:hAnsi="Arial"/>
          <w:sz w:val="16"/>
          <w:szCs w:val="16"/>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03"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STOCK ISSUABLE UNDER THE PLAN; MERGERS; SUBSTITUTION</w:t>
      </w:r>
    </w:p>
    <w:p>
      <w:pPr>
        <w:spacing w:after="0" w:line="144" w:lineRule="exact"/>
        <w:rPr>
          <w:sz w:val="20"/>
          <w:szCs w:val="20"/>
          <w:color w:val="auto"/>
        </w:rPr>
      </w:pPr>
    </w:p>
    <w:p>
      <w:pPr>
        <w:ind w:left="460" w:right="479" w:firstLine="426"/>
        <w:spacing w:after="0" w:line="285" w:lineRule="auto"/>
        <w:tabs>
          <w:tab w:leader="none" w:pos="1316" w:val="left"/>
        </w:tabs>
        <w:numPr>
          <w:ilvl w:val="0"/>
          <w:numId w:val="523"/>
        </w:numPr>
        <w:rPr>
          <w:rFonts w:ascii="Arial" w:cs="Arial" w:eastAsia="Arial" w:hAnsi="Arial"/>
          <w:sz w:val="16"/>
          <w:szCs w:val="16"/>
          <w:color w:val="auto"/>
        </w:rPr>
      </w:pPr>
      <w:r>
        <w:rPr>
          <w:rFonts w:ascii="Arial" w:cs="Arial" w:eastAsia="Arial" w:hAnsi="Arial"/>
          <w:sz w:val="16"/>
          <w:szCs w:val="16"/>
          <w:u w:val="single" w:color="auto"/>
          <w:color w:val="auto"/>
        </w:rPr>
        <w:t>Stock Issuable</w:t>
      </w:r>
      <w:r>
        <w:rPr>
          <w:rFonts w:ascii="Arial" w:cs="Arial" w:eastAsia="Arial" w:hAnsi="Arial"/>
          <w:sz w:val="16"/>
          <w:szCs w:val="16"/>
          <w:color w:val="auto"/>
        </w:rPr>
        <w:t>. The maximum number of shares of Stock reserved and available for issuance under the Plan shall be shares (the “Initial Limit”), subject to adjustment as provided in this Section 3, plus on January 1, 2022 and each January 1 thereafter, the number of shares of Stock reserved and available for issuance under the Plan shall be cumulatively increased by (i) five percent of the number of shares of Stock issued and outstanding on the immediately preceding December 31 or (ii) such lesser number of shares as determined by the Administrator (the “Annual Increase”). Subject to such overall limitation, the maximum aggregate number of shares of Stock that may be issued in the form of Incentive Stock Options shall not exceed the Initial Limit, as cumulatively increased on January 1, 2022 and each January 1 thereafter by the lesser of the Annual Increase for such year or shares of Stock, subject in all cases to adjustment as provided in Section 3(b). For purposes of this limitation, the shares of Stock underlying any awards under the Plan and under the Company’s 2016 Stock Incentive Plan, as amended,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01" w:lineRule="exact"/>
        <w:rPr>
          <w:rFonts w:ascii="Arial" w:cs="Arial" w:eastAsia="Arial" w:hAnsi="Arial"/>
          <w:sz w:val="16"/>
          <w:szCs w:val="16"/>
          <w:color w:val="auto"/>
        </w:rPr>
      </w:pPr>
    </w:p>
    <w:p>
      <w:pPr>
        <w:ind w:left="460" w:right="479" w:firstLine="426"/>
        <w:spacing w:after="0" w:line="286" w:lineRule="auto"/>
        <w:tabs>
          <w:tab w:leader="none" w:pos="1327" w:val="left"/>
        </w:tabs>
        <w:numPr>
          <w:ilvl w:val="0"/>
          <w:numId w:val="523"/>
        </w:numPr>
        <w:rPr>
          <w:rFonts w:ascii="Arial" w:cs="Arial" w:eastAsia="Arial" w:hAnsi="Arial"/>
          <w:sz w:val="16"/>
          <w:szCs w:val="16"/>
          <w:color w:val="auto"/>
        </w:rPr>
      </w:pPr>
      <w:r>
        <w:rPr>
          <w:rFonts w:ascii="Arial" w:cs="Arial" w:eastAsia="Arial" w:hAnsi="Arial"/>
          <w:sz w:val="16"/>
          <w:szCs w:val="16"/>
          <w:u w:val="single" w:color="auto"/>
          <w:color w:val="auto"/>
        </w:rPr>
        <w:t>Changes in Stock</w:t>
      </w:r>
      <w:r>
        <w:rPr>
          <w:rFonts w:ascii="Arial" w:cs="Arial" w:eastAsia="Arial" w:hAnsi="Arial"/>
          <w:sz w:val="16"/>
          <w:szCs w:val="16"/>
          <w:color w:val="auto"/>
        </w:rPr>
        <w:t>. Subject to Section 3(c)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95" w:name="page496"/>
    <w:bookmarkEnd w:id="49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54" w:lineRule="auto"/>
        <w:rPr>
          <w:sz w:val="20"/>
          <w:szCs w:val="20"/>
          <w:color w:val="auto"/>
        </w:rPr>
      </w:pPr>
      <w:r>
        <w:rPr>
          <w:rFonts w:ascii="Arial" w:cs="Arial" w:eastAsia="Arial" w:hAnsi="Arial"/>
          <w:sz w:val="18"/>
          <w:szCs w:val="18"/>
          <w:color w:val="auto"/>
        </w:rPr>
        <w:t>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27" w:lineRule="exact"/>
        <w:rPr>
          <w:sz w:val="20"/>
          <w:szCs w:val="20"/>
          <w:color w:val="auto"/>
        </w:rPr>
      </w:pPr>
    </w:p>
    <w:p>
      <w:pPr>
        <w:ind w:left="460" w:right="479" w:firstLine="426"/>
        <w:spacing w:after="0" w:line="284" w:lineRule="auto"/>
        <w:tabs>
          <w:tab w:leader="none" w:pos="1316" w:val="left"/>
        </w:tabs>
        <w:numPr>
          <w:ilvl w:val="0"/>
          <w:numId w:val="524"/>
        </w:numPr>
        <w:rPr>
          <w:rFonts w:ascii="Arial" w:cs="Arial" w:eastAsia="Arial" w:hAnsi="Arial"/>
          <w:sz w:val="16"/>
          <w:szCs w:val="16"/>
          <w:color w:val="auto"/>
        </w:rPr>
      </w:pPr>
      <w:r>
        <w:rPr>
          <w:rFonts w:ascii="Arial" w:cs="Arial" w:eastAsia="Arial" w:hAnsi="Arial"/>
          <w:sz w:val="16"/>
          <w:szCs w:val="16"/>
          <w:u w:val="single" w:color="auto"/>
          <w:color w:val="auto"/>
        </w:rPr>
        <w:t>Mergers and Other Transactions</w:t>
      </w:r>
      <w:r>
        <w:rPr>
          <w:rFonts w:ascii="Arial" w:cs="Arial" w:eastAsia="Arial" w:hAnsi="Arial"/>
          <w:sz w:val="16"/>
          <w:szCs w:val="16"/>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325" w:lineRule="exact"/>
        <w:rPr>
          <w:rFonts w:ascii="Arial" w:cs="Arial" w:eastAsia="Arial" w:hAnsi="Arial"/>
          <w:sz w:val="16"/>
          <w:szCs w:val="16"/>
          <w:color w:val="auto"/>
        </w:rPr>
      </w:pPr>
    </w:p>
    <w:p>
      <w:pPr>
        <w:ind w:left="460" w:right="519" w:firstLine="426"/>
        <w:spacing w:after="0" w:line="254" w:lineRule="auto"/>
        <w:tabs>
          <w:tab w:leader="none" w:pos="1327" w:val="left"/>
        </w:tabs>
        <w:numPr>
          <w:ilvl w:val="0"/>
          <w:numId w:val="524"/>
        </w:numPr>
        <w:rPr>
          <w:rFonts w:ascii="Arial" w:cs="Arial" w:eastAsia="Arial" w:hAnsi="Arial"/>
          <w:sz w:val="18"/>
          <w:szCs w:val="18"/>
          <w:color w:val="auto"/>
        </w:rPr>
      </w:pPr>
      <w:r>
        <w:rPr>
          <w:rFonts w:ascii="Arial" w:cs="Arial" w:eastAsia="Arial" w:hAnsi="Arial"/>
          <w:sz w:val="18"/>
          <w:szCs w:val="18"/>
          <w:u w:val="single" w:color="auto"/>
          <w:color w:val="auto"/>
        </w:rPr>
        <w:t>Maximum Awards to Non-Employee Directors</w:t>
      </w:r>
      <w:r>
        <w:rPr>
          <w:rFonts w:ascii="Arial" w:cs="Arial" w:eastAsia="Arial" w:hAnsi="Arial"/>
          <w:sz w:val="18"/>
          <w:szCs w:val="18"/>
          <w:color w:val="auto"/>
        </w:rPr>
        <w:t>. Notwithstanding anything to the contrary in this Plan, the value of all Awards awarded under this Plan and all other cash compensation paid by the Company to any Non-Employee Director in any calendar year for services as a Non-Employee Director shall not exceed $750,000; provided, however, that such amount shall be $1,000,000 for the calendar year in which the applicable Non-Employee Director is initially elected or appointed to the Board. For the purpose of these limitations, the value of any Award shall be its grant date fair value, as determined in accordance with ASC 718 or successor provision but excluding the impact of estimated forfeitures related to service-based vesting provisions.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ELIGIBILITY</w:t>
      </w:r>
    </w:p>
    <w:p>
      <w:pPr>
        <w:spacing w:after="0" w:line="158"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Grantees under the Plan will be such employees, Non-Employee Directors or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STOCK OPTIONS</w:t>
      </w:r>
    </w:p>
    <w:p>
      <w:pPr>
        <w:spacing w:after="0" w:line="144" w:lineRule="exact"/>
        <w:rPr>
          <w:sz w:val="20"/>
          <w:szCs w:val="20"/>
          <w:color w:val="auto"/>
        </w:rPr>
      </w:pPr>
    </w:p>
    <w:p>
      <w:pPr>
        <w:ind w:left="460" w:right="759" w:firstLine="426"/>
        <w:spacing w:after="0" w:line="342" w:lineRule="auto"/>
        <w:tabs>
          <w:tab w:leader="none" w:pos="1316" w:val="left"/>
        </w:tabs>
        <w:numPr>
          <w:ilvl w:val="0"/>
          <w:numId w:val="525"/>
        </w:numPr>
        <w:rPr>
          <w:rFonts w:ascii="Arial" w:cs="Arial" w:eastAsia="Arial" w:hAnsi="Arial"/>
          <w:sz w:val="16"/>
          <w:szCs w:val="16"/>
          <w:color w:val="auto"/>
        </w:rPr>
      </w:pPr>
      <w:r>
        <w:rPr>
          <w:rFonts w:ascii="Arial" w:cs="Arial" w:eastAsia="Arial" w:hAnsi="Arial"/>
          <w:sz w:val="16"/>
          <w:szCs w:val="16"/>
          <w:u w:val="single" w:color="auto"/>
          <w:color w:val="auto"/>
        </w:rPr>
        <w:t>Award of Stock Options</w:t>
      </w:r>
      <w:r>
        <w:rPr>
          <w:rFonts w:ascii="Arial" w:cs="Arial" w:eastAsia="Arial" w:hAnsi="Arial"/>
          <w:sz w:val="16"/>
          <w:szCs w:val="16"/>
          <w:color w:val="auto"/>
        </w:rPr>
        <w:t>. The Administrator may grant Stock Options under the Plan. Any Stock Option granted under the Plan shall be in such form as the Administrator may from time to time approve.</w:t>
      </w:r>
    </w:p>
    <w:p>
      <w:pPr>
        <w:spacing w:after="0" w:line="56"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96" w:name="page497"/>
    <w:bookmarkEnd w:id="49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20" w:lineRule="exact"/>
        <w:rPr>
          <w:sz w:val="20"/>
          <w:szCs w:val="20"/>
          <w:color w:val="auto"/>
        </w:rPr>
      </w:pPr>
    </w:p>
    <w:p>
      <w:pPr>
        <w:ind w:left="460" w:right="499" w:firstLine="426"/>
        <w:spacing w:after="0" w:line="284" w:lineRule="auto"/>
        <w:tabs>
          <w:tab w:leader="none" w:pos="1327" w:val="left"/>
        </w:tabs>
        <w:numPr>
          <w:ilvl w:val="1"/>
          <w:numId w:val="526"/>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w:t>
      </w:r>
    </w:p>
    <w:p>
      <w:pPr>
        <w:spacing w:after="0" w:line="2" w:lineRule="exact"/>
        <w:rPr>
          <w:rFonts w:ascii="Arial" w:cs="Arial" w:eastAsia="Arial" w:hAnsi="Arial"/>
          <w:sz w:val="16"/>
          <w:szCs w:val="16"/>
          <w:color w:val="auto"/>
        </w:rPr>
      </w:pPr>
    </w:p>
    <w:p>
      <w:pPr>
        <w:ind w:left="460" w:right="939" w:hanging="6"/>
        <w:spacing w:after="0" w:line="260" w:lineRule="auto"/>
        <w:tabs>
          <w:tab w:leader="none" w:pos="725"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to individuals who are not subject to U.S. income tax on the date of grant or (iii) if the Stock Option is otherwise compliant with Section 409A.</w:t>
      </w:r>
    </w:p>
    <w:p>
      <w:pPr>
        <w:spacing w:after="0" w:line="117" w:lineRule="exact"/>
        <w:rPr>
          <w:rFonts w:ascii="Arial" w:cs="Arial" w:eastAsia="Arial" w:hAnsi="Arial"/>
          <w:sz w:val="18"/>
          <w:szCs w:val="18"/>
          <w:color w:val="auto"/>
        </w:rPr>
      </w:pPr>
    </w:p>
    <w:p>
      <w:pPr>
        <w:jc w:val="both"/>
        <w:ind w:left="460" w:right="599" w:firstLine="426"/>
        <w:spacing w:after="0" w:line="259" w:lineRule="auto"/>
        <w:tabs>
          <w:tab w:leader="none" w:pos="1316" w:val="left"/>
        </w:tabs>
        <w:numPr>
          <w:ilvl w:val="1"/>
          <w:numId w:val="527"/>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05" w:lineRule="exact"/>
        <w:rPr>
          <w:rFonts w:ascii="Arial" w:cs="Arial" w:eastAsia="Arial" w:hAnsi="Arial"/>
          <w:sz w:val="18"/>
          <w:szCs w:val="18"/>
          <w:color w:val="auto"/>
        </w:rPr>
      </w:pPr>
    </w:p>
    <w:p>
      <w:pPr>
        <w:ind w:left="460" w:right="559" w:firstLine="426"/>
        <w:spacing w:after="0" w:line="257" w:lineRule="auto"/>
        <w:tabs>
          <w:tab w:leader="none" w:pos="1327" w:val="left"/>
        </w:tabs>
        <w:numPr>
          <w:ilvl w:val="1"/>
          <w:numId w:val="527"/>
        </w:numPr>
        <w:rPr>
          <w:rFonts w:ascii="Arial" w:cs="Arial" w:eastAsia="Arial" w:hAnsi="Arial"/>
          <w:sz w:val="18"/>
          <w:szCs w:val="18"/>
          <w:color w:val="auto"/>
        </w:rPr>
      </w:pPr>
      <w:r>
        <w:rPr>
          <w:rFonts w:ascii="Arial" w:cs="Arial" w:eastAsia="Arial" w:hAnsi="Arial"/>
          <w:sz w:val="18"/>
          <w:szCs w:val="18"/>
          <w:u w:val="single" w:color="auto"/>
          <w:color w:val="auto"/>
        </w:rPr>
        <w:t>Exercisability; Rights of a Stockholder</w:t>
      </w:r>
      <w:r>
        <w:rPr>
          <w:rFonts w:ascii="Arial" w:cs="Arial" w:eastAsia="Arial" w:hAnsi="Arial"/>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20" w:lineRule="exact"/>
        <w:rPr>
          <w:rFonts w:ascii="Arial" w:cs="Arial" w:eastAsia="Arial" w:hAnsi="Arial"/>
          <w:sz w:val="18"/>
          <w:szCs w:val="18"/>
          <w:color w:val="auto"/>
        </w:rPr>
      </w:pPr>
    </w:p>
    <w:p>
      <w:pPr>
        <w:ind w:left="460" w:right="619" w:firstLine="426"/>
        <w:spacing w:after="0" w:line="259" w:lineRule="auto"/>
        <w:tabs>
          <w:tab w:leader="none" w:pos="1316" w:val="left"/>
        </w:tabs>
        <w:numPr>
          <w:ilvl w:val="1"/>
          <w:numId w:val="527"/>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Certificate:</w:t>
      </w:r>
    </w:p>
    <w:p>
      <w:pPr>
        <w:spacing w:after="0" w:line="119" w:lineRule="exact"/>
        <w:rPr>
          <w:rFonts w:ascii="Arial" w:cs="Arial" w:eastAsia="Arial" w:hAnsi="Arial"/>
          <w:sz w:val="18"/>
          <w:szCs w:val="18"/>
          <w:color w:val="auto"/>
        </w:rPr>
      </w:pPr>
    </w:p>
    <w:p>
      <w:pPr>
        <w:ind w:left="1720" w:hanging="402"/>
        <w:spacing w:after="0"/>
        <w:tabs>
          <w:tab w:leader="none" w:pos="1720" w:val="left"/>
        </w:tabs>
        <w:numPr>
          <w:ilvl w:val="2"/>
          <w:numId w:val="527"/>
        </w:numPr>
        <w:rPr>
          <w:rFonts w:ascii="Arial" w:cs="Arial" w:eastAsia="Arial" w:hAnsi="Arial"/>
          <w:sz w:val="17"/>
          <w:szCs w:val="17"/>
          <w:color w:val="auto"/>
        </w:rPr>
      </w:pPr>
      <w:r>
        <w:rPr>
          <w:rFonts w:ascii="Arial" w:cs="Arial" w:eastAsia="Arial" w:hAnsi="Arial"/>
          <w:sz w:val="17"/>
          <w:szCs w:val="17"/>
          <w:color w:val="auto"/>
        </w:rPr>
        <w:t>In cash, by certified or bank check or other instrument acceptable to the Administrator;</w:t>
      </w:r>
    </w:p>
    <w:p>
      <w:pPr>
        <w:spacing w:after="0" w:line="155" w:lineRule="exact"/>
        <w:rPr>
          <w:rFonts w:ascii="Arial" w:cs="Arial" w:eastAsia="Arial" w:hAnsi="Arial"/>
          <w:sz w:val="17"/>
          <w:szCs w:val="17"/>
          <w:color w:val="auto"/>
        </w:rPr>
      </w:pPr>
    </w:p>
    <w:p>
      <w:pPr>
        <w:ind w:left="460" w:right="719" w:firstLine="858"/>
        <w:spacing w:after="0" w:line="286" w:lineRule="auto"/>
        <w:tabs>
          <w:tab w:leader="none" w:pos="1765" w:val="left"/>
        </w:tabs>
        <w:numPr>
          <w:ilvl w:val="2"/>
          <w:numId w:val="527"/>
        </w:numPr>
        <w:rPr>
          <w:rFonts w:ascii="Arial" w:cs="Arial" w:eastAsia="Arial" w:hAnsi="Arial"/>
          <w:sz w:val="17"/>
          <w:szCs w:val="17"/>
          <w:color w:val="auto"/>
        </w:rPr>
      </w:pPr>
      <w:r>
        <w:rPr>
          <w:rFonts w:ascii="Arial" w:cs="Arial" w:eastAsia="Arial" w:hAnsi="Arial"/>
          <w:sz w:val="17"/>
          <w:szCs w:val="17"/>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97" w:lineRule="exact"/>
        <w:rPr>
          <w:rFonts w:ascii="Arial" w:cs="Arial" w:eastAsia="Arial" w:hAnsi="Arial"/>
          <w:sz w:val="17"/>
          <w:szCs w:val="17"/>
          <w:color w:val="auto"/>
        </w:rPr>
      </w:pPr>
    </w:p>
    <w:p>
      <w:pPr>
        <w:ind w:left="460" w:right="479" w:firstLine="858"/>
        <w:spacing w:after="0" w:line="296" w:lineRule="auto"/>
        <w:tabs>
          <w:tab w:leader="none" w:pos="1819" w:val="left"/>
        </w:tabs>
        <w:numPr>
          <w:ilvl w:val="2"/>
          <w:numId w:val="527"/>
        </w:numPr>
        <w:rPr>
          <w:rFonts w:ascii="Arial" w:cs="Arial" w:eastAsia="Arial" w:hAnsi="Arial"/>
          <w:sz w:val="16"/>
          <w:szCs w:val="16"/>
          <w:color w:val="auto"/>
        </w:rPr>
      </w:pPr>
      <w:r>
        <w:rPr>
          <w:rFonts w:ascii="Arial" w:cs="Arial" w:eastAsia="Arial" w:hAnsi="Arial"/>
          <w:sz w:val="16"/>
          <w:szCs w:val="16"/>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93" w:lineRule="exact"/>
        <w:rPr>
          <w:rFonts w:ascii="Arial" w:cs="Arial" w:eastAsia="Arial" w:hAnsi="Arial"/>
          <w:sz w:val="16"/>
          <w:szCs w:val="16"/>
          <w:color w:val="auto"/>
        </w:rPr>
      </w:pPr>
    </w:p>
    <w:p>
      <w:pPr>
        <w:ind w:left="460" w:right="619" w:firstLine="858"/>
        <w:spacing w:after="0" w:line="259" w:lineRule="auto"/>
        <w:tabs>
          <w:tab w:leader="none" w:pos="1805" w:val="left"/>
        </w:tabs>
        <w:numPr>
          <w:ilvl w:val="2"/>
          <w:numId w:val="527"/>
        </w:numPr>
        <w:rPr>
          <w:rFonts w:ascii="Arial" w:cs="Arial" w:eastAsia="Arial" w:hAnsi="Arial"/>
          <w:sz w:val="18"/>
          <w:szCs w:val="18"/>
          <w:color w:val="auto"/>
        </w:rPr>
      </w:pPr>
      <w:r>
        <w:rPr>
          <w:rFonts w:ascii="Arial" w:cs="Arial" w:eastAsia="Arial" w:hAnsi="Arial"/>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06"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97" w:name="page498"/>
    <w:bookmarkEnd w:id="49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firstLine="426"/>
        <w:spacing w:after="0" w:line="255" w:lineRule="auto"/>
        <w:tabs>
          <w:tab w:leader="none" w:pos="1297" w:val="left"/>
        </w:tabs>
        <w:numPr>
          <w:ilvl w:val="0"/>
          <w:numId w:val="528"/>
        </w:numPr>
        <w:rPr>
          <w:rFonts w:ascii="Arial" w:cs="Arial" w:eastAsia="Arial" w:hAnsi="Arial"/>
          <w:sz w:val="18"/>
          <w:szCs w:val="18"/>
          <w:color w:val="auto"/>
        </w:rPr>
      </w:pPr>
      <w:r>
        <w:rPr>
          <w:rFonts w:ascii="Arial" w:cs="Arial" w:eastAsia="Arial" w:hAnsi="Arial"/>
          <w:sz w:val="18"/>
          <w:szCs w:val="18"/>
          <w:u w:val="single" w:color="auto"/>
          <w:color w:val="auto"/>
        </w:rPr>
        <w:t>Annual Limit on Incentive Stock Options</w:t>
      </w:r>
      <w:r>
        <w:rPr>
          <w:rFonts w:ascii="Arial" w:cs="Arial" w:eastAsia="Arial" w:hAnsi="Arial"/>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25"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u w:val="single" w:color="auto"/>
          <w:color w:val="auto"/>
        </w:rPr>
        <w:t>STOCK APPRECIATION RIGHTS</w:t>
      </w:r>
    </w:p>
    <w:p>
      <w:pPr>
        <w:spacing w:after="0" w:line="158" w:lineRule="exact"/>
        <w:rPr>
          <w:sz w:val="20"/>
          <w:szCs w:val="20"/>
          <w:color w:val="auto"/>
        </w:rPr>
      </w:pPr>
    </w:p>
    <w:p>
      <w:pPr>
        <w:ind w:left="460" w:right="479" w:firstLine="426"/>
        <w:spacing w:after="0" w:line="255" w:lineRule="auto"/>
        <w:tabs>
          <w:tab w:leader="none" w:pos="1316" w:val="left"/>
        </w:tabs>
        <w:numPr>
          <w:ilvl w:val="0"/>
          <w:numId w:val="529"/>
        </w:numPr>
        <w:rPr>
          <w:rFonts w:ascii="Arial" w:cs="Arial" w:eastAsia="Arial" w:hAnsi="Arial"/>
          <w:sz w:val="18"/>
          <w:szCs w:val="18"/>
          <w:color w:val="auto"/>
        </w:rPr>
      </w:pPr>
      <w:r>
        <w:rPr>
          <w:rFonts w:ascii="Arial" w:cs="Arial" w:eastAsia="Arial" w:hAnsi="Arial"/>
          <w:sz w:val="18"/>
          <w:szCs w:val="18"/>
          <w:u w:val="single" w:color="auto"/>
          <w:color w:val="auto"/>
        </w:rPr>
        <w:t>Award of Stock Appreciation Rights</w:t>
      </w:r>
      <w:r>
        <w:rPr>
          <w:rFonts w:ascii="Arial" w:cs="Arial" w:eastAsia="Arial" w:hAnsi="Arial"/>
          <w:sz w:val="18"/>
          <w:szCs w:val="18"/>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11" w:lineRule="exact"/>
        <w:rPr>
          <w:rFonts w:ascii="Arial" w:cs="Arial" w:eastAsia="Arial" w:hAnsi="Arial"/>
          <w:sz w:val="18"/>
          <w:szCs w:val="18"/>
          <w:color w:val="auto"/>
        </w:rPr>
      </w:pPr>
    </w:p>
    <w:p>
      <w:pPr>
        <w:ind w:left="460" w:right="519" w:firstLine="426"/>
        <w:spacing w:after="0" w:line="293" w:lineRule="auto"/>
        <w:tabs>
          <w:tab w:leader="none" w:pos="1327" w:val="left"/>
        </w:tabs>
        <w:numPr>
          <w:ilvl w:val="0"/>
          <w:numId w:val="529"/>
        </w:numPr>
        <w:rPr>
          <w:rFonts w:ascii="Arial" w:cs="Arial" w:eastAsia="Arial" w:hAnsi="Arial"/>
          <w:sz w:val="16"/>
          <w:szCs w:val="16"/>
          <w:color w:val="auto"/>
        </w:rPr>
      </w:pPr>
      <w:r>
        <w:rPr>
          <w:rFonts w:ascii="Arial" w:cs="Arial" w:eastAsia="Arial" w:hAnsi="Arial"/>
          <w:sz w:val="16"/>
          <w:szCs w:val="16"/>
          <w:u w:val="single" w:color="auto"/>
          <w:color w:val="auto"/>
        </w:rPr>
        <w:t>Exercise Price of Stock Appreciation Rights</w:t>
      </w:r>
      <w:r>
        <w:rPr>
          <w:rFonts w:ascii="Arial" w:cs="Arial" w:eastAsia="Arial" w:hAnsi="Arial"/>
          <w:sz w:val="16"/>
          <w:szCs w:val="16"/>
          <w:color w:val="auto"/>
        </w:rPr>
        <w:t>. The exercise price of a Stock Appreciation Right shall not be less than 100 percent of the Fair Market Value of the Stock on the date of grant. Notwithstanding the foregoing, Stock Appreciation Rights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Appreciation Right is otherwise compliant with Section 409A.</w:t>
      </w:r>
    </w:p>
    <w:p>
      <w:pPr>
        <w:spacing w:after="0" w:line="96" w:lineRule="exact"/>
        <w:rPr>
          <w:rFonts w:ascii="Arial" w:cs="Arial" w:eastAsia="Arial" w:hAnsi="Arial"/>
          <w:sz w:val="16"/>
          <w:szCs w:val="16"/>
          <w:color w:val="auto"/>
        </w:rPr>
      </w:pPr>
    </w:p>
    <w:p>
      <w:pPr>
        <w:ind w:left="460" w:right="539" w:firstLine="426"/>
        <w:spacing w:after="0" w:line="308" w:lineRule="auto"/>
        <w:tabs>
          <w:tab w:leader="none" w:pos="1316" w:val="left"/>
        </w:tabs>
        <w:numPr>
          <w:ilvl w:val="0"/>
          <w:numId w:val="529"/>
        </w:numPr>
        <w:rPr>
          <w:rFonts w:ascii="Arial" w:cs="Arial" w:eastAsia="Arial" w:hAnsi="Arial"/>
          <w:sz w:val="17"/>
          <w:szCs w:val="17"/>
          <w:color w:val="auto"/>
        </w:rPr>
      </w:pPr>
      <w:r>
        <w:rPr>
          <w:rFonts w:ascii="Arial" w:cs="Arial" w:eastAsia="Arial" w:hAnsi="Arial"/>
          <w:sz w:val="17"/>
          <w:szCs w:val="17"/>
          <w:u w:val="single" w:color="auto"/>
          <w:color w:val="auto"/>
        </w:rPr>
        <w:t>Grant and Exercise of Stock Appreciation Rights</w:t>
      </w:r>
      <w:r>
        <w:rPr>
          <w:rFonts w:ascii="Arial" w:cs="Arial" w:eastAsia="Arial" w:hAnsi="Arial"/>
          <w:sz w:val="17"/>
          <w:szCs w:val="17"/>
          <w:color w:val="auto"/>
        </w:rPr>
        <w:t>. Stock Appreciation Rights may be granted by the Administrator independently of any Stock Option granted pursuant to Section 5 of the Plan.</w:t>
      </w:r>
    </w:p>
    <w:p>
      <w:pPr>
        <w:spacing w:after="0" w:line="78" w:lineRule="exact"/>
        <w:rPr>
          <w:rFonts w:ascii="Arial" w:cs="Arial" w:eastAsia="Arial" w:hAnsi="Arial"/>
          <w:sz w:val="17"/>
          <w:szCs w:val="17"/>
          <w:color w:val="auto"/>
        </w:rPr>
      </w:pPr>
    </w:p>
    <w:p>
      <w:pPr>
        <w:ind w:left="460" w:right="479" w:firstLine="426"/>
        <w:spacing w:after="0" w:line="301" w:lineRule="auto"/>
        <w:tabs>
          <w:tab w:leader="none" w:pos="1327" w:val="left"/>
        </w:tabs>
        <w:numPr>
          <w:ilvl w:val="0"/>
          <w:numId w:val="529"/>
        </w:numPr>
        <w:rPr>
          <w:rFonts w:ascii="Arial" w:cs="Arial" w:eastAsia="Arial" w:hAnsi="Arial"/>
          <w:sz w:val="16"/>
          <w:szCs w:val="16"/>
          <w:color w:val="auto"/>
        </w:rPr>
      </w:pPr>
      <w:r>
        <w:rPr>
          <w:rFonts w:ascii="Arial" w:cs="Arial" w:eastAsia="Arial" w:hAnsi="Arial"/>
          <w:sz w:val="16"/>
          <w:szCs w:val="16"/>
          <w:u w:val="single" w:color="auto"/>
          <w:color w:val="auto"/>
        </w:rPr>
        <w:t>Terms and Conditions of Stock Appreciation Rights</w:t>
      </w:r>
      <w:r>
        <w:rPr>
          <w:rFonts w:ascii="Arial" w:cs="Arial" w:eastAsia="Arial" w:hAnsi="Arial"/>
          <w:sz w:val="16"/>
          <w:szCs w:val="16"/>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76"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u w:val="single" w:color="auto"/>
          <w:color w:val="auto"/>
        </w:rPr>
        <w:t>RESTRICTED STOCK AWARDS</w:t>
      </w:r>
    </w:p>
    <w:p>
      <w:pPr>
        <w:spacing w:after="0" w:line="158" w:lineRule="exact"/>
        <w:rPr>
          <w:sz w:val="20"/>
          <w:szCs w:val="20"/>
          <w:color w:val="auto"/>
        </w:rPr>
      </w:pPr>
    </w:p>
    <w:p>
      <w:pPr>
        <w:ind w:left="460" w:right="479" w:firstLine="426"/>
        <w:spacing w:after="0" w:line="301" w:lineRule="auto"/>
        <w:tabs>
          <w:tab w:leader="none" w:pos="1316" w:val="left"/>
        </w:tabs>
        <w:numPr>
          <w:ilvl w:val="1"/>
          <w:numId w:val="530"/>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Awards</w:t>
      </w:r>
      <w:r>
        <w:rPr>
          <w:rFonts w:ascii="Arial" w:cs="Arial" w:eastAsia="Arial" w:hAnsi="Arial"/>
          <w:sz w:val="16"/>
          <w:szCs w:val="16"/>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89" w:lineRule="exact"/>
        <w:rPr>
          <w:rFonts w:ascii="Arial" w:cs="Arial" w:eastAsia="Arial" w:hAnsi="Arial"/>
          <w:sz w:val="16"/>
          <w:szCs w:val="16"/>
          <w:color w:val="auto"/>
        </w:rPr>
      </w:pPr>
    </w:p>
    <w:p>
      <w:pPr>
        <w:ind w:left="460" w:right="459" w:firstLine="426"/>
        <w:spacing w:after="0" w:line="284" w:lineRule="auto"/>
        <w:tabs>
          <w:tab w:leader="none" w:pos="1327" w:val="left"/>
        </w:tabs>
        <w:numPr>
          <w:ilvl w:val="1"/>
          <w:numId w:val="530"/>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Upon the grant of the Restricted Stock Award and payment of any applicable purchase price, if any,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w:t>
      </w:r>
    </w:p>
    <w:p>
      <w:pPr>
        <w:spacing w:after="0" w:line="4" w:lineRule="exact"/>
        <w:rPr>
          <w:rFonts w:ascii="Arial" w:cs="Arial" w:eastAsia="Arial" w:hAnsi="Arial"/>
          <w:sz w:val="16"/>
          <w:szCs w:val="16"/>
          <w:color w:val="auto"/>
        </w:rPr>
      </w:pPr>
    </w:p>
    <w:p>
      <w:pPr>
        <w:ind w:left="460" w:right="479" w:hanging="6"/>
        <w:spacing w:after="0" w:line="252" w:lineRule="auto"/>
        <w:tabs>
          <w:tab w:leader="none" w:pos="675" w:val="left"/>
        </w:tabs>
        <w:numPr>
          <w:ilvl w:val="0"/>
          <w:numId w:val="531"/>
        </w:numPr>
        <w:rPr>
          <w:rFonts w:ascii="Arial" w:cs="Arial" w:eastAsia="Arial" w:hAnsi="Arial"/>
          <w:sz w:val="18"/>
          <w:szCs w:val="18"/>
          <w:color w:val="auto"/>
        </w:rPr>
      </w:pPr>
      <w:r>
        <w:rPr>
          <w:rFonts w:ascii="Arial" w:cs="Arial" w:eastAsia="Arial" w:hAnsi="Arial"/>
          <w:sz w:val="18"/>
          <w:szCs w:val="18"/>
          <w:color w:val="auto"/>
        </w:rPr>
        <w:t>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12" w:lineRule="exact"/>
        <w:rPr>
          <w:rFonts w:ascii="Arial" w:cs="Arial" w:eastAsia="Arial" w:hAnsi="Arial"/>
          <w:sz w:val="18"/>
          <w:szCs w:val="18"/>
          <w:color w:val="auto"/>
        </w:rPr>
      </w:pPr>
    </w:p>
    <w:p>
      <w:pPr>
        <w:ind w:left="460" w:right="479" w:firstLine="426"/>
        <w:spacing w:after="0" w:line="257" w:lineRule="auto"/>
        <w:tabs>
          <w:tab w:leader="none" w:pos="1316" w:val="left"/>
        </w:tabs>
        <w:numPr>
          <w:ilvl w:val="1"/>
          <w:numId w:val="531"/>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98" w:name="page499"/>
    <w:bookmarkEnd w:id="49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71" w:lineRule="auto"/>
        <w:rPr>
          <w:sz w:val="20"/>
          <w:szCs w:val="20"/>
          <w:color w:val="auto"/>
        </w:rPr>
      </w:pPr>
      <w:r>
        <w:rPr>
          <w:rFonts w:ascii="Arial" w:cs="Arial" w:eastAsia="Arial" w:hAnsi="Arial"/>
          <w:sz w:val="17"/>
          <w:szCs w:val="17"/>
          <w:color w:val="auto"/>
        </w:rPr>
        <w:t>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11" w:lineRule="exact"/>
        <w:rPr>
          <w:sz w:val="20"/>
          <w:szCs w:val="20"/>
          <w:color w:val="auto"/>
        </w:rPr>
      </w:pPr>
    </w:p>
    <w:p>
      <w:pPr>
        <w:jc w:val="both"/>
        <w:ind w:left="460" w:right="639" w:firstLine="426"/>
        <w:spacing w:after="0" w:line="287" w:lineRule="auto"/>
        <w:tabs>
          <w:tab w:leader="none" w:pos="1327" w:val="left"/>
        </w:tabs>
        <w:numPr>
          <w:ilvl w:val="0"/>
          <w:numId w:val="532"/>
        </w:numPr>
        <w:rPr>
          <w:rFonts w:ascii="Arial" w:cs="Arial" w:eastAsia="Arial" w:hAnsi="Arial"/>
          <w:sz w:val="16"/>
          <w:szCs w:val="16"/>
          <w:color w:val="auto"/>
        </w:rPr>
      </w:pPr>
      <w:r>
        <w:rPr>
          <w:rFonts w:ascii="Arial" w:cs="Arial" w:eastAsia="Arial" w:hAnsi="Arial"/>
          <w:sz w:val="16"/>
          <w:szCs w:val="16"/>
          <w:u w:val="single" w:color="auto"/>
          <w:color w:val="auto"/>
        </w:rPr>
        <w:t>Vesting of Restricted Shares</w:t>
      </w:r>
      <w:r>
        <w:rPr>
          <w:rFonts w:ascii="Arial" w:cs="Arial" w:eastAsia="Arial" w:hAnsi="Arial"/>
          <w:sz w:val="16"/>
          <w:szCs w:val="16"/>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w:t>
      </w:r>
    </w:p>
    <w:p>
      <w:pPr>
        <w:spacing w:after="0" w:line="2" w:lineRule="exact"/>
        <w:rPr>
          <w:rFonts w:ascii="Arial" w:cs="Arial" w:eastAsia="Arial" w:hAnsi="Arial"/>
          <w:sz w:val="16"/>
          <w:szCs w:val="16"/>
          <w:color w:val="auto"/>
        </w:rPr>
      </w:pPr>
    </w:p>
    <w:p>
      <w:pPr>
        <w:jc w:val="both"/>
        <w:ind w:left="460" w:right="699"/>
        <w:spacing w:after="0" w:line="255" w:lineRule="auto"/>
        <w:rPr>
          <w:rFonts w:ascii="Arial" w:cs="Arial" w:eastAsia="Arial" w:hAnsi="Arial"/>
          <w:sz w:val="16"/>
          <w:szCs w:val="16"/>
          <w:color w:val="auto"/>
        </w:rPr>
      </w:pPr>
      <w:r>
        <w:rPr>
          <w:rFonts w:ascii="Arial" w:cs="Arial" w:eastAsia="Arial" w:hAnsi="Arial"/>
          <w:sz w:val="18"/>
          <w:szCs w:val="18"/>
          <w:color w:val="auto"/>
        </w:rPr>
        <w:t>Subsequent to such date or dates and/or the attainment of such pre-established performance goals, objectives and other conditions, the shares on which all restrictions have lapsed shall no longer be Restricted Shares and shall be deemed “vested.”</w:t>
      </w:r>
    </w:p>
    <w:p>
      <w:pPr>
        <w:spacing w:after="0" w:line="122"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u w:val="single" w:color="auto"/>
          <w:color w:val="auto"/>
        </w:rPr>
        <w:t>RESTRICTED STOCK UNITS</w:t>
      </w:r>
    </w:p>
    <w:p>
      <w:pPr>
        <w:spacing w:after="0" w:line="144" w:lineRule="exact"/>
        <w:rPr>
          <w:sz w:val="20"/>
          <w:szCs w:val="20"/>
          <w:color w:val="auto"/>
        </w:rPr>
      </w:pPr>
    </w:p>
    <w:p>
      <w:pPr>
        <w:ind w:left="460" w:right="499" w:firstLine="426"/>
        <w:spacing w:after="0" w:line="269" w:lineRule="auto"/>
        <w:tabs>
          <w:tab w:leader="none" w:pos="1316" w:val="left"/>
        </w:tabs>
        <w:numPr>
          <w:ilvl w:val="0"/>
          <w:numId w:val="533"/>
        </w:numPr>
        <w:rPr>
          <w:rFonts w:ascii="Arial" w:cs="Arial" w:eastAsia="Arial" w:hAnsi="Arial"/>
          <w:sz w:val="17"/>
          <w:szCs w:val="17"/>
          <w:color w:val="auto"/>
        </w:rPr>
      </w:pPr>
      <w:r>
        <w:rPr>
          <w:rFonts w:ascii="Arial" w:cs="Arial" w:eastAsia="Arial" w:hAnsi="Arial"/>
          <w:sz w:val="17"/>
          <w:szCs w:val="17"/>
          <w:u w:val="single" w:color="auto"/>
          <w:color w:val="auto"/>
        </w:rPr>
        <w:t>Nature of Restricted Stock Units</w:t>
      </w:r>
      <w:r>
        <w:rPr>
          <w:rFonts w:ascii="Arial" w:cs="Arial" w:eastAsia="Arial" w:hAnsi="Arial"/>
          <w:sz w:val="17"/>
          <w:szCs w:val="17"/>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(or cash, to the extent explicitly provided for in the Award Certificate).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11" w:lineRule="exact"/>
        <w:rPr>
          <w:rFonts w:ascii="Arial" w:cs="Arial" w:eastAsia="Arial" w:hAnsi="Arial"/>
          <w:sz w:val="17"/>
          <w:szCs w:val="17"/>
          <w:color w:val="auto"/>
        </w:rPr>
      </w:pPr>
    </w:p>
    <w:p>
      <w:pPr>
        <w:ind w:left="460" w:right="479" w:firstLine="426"/>
        <w:spacing w:after="0" w:line="269" w:lineRule="auto"/>
        <w:tabs>
          <w:tab w:leader="none" w:pos="1327" w:val="left"/>
        </w:tabs>
        <w:numPr>
          <w:ilvl w:val="0"/>
          <w:numId w:val="533"/>
        </w:numPr>
        <w:rPr>
          <w:rFonts w:ascii="Arial" w:cs="Arial" w:eastAsia="Arial" w:hAnsi="Arial"/>
          <w:sz w:val="17"/>
          <w:szCs w:val="17"/>
          <w:color w:val="auto"/>
        </w:rPr>
      </w:pPr>
      <w:r>
        <w:rPr>
          <w:rFonts w:ascii="Arial" w:cs="Arial" w:eastAsia="Arial" w:hAnsi="Arial"/>
          <w:sz w:val="17"/>
          <w:szCs w:val="17"/>
          <w:u w:val="single" w:color="auto"/>
          <w:color w:val="auto"/>
        </w:rPr>
        <w:t>Election to Receive Restricted Stock Units in Lieu of Compensation</w:t>
      </w:r>
      <w:r>
        <w:rPr>
          <w:rFonts w:ascii="Arial" w:cs="Arial" w:eastAsia="Arial" w:hAnsi="Arial"/>
          <w:sz w:val="17"/>
          <w:szCs w:val="17"/>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11" w:lineRule="exact"/>
        <w:rPr>
          <w:rFonts w:ascii="Arial" w:cs="Arial" w:eastAsia="Arial" w:hAnsi="Arial"/>
          <w:sz w:val="17"/>
          <w:szCs w:val="17"/>
          <w:color w:val="auto"/>
        </w:rPr>
      </w:pPr>
    </w:p>
    <w:p>
      <w:pPr>
        <w:ind w:left="460" w:right="599" w:firstLine="426"/>
        <w:spacing w:after="0" w:line="257" w:lineRule="auto"/>
        <w:tabs>
          <w:tab w:leader="none" w:pos="1316" w:val="left"/>
        </w:tabs>
        <w:numPr>
          <w:ilvl w:val="0"/>
          <w:numId w:val="533"/>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06" w:lineRule="exact"/>
        <w:rPr>
          <w:rFonts w:ascii="Arial" w:cs="Arial" w:eastAsia="Arial" w:hAnsi="Arial"/>
          <w:sz w:val="18"/>
          <w:szCs w:val="18"/>
          <w:color w:val="auto"/>
        </w:rPr>
      </w:pPr>
    </w:p>
    <w:p>
      <w:pPr>
        <w:ind w:left="460" w:right="479" w:firstLine="426"/>
        <w:spacing w:after="0" w:line="279" w:lineRule="auto"/>
        <w:tabs>
          <w:tab w:leader="none" w:pos="1327" w:val="left"/>
        </w:tabs>
        <w:numPr>
          <w:ilvl w:val="0"/>
          <w:numId w:val="533"/>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04"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u w:val="single" w:color="auto"/>
          <w:color w:val="auto"/>
        </w:rPr>
        <w:t>UNRESTRICTED STOCK AWARDS</w:t>
      </w:r>
    </w:p>
    <w:p>
      <w:pPr>
        <w:spacing w:after="0" w:line="158"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u w:val="single" w:color="auto"/>
          <w:color w:val="auto"/>
        </w:rPr>
        <w:t>Grant or Sale of Unrestricted Stock</w:t>
      </w:r>
      <w:r>
        <w:rPr>
          <w:rFonts w:ascii="Arial" w:cs="Arial" w:eastAsia="Arial" w:hAnsi="Arial"/>
          <w:sz w:val="17"/>
          <w:szCs w:val="17"/>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99" w:name="page500"/>
    <w:bookmarkEnd w:id="49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7"/>
          <w:szCs w:val="17"/>
          <w:u w:val="single" w:color="auto"/>
          <w:color w:val="auto"/>
        </w:rPr>
        <w:t>CASH-BASED AWARDS</w:t>
      </w:r>
    </w:p>
    <w:p>
      <w:pPr>
        <w:spacing w:after="0" w:line="158" w:lineRule="exact"/>
        <w:rPr>
          <w:sz w:val="20"/>
          <w:szCs w:val="20"/>
          <w:color w:val="auto"/>
        </w:rPr>
      </w:pPr>
    </w:p>
    <w:p>
      <w:pPr>
        <w:ind w:left="460" w:right="579" w:firstLine="432"/>
        <w:spacing w:after="0" w:line="271" w:lineRule="auto"/>
        <w:rPr>
          <w:sz w:val="20"/>
          <w:szCs w:val="20"/>
          <w:color w:val="auto"/>
        </w:rPr>
      </w:pPr>
      <w:r>
        <w:rPr>
          <w:rFonts w:ascii="Arial" w:cs="Arial" w:eastAsia="Arial" w:hAnsi="Arial"/>
          <w:sz w:val="17"/>
          <w:szCs w:val="17"/>
          <w:u w:val="single" w:color="auto"/>
          <w:color w:val="auto"/>
        </w:rPr>
        <w:t>Grant of Cash-Based Awards</w:t>
      </w:r>
      <w:r>
        <w:rPr>
          <w:rFonts w:ascii="Arial" w:cs="Arial" w:eastAsia="Arial" w:hAnsi="Arial"/>
          <w:sz w:val="17"/>
          <w:szCs w:val="17"/>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11"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u w:val="single" w:color="auto"/>
          <w:color w:val="auto"/>
        </w:rPr>
        <w:t>DIVIDEND EQUIVALENT RIGHTS</w:t>
      </w:r>
    </w:p>
    <w:p>
      <w:pPr>
        <w:spacing w:after="0" w:line="144" w:lineRule="exact"/>
        <w:rPr>
          <w:sz w:val="20"/>
          <w:szCs w:val="20"/>
          <w:color w:val="auto"/>
        </w:rPr>
      </w:pPr>
    </w:p>
    <w:p>
      <w:pPr>
        <w:ind w:left="460" w:right="479" w:firstLine="426"/>
        <w:spacing w:after="0" w:line="268" w:lineRule="auto"/>
        <w:tabs>
          <w:tab w:leader="none" w:pos="1316" w:val="left"/>
        </w:tabs>
        <w:numPr>
          <w:ilvl w:val="0"/>
          <w:numId w:val="534"/>
        </w:numPr>
        <w:rPr>
          <w:rFonts w:ascii="Arial" w:cs="Arial" w:eastAsia="Arial" w:hAnsi="Arial"/>
          <w:sz w:val="17"/>
          <w:szCs w:val="17"/>
          <w:color w:val="auto"/>
        </w:rPr>
      </w:pPr>
      <w:r>
        <w:rPr>
          <w:rFonts w:ascii="Arial" w:cs="Arial" w:eastAsia="Arial" w:hAnsi="Arial"/>
          <w:sz w:val="17"/>
          <w:szCs w:val="17"/>
          <w:u w:val="single" w:color="auto"/>
          <w:color w:val="auto"/>
        </w:rPr>
        <w:t>Dividend Equivalent Rights</w:t>
      </w:r>
      <w:r>
        <w:rPr>
          <w:rFonts w:ascii="Arial" w:cs="Arial" w:eastAsia="Arial" w:hAnsi="Arial"/>
          <w:sz w:val="17"/>
          <w:szCs w:val="17"/>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14" w:lineRule="exact"/>
        <w:rPr>
          <w:rFonts w:ascii="Arial" w:cs="Arial" w:eastAsia="Arial" w:hAnsi="Arial"/>
          <w:sz w:val="17"/>
          <w:szCs w:val="17"/>
          <w:color w:val="auto"/>
        </w:rPr>
      </w:pPr>
    </w:p>
    <w:p>
      <w:pPr>
        <w:ind w:left="460" w:right="499" w:firstLine="426"/>
        <w:spacing w:after="0" w:line="279" w:lineRule="auto"/>
        <w:tabs>
          <w:tab w:leader="none" w:pos="1327" w:val="left"/>
        </w:tabs>
        <w:numPr>
          <w:ilvl w:val="0"/>
          <w:numId w:val="534"/>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04"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7"/>
          <w:szCs w:val="17"/>
          <w:u w:val="single" w:color="auto"/>
          <w:color w:val="auto"/>
        </w:rPr>
        <w:t>TRANSFERABILITY OF AWARDS</w:t>
      </w:r>
    </w:p>
    <w:p>
      <w:pPr>
        <w:spacing w:after="0" w:line="144" w:lineRule="exact"/>
        <w:rPr>
          <w:sz w:val="20"/>
          <w:szCs w:val="20"/>
          <w:color w:val="auto"/>
        </w:rPr>
      </w:pPr>
    </w:p>
    <w:p>
      <w:pPr>
        <w:ind w:left="460" w:right="519" w:firstLine="426"/>
        <w:spacing w:after="0" w:line="273" w:lineRule="auto"/>
        <w:tabs>
          <w:tab w:leader="none" w:pos="1316" w:val="left"/>
        </w:tabs>
        <w:numPr>
          <w:ilvl w:val="0"/>
          <w:numId w:val="535"/>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10" w:lineRule="exact"/>
        <w:rPr>
          <w:rFonts w:ascii="Arial" w:cs="Arial" w:eastAsia="Arial" w:hAnsi="Arial"/>
          <w:sz w:val="17"/>
          <w:szCs w:val="17"/>
          <w:color w:val="auto"/>
        </w:rPr>
      </w:pPr>
    </w:p>
    <w:p>
      <w:pPr>
        <w:ind w:left="460" w:right="679" w:firstLine="426"/>
        <w:spacing w:after="0" w:line="254" w:lineRule="auto"/>
        <w:tabs>
          <w:tab w:leader="none" w:pos="1327" w:val="left"/>
        </w:tabs>
        <w:numPr>
          <w:ilvl w:val="0"/>
          <w:numId w:val="535"/>
        </w:numPr>
        <w:rPr>
          <w:rFonts w:ascii="Arial" w:cs="Arial" w:eastAsia="Arial" w:hAnsi="Arial"/>
          <w:sz w:val="18"/>
          <w:szCs w:val="18"/>
          <w:color w:val="auto"/>
        </w:rPr>
      </w:pPr>
      <w:r>
        <w:rPr>
          <w:rFonts w:ascii="Arial" w:cs="Arial" w:eastAsia="Arial" w:hAnsi="Arial"/>
          <w:sz w:val="18"/>
          <w:szCs w:val="18"/>
          <w:u w:val="single" w:color="auto"/>
          <w:color w:val="auto"/>
        </w:rPr>
        <w:t>Administrator Action</w:t>
      </w:r>
      <w:r>
        <w:rPr>
          <w:rFonts w:ascii="Arial" w:cs="Arial" w:eastAsia="Arial" w:hAnsi="Arial"/>
          <w:sz w:val="18"/>
          <w:szCs w:val="18"/>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27" w:lineRule="exact"/>
        <w:rPr>
          <w:rFonts w:ascii="Arial" w:cs="Arial" w:eastAsia="Arial" w:hAnsi="Arial"/>
          <w:sz w:val="18"/>
          <w:szCs w:val="18"/>
          <w:color w:val="auto"/>
        </w:rPr>
      </w:pPr>
    </w:p>
    <w:p>
      <w:pPr>
        <w:ind w:left="460" w:right="499" w:firstLine="426"/>
        <w:spacing w:after="0" w:line="272" w:lineRule="auto"/>
        <w:tabs>
          <w:tab w:leader="none" w:pos="1316" w:val="left"/>
        </w:tabs>
        <w:numPr>
          <w:ilvl w:val="0"/>
          <w:numId w:val="535"/>
        </w:numPr>
        <w:rPr>
          <w:rFonts w:ascii="Arial" w:cs="Arial" w:eastAsia="Arial" w:hAnsi="Arial"/>
          <w:sz w:val="17"/>
          <w:szCs w:val="17"/>
          <w:color w:val="auto"/>
        </w:rPr>
      </w:pPr>
      <w:r>
        <w:rPr>
          <w:rFonts w:ascii="Arial" w:cs="Arial" w:eastAsia="Arial" w:hAnsi="Arial"/>
          <w:sz w:val="17"/>
          <w:szCs w:val="17"/>
          <w:u w:val="single" w:color="auto"/>
          <w:color w:val="auto"/>
        </w:rPr>
        <w:t>Family Member</w:t>
      </w:r>
      <w:r>
        <w:rPr>
          <w:rFonts w:ascii="Arial" w:cs="Arial" w:eastAsia="Arial" w:hAnsi="Arial"/>
          <w:sz w:val="17"/>
          <w:szCs w:val="17"/>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96" w:lineRule="exact"/>
        <w:rPr>
          <w:rFonts w:ascii="Arial" w:cs="Arial" w:eastAsia="Arial" w:hAnsi="Arial"/>
          <w:sz w:val="17"/>
          <w:szCs w:val="17"/>
          <w:color w:val="auto"/>
        </w:rPr>
      </w:pPr>
    </w:p>
    <w:p>
      <w:pPr>
        <w:jc w:val="both"/>
        <w:ind w:left="460" w:right="539" w:firstLine="426"/>
        <w:spacing w:after="0" w:line="259" w:lineRule="auto"/>
        <w:tabs>
          <w:tab w:leader="none" w:pos="1327" w:val="left"/>
        </w:tabs>
        <w:numPr>
          <w:ilvl w:val="0"/>
          <w:numId w:val="535"/>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00" w:name="page501"/>
    <w:bookmarkEnd w:id="50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39"/>
        <w:spacing w:after="0" w:line="263" w:lineRule="auto"/>
        <w:rPr>
          <w:sz w:val="20"/>
          <w:szCs w:val="20"/>
          <w:color w:val="auto"/>
        </w:rPr>
      </w:pPr>
      <w:r>
        <w:rPr>
          <w:rFonts w:ascii="Arial" w:cs="Arial" w:eastAsia="Arial" w:hAnsi="Arial"/>
          <w:sz w:val="18"/>
          <w:szCs w:val="18"/>
          <w:color w:val="auto"/>
        </w:rPr>
        <w:t>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16"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8"/>
          <w:szCs w:val="18"/>
          <w:u w:val="single" w:color="auto"/>
          <w:color w:val="auto"/>
        </w:rPr>
        <w:t>TAX WITHHOLDING</w:t>
      </w:r>
    </w:p>
    <w:p>
      <w:pPr>
        <w:spacing w:after="0" w:line="158" w:lineRule="exact"/>
        <w:rPr>
          <w:sz w:val="20"/>
          <w:szCs w:val="20"/>
          <w:color w:val="auto"/>
        </w:rPr>
      </w:pPr>
    </w:p>
    <w:p>
      <w:pPr>
        <w:ind w:left="460" w:right="479" w:firstLine="426"/>
        <w:spacing w:after="0" w:line="271" w:lineRule="auto"/>
        <w:tabs>
          <w:tab w:leader="none" w:pos="1316" w:val="left"/>
        </w:tabs>
        <w:numPr>
          <w:ilvl w:val="0"/>
          <w:numId w:val="536"/>
        </w:numPr>
        <w:rPr>
          <w:rFonts w:ascii="Arial" w:cs="Arial" w:eastAsia="Arial" w:hAnsi="Arial"/>
          <w:sz w:val="17"/>
          <w:szCs w:val="17"/>
          <w:color w:val="auto"/>
        </w:rPr>
      </w:pPr>
      <w:r>
        <w:rPr>
          <w:rFonts w:ascii="Arial" w:cs="Arial" w:eastAsia="Arial" w:hAnsi="Arial"/>
          <w:sz w:val="17"/>
          <w:szCs w:val="17"/>
          <w:u w:val="single" w:color="auto"/>
          <w:color w:val="auto"/>
        </w:rPr>
        <w:t>Payment by Grantee</w:t>
      </w:r>
      <w:r>
        <w:rPr>
          <w:rFonts w:ascii="Arial" w:cs="Arial" w:eastAsia="Arial" w:hAnsi="Arial"/>
          <w:sz w:val="17"/>
          <w:szCs w:val="17"/>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97" w:lineRule="exact"/>
        <w:rPr>
          <w:rFonts w:ascii="Arial" w:cs="Arial" w:eastAsia="Arial" w:hAnsi="Arial"/>
          <w:sz w:val="17"/>
          <w:szCs w:val="17"/>
          <w:color w:val="auto"/>
        </w:rPr>
      </w:pPr>
    </w:p>
    <w:p>
      <w:pPr>
        <w:ind w:left="460" w:right="579" w:firstLine="426"/>
        <w:spacing w:after="0" w:line="288" w:lineRule="auto"/>
        <w:tabs>
          <w:tab w:leader="none" w:pos="1327" w:val="left"/>
        </w:tabs>
        <w:numPr>
          <w:ilvl w:val="0"/>
          <w:numId w:val="536"/>
        </w:numPr>
        <w:rPr>
          <w:rFonts w:ascii="Arial" w:cs="Arial" w:eastAsia="Arial" w:hAnsi="Arial"/>
          <w:sz w:val="16"/>
          <w:szCs w:val="16"/>
          <w:color w:val="auto"/>
        </w:rPr>
      </w:pPr>
      <w:r>
        <w:rPr>
          <w:rFonts w:ascii="Arial" w:cs="Arial" w:eastAsia="Arial" w:hAnsi="Arial"/>
          <w:sz w:val="16"/>
          <w:szCs w:val="16"/>
          <w:u w:val="single" w:color="auto"/>
          <w:color w:val="auto"/>
        </w:rPr>
        <w:t>Payment in Stock</w:t>
      </w:r>
      <w:r>
        <w:rPr>
          <w:rFonts w:ascii="Arial" w:cs="Arial" w:eastAsia="Arial" w:hAnsi="Arial"/>
          <w:sz w:val="16"/>
          <w:szCs w:val="16"/>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01"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7"/>
          <w:szCs w:val="17"/>
          <w:u w:val="single" w:color="auto"/>
          <w:color w:val="auto"/>
        </w:rPr>
        <w:t>SECTION 409A AWARDS</w:t>
      </w:r>
    </w:p>
    <w:p>
      <w:pPr>
        <w:spacing w:after="0" w:line="158" w:lineRule="exact"/>
        <w:rPr>
          <w:sz w:val="20"/>
          <w:szCs w:val="20"/>
          <w:color w:val="auto"/>
        </w:rPr>
      </w:pPr>
    </w:p>
    <w:p>
      <w:pPr>
        <w:ind w:left="460" w:right="499" w:firstLine="432"/>
        <w:spacing w:after="0" w:line="283" w:lineRule="auto"/>
        <w:rPr>
          <w:sz w:val="20"/>
          <w:szCs w:val="20"/>
          <w:color w:val="auto"/>
        </w:rPr>
      </w:pPr>
      <w:r>
        <w:rPr>
          <w:rFonts w:ascii="Arial" w:cs="Arial" w:eastAsia="Arial" w:hAnsi="Arial"/>
          <w:sz w:val="16"/>
          <w:szCs w:val="16"/>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w:t>
      </w:r>
    </w:p>
    <w:p>
      <w:pPr>
        <w:spacing w:after="0" w:line="4" w:lineRule="exact"/>
        <w:rPr>
          <w:sz w:val="20"/>
          <w:szCs w:val="20"/>
          <w:color w:val="auto"/>
        </w:rPr>
      </w:pPr>
    </w:p>
    <w:p>
      <w:pPr>
        <w:jc w:val="both"/>
        <w:ind w:left="460" w:right="619"/>
        <w:spacing w:after="0" w:line="253" w:lineRule="auto"/>
        <w:rPr>
          <w:sz w:val="20"/>
          <w:szCs w:val="20"/>
          <w:color w:val="auto"/>
        </w:rPr>
      </w:pPr>
      <w:r>
        <w:rPr>
          <w:rFonts w:ascii="Arial" w:cs="Arial" w:eastAsia="Arial" w:hAnsi="Arial"/>
          <w:sz w:val="18"/>
          <w:szCs w:val="18"/>
          <w:color w:val="auto"/>
        </w:rPr>
        <w:t>Section 409A. The Company makes no representation that any or all of the payments or benefits described in the Plan will be exempt from or comply with Section 409A of the Code and makes no undertaking to preclude Section 409A of the Code from applying to any such payment. The grantee shall be solely responsible for the payment of any taxes and penalties incurred under Section 409A.</w:t>
      </w:r>
    </w:p>
    <w:p>
      <w:pPr>
        <w:spacing w:after="0" w:line="112" w:lineRule="exact"/>
        <w:rPr>
          <w:sz w:val="20"/>
          <w:szCs w:val="20"/>
          <w:color w:val="auto"/>
        </w:rPr>
      </w:pPr>
    </w:p>
    <w:p>
      <w:pPr>
        <w:ind w:left="1540" w:right="879" w:hanging="1079"/>
        <w:spacing w:after="0" w:line="277" w:lineRule="auto"/>
        <w:tabs>
          <w:tab w:leader="none" w:pos="152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8"/>
          <w:szCs w:val="18"/>
          <w:u w:val="single" w:color="auto"/>
          <w:color w:val="auto"/>
        </w:rPr>
        <w:t>TERMINATION OF SERVICE RELATIONSHIP, TRANSFER, LEAVE OF ABSENCE, ETC.</w:t>
      </w:r>
    </w:p>
    <w:p>
      <w:pPr>
        <w:spacing w:after="0" w:line="103" w:lineRule="exact"/>
        <w:rPr>
          <w:sz w:val="20"/>
          <w:szCs w:val="20"/>
          <w:color w:val="auto"/>
        </w:rPr>
      </w:pPr>
    </w:p>
    <w:p>
      <w:pPr>
        <w:ind w:left="460" w:right="699" w:firstLine="426"/>
        <w:spacing w:after="0" w:line="263" w:lineRule="auto"/>
        <w:tabs>
          <w:tab w:leader="none" w:pos="1316" w:val="left"/>
        </w:tabs>
        <w:numPr>
          <w:ilvl w:val="0"/>
          <w:numId w:val="537"/>
        </w:numPr>
        <w:rPr>
          <w:rFonts w:ascii="Arial" w:cs="Arial" w:eastAsia="Arial" w:hAnsi="Arial"/>
          <w:sz w:val="18"/>
          <w:szCs w:val="18"/>
          <w:color w:val="auto"/>
        </w:rPr>
      </w:pPr>
      <w:r>
        <w:rPr>
          <w:rFonts w:ascii="Arial" w:cs="Arial" w:eastAsia="Arial" w:hAnsi="Arial"/>
          <w:sz w:val="18"/>
          <w:szCs w:val="18"/>
          <w:u w:val="single" w:color="auto"/>
          <w:color w:val="auto"/>
        </w:rPr>
        <w:t>Termination of Service Relationship</w:t>
      </w:r>
      <w:r>
        <w:rPr>
          <w:rFonts w:ascii="Arial" w:cs="Arial" w:eastAsia="Arial" w:hAnsi="Arial"/>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116" w:lineRule="exact"/>
        <w:rPr>
          <w:rFonts w:ascii="Arial" w:cs="Arial" w:eastAsia="Arial" w:hAnsi="Arial"/>
          <w:sz w:val="18"/>
          <w:szCs w:val="18"/>
          <w:color w:val="auto"/>
        </w:rPr>
      </w:pPr>
    </w:p>
    <w:p>
      <w:pPr>
        <w:ind w:left="460" w:right="999" w:firstLine="426"/>
        <w:spacing w:after="0" w:line="277" w:lineRule="auto"/>
        <w:tabs>
          <w:tab w:leader="none" w:pos="1327" w:val="left"/>
        </w:tabs>
        <w:numPr>
          <w:ilvl w:val="0"/>
          <w:numId w:val="537"/>
        </w:numPr>
        <w:rPr>
          <w:rFonts w:ascii="Arial" w:cs="Arial" w:eastAsia="Arial" w:hAnsi="Arial"/>
          <w:sz w:val="18"/>
          <w:szCs w:val="18"/>
          <w:color w:val="auto"/>
        </w:rPr>
      </w:pPr>
      <w:r>
        <w:rPr>
          <w:rFonts w:ascii="Arial" w:cs="Arial" w:eastAsia="Arial" w:hAnsi="Arial"/>
          <w:sz w:val="18"/>
          <w:szCs w:val="18"/>
          <w:color w:val="auto"/>
        </w:rPr>
        <w:t>For purposes of the Plan, the following events shall not be deemed a termination of a Service Relationship:</w:t>
      </w:r>
    </w:p>
    <w:p>
      <w:pPr>
        <w:spacing w:after="0" w:line="89" w:lineRule="exact"/>
        <w:rPr>
          <w:rFonts w:ascii="Arial" w:cs="Arial" w:eastAsia="Arial" w:hAnsi="Arial"/>
          <w:sz w:val="18"/>
          <w:szCs w:val="18"/>
          <w:color w:val="auto"/>
        </w:rPr>
      </w:pPr>
    </w:p>
    <w:p>
      <w:pPr>
        <w:ind w:left="460" w:right="779" w:firstLine="858"/>
        <w:spacing w:after="0" w:line="277" w:lineRule="auto"/>
        <w:tabs>
          <w:tab w:leader="none" w:pos="1719" w:val="left"/>
        </w:tabs>
        <w:numPr>
          <w:ilvl w:val="1"/>
          <w:numId w:val="537"/>
        </w:numPr>
        <w:rPr>
          <w:rFonts w:ascii="Arial" w:cs="Arial" w:eastAsia="Arial" w:hAnsi="Arial"/>
          <w:sz w:val="18"/>
          <w:szCs w:val="18"/>
          <w:color w:val="auto"/>
        </w:rPr>
      </w:pPr>
      <w:r>
        <w:rPr>
          <w:rFonts w:ascii="Arial" w:cs="Arial" w:eastAsia="Arial" w:hAnsi="Arial"/>
          <w:sz w:val="18"/>
          <w:szCs w:val="18"/>
          <w:color w:val="auto"/>
        </w:rPr>
        <w:t>a transfer to the employment of the Company from an Affiliate or from the Company to an Affiliate, or from one Affiliate to another; 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01" w:name="page502"/>
    <w:bookmarkEnd w:id="50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899" w:firstLine="858"/>
        <w:spacing w:after="0" w:line="259" w:lineRule="auto"/>
        <w:tabs>
          <w:tab w:leader="none" w:pos="1769" w:val="left"/>
        </w:tabs>
        <w:numPr>
          <w:ilvl w:val="0"/>
          <w:numId w:val="538"/>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19"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7"/>
          <w:szCs w:val="17"/>
          <w:u w:val="single" w:color="auto"/>
          <w:color w:val="auto"/>
        </w:rPr>
        <w:t>AMENDMENTS AND TERMINATION</w:t>
      </w:r>
    </w:p>
    <w:p>
      <w:pPr>
        <w:spacing w:after="0" w:line="158" w:lineRule="exact"/>
        <w:rPr>
          <w:sz w:val="20"/>
          <w:szCs w:val="20"/>
          <w:color w:val="auto"/>
        </w:rPr>
      </w:pPr>
    </w:p>
    <w:p>
      <w:pPr>
        <w:ind w:left="460" w:right="459" w:firstLine="432"/>
        <w:spacing w:after="0" w:line="288" w:lineRule="auto"/>
        <w:rPr>
          <w:sz w:val="20"/>
          <w:szCs w:val="20"/>
          <w:color w:val="auto"/>
        </w:rPr>
      </w:pPr>
      <w:r>
        <w:rPr>
          <w:rFonts w:ascii="Arial" w:cs="Arial" w:eastAsia="Arial" w:hAnsi="Arial"/>
          <w:sz w:val="16"/>
          <w:szCs w:val="16"/>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87"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6"/>
          <w:szCs w:val="16"/>
          <w:u w:val="single" w:color="auto"/>
          <w:color w:val="auto"/>
        </w:rPr>
        <w:t>STATUS OF PLAN</w:t>
      </w:r>
    </w:p>
    <w:p>
      <w:pPr>
        <w:spacing w:after="0" w:line="158"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27"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7"/>
          <w:szCs w:val="17"/>
          <w:u w:val="single" w:color="auto"/>
          <w:color w:val="auto"/>
        </w:rPr>
        <w:t>GENERAL PROVISIONS</w:t>
      </w:r>
    </w:p>
    <w:p>
      <w:pPr>
        <w:spacing w:after="0" w:line="144" w:lineRule="exact"/>
        <w:rPr>
          <w:sz w:val="20"/>
          <w:szCs w:val="20"/>
          <w:color w:val="auto"/>
        </w:rPr>
      </w:pPr>
    </w:p>
    <w:p>
      <w:pPr>
        <w:ind w:left="460" w:right="519" w:firstLine="426"/>
        <w:spacing w:after="0" w:line="263" w:lineRule="auto"/>
        <w:tabs>
          <w:tab w:leader="none" w:pos="1316" w:val="left"/>
        </w:tabs>
        <w:numPr>
          <w:ilvl w:val="0"/>
          <w:numId w:val="539"/>
        </w:numPr>
        <w:rPr>
          <w:rFonts w:ascii="Arial" w:cs="Arial" w:eastAsia="Arial" w:hAnsi="Arial"/>
          <w:sz w:val="18"/>
          <w:szCs w:val="18"/>
          <w:color w:val="auto"/>
        </w:rPr>
      </w:pPr>
      <w:r>
        <w:rPr>
          <w:rFonts w:ascii="Arial" w:cs="Arial" w:eastAsia="Arial" w:hAnsi="Arial"/>
          <w:sz w:val="18"/>
          <w:szCs w:val="18"/>
          <w:u w:val="single" w:color="auto"/>
          <w:color w:val="auto"/>
        </w:rPr>
        <w:t>No Distribution</w:t>
      </w:r>
      <w:r>
        <w:rPr>
          <w:rFonts w:ascii="Arial" w:cs="Arial" w:eastAsia="Arial" w:hAnsi="Arial"/>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16" w:lineRule="exact"/>
        <w:rPr>
          <w:rFonts w:ascii="Arial" w:cs="Arial" w:eastAsia="Arial" w:hAnsi="Arial"/>
          <w:sz w:val="18"/>
          <w:szCs w:val="18"/>
          <w:color w:val="auto"/>
        </w:rPr>
      </w:pPr>
    </w:p>
    <w:p>
      <w:pPr>
        <w:ind w:left="460" w:right="479" w:firstLine="426"/>
        <w:spacing w:after="0" w:line="284" w:lineRule="auto"/>
        <w:tabs>
          <w:tab w:leader="none" w:pos="1327" w:val="left"/>
        </w:tabs>
        <w:numPr>
          <w:ilvl w:val="0"/>
          <w:numId w:val="539"/>
        </w:numPr>
        <w:rPr>
          <w:rFonts w:ascii="Arial" w:cs="Arial" w:eastAsia="Arial" w:hAnsi="Arial"/>
          <w:sz w:val="16"/>
          <w:szCs w:val="16"/>
          <w:color w:val="auto"/>
        </w:rPr>
      </w:pPr>
      <w:r>
        <w:rPr>
          <w:rFonts w:ascii="Arial" w:cs="Arial" w:eastAsia="Arial" w:hAnsi="Arial"/>
          <w:sz w:val="16"/>
          <w:szCs w:val="16"/>
          <w:u w:val="single" w:color="auto"/>
          <w:color w:val="auto"/>
        </w:rPr>
        <w:t>Issuance of Stock</w:t>
      </w:r>
      <w:r>
        <w:rPr>
          <w:rFonts w:ascii="Arial" w:cs="Arial" w:eastAsia="Arial" w:hAnsi="Arial"/>
          <w:sz w:val="16"/>
          <w:szCs w:val="16"/>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10" w:lineRule="exact"/>
        <w:rPr>
          <w:rFonts w:ascii="Arial" w:cs="Arial" w:eastAsia="Arial" w:hAnsi="Arial"/>
          <w:sz w:val="16"/>
          <w:szCs w:val="16"/>
          <w:color w:val="auto"/>
        </w:rPr>
      </w:pPr>
    </w:p>
    <w:p>
      <w:pPr>
        <w:ind w:left="460" w:right="519" w:firstLine="426"/>
        <w:spacing w:after="0" w:line="259" w:lineRule="auto"/>
        <w:tabs>
          <w:tab w:leader="none" w:pos="1316" w:val="left"/>
        </w:tabs>
        <w:numPr>
          <w:ilvl w:val="0"/>
          <w:numId w:val="539"/>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of Stock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canceled, terminated or otherwise eliminated.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02" w:name="page503"/>
    <w:bookmarkEnd w:id="50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39" w:firstLine="426"/>
        <w:spacing w:after="0" w:line="259" w:lineRule="auto"/>
        <w:tabs>
          <w:tab w:leader="none" w:pos="1327" w:val="left"/>
        </w:tabs>
        <w:numPr>
          <w:ilvl w:val="0"/>
          <w:numId w:val="540"/>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19" w:lineRule="exact"/>
        <w:rPr>
          <w:rFonts w:ascii="Arial" w:cs="Arial" w:eastAsia="Arial" w:hAnsi="Arial"/>
          <w:sz w:val="18"/>
          <w:szCs w:val="18"/>
          <w:color w:val="auto"/>
        </w:rPr>
      </w:pPr>
    </w:p>
    <w:p>
      <w:pPr>
        <w:ind w:left="460" w:right="599" w:firstLine="426"/>
        <w:spacing w:after="0" w:line="257" w:lineRule="auto"/>
        <w:tabs>
          <w:tab w:leader="none" w:pos="1316" w:val="left"/>
        </w:tabs>
        <w:numPr>
          <w:ilvl w:val="0"/>
          <w:numId w:val="540"/>
        </w:numPr>
        <w:rPr>
          <w:rFonts w:ascii="Arial" w:cs="Arial" w:eastAsia="Arial" w:hAnsi="Arial"/>
          <w:sz w:val="18"/>
          <w:szCs w:val="18"/>
          <w:color w:val="auto"/>
        </w:rPr>
      </w:pPr>
      <w:r>
        <w:rPr>
          <w:rFonts w:ascii="Arial" w:cs="Arial" w:eastAsia="Arial" w:hAnsi="Arial"/>
          <w:sz w:val="18"/>
          <w:szCs w:val="18"/>
          <w:u w:val="single" w:color="auto"/>
          <w:color w:val="auto"/>
        </w:rPr>
        <w:t>Other Compensation Arrangements; No Employment Rights</w:t>
      </w:r>
      <w:r>
        <w:rPr>
          <w:rFonts w:ascii="Arial" w:cs="Arial" w:eastAsia="Arial" w:hAnsi="Arial"/>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20" w:lineRule="exact"/>
        <w:rPr>
          <w:rFonts w:ascii="Arial" w:cs="Arial" w:eastAsia="Arial" w:hAnsi="Arial"/>
          <w:sz w:val="18"/>
          <w:szCs w:val="18"/>
          <w:color w:val="auto"/>
        </w:rPr>
      </w:pPr>
    </w:p>
    <w:p>
      <w:pPr>
        <w:ind w:left="460" w:right="459" w:firstLine="426"/>
        <w:spacing w:after="0" w:line="277" w:lineRule="auto"/>
        <w:tabs>
          <w:tab w:leader="none" w:pos="1297" w:val="left"/>
        </w:tabs>
        <w:numPr>
          <w:ilvl w:val="0"/>
          <w:numId w:val="540"/>
        </w:numPr>
        <w:rPr>
          <w:rFonts w:ascii="Arial" w:cs="Arial" w:eastAsia="Arial" w:hAnsi="Arial"/>
          <w:sz w:val="18"/>
          <w:szCs w:val="18"/>
          <w:color w:val="auto"/>
        </w:rPr>
      </w:pPr>
      <w:r>
        <w:rPr>
          <w:rFonts w:ascii="Arial" w:cs="Arial" w:eastAsia="Arial" w:hAnsi="Arial"/>
          <w:sz w:val="18"/>
          <w:szCs w:val="18"/>
          <w:u w:val="single" w:color="auto"/>
          <w:color w:val="auto"/>
        </w:rPr>
        <w:t>Trading Policy Restrictions</w:t>
      </w:r>
      <w:r>
        <w:rPr>
          <w:rFonts w:ascii="Arial" w:cs="Arial" w:eastAsia="Arial" w:hAnsi="Arial"/>
          <w:sz w:val="18"/>
          <w:szCs w:val="18"/>
          <w:color w:val="auto"/>
        </w:rPr>
        <w:t>. Option exercises and other Awards under the Plan shall be subject to the Company’s insider trading policies and procedures, as in effect from time to time.</w:t>
      </w:r>
    </w:p>
    <w:p>
      <w:pPr>
        <w:spacing w:after="0" w:line="89" w:lineRule="exact"/>
        <w:rPr>
          <w:rFonts w:ascii="Arial" w:cs="Arial" w:eastAsia="Arial" w:hAnsi="Arial"/>
          <w:sz w:val="18"/>
          <w:szCs w:val="18"/>
          <w:color w:val="auto"/>
        </w:rPr>
      </w:pPr>
    </w:p>
    <w:p>
      <w:pPr>
        <w:jc w:val="both"/>
        <w:ind w:left="460" w:right="619" w:firstLine="426"/>
        <w:spacing w:after="0" w:line="279" w:lineRule="auto"/>
        <w:tabs>
          <w:tab w:leader="none" w:pos="1327" w:val="left"/>
        </w:tabs>
        <w:numPr>
          <w:ilvl w:val="0"/>
          <w:numId w:val="540"/>
        </w:numPr>
        <w:rPr>
          <w:rFonts w:ascii="Arial" w:cs="Arial" w:eastAsia="Arial" w:hAnsi="Arial"/>
          <w:sz w:val="17"/>
          <w:szCs w:val="17"/>
          <w:color w:val="auto"/>
        </w:rPr>
      </w:pPr>
      <w:r>
        <w:rPr>
          <w:rFonts w:ascii="Arial" w:cs="Arial" w:eastAsia="Arial" w:hAnsi="Arial"/>
          <w:sz w:val="17"/>
          <w:szCs w:val="17"/>
          <w:u w:val="single" w:color="auto"/>
          <w:color w:val="auto"/>
        </w:rPr>
        <w:t>Clawback Policy</w:t>
      </w:r>
      <w:r>
        <w:rPr>
          <w:rFonts w:ascii="Arial" w:cs="Arial" w:eastAsia="Arial" w:hAnsi="Arial"/>
          <w:sz w:val="17"/>
          <w:szCs w:val="17"/>
          <w:color w:val="auto"/>
        </w:rPr>
        <w:t>. A participant’s rights with respect to any Award hereunder shall in all events be subject to reduction, cancellation, forfeiture or recoupment to the extent necessary to comply with (i) any right that the Company may have under any Company clawback, forfeiture or recoupment policy as in effect from time to time or other agreement or arrangement with a grantee, or (ii) applicable law.</w:t>
      </w:r>
    </w:p>
    <w:p>
      <w:pPr>
        <w:spacing w:after="0" w:line="104"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7"/>
          <w:szCs w:val="17"/>
          <w:u w:val="single" w:color="auto"/>
          <w:color w:val="auto"/>
        </w:rPr>
        <w:t>EFFECTIVE DATE OF PLAN</w:t>
      </w:r>
    </w:p>
    <w:p>
      <w:pPr>
        <w:spacing w:after="0" w:line="158"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This Plan shall become effective upon the date immediately preceding the Registration Date following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95"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8"/>
          <w:szCs w:val="18"/>
          <w:color w:val="auto"/>
        </w:rPr>
        <w:t>SECTION 20.</w:t>
      </w:r>
      <w:r>
        <w:rPr>
          <w:sz w:val="20"/>
          <w:szCs w:val="20"/>
          <w:color w:val="auto"/>
        </w:rPr>
        <w:tab/>
      </w:r>
      <w:r>
        <w:rPr>
          <w:rFonts w:ascii="Arial" w:cs="Arial" w:eastAsia="Arial" w:hAnsi="Arial"/>
          <w:sz w:val="17"/>
          <w:szCs w:val="17"/>
          <w:u w:val="single" w:color="auto"/>
          <w:color w:val="auto"/>
        </w:rPr>
        <w:t>GOVERNING LAW</w:t>
      </w:r>
    </w:p>
    <w:p>
      <w:pPr>
        <w:spacing w:after="0" w:line="158" w:lineRule="exact"/>
        <w:rPr>
          <w:sz w:val="20"/>
          <w:szCs w:val="20"/>
          <w:color w:val="auto"/>
        </w:rPr>
      </w:pPr>
    </w:p>
    <w:p>
      <w:pPr>
        <w:jc w:val="both"/>
        <w:ind w:left="460" w:right="539" w:firstLine="432"/>
        <w:spacing w:after="0" w:line="279" w:lineRule="auto"/>
        <w:rPr>
          <w:sz w:val="20"/>
          <w:szCs w:val="20"/>
          <w:color w:val="auto"/>
        </w:rPr>
      </w:pPr>
      <w:r>
        <w:rPr>
          <w:rFonts w:ascii="Arial" w:cs="Arial" w:eastAsia="Arial" w:hAnsi="Arial"/>
          <w:sz w:val="17"/>
          <w:szCs w:val="17"/>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APPROVED BY BOARD OF DIRECTORS: _______________, 2021</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APPROVED BY STOCKHOLDERS: _______________, 2021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03" w:name="page504"/>
    <w:bookmarkEnd w:id="50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ANNEX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EMPLOYEE STOCK PURCHASE PLAN</w:t>
      </w:r>
    </w:p>
    <w:p>
      <w:pPr>
        <w:spacing w:after="0" w:line="148"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The purpose of the Tango Therapeutics, Inc. 2021 Employee Stock Purchase Plan (the “Plan”) is to provide eligible employees of Tango Therapeutics, Inc. (the “Company”) and each Designated Subsidiary (as defined in Section 11) with opportunities to purchase shares of the Company’s common stock, par value $0.001 per share (the “Common Stock”). An aggregate of shares of Common Stock have been approved and reserved for this purpose, plus on January 1, 2022, and each January 1 thereafter through January 1, 2031, the number of shares of Common Stock reserved and available for issuance under the Plan shall be cumulatively increased by the least of (i) one percent (1%) of the number of shares of Common Stock issued and outstanding on the immediately preceding December 31</w:t>
      </w:r>
      <w:r>
        <w:rPr>
          <w:rFonts w:ascii="Arial" w:cs="Arial" w:eastAsia="Arial" w:hAnsi="Arial"/>
          <w:sz w:val="18"/>
          <w:szCs w:val="18"/>
          <w:color w:val="auto"/>
          <w:vertAlign w:val="superscript"/>
        </w:rPr>
        <w:t>st</w:t>
      </w:r>
      <w:r>
        <w:rPr>
          <w:rFonts w:ascii="Arial" w:cs="Arial" w:eastAsia="Arial" w:hAnsi="Arial"/>
          <w:sz w:val="16"/>
          <w:szCs w:val="16"/>
          <w:color w:val="auto"/>
        </w:rPr>
        <w:t>, (ii) shares of Common Stock or (iii) such number of shares of Common Stock as determined by the Administrator. The Plan is intended to constitute an “employee stock purchase plan” within the meaning of Section 423(b) of the Internal Revenue Code of 1986, as amended (the “Code”), and shall be interpreted in accordance with that intent.</w:t>
      </w:r>
    </w:p>
    <w:p>
      <w:pPr>
        <w:spacing w:after="0" w:line="102" w:lineRule="exact"/>
        <w:rPr>
          <w:sz w:val="20"/>
          <w:szCs w:val="20"/>
          <w:color w:val="auto"/>
        </w:rPr>
      </w:pPr>
    </w:p>
    <w:p>
      <w:pPr>
        <w:ind w:left="460" w:right="599" w:firstLine="426"/>
        <w:spacing w:after="0" w:line="269" w:lineRule="auto"/>
        <w:tabs>
          <w:tab w:leader="none" w:pos="1252" w:val="left"/>
        </w:tabs>
        <w:numPr>
          <w:ilvl w:val="0"/>
          <w:numId w:val="541"/>
        </w:numPr>
        <w:rPr>
          <w:rFonts w:ascii="Arial" w:cs="Arial" w:eastAsia="Arial" w:hAnsi="Arial"/>
          <w:sz w:val="17"/>
          <w:szCs w:val="17"/>
          <w:color w:val="auto"/>
        </w:rPr>
      </w:pPr>
      <w:r>
        <w:rPr>
          <w:rFonts w:ascii="Arial" w:cs="Arial" w:eastAsia="Arial" w:hAnsi="Arial"/>
          <w:sz w:val="17"/>
          <w:szCs w:val="17"/>
          <w:u w:val="single" w:color="auto"/>
          <w:color w:val="auto"/>
        </w:rPr>
        <w:t>Administration</w:t>
      </w:r>
      <w:r>
        <w:rPr>
          <w:rFonts w:ascii="Arial" w:cs="Arial" w:eastAsia="Arial" w:hAnsi="Arial"/>
          <w:sz w:val="17"/>
          <w:szCs w:val="17"/>
          <w:color w:val="auto"/>
        </w:rPr>
        <w:t>. The Plan will be administered by the person or persons (the “Administrator”) appointed by the Company’s Board of Directors (the “Board”) for such purpose. The Administrator has authority at any time to: (i) adopt, alter and repeal such rules, guidelines and practices for the administration of the Plan and for its own acts and proceedings as it shall deem advisable; (ii) interpret the terms and provisions of the Plan; (iii) make all determinations it deems advisable for the administration of the Plan; (iv) decide all disputes arising in connection with the Plan; and (v) otherwise supervise the administration of the Plan. All interpretations and decisions of the Administrator shall be binding on all persons, including the Company and the Participants. No member of the Board or individual exercising administrative authority with respect to the Plan shall be liable for any action or determination made in good faith with respect to the Plan or any option granted hereunder.</w:t>
      </w:r>
    </w:p>
    <w:p>
      <w:pPr>
        <w:spacing w:after="0" w:line="117" w:lineRule="exact"/>
        <w:rPr>
          <w:rFonts w:ascii="Arial" w:cs="Arial" w:eastAsia="Arial" w:hAnsi="Arial"/>
          <w:sz w:val="17"/>
          <w:szCs w:val="17"/>
          <w:color w:val="auto"/>
        </w:rPr>
      </w:pPr>
    </w:p>
    <w:p>
      <w:pPr>
        <w:ind w:left="460" w:right="679" w:firstLine="426"/>
        <w:spacing w:after="0" w:line="255" w:lineRule="auto"/>
        <w:tabs>
          <w:tab w:leader="none" w:pos="1252" w:val="left"/>
        </w:tabs>
        <w:numPr>
          <w:ilvl w:val="0"/>
          <w:numId w:val="541"/>
        </w:numPr>
        <w:rPr>
          <w:rFonts w:ascii="Arial" w:cs="Arial" w:eastAsia="Arial" w:hAnsi="Arial"/>
          <w:sz w:val="18"/>
          <w:szCs w:val="18"/>
          <w:color w:val="auto"/>
        </w:rPr>
      </w:pPr>
      <w:r>
        <w:rPr>
          <w:rFonts w:ascii="Arial" w:cs="Arial" w:eastAsia="Arial" w:hAnsi="Arial"/>
          <w:sz w:val="18"/>
          <w:szCs w:val="18"/>
          <w:u w:val="single" w:color="auto"/>
          <w:color w:val="auto"/>
        </w:rPr>
        <w:t>Offerings</w:t>
      </w:r>
      <w:r>
        <w:rPr>
          <w:rFonts w:ascii="Arial" w:cs="Arial" w:eastAsia="Arial" w:hAnsi="Arial"/>
          <w:sz w:val="18"/>
          <w:szCs w:val="18"/>
          <w:color w:val="auto"/>
        </w:rPr>
        <w:t>. The Company may make one or more offerings to eligible employees to purchase Common Stock under the Plan (“Offerings”). Unless otherwise determined by the Administrator, an Offering will begin on the first business day occurring on or after each May 1 and November 1 and will end on the last business day occurring on or before the following October 31 and April 30 respectively. The Administrator may, in its discretion, designate a different period for any Offering, provided that no Offering shall exceed 27 months in duration.</w:t>
      </w:r>
    </w:p>
    <w:p>
      <w:pPr>
        <w:spacing w:after="0" w:line="111" w:lineRule="exact"/>
        <w:rPr>
          <w:rFonts w:ascii="Arial" w:cs="Arial" w:eastAsia="Arial" w:hAnsi="Arial"/>
          <w:sz w:val="18"/>
          <w:szCs w:val="18"/>
          <w:color w:val="auto"/>
        </w:rPr>
      </w:pPr>
    </w:p>
    <w:p>
      <w:pPr>
        <w:ind w:left="460" w:right="519" w:firstLine="426"/>
        <w:spacing w:after="0" w:line="285" w:lineRule="auto"/>
        <w:tabs>
          <w:tab w:leader="none" w:pos="1252" w:val="left"/>
        </w:tabs>
        <w:numPr>
          <w:ilvl w:val="0"/>
          <w:numId w:val="541"/>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All individuals classified as employees on the payroll records of the Company and each Designated Subsidiary are eligible to participate in any one or more of the Offerings under the Plan, provided that as of the first day of the applicable Offering (the “Offering Date”) they are customarily employed by the Company or a Designated Subsidiary for more than 20 hours a week and have completed at least thirty (30) days of employment. Notwithstanding any other provision herein, individuals who are not contemporaneously classified as employees of the Company or a Designated Subsidiary for purposes of the Company’s or applicable Designated Subsidiary’s payroll system are not considered to be eligible employees of the Company or any Designated Subsidiary and shall not be eligible to participate in the Plan. In the event any such individuals are reclassified as employees of the Company or a Designated Subsidiary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Subsidiary on the Company’s or Designated Subsidiary’s payroll system to become eligible to participate in this Plan is through an amendment to this Plan, duly executed by the Company, which specifically renders such individuals eligible to participate herein.</w:t>
      </w:r>
    </w:p>
    <w:p>
      <w:pPr>
        <w:spacing w:after="0" w:line="108" w:lineRule="exact"/>
        <w:rPr>
          <w:rFonts w:ascii="Arial" w:cs="Arial" w:eastAsia="Arial" w:hAnsi="Arial"/>
          <w:sz w:val="16"/>
          <w:szCs w:val="16"/>
          <w:color w:val="auto"/>
        </w:rPr>
      </w:pPr>
    </w:p>
    <w:p>
      <w:pPr>
        <w:ind w:left="1240" w:hanging="354"/>
        <w:spacing w:after="0"/>
        <w:tabs>
          <w:tab w:leader="none" w:pos="1240" w:val="left"/>
        </w:tabs>
        <w:numPr>
          <w:ilvl w:val="0"/>
          <w:numId w:val="541"/>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60" w:right="559" w:firstLine="858"/>
        <w:spacing w:after="0" w:line="259" w:lineRule="auto"/>
        <w:tabs>
          <w:tab w:leader="none" w:pos="1748" w:val="left"/>
        </w:tabs>
        <w:numPr>
          <w:ilvl w:val="1"/>
          <w:numId w:val="541"/>
        </w:numPr>
        <w:rPr>
          <w:rFonts w:ascii="Arial" w:cs="Arial" w:eastAsia="Arial" w:hAnsi="Arial"/>
          <w:sz w:val="18"/>
          <w:szCs w:val="18"/>
          <w:color w:val="auto"/>
        </w:rPr>
      </w:pPr>
      <w:r>
        <w:rPr>
          <w:rFonts w:ascii="Arial" w:cs="Arial" w:eastAsia="Arial" w:hAnsi="Arial"/>
          <w:sz w:val="18"/>
          <w:szCs w:val="18"/>
          <w:u w:val="single" w:color="auto"/>
          <w:color w:val="auto"/>
        </w:rPr>
        <w:t>Participants</w:t>
      </w:r>
      <w:r>
        <w:rPr>
          <w:rFonts w:ascii="Arial" w:cs="Arial" w:eastAsia="Arial" w:hAnsi="Arial"/>
          <w:sz w:val="18"/>
          <w:szCs w:val="18"/>
          <w:color w:val="auto"/>
        </w:rPr>
        <w:t>. An eligible employee who is not a Participant in any prior Offering may participate in a subsequent Offering by submitting an enrollment form to his or her appropriate payroll location at least 15 business days before the Offering Date (or by such other deadline as shall be established by the Administrator for the Offering).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04" w:name="page505"/>
    <w:bookmarkEnd w:id="50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firstLine="858"/>
        <w:spacing w:after="0" w:line="271" w:lineRule="auto"/>
        <w:tabs>
          <w:tab w:leader="none" w:pos="1759" w:val="left"/>
        </w:tabs>
        <w:numPr>
          <w:ilvl w:val="1"/>
          <w:numId w:val="542"/>
        </w:numPr>
        <w:rPr>
          <w:rFonts w:ascii="Arial" w:cs="Arial" w:eastAsia="Arial" w:hAnsi="Arial"/>
          <w:sz w:val="17"/>
          <w:szCs w:val="17"/>
          <w:color w:val="auto"/>
        </w:rPr>
      </w:pPr>
      <w:r>
        <w:rPr>
          <w:rFonts w:ascii="Arial" w:cs="Arial" w:eastAsia="Arial" w:hAnsi="Arial"/>
          <w:sz w:val="17"/>
          <w:szCs w:val="17"/>
          <w:u w:val="single" w:color="auto"/>
          <w:color w:val="auto"/>
        </w:rPr>
        <w:t>Enrollment</w:t>
      </w:r>
      <w:r>
        <w:rPr>
          <w:rFonts w:ascii="Arial" w:cs="Arial" w:eastAsia="Arial" w:hAnsi="Arial"/>
          <w:sz w:val="17"/>
          <w:szCs w:val="17"/>
          <w:color w:val="auto"/>
        </w:rPr>
        <w:t>. The enrollment form will (a) state a whole percentage to be deducted from an eligible employee’s Compensation (as defined in Section 11) per pay period, (b) authorize the purchase of Common Stock in each Offering in accordance with the terms of the Plan and (c) specify the exact name or names in which shares of Common Stock purchased for such individual are to be issued pursuant to Section 10. An employee who does not enroll in accordance with these procedures will be deemed to have waived the right to participate. Unless a Participant files a new enrollment form or withdraws from the Plan, such Participant’s deductions and purchases will continue at the same percentage of Compensation for future Offerings, provided he or she remains eligible.</w:t>
      </w:r>
    </w:p>
    <w:p>
      <w:pPr>
        <w:spacing w:after="0" w:line="110" w:lineRule="exact"/>
        <w:rPr>
          <w:rFonts w:ascii="Arial" w:cs="Arial" w:eastAsia="Arial" w:hAnsi="Arial"/>
          <w:sz w:val="17"/>
          <w:szCs w:val="17"/>
          <w:color w:val="auto"/>
        </w:rPr>
      </w:pPr>
    </w:p>
    <w:p>
      <w:pPr>
        <w:ind w:left="460" w:right="939" w:firstLine="858"/>
        <w:spacing w:after="0" w:line="277" w:lineRule="auto"/>
        <w:tabs>
          <w:tab w:leader="none" w:pos="1749" w:val="left"/>
        </w:tabs>
        <w:numPr>
          <w:ilvl w:val="1"/>
          <w:numId w:val="542"/>
        </w:numPr>
        <w:rPr>
          <w:rFonts w:ascii="Arial" w:cs="Arial" w:eastAsia="Arial" w:hAnsi="Arial"/>
          <w:sz w:val="18"/>
          <w:szCs w:val="18"/>
          <w:color w:val="auto"/>
        </w:rPr>
      </w:pPr>
      <w:r>
        <w:rPr>
          <w:rFonts w:ascii="Arial" w:cs="Arial" w:eastAsia="Arial" w:hAnsi="Arial"/>
          <w:sz w:val="18"/>
          <w:szCs w:val="18"/>
          <w:color w:val="auto"/>
        </w:rPr>
        <w:t>Notwithstanding the foregoing, participation in the Plan will neither be permitted nor be denied contrary to the requirements of the Code.</w:t>
      </w:r>
    </w:p>
    <w:p>
      <w:pPr>
        <w:spacing w:after="0" w:line="102" w:lineRule="exact"/>
        <w:rPr>
          <w:rFonts w:ascii="Arial" w:cs="Arial" w:eastAsia="Arial" w:hAnsi="Arial"/>
          <w:sz w:val="18"/>
          <w:szCs w:val="18"/>
          <w:color w:val="auto"/>
        </w:rPr>
      </w:pPr>
    </w:p>
    <w:p>
      <w:pPr>
        <w:jc w:val="both"/>
        <w:ind w:left="460" w:right="519" w:firstLine="426"/>
        <w:spacing w:after="0" w:line="279" w:lineRule="auto"/>
        <w:tabs>
          <w:tab w:leader="none" w:pos="1252" w:val="left"/>
        </w:tabs>
        <w:numPr>
          <w:ilvl w:val="0"/>
          <w:numId w:val="543"/>
        </w:numPr>
        <w:rPr>
          <w:rFonts w:ascii="Arial" w:cs="Arial" w:eastAsia="Arial" w:hAnsi="Arial"/>
          <w:sz w:val="17"/>
          <w:szCs w:val="17"/>
          <w:color w:val="auto"/>
        </w:rPr>
      </w:pPr>
      <w:r>
        <w:rPr>
          <w:rFonts w:ascii="Arial" w:cs="Arial" w:eastAsia="Arial" w:hAnsi="Arial"/>
          <w:sz w:val="17"/>
          <w:szCs w:val="17"/>
          <w:u w:val="single" w:color="auto"/>
          <w:color w:val="auto"/>
        </w:rPr>
        <w:t>Employee Contributions</w:t>
      </w:r>
      <w:r>
        <w:rPr>
          <w:rFonts w:ascii="Arial" w:cs="Arial" w:eastAsia="Arial" w:hAnsi="Arial"/>
          <w:sz w:val="17"/>
          <w:szCs w:val="17"/>
          <w:color w:val="auto"/>
        </w:rPr>
        <w:t>. Each eligible employee may authorize payroll deductions at a minimum of one (1) percent up to a maximum of fifteen (15) percent of such employee’s Compensation for each pay period. The Company will maintain book accounts showing the amount of payroll deductions made by each Participant for each Offering. No interest will accrue or be paid on payroll deductions.</w:t>
      </w:r>
    </w:p>
    <w:p>
      <w:pPr>
        <w:spacing w:after="0" w:line="90" w:lineRule="exact"/>
        <w:rPr>
          <w:rFonts w:ascii="Arial" w:cs="Arial" w:eastAsia="Arial" w:hAnsi="Arial"/>
          <w:sz w:val="17"/>
          <w:szCs w:val="17"/>
          <w:color w:val="auto"/>
        </w:rPr>
      </w:pPr>
    </w:p>
    <w:p>
      <w:pPr>
        <w:ind w:left="460" w:right="479" w:firstLine="426"/>
        <w:spacing w:after="0" w:line="254" w:lineRule="auto"/>
        <w:tabs>
          <w:tab w:leader="none" w:pos="1252" w:val="left"/>
        </w:tabs>
        <w:numPr>
          <w:ilvl w:val="0"/>
          <w:numId w:val="543"/>
        </w:numPr>
        <w:rPr>
          <w:rFonts w:ascii="Arial" w:cs="Arial" w:eastAsia="Arial" w:hAnsi="Arial"/>
          <w:sz w:val="18"/>
          <w:szCs w:val="18"/>
          <w:color w:val="auto"/>
        </w:rPr>
      </w:pPr>
      <w:r>
        <w:rPr>
          <w:rFonts w:ascii="Arial" w:cs="Arial" w:eastAsia="Arial" w:hAnsi="Arial"/>
          <w:sz w:val="18"/>
          <w:szCs w:val="18"/>
          <w:u w:val="single" w:color="auto"/>
          <w:color w:val="auto"/>
        </w:rPr>
        <w:t>Deduction Changes</w:t>
      </w:r>
      <w:r>
        <w:rPr>
          <w:rFonts w:ascii="Arial" w:cs="Arial" w:eastAsia="Arial" w:hAnsi="Arial"/>
          <w:sz w:val="18"/>
          <w:szCs w:val="18"/>
          <w:color w:val="auto"/>
        </w:rPr>
        <w:t>. Except as may be determined by the Administrator in advance of an Offering, a Participant may not increase or decrease his or her payroll deduction during any Offering, but may increase or decrease his or her payroll deduction with respect to the next Offering (subject to the limitations of Section 5) by filing a new enrollment form at least fifteen (15) business days before the next Offering Date (or by such other deadline as shall be established by the Administrator for the Offering). The Administrator may, in advance of any Offering, establish rules permitting a Participant to increase, decrease or terminate his or her payroll deduction during an Offering.</w:t>
      </w:r>
    </w:p>
    <w:p>
      <w:pPr>
        <w:spacing w:after="0" w:line="127" w:lineRule="exact"/>
        <w:rPr>
          <w:rFonts w:ascii="Arial" w:cs="Arial" w:eastAsia="Arial" w:hAnsi="Arial"/>
          <w:sz w:val="18"/>
          <w:szCs w:val="18"/>
          <w:color w:val="auto"/>
        </w:rPr>
      </w:pPr>
    </w:p>
    <w:p>
      <w:pPr>
        <w:ind w:left="460" w:right="479" w:firstLine="426"/>
        <w:spacing w:after="0" w:line="254" w:lineRule="auto"/>
        <w:tabs>
          <w:tab w:leader="none" w:pos="1252" w:val="left"/>
        </w:tabs>
        <w:numPr>
          <w:ilvl w:val="0"/>
          <w:numId w:val="543"/>
        </w:numPr>
        <w:rPr>
          <w:rFonts w:ascii="Arial" w:cs="Arial" w:eastAsia="Arial" w:hAnsi="Arial"/>
          <w:sz w:val="18"/>
          <w:szCs w:val="18"/>
          <w:color w:val="auto"/>
        </w:rPr>
      </w:pPr>
      <w:r>
        <w:rPr>
          <w:rFonts w:ascii="Arial" w:cs="Arial" w:eastAsia="Arial" w:hAnsi="Arial"/>
          <w:sz w:val="18"/>
          <w:szCs w:val="18"/>
          <w:u w:val="single" w:color="auto"/>
          <w:color w:val="auto"/>
        </w:rPr>
        <w:t>Withdrawal</w:t>
      </w:r>
      <w:r>
        <w:rPr>
          <w:rFonts w:ascii="Arial" w:cs="Arial" w:eastAsia="Arial" w:hAnsi="Arial"/>
          <w:sz w:val="18"/>
          <w:szCs w:val="18"/>
          <w:color w:val="auto"/>
        </w:rPr>
        <w:t>. A Participant may withdraw from participation in the Plan by delivering a written notice of withdrawal to his or her appropriate payroll location. The Participant’s withdrawal will be effective as of the next business day. Following a Participant’s withdrawal, the Company will promptly refund such individual’s entire account balance under the Plan to him or her (after payment for any Common Stock purchased before the effective date of withdrawal). Partial withdrawals are not permitted. Such an employee may not begin participation again during the remainder of the Offering, but may enroll in a subsequent Offering in accordance with Section 4.</w:t>
      </w:r>
    </w:p>
    <w:p>
      <w:pPr>
        <w:spacing w:after="0" w:line="127" w:lineRule="exact"/>
        <w:rPr>
          <w:rFonts w:ascii="Arial" w:cs="Arial" w:eastAsia="Arial" w:hAnsi="Arial"/>
          <w:sz w:val="18"/>
          <w:szCs w:val="18"/>
          <w:color w:val="auto"/>
        </w:rPr>
      </w:pPr>
    </w:p>
    <w:p>
      <w:pPr>
        <w:ind w:left="460" w:right="559" w:firstLine="426"/>
        <w:spacing w:after="0" w:line="287" w:lineRule="auto"/>
        <w:tabs>
          <w:tab w:leader="none" w:pos="1252" w:val="left"/>
        </w:tabs>
        <w:numPr>
          <w:ilvl w:val="0"/>
          <w:numId w:val="543"/>
        </w:numPr>
        <w:rPr>
          <w:rFonts w:ascii="Arial" w:cs="Arial" w:eastAsia="Arial" w:hAnsi="Arial"/>
          <w:sz w:val="16"/>
          <w:szCs w:val="16"/>
          <w:color w:val="auto"/>
        </w:rPr>
      </w:pPr>
      <w:r>
        <w:rPr>
          <w:rFonts w:ascii="Arial" w:cs="Arial" w:eastAsia="Arial" w:hAnsi="Arial"/>
          <w:sz w:val="16"/>
          <w:szCs w:val="16"/>
          <w:u w:val="single" w:color="auto"/>
          <w:color w:val="auto"/>
        </w:rPr>
        <w:t>Grant of Options</w:t>
      </w:r>
      <w:r>
        <w:rPr>
          <w:rFonts w:ascii="Arial" w:cs="Arial" w:eastAsia="Arial" w:hAnsi="Arial"/>
          <w:sz w:val="16"/>
          <w:szCs w:val="16"/>
          <w:color w:val="auto"/>
        </w:rPr>
        <w:t>. On each Offering Date, the Company will grant to each eligible employee who is then a Participant in the Plan an option (“Option”) to purchase on the last day of such Offering (the “Exercise Date”), at the Option Price hereinafter provided for, the lowest of (a) a number of shares of Common Stock determined by dividing such Participant’s accumulated payroll deductions on such Exercise Date by the Option Price (as defined herein), (b) the number of shares determined by dividing $25,000 by the Fair Market Value of the Common Stock on the Offering Date for such Offering; or (c) such other lesser maximum number of shares as shall have been established by the Administrator in advance of the Offering; provided, however, that such Option shall be subject to the limitations set forth below. Each Participant’s Option shall be exercisable only to the extent of such Participant’s accumulated payroll deductions on the Exercise Date. The purchase price for each share purchased under each Option (the “Option Price”) will be at a maximum discount of 15 percent of the Fair Market Value of the Common Stock on the Offering Date or the Exercise Date, whichever is less.</w:t>
      </w:r>
    </w:p>
    <w:p>
      <w:pPr>
        <w:spacing w:after="0" w:line="91"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Notwithstanding the foregoing, no Participant may be granted an option hereunder if such Participant, immediately after the option was granted, would be treated as owning stock possessing five (5) percent or more of the total combined voting power or value of all classes of stock of the Company or any Parent or Subsidiary (as defined in Section 11). For purposes of the preceding sentence, the attribution rules of Section 424(d) of the Code shall apply in determining the stock ownership of a Participant, and all stock which the Participant has a contractual right to purchase shall be treated as stock owned by the Participant. In addition, no Participant may be granted an Option which permits his or her rights to purchase stock under the Plan, and any other employee stock purchase plan of the Company and its Parents and Subsidiaries, to accrue at a rate which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spacing w:after="0" w:line="100" w:lineRule="exact"/>
        <w:rPr>
          <w:sz w:val="20"/>
          <w:szCs w:val="20"/>
          <w:color w:val="auto"/>
        </w:rPr>
      </w:pPr>
    </w:p>
    <w:p>
      <w:pPr>
        <w:ind w:left="460" w:right="619" w:firstLine="426"/>
        <w:spacing w:after="0" w:line="259" w:lineRule="auto"/>
        <w:tabs>
          <w:tab w:leader="none" w:pos="1252" w:val="left"/>
        </w:tabs>
        <w:numPr>
          <w:ilvl w:val="0"/>
          <w:numId w:val="544"/>
        </w:numPr>
        <w:rPr>
          <w:rFonts w:ascii="Arial" w:cs="Arial" w:eastAsia="Arial" w:hAnsi="Arial"/>
          <w:sz w:val="18"/>
          <w:szCs w:val="18"/>
          <w:color w:val="auto"/>
        </w:rPr>
      </w:pPr>
      <w:r>
        <w:rPr>
          <w:rFonts w:ascii="Arial" w:cs="Arial" w:eastAsia="Arial" w:hAnsi="Arial"/>
          <w:sz w:val="18"/>
          <w:szCs w:val="18"/>
          <w:u w:val="single" w:color="auto"/>
          <w:color w:val="auto"/>
        </w:rPr>
        <w:t>Exercise of Option and Purchase of Shares</w:t>
      </w:r>
      <w:r>
        <w:rPr>
          <w:rFonts w:ascii="Arial" w:cs="Arial" w:eastAsia="Arial" w:hAnsi="Arial"/>
          <w:sz w:val="18"/>
          <w:szCs w:val="18"/>
          <w:color w:val="auto"/>
        </w:rPr>
        <w:t>. Each employee who continues to be a Participant in the Plan on the Exercise Date shall be deemed to have exercised his or her Option on such date and shall acquire from the Company such number of whole shares of Common Stock reserved for the purpose of the Plan as his or her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05" w:name="page506"/>
    <w:bookmarkEnd w:id="50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spacing w:after="0" w:line="257" w:lineRule="auto"/>
        <w:rPr>
          <w:sz w:val="20"/>
          <w:szCs w:val="20"/>
          <w:color w:val="auto"/>
        </w:rPr>
      </w:pPr>
      <w:r>
        <w:rPr>
          <w:rFonts w:ascii="Arial" w:cs="Arial" w:eastAsia="Arial" w:hAnsi="Arial"/>
          <w:sz w:val="18"/>
          <w:szCs w:val="18"/>
          <w:color w:val="auto"/>
        </w:rPr>
        <w:t>accumulated payroll deductions on such date will purchase at the Option Price, subject to any other limitations contained in the Plan. Any amount remaining in a Participant’s account at the end of an Offering solely by reason of the inability to purchase a fractional share will be carried forward to the next Offering; any other balance remaining in a Participant’s account at the end of an Offering will be refunded to the Participant promptly.</w:t>
      </w:r>
    </w:p>
    <w:p>
      <w:pPr>
        <w:spacing w:after="0" w:line="120" w:lineRule="exact"/>
        <w:rPr>
          <w:sz w:val="20"/>
          <w:szCs w:val="20"/>
          <w:color w:val="auto"/>
        </w:rPr>
      </w:pPr>
    </w:p>
    <w:p>
      <w:pPr>
        <w:ind w:left="460" w:right="459" w:firstLine="426"/>
        <w:spacing w:after="0" w:line="301" w:lineRule="auto"/>
        <w:tabs>
          <w:tab w:leader="none" w:pos="1342" w:val="left"/>
        </w:tabs>
        <w:numPr>
          <w:ilvl w:val="0"/>
          <w:numId w:val="545"/>
        </w:numPr>
        <w:rPr>
          <w:rFonts w:ascii="Arial" w:cs="Arial" w:eastAsia="Arial" w:hAnsi="Arial"/>
          <w:sz w:val="16"/>
          <w:szCs w:val="16"/>
          <w:color w:val="auto"/>
        </w:rPr>
      </w:pPr>
      <w:r>
        <w:rPr>
          <w:rFonts w:ascii="Arial" w:cs="Arial" w:eastAsia="Arial" w:hAnsi="Arial"/>
          <w:sz w:val="16"/>
          <w:szCs w:val="16"/>
          <w:u w:val="single" w:color="auto"/>
          <w:color w:val="auto"/>
        </w:rPr>
        <w:t>Issuance of Certificates</w:t>
      </w:r>
      <w:r>
        <w:rPr>
          <w:rFonts w:ascii="Arial" w:cs="Arial" w:eastAsia="Arial" w:hAnsi="Arial"/>
          <w:sz w:val="16"/>
          <w:szCs w:val="16"/>
          <w:color w:val="auto"/>
        </w:rPr>
        <w:t>. Certificates or book-entries at the Company’s transfer agent representing shares of Common Stock purchased under the Plan may be issued only in the name of the employee, in the name of the employee and another person of legal age as joint tenants with rights of survivorship, or in the name of a broker authorized by the employee to be his, her or their, nominee for such purpose.</w:t>
      </w:r>
    </w:p>
    <w:p>
      <w:pPr>
        <w:spacing w:after="0" w:line="89" w:lineRule="exact"/>
        <w:rPr>
          <w:rFonts w:ascii="Arial" w:cs="Arial" w:eastAsia="Arial" w:hAnsi="Arial"/>
          <w:sz w:val="16"/>
          <w:szCs w:val="16"/>
          <w:color w:val="auto"/>
        </w:rPr>
      </w:pPr>
    </w:p>
    <w:p>
      <w:pPr>
        <w:ind w:left="1320" w:hanging="434"/>
        <w:spacing w:after="0"/>
        <w:tabs>
          <w:tab w:leader="none" w:pos="1320" w:val="left"/>
        </w:tabs>
        <w:numPr>
          <w:ilvl w:val="0"/>
          <w:numId w:val="54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44" w:lineRule="exact"/>
        <w:rPr>
          <w:sz w:val="20"/>
          <w:szCs w:val="20"/>
          <w:color w:val="auto"/>
        </w:rPr>
      </w:pPr>
    </w:p>
    <w:p>
      <w:pPr>
        <w:ind w:left="460" w:right="739" w:firstLine="432"/>
        <w:spacing w:after="0" w:line="342" w:lineRule="auto"/>
        <w:rPr>
          <w:sz w:val="20"/>
          <w:szCs w:val="20"/>
          <w:color w:val="auto"/>
        </w:rPr>
      </w:pPr>
      <w:r>
        <w:rPr>
          <w:rFonts w:ascii="Arial" w:cs="Arial" w:eastAsia="Arial" w:hAnsi="Arial"/>
          <w:sz w:val="16"/>
          <w:szCs w:val="16"/>
          <w:color w:val="auto"/>
        </w:rPr>
        <w:t>The term “Closing Date” means the date of the closing of the transactions contemplated by that certain Merger Agreement, dated as of April 13, 2021, by and among the Company and the other parties thereto.</w:t>
      </w:r>
    </w:p>
    <w:p>
      <w:pPr>
        <w:spacing w:after="0" w:line="5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term “Compensation” means the regular salary or basic hourly rate of compensation.</w:t>
      </w:r>
    </w:p>
    <w:p>
      <w:pPr>
        <w:spacing w:after="0" w:line="158" w:lineRule="exact"/>
        <w:rPr>
          <w:sz w:val="20"/>
          <w:szCs w:val="20"/>
          <w:color w:val="auto"/>
        </w:rPr>
      </w:pPr>
    </w:p>
    <w:p>
      <w:pPr>
        <w:ind w:left="460" w:right="619" w:firstLine="432"/>
        <w:spacing w:after="0" w:line="301" w:lineRule="auto"/>
        <w:rPr>
          <w:sz w:val="20"/>
          <w:szCs w:val="20"/>
          <w:color w:val="auto"/>
        </w:rPr>
      </w:pPr>
      <w:r>
        <w:rPr>
          <w:rFonts w:ascii="Arial" w:cs="Arial" w:eastAsia="Arial" w:hAnsi="Arial"/>
          <w:sz w:val="16"/>
          <w:szCs w:val="16"/>
          <w:color w:val="auto"/>
        </w:rPr>
        <w:t>The term “Designated Subsidiary” means any present or future Subsidiary (as defined below) that has been designated by the Board to participate in the Plan. The Board may so designate any Subsidiary, or revoke any such designation, at any time and from time to time, either before or after the Plan is approved by the stockholders. The current list of Designated Subsidiaries is attached hereto as Appendix A.</w:t>
      </w:r>
    </w:p>
    <w:p>
      <w:pPr>
        <w:spacing w:after="0" w:line="76"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The term “Fair Market Value of the Common Stock” on any given date means the fair market value of the Common Stock determined in good faith by the Administrator; provided, however, that if the Common Stock is admitted to quotation on the National Association of Securities Dealers Automated Quotation System (“Nasdaq”), the Nasdaq Global Market, The New York Stock Exchange or another national securities exchange, the determination shall be made by reference to the closing price on such date. If there is no closing price for such date, the determination shall be made by reference to the last date preceding such date for which there is a closing price.</w:t>
      </w:r>
    </w:p>
    <w:p>
      <w:pPr>
        <w:spacing w:after="0" w:line="127" w:lineRule="exact"/>
        <w:rPr>
          <w:sz w:val="20"/>
          <w:szCs w:val="20"/>
          <w:color w:val="auto"/>
        </w:rPr>
      </w:pPr>
    </w:p>
    <w:p>
      <w:pPr>
        <w:ind w:left="460" w:right="1539" w:firstLine="432"/>
        <w:spacing w:after="0" w:line="277" w:lineRule="auto"/>
        <w:rPr>
          <w:sz w:val="20"/>
          <w:szCs w:val="20"/>
          <w:color w:val="auto"/>
        </w:rPr>
      </w:pPr>
      <w:r>
        <w:rPr>
          <w:rFonts w:ascii="Arial" w:cs="Arial" w:eastAsia="Arial" w:hAnsi="Arial"/>
          <w:sz w:val="18"/>
          <w:szCs w:val="18"/>
          <w:color w:val="auto"/>
        </w:rPr>
        <w:t>The term “Parent” means a “parent corporation” with respect to the Company, as defined in Section 424(e) of the Code.</w:t>
      </w:r>
    </w:p>
    <w:p>
      <w:pPr>
        <w:spacing w:after="0" w:line="103" w:lineRule="exact"/>
        <w:rPr>
          <w:sz w:val="20"/>
          <w:szCs w:val="20"/>
          <w:color w:val="auto"/>
        </w:rPr>
      </w:pPr>
    </w:p>
    <w:p>
      <w:pPr>
        <w:ind w:left="460" w:right="999" w:firstLine="432"/>
        <w:spacing w:after="0" w:line="277" w:lineRule="auto"/>
        <w:rPr>
          <w:sz w:val="20"/>
          <w:szCs w:val="20"/>
          <w:color w:val="auto"/>
        </w:rPr>
      </w:pPr>
      <w:r>
        <w:rPr>
          <w:rFonts w:ascii="Arial" w:cs="Arial" w:eastAsia="Arial" w:hAnsi="Arial"/>
          <w:sz w:val="18"/>
          <w:szCs w:val="18"/>
          <w:color w:val="auto"/>
        </w:rPr>
        <w:t>The term “Participant” means an individual who is eligible as determined in Section 3 and who has complied with the provisions of Section 4.</w:t>
      </w:r>
    </w:p>
    <w:p>
      <w:pPr>
        <w:spacing w:after="0" w:line="89"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The term “Subsidiary” means a “subsidiary corporation” with respect to the Company, as defined in Section 424(f) of the Code.</w:t>
      </w:r>
    </w:p>
    <w:p>
      <w:pPr>
        <w:spacing w:after="0" w:line="103" w:lineRule="exact"/>
        <w:rPr>
          <w:sz w:val="20"/>
          <w:szCs w:val="20"/>
          <w:color w:val="auto"/>
        </w:rPr>
      </w:pPr>
    </w:p>
    <w:p>
      <w:pPr>
        <w:ind w:left="460" w:right="479" w:firstLine="426"/>
        <w:spacing w:after="0" w:line="287" w:lineRule="auto"/>
        <w:tabs>
          <w:tab w:leader="none" w:pos="1342" w:val="left"/>
        </w:tabs>
        <w:numPr>
          <w:ilvl w:val="0"/>
          <w:numId w:val="546"/>
        </w:numPr>
        <w:rPr>
          <w:rFonts w:ascii="Arial" w:cs="Arial" w:eastAsia="Arial" w:hAnsi="Arial"/>
          <w:sz w:val="16"/>
          <w:szCs w:val="16"/>
          <w:color w:val="auto"/>
        </w:rPr>
      </w:pPr>
      <w:r>
        <w:rPr>
          <w:rFonts w:ascii="Arial" w:cs="Arial" w:eastAsia="Arial" w:hAnsi="Arial"/>
          <w:sz w:val="16"/>
          <w:szCs w:val="16"/>
          <w:u w:val="single" w:color="auto"/>
          <w:color w:val="auto"/>
        </w:rPr>
        <w:t>Rights on Termination of Employment</w:t>
      </w:r>
      <w:r>
        <w:rPr>
          <w:rFonts w:ascii="Arial" w:cs="Arial" w:eastAsia="Arial" w:hAnsi="Arial"/>
          <w:sz w:val="16"/>
          <w:szCs w:val="16"/>
          <w:color w:val="auto"/>
        </w:rPr>
        <w:t>. If a Participant’s employment terminates for any reason before the Exercise Date for any Offering, no payroll deduction will be taken from any pay due and owing to the Participant and the balance in the Participant’s account will be paid to such Participant or, in the case of such Participant’s death, to his or her designated beneficiary as if such Participant had withdrawn from the Plan under Section 7. An employee will be deemed to have terminated employment, for this purpose, if the corporation that employs him or her, having been a Designated Subsidiary, ceases to be a Subsidiary, or if the employee is transferred to any corporation other than the Company or a Designated Subsidiary.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spacing w:after="0" w:line="104" w:lineRule="exact"/>
        <w:rPr>
          <w:rFonts w:ascii="Arial" w:cs="Arial" w:eastAsia="Arial" w:hAnsi="Arial"/>
          <w:sz w:val="16"/>
          <w:szCs w:val="16"/>
          <w:color w:val="auto"/>
        </w:rPr>
      </w:pPr>
    </w:p>
    <w:p>
      <w:pPr>
        <w:ind w:left="460" w:right="519" w:firstLine="426"/>
        <w:spacing w:after="0" w:line="254" w:lineRule="auto"/>
        <w:tabs>
          <w:tab w:leader="none" w:pos="1342" w:val="left"/>
        </w:tabs>
        <w:numPr>
          <w:ilvl w:val="0"/>
          <w:numId w:val="546"/>
        </w:numPr>
        <w:rPr>
          <w:rFonts w:ascii="Arial" w:cs="Arial" w:eastAsia="Arial" w:hAnsi="Arial"/>
          <w:sz w:val="18"/>
          <w:szCs w:val="18"/>
          <w:color w:val="auto"/>
        </w:rPr>
      </w:pPr>
      <w:r>
        <w:rPr>
          <w:rFonts w:ascii="Arial" w:cs="Arial" w:eastAsia="Arial" w:hAnsi="Arial"/>
          <w:sz w:val="18"/>
          <w:szCs w:val="18"/>
          <w:u w:val="single" w:color="auto"/>
          <w:color w:val="auto"/>
        </w:rPr>
        <w:t>Special Rules</w:t>
      </w:r>
      <w:r>
        <w:rPr>
          <w:rFonts w:ascii="Arial" w:cs="Arial" w:eastAsia="Arial" w:hAnsi="Arial"/>
          <w:sz w:val="18"/>
          <w:szCs w:val="18"/>
          <w:color w:val="auto"/>
        </w:rPr>
        <w:t>. Notwithstanding anything herein to the contrary, the Administrator may adopt special rules applicable to the employees of a particular Designated Subsidiary, whenever the Administrator determines that such rules are necessary or appropriate for the implementation of the Plan in a jurisdiction where such Designated Subsidiary has employees; provided that such rules are consistent with the requirements of Section 423(b) of the Code. Any special rules established pursuant to this Section 13 shall, to the extent possible, result in the employees subject to such rules having substantially the same rights as other Participants in the Plan.</w:t>
      </w:r>
    </w:p>
    <w:p>
      <w:pPr>
        <w:spacing w:after="0" w:line="113" w:lineRule="exact"/>
        <w:rPr>
          <w:rFonts w:ascii="Arial" w:cs="Arial" w:eastAsia="Arial" w:hAnsi="Arial"/>
          <w:sz w:val="18"/>
          <w:szCs w:val="18"/>
          <w:color w:val="auto"/>
        </w:rPr>
      </w:pPr>
    </w:p>
    <w:p>
      <w:pPr>
        <w:ind w:left="460" w:right="659" w:firstLine="426"/>
        <w:spacing w:after="0" w:line="311" w:lineRule="auto"/>
        <w:tabs>
          <w:tab w:leader="none" w:pos="1342" w:val="left"/>
        </w:tabs>
        <w:numPr>
          <w:ilvl w:val="0"/>
          <w:numId w:val="546"/>
        </w:numPr>
        <w:rPr>
          <w:rFonts w:ascii="Arial" w:cs="Arial" w:eastAsia="Arial" w:hAnsi="Arial"/>
          <w:sz w:val="16"/>
          <w:szCs w:val="16"/>
          <w:color w:val="auto"/>
        </w:rPr>
      </w:pPr>
      <w:r>
        <w:rPr>
          <w:rFonts w:ascii="Arial" w:cs="Arial" w:eastAsia="Arial" w:hAnsi="Arial"/>
          <w:sz w:val="16"/>
          <w:szCs w:val="16"/>
          <w:u w:val="single" w:color="auto"/>
          <w:color w:val="auto"/>
        </w:rPr>
        <w:t>Optionees Not Stockholders</w:t>
      </w:r>
      <w:r>
        <w:rPr>
          <w:rFonts w:ascii="Arial" w:cs="Arial" w:eastAsia="Arial" w:hAnsi="Arial"/>
          <w:sz w:val="16"/>
          <w:szCs w:val="16"/>
          <w:color w:val="auto"/>
        </w:rPr>
        <w:t>. Neither the granting of an Option to a Participant nor the deductions from his or her pay shall constitute such Participant a holder of the shares of Common Stock covered by an Option under the Plan until such shares have been purchased by and issued to him or her.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06" w:name="page507"/>
    <w:bookmarkEnd w:id="50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99" w:firstLine="426"/>
        <w:spacing w:after="0" w:line="263" w:lineRule="auto"/>
        <w:tabs>
          <w:tab w:leader="none" w:pos="1342" w:val="left"/>
        </w:tabs>
        <w:numPr>
          <w:ilvl w:val="0"/>
          <w:numId w:val="547"/>
        </w:numPr>
        <w:rPr>
          <w:rFonts w:ascii="Arial" w:cs="Arial" w:eastAsia="Arial" w:hAnsi="Arial"/>
          <w:sz w:val="18"/>
          <w:szCs w:val="18"/>
          <w:color w:val="auto"/>
        </w:rPr>
      </w:pPr>
      <w:r>
        <w:rPr>
          <w:rFonts w:ascii="Arial" w:cs="Arial" w:eastAsia="Arial" w:hAnsi="Arial"/>
          <w:sz w:val="18"/>
          <w:szCs w:val="18"/>
          <w:u w:val="single" w:color="auto"/>
          <w:color w:val="auto"/>
        </w:rPr>
        <w:t>Rights Not Transferable</w:t>
      </w:r>
      <w:r>
        <w:rPr>
          <w:rFonts w:ascii="Arial" w:cs="Arial" w:eastAsia="Arial" w:hAnsi="Arial"/>
          <w:sz w:val="18"/>
          <w:szCs w:val="18"/>
          <w:color w:val="auto"/>
        </w:rPr>
        <w:t>. Rights under the Plan are not transferable by a Participant other than by will or the laws of descent and distribution, and are exercisable during the Participant’s lifetime only by the Participant.</w:t>
      </w:r>
    </w:p>
    <w:p>
      <w:pPr>
        <w:spacing w:after="0" w:line="116" w:lineRule="exact"/>
        <w:rPr>
          <w:rFonts w:ascii="Arial" w:cs="Arial" w:eastAsia="Arial" w:hAnsi="Arial"/>
          <w:sz w:val="18"/>
          <w:szCs w:val="18"/>
          <w:color w:val="auto"/>
        </w:rPr>
      </w:pPr>
    </w:p>
    <w:p>
      <w:pPr>
        <w:ind w:left="460" w:right="539" w:firstLine="426"/>
        <w:spacing w:after="0" w:line="277" w:lineRule="auto"/>
        <w:tabs>
          <w:tab w:leader="none" w:pos="1342" w:val="left"/>
        </w:tabs>
        <w:numPr>
          <w:ilvl w:val="0"/>
          <w:numId w:val="547"/>
        </w:numPr>
        <w:rPr>
          <w:rFonts w:ascii="Arial" w:cs="Arial" w:eastAsia="Arial" w:hAnsi="Arial"/>
          <w:sz w:val="18"/>
          <w:szCs w:val="18"/>
          <w:color w:val="auto"/>
        </w:rPr>
      </w:pPr>
      <w:r>
        <w:rPr>
          <w:rFonts w:ascii="Arial" w:cs="Arial" w:eastAsia="Arial" w:hAnsi="Arial"/>
          <w:sz w:val="18"/>
          <w:szCs w:val="18"/>
          <w:u w:val="single" w:color="auto"/>
          <w:color w:val="auto"/>
        </w:rPr>
        <w:t>Application of Funds</w:t>
      </w:r>
      <w:r>
        <w:rPr>
          <w:rFonts w:ascii="Arial" w:cs="Arial" w:eastAsia="Arial" w:hAnsi="Arial"/>
          <w:sz w:val="18"/>
          <w:szCs w:val="18"/>
          <w:color w:val="auto"/>
        </w:rPr>
        <w:t>. All funds received or held by the Company under the Plan may be combined with other corporate funds and may be used for any corporate purpose.</w:t>
      </w:r>
    </w:p>
    <w:p>
      <w:pPr>
        <w:spacing w:after="0" w:line="102" w:lineRule="exact"/>
        <w:rPr>
          <w:rFonts w:ascii="Arial" w:cs="Arial" w:eastAsia="Arial" w:hAnsi="Arial"/>
          <w:sz w:val="18"/>
          <w:szCs w:val="18"/>
          <w:color w:val="auto"/>
        </w:rPr>
      </w:pPr>
    </w:p>
    <w:p>
      <w:pPr>
        <w:ind w:left="460" w:right="739" w:firstLine="426"/>
        <w:spacing w:after="0" w:line="301" w:lineRule="auto"/>
        <w:tabs>
          <w:tab w:leader="none" w:pos="1342" w:val="left"/>
        </w:tabs>
        <w:numPr>
          <w:ilvl w:val="0"/>
          <w:numId w:val="547"/>
        </w:numPr>
        <w:rPr>
          <w:rFonts w:ascii="Arial" w:cs="Arial" w:eastAsia="Arial" w:hAnsi="Arial"/>
          <w:sz w:val="16"/>
          <w:szCs w:val="16"/>
          <w:color w:val="auto"/>
        </w:rPr>
      </w:pPr>
      <w:r>
        <w:rPr>
          <w:rFonts w:ascii="Arial" w:cs="Arial" w:eastAsia="Arial" w:hAnsi="Arial"/>
          <w:sz w:val="16"/>
          <w:szCs w:val="16"/>
          <w:u w:val="single" w:color="auto"/>
          <w:color w:val="auto"/>
        </w:rPr>
        <w:t>Adjustment in Case of Changes Affecting Common Stock</w:t>
      </w:r>
      <w:r>
        <w:rPr>
          <w:rFonts w:ascii="Arial" w:cs="Arial" w:eastAsia="Arial" w:hAnsi="Arial"/>
          <w:sz w:val="16"/>
          <w:szCs w:val="16"/>
          <w:color w:val="auto"/>
        </w:rPr>
        <w:t>. In the event of a subdivision of outstanding shares of Common Stock, the payment of a dividend in Common Stock or any other change affecting the Common Stock, the number of shares approved for the Plan and the share limitation set forth in Section 8 shall be equitably or proportionately adjusted to give proper effect to such event.</w:t>
      </w:r>
    </w:p>
    <w:p>
      <w:pPr>
        <w:spacing w:after="0" w:line="76" w:lineRule="exact"/>
        <w:rPr>
          <w:rFonts w:ascii="Arial" w:cs="Arial" w:eastAsia="Arial" w:hAnsi="Arial"/>
          <w:sz w:val="16"/>
          <w:szCs w:val="16"/>
          <w:color w:val="auto"/>
        </w:rPr>
      </w:pPr>
    </w:p>
    <w:p>
      <w:pPr>
        <w:ind w:left="460" w:right="659" w:firstLine="426"/>
        <w:spacing w:after="0" w:line="257" w:lineRule="auto"/>
        <w:tabs>
          <w:tab w:leader="none" w:pos="1342" w:val="left"/>
        </w:tabs>
        <w:numPr>
          <w:ilvl w:val="0"/>
          <w:numId w:val="547"/>
        </w:numPr>
        <w:rPr>
          <w:rFonts w:ascii="Arial" w:cs="Arial" w:eastAsia="Arial" w:hAnsi="Arial"/>
          <w:sz w:val="18"/>
          <w:szCs w:val="18"/>
          <w:color w:val="auto"/>
        </w:rPr>
      </w:pPr>
      <w:r>
        <w:rPr>
          <w:rFonts w:ascii="Arial" w:cs="Arial" w:eastAsia="Arial" w:hAnsi="Arial"/>
          <w:sz w:val="18"/>
          <w:szCs w:val="18"/>
          <w:u w:val="single" w:color="auto"/>
          <w:color w:val="auto"/>
        </w:rPr>
        <w:t>Amendment of the Plan</w:t>
      </w:r>
      <w:r>
        <w:rPr>
          <w:rFonts w:ascii="Arial" w:cs="Arial" w:eastAsia="Arial" w:hAnsi="Arial"/>
          <w:sz w:val="18"/>
          <w:szCs w:val="18"/>
          <w:color w:val="auto"/>
        </w:rPr>
        <w:t>. The Board may at any time and from time to time amend the Plan in any respect, except that without the approval within 12 months of such Board action by the stockholders, no amendment shall be made increasing the number of shares approved for the Plan or making any other change that would require stockholder approval in order for the Plan, as amended, to qualify as an “employee stock purchase plan” under Section 423(b) of the Code.</w:t>
      </w:r>
    </w:p>
    <w:p>
      <w:pPr>
        <w:spacing w:after="0" w:line="120" w:lineRule="exact"/>
        <w:rPr>
          <w:rFonts w:ascii="Arial" w:cs="Arial" w:eastAsia="Arial" w:hAnsi="Arial"/>
          <w:sz w:val="18"/>
          <w:szCs w:val="18"/>
          <w:color w:val="auto"/>
        </w:rPr>
      </w:pPr>
    </w:p>
    <w:p>
      <w:pPr>
        <w:ind w:left="460" w:right="519" w:firstLine="426"/>
        <w:spacing w:after="0" w:line="275" w:lineRule="auto"/>
        <w:tabs>
          <w:tab w:leader="none" w:pos="1342" w:val="left"/>
        </w:tabs>
        <w:numPr>
          <w:ilvl w:val="0"/>
          <w:numId w:val="547"/>
        </w:numPr>
        <w:rPr>
          <w:rFonts w:ascii="Arial" w:cs="Arial" w:eastAsia="Arial" w:hAnsi="Arial"/>
          <w:sz w:val="17"/>
          <w:szCs w:val="17"/>
          <w:color w:val="auto"/>
        </w:rPr>
      </w:pPr>
      <w:r>
        <w:rPr>
          <w:rFonts w:ascii="Arial" w:cs="Arial" w:eastAsia="Arial" w:hAnsi="Arial"/>
          <w:sz w:val="17"/>
          <w:szCs w:val="17"/>
          <w:u w:val="single" w:color="auto"/>
          <w:color w:val="auto"/>
        </w:rPr>
        <w:t>Insufficient Shares</w:t>
      </w:r>
      <w:r>
        <w:rPr>
          <w:rFonts w:ascii="Arial" w:cs="Arial" w:eastAsia="Arial" w:hAnsi="Arial"/>
          <w:sz w:val="17"/>
          <w:szCs w:val="17"/>
          <w:color w:val="auto"/>
        </w:rPr>
        <w:t>. If the total number of shares of Common Stock that would otherwise be purchased on any Exercise Date plus the number of shares purchased under previous Offerings under the Plan exceeds the maximum number of shares issuable under the Plan, the shares then available shall be apportioned among Participants in proportion to the amount of payroll deductions accumulated on behalf of each Participant that would otherwise be used to purchase Common Stock on such Exercise Date.</w:t>
      </w:r>
    </w:p>
    <w:p>
      <w:pPr>
        <w:spacing w:after="0" w:line="108" w:lineRule="exact"/>
        <w:rPr>
          <w:rFonts w:ascii="Arial" w:cs="Arial" w:eastAsia="Arial" w:hAnsi="Arial"/>
          <w:sz w:val="17"/>
          <w:szCs w:val="17"/>
          <w:color w:val="auto"/>
        </w:rPr>
      </w:pPr>
    </w:p>
    <w:p>
      <w:pPr>
        <w:ind w:left="460" w:right="479" w:firstLine="426"/>
        <w:spacing w:after="0" w:line="277" w:lineRule="auto"/>
        <w:tabs>
          <w:tab w:leader="none" w:pos="1342" w:val="left"/>
        </w:tabs>
        <w:numPr>
          <w:ilvl w:val="0"/>
          <w:numId w:val="547"/>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r>
        <w:rPr>
          <w:rFonts w:ascii="Arial" w:cs="Arial" w:eastAsia="Arial" w:hAnsi="Arial"/>
          <w:sz w:val="18"/>
          <w:szCs w:val="18"/>
          <w:color w:val="auto"/>
        </w:rPr>
        <w:t>. The Plan may be terminated at any time by the Board. Upon termination of the Plan, all amounts in the accounts of Participants shall be promptly refunded.</w:t>
      </w:r>
    </w:p>
    <w:p>
      <w:pPr>
        <w:spacing w:after="0" w:line="89" w:lineRule="exact"/>
        <w:rPr>
          <w:rFonts w:ascii="Arial" w:cs="Arial" w:eastAsia="Arial" w:hAnsi="Arial"/>
          <w:sz w:val="18"/>
          <w:szCs w:val="18"/>
          <w:color w:val="auto"/>
        </w:rPr>
      </w:pPr>
    </w:p>
    <w:p>
      <w:pPr>
        <w:jc w:val="both"/>
        <w:ind w:left="460" w:right="519" w:firstLine="426"/>
        <w:spacing w:after="0" w:line="263" w:lineRule="auto"/>
        <w:tabs>
          <w:tab w:leader="none" w:pos="1342" w:val="left"/>
        </w:tabs>
        <w:numPr>
          <w:ilvl w:val="0"/>
          <w:numId w:val="547"/>
        </w:numPr>
        <w:rPr>
          <w:rFonts w:ascii="Arial" w:cs="Arial" w:eastAsia="Arial" w:hAnsi="Arial"/>
          <w:sz w:val="18"/>
          <w:szCs w:val="18"/>
          <w:color w:val="auto"/>
        </w:rPr>
      </w:pPr>
      <w:r>
        <w:rPr>
          <w:rFonts w:ascii="Arial" w:cs="Arial" w:eastAsia="Arial" w:hAnsi="Arial"/>
          <w:sz w:val="18"/>
          <w:szCs w:val="18"/>
          <w:u w:val="single" w:color="auto"/>
          <w:color w:val="auto"/>
        </w:rPr>
        <w:t>Governmental Regulations</w:t>
      </w:r>
      <w:r>
        <w:rPr>
          <w:rFonts w:ascii="Arial" w:cs="Arial" w:eastAsia="Arial" w:hAnsi="Arial"/>
          <w:sz w:val="18"/>
          <w:szCs w:val="18"/>
          <w:color w:val="auto"/>
        </w:rPr>
        <w:t>. The Company’s obligation to sell and deliver Common Stock under the Plan is subject to obtaining all governmental approvals required in connection with the authorization, issuance, or sale of such stock.</w:t>
      </w:r>
    </w:p>
    <w:p>
      <w:pPr>
        <w:spacing w:after="0" w:line="116" w:lineRule="exact"/>
        <w:rPr>
          <w:rFonts w:ascii="Arial" w:cs="Arial" w:eastAsia="Arial" w:hAnsi="Arial"/>
          <w:sz w:val="18"/>
          <w:szCs w:val="18"/>
          <w:color w:val="auto"/>
        </w:rPr>
      </w:pPr>
    </w:p>
    <w:p>
      <w:pPr>
        <w:ind w:left="460" w:right="639" w:firstLine="426"/>
        <w:spacing w:after="0" w:line="301" w:lineRule="auto"/>
        <w:tabs>
          <w:tab w:leader="none" w:pos="1342" w:val="left"/>
        </w:tabs>
        <w:numPr>
          <w:ilvl w:val="0"/>
          <w:numId w:val="547"/>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Plan and all Options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89" w:lineRule="exact"/>
        <w:rPr>
          <w:rFonts w:ascii="Arial" w:cs="Arial" w:eastAsia="Arial" w:hAnsi="Arial"/>
          <w:sz w:val="16"/>
          <w:szCs w:val="16"/>
          <w:color w:val="auto"/>
        </w:rPr>
      </w:pPr>
    </w:p>
    <w:p>
      <w:pPr>
        <w:ind w:left="460" w:right="559" w:firstLine="426"/>
        <w:spacing w:after="0" w:line="342" w:lineRule="auto"/>
        <w:tabs>
          <w:tab w:leader="none" w:pos="1342" w:val="left"/>
        </w:tabs>
        <w:numPr>
          <w:ilvl w:val="0"/>
          <w:numId w:val="547"/>
        </w:numPr>
        <w:rPr>
          <w:rFonts w:ascii="Arial" w:cs="Arial" w:eastAsia="Arial" w:hAnsi="Arial"/>
          <w:sz w:val="16"/>
          <w:szCs w:val="16"/>
          <w:color w:val="auto"/>
        </w:rPr>
      </w:pPr>
      <w:r>
        <w:rPr>
          <w:rFonts w:ascii="Arial" w:cs="Arial" w:eastAsia="Arial" w:hAnsi="Arial"/>
          <w:sz w:val="16"/>
          <w:szCs w:val="16"/>
          <w:u w:val="single" w:color="auto"/>
          <w:color w:val="auto"/>
        </w:rPr>
        <w:t>Issuance of Shares</w:t>
      </w:r>
      <w:r>
        <w:rPr>
          <w:rFonts w:ascii="Arial" w:cs="Arial" w:eastAsia="Arial" w:hAnsi="Arial"/>
          <w:sz w:val="16"/>
          <w:szCs w:val="16"/>
          <w:color w:val="auto"/>
        </w:rPr>
        <w:t>. Shares may be issued upon exercise of an Option from authorized but unissued Common Stock, from shares held in the treasury of the Company, or from any other proper source.</w:t>
      </w:r>
    </w:p>
    <w:p>
      <w:pPr>
        <w:spacing w:after="0" w:line="42" w:lineRule="exact"/>
        <w:rPr>
          <w:rFonts w:ascii="Arial" w:cs="Arial" w:eastAsia="Arial" w:hAnsi="Arial"/>
          <w:sz w:val="16"/>
          <w:szCs w:val="16"/>
          <w:color w:val="auto"/>
        </w:rPr>
      </w:pPr>
    </w:p>
    <w:p>
      <w:pPr>
        <w:ind w:left="460" w:right="639" w:firstLine="426"/>
        <w:spacing w:after="0" w:line="279" w:lineRule="auto"/>
        <w:tabs>
          <w:tab w:leader="none" w:pos="1342" w:val="left"/>
        </w:tabs>
        <w:numPr>
          <w:ilvl w:val="0"/>
          <w:numId w:val="547"/>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Participation in the Plan is subject to any minimum required tax withholding on income of the Participant in connection with the Plan. Each Participant agrees, by entering the Plan, that the Company and its Subsidiaries shall have the right to deduct any such taxes from any payment of any kind otherwise due to the Participant, including shares issuable under the Plan.</w:t>
      </w:r>
    </w:p>
    <w:p>
      <w:pPr>
        <w:spacing w:after="0" w:line="103" w:lineRule="exact"/>
        <w:rPr>
          <w:rFonts w:ascii="Arial" w:cs="Arial" w:eastAsia="Arial" w:hAnsi="Arial"/>
          <w:sz w:val="17"/>
          <w:szCs w:val="17"/>
          <w:color w:val="auto"/>
        </w:rPr>
      </w:pPr>
    </w:p>
    <w:p>
      <w:pPr>
        <w:ind w:left="460" w:right="699" w:firstLine="426"/>
        <w:spacing w:after="0" w:line="259" w:lineRule="auto"/>
        <w:tabs>
          <w:tab w:leader="none" w:pos="1342" w:val="left"/>
        </w:tabs>
        <w:numPr>
          <w:ilvl w:val="0"/>
          <w:numId w:val="547"/>
        </w:numPr>
        <w:rPr>
          <w:rFonts w:ascii="Arial" w:cs="Arial" w:eastAsia="Arial" w:hAnsi="Arial"/>
          <w:sz w:val="18"/>
          <w:szCs w:val="18"/>
          <w:color w:val="auto"/>
        </w:rPr>
      </w:pPr>
      <w:r>
        <w:rPr>
          <w:rFonts w:ascii="Arial" w:cs="Arial" w:eastAsia="Arial" w:hAnsi="Arial"/>
          <w:sz w:val="18"/>
          <w:szCs w:val="18"/>
          <w:u w:val="single" w:color="auto"/>
          <w:color w:val="auto"/>
        </w:rPr>
        <w:t>Notification Upon Sale of Shares</w:t>
      </w:r>
      <w:r>
        <w:rPr>
          <w:rFonts w:ascii="Arial" w:cs="Arial" w:eastAsia="Arial" w:hAnsi="Arial"/>
          <w:sz w:val="18"/>
          <w:szCs w:val="18"/>
          <w:color w:val="auto"/>
        </w:rPr>
        <w:t>. Each Participant agrees, by entering the Plan, to give the Company prompt notice of any disposition of shares purchased under the Plan where such disposition occurs within two years after the date of grant of the Option pursuant to which such shares were purchased or within one year after the date such shares were purchased.</w:t>
      </w:r>
    </w:p>
    <w:p>
      <w:pPr>
        <w:spacing w:after="0" w:line="119" w:lineRule="exact"/>
        <w:rPr>
          <w:rFonts w:ascii="Arial" w:cs="Arial" w:eastAsia="Arial" w:hAnsi="Arial"/>
          <w:sz w:val="18"/>
          <w:szCs w:val="18"/>
          <w:color w:val="auto"/>
        </w:rPr>
      </w:pPr>
    </w:p>
    <w:p>
      <w:pPr>
        <w:ind w:left="460" w:right="459" w:firstLine="426"/>
        <w:spacing w:after="0" w:line="263" w:lineRule="auto"/>
        <w:tabs>
          <w:tab w:leader="none" w:pos="1342" w:val="left"/>
        </w:tabs>
        <w:numPr>
          <w:ilvl w:val="0"/>
          <w:numId w:val="547"/>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Plan shall become effective upon the date immediately preceding the Closing Date following stockholder approval in accordance with applicable state law, the Company’s bylaws and articles of incorporation, each as amended, and applicable stock exchange rules.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07" w:name="page508"/>
    <w:bookmarkEnd w:id="50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Designated Subsidiaries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08" w:name="page509"/>
    <w:bookmarkEnd w:id="50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ANNEX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FAIRNESS OPINION OF CANACCORD GENUITY</w:t>
      </w:r>
    </w:p>
    <w:p>
      <w:pPr>
        <w:spacing w:after="0" w:line="189"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Canaccord Genuity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-121285</wp:posOffset>
            </wp:positionV>
            <wp:extent cx="1534160" cy="48006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534160" cy="480060"/>
                    </a:xfrm>
                    <a:prstGeom prst="rect">
                      <a:avLst/>
                    </a:prstGeom>
                    <a:noFill/>
                  </pic:spPr>
                </pic:pic>
              </a:graphicData>
            </a:graphic>
          </wp:anchor>
        </w:drawing>
      </w:r>
    </w:p>
    <w:p>
      <w:pPr>
        <w:spacing w:after="0" w:line="3"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99 High Street</w:t>
      </w:r>
    </w:p>
    <w:p>
      <w:pPr>
        <w:spacing w:after="0" w:line="9"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Suite 1200</w:t>
      </w:r>
    </w:p>
    <w:p>
      <w:pPr>
        <w:spacing w:after="0" w:line="9"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Boston, MA</w:t>
      </w:r>
    </w:p>
    <w:p>
      <w:pPr>
        <w:spacing w:after="0" w:line="9"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USA 02110</w:t>
      </w:r>
    </w:p>
    <w:p>
      <w:pPr>
        <w:spacing w:after="0" w:line="211"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T1: 1.617.371.3900</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6"/>
          <w:szCs w:val="16"/>
          <w:color w:val="auto"/>
        </w:rPr>
        <w:t>T2: 1.800.225.6201</w:t>
      </w:r>
    </w:p>
    <w:p>
      <w:pPr>
        <w:spacing w:after="0" w:line="32" w:lineRule="exact"/>
        <w:rPr>
          <w:sz w:val="20"/>
          <w:szCs w:val="20"/>
          <w:color w:val="auto"/>
        </w:rPr>
      </w:pPr>
    </w:p>
    <w:p>
      <w:pPr>
        <w:ind w:left="7960"/>
        <w:spacing w:after="0"/>
        <w:rPr>
          <w:sz w:val="20"/>
          <w:szCs w:val="20"/>
          <w:color w:val="auto"/>
        </w:rPr>
      </w:pPr>
      <w:r>
        <w:rPr>
          <w:rFonts w:ascii="Arial" w:cs="Arial" w:eastAsia="Arial" w:hAnsi="Arial"/>
          <w:sz w:val="17"/>
          <w:szCs w:val="17"/>
          <w:color w:val="auto"/>
        </w:rPr>
        <w:t>cgf.com</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April 13, 2021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BCTG Acquisition Corp.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12860 El Camino Real, Suite 300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San Diego, CA 92130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Members of the Board:</w:t>
      </w:r>
    </w:p>
    <w:p>
      <w:pPr>
        <w:spacing w:after="0" w:line="144"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You have requested our opinion (the “</w:t>
      </w:r>
      <w:r>
        <w:rPr>
          <w:rFonts w:ascii="Arial" w:cs="Arial" w:eastAsia="Arial" w:hAnsi="Arial"/>
          <w:sz w:val="16"/>
          <w:szCs w:val="16"/>
          <w:u w:val="single" w:color="auto"/>
          <w:color w:val="auto"/>
        </w:rPr>
        <w:t>Fairness Opinion</w:t>
      </w:r>
      <w:r>
        <w:rPr>
          <w:rFonts w:ascii="Arial" w:cs="Arial" w:eastAsia="Arial" w:hAnsi="Arial"/>
          <w:sz w:val="16"/>
          <w:szCs w:val="16"/>
          <w:color w:val="auto"/>
        </w:rPr>
        <w:t>”) as to the fairness, from a financial point of view, to BCTG Acquisition Corp.,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of the Base Purchase Price (as defined below) pursuant to the Agreement and Plan of Merger, dated as of April 13, 2021 (the “</w:t>
      </w:r>
      <w:r>
        <w:rPr>
          <w:rFonts w:ascii="Arial" w:cs="Arial" w:eastAsia="Arial" w:hAnsi="Arial"/>
          <w:sz w:val="16"/>
          <w:szCs w:val="16"/>
          <w:u w:val="single" w:color="auto"/>
          <w:color w:val="auto"/>
        </w:rPr>
        <w:t>Agreement</w:t>
      </w:r>
      <w:r>
        <w:rPr>
          <w:rFonts w:ascii="Arial" w:cs="Arial" w:eastAsia="Arial" w:hAnsi="Arial"/>
          <w:sz w:val="16"/>
          <w:szCs w:val="16"/>
          <w:color w:val="auto"/>
        </w:rPr>
        <w:t>”), by and among Parent, BCTG Merger Sub Inc., a Delaware corporation and wholly owned subsidiary of Parent (“</w:t>
      </w:r>
      <w:r>
        <w:rPr>
          <w:rFonts w:ascii="Arial" w:cs="Arial" w:eastAsia="Arial" w:hAnsi="Arial"/>
          <w:sz w:val="16"/>
          <w:szCs w:val="16"/>
          <w:u w:val="single" w:color="auto"/>
          <w:color w:val="auto"/>
        </w:rPr>
        <w:t>Merger</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w:t>
      </w:r>
      <w:r>
        <w:rPr>
          <w:rFonts w:ascii="Arial" w:cs="Arial" w:eastAsia="Arial" w:hAnsi="Arial"/>
          <w:sz w:val="16"/>
          <w:szCs w:val="16"/>
          <w:color w:val="auto"/>
        </w:rPr>
        <w:t>”), and Tango Therapeutics,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Capitalized terms used but not otherwise defined herein have the meanings given to such terms in the Agreement.</w:t>
      </w:r>
    </w:p>
    <w:p>
      <w:pPr>
        <w:spacing w:after="0" w:line="97" w:lineRule="exact"/>
        <w:rPr>
          <w:sz w:val="20"/>
          <w:szCs w:val="20"/>
          <w:color w:val="auto"/>
        </w:rPr>
      </w:pPr>
    </w:p>
    <w:p>
      <w:pPr>
        <w:ind w:left="460" w:right="1179" w:firstLine="432"/>
        <w:spacing w:after="0" w:line="277" w:lineRule="auto"/>
        <w:rPr>
          <w:sz w:val="20"/>
          <w:szCs w:val="20"/>
          <w:color w:val="auto"/>
        </w:rPr>
      </w:pPr>
      <w:r>
        <w:rPr>
          <w:rFonts w:ascii="Arial" w:cs="Arial" w:eastAsia="Arial" w:hAnsi="Arial"/>
          <w:sz w:val="18"/>
          <w:szCs w:val="18"/>
          <w:color w:val="auto"/>
        </w:rPr>
        <w:t>Pursuant to the terms and subject to the conditions set forth in the Agreement, we understand the following will occur (collectively, the “</w:t>
      </w:r>
      <w:r>
        <w:rPr>
          <w:rFonts w:ascii="Arial" w:cs="Arial" w:eastAsia="Arial" w:hAnsi="Arial"/>
          <w:sz w:val="18"/>
          <w:szCs w:val="18"/>
          <w:u w:val="single" w:color="auto"/>
          <w:color w:val="auto"/>
        </w:rPr>
        <w:t>Transaction</w:t>
      </w:r>
      <w:r>
        <w:rPr>
          <w:rFonts w:ascii="Arial" w:cs="Arial" w:eastAsia="Arial" w:hAnsi="Arial"/>
          <w:sz w:val="18"/>
          <w:szCs w:val="18"/>
          <w:color w:val="auto"/>
        </w:rPr>
        <w:t>”):</w:t>
      </w:r>
    </w:p>
    <w:p>
      <w:pPr>
        <w:spacing w:after="0" w:line="103" w:lineRule="exact"/>
        <w:rPr>
          <w:sz w:val="20"/>
          <w:szCs w:val="20"/>
          <w:color w:val="auto"/>
        </w:rPr>
      </w:pPr>
    </w:p>
    <w:p>
      <w:pPr>
        <w:ind w:left="1320" w:right="659" w:hanging="434"/>
        <w:spacing w:after="0" w:line="293" w:lineRule="auto"/>
        <w:tabs>
          <w:tab w:leader="none" w:pos="1298" w:val="left"/>
        </w:tabs>
        <w:numPr>
          <w:ilvl w:val="0"/>
          <w:numId w:val="548"/>
        </w:numPr>
        <w:rPr>
          <w:rFonts w:ascii="Arial" w:cs="Arial" w:eastAsia="Arial" w:hAnsi="Arial"/>
          <w:sz w:val="16"/>
          <w:szCs w:val="16"/>
          <w:color w:val="auto"/>
        </w:rPr>
      </w:pPr>
      <w:r>
        <w:rPr>
          <w:rFonts w:ascii="Arial" w:cs="Arial" w:eastAsia="Arial" w:hAnsi="Arial"/>
          <w:sz w:val="16"/>
          <w:szCs w:val="16"/>
          <w:color w:val="auto"/>
        </w:rPr>
        <w:t>Immediately prior to the Effective Time, each share of the Company Series A Preferred Stock, Company Series B Preferred Stock and Company Series B-1 Preferred Stock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Preferred Stock</w:t>
      </w:r>
      <w:r>
        <w:rPr>
          <w:rFonts w:ascii="Arial" w:cs="Arial" w:eastAsia="Arial" w:hAnsi="Arial"/>
          <w:sz w:val="16"/>
          <w:szCs w:val="16"/>
          <w:color w:val="auto"/>
        </w:rPr>
        <w:t>”) that is issued and outstanding shall be automatically converted into a number of shares of common stock, par value $0.001 per share of the Company (the “</w:t>
      </w:r>
      <w:r>
        <w:rPr>
          <w:rFonts w:ascii="Arial" w:cs="Arial" w:eastAsia="Arial" w:hAnsi="Arial"/>
          <w:sz w:val="16"/>
          <w:szCs w:val="16"/>
          <w:u w:val="single" w:color="auto"/>
          <w:color w:val="auto"/>
        </w:rPr>
        <w:t>Company 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at the then-effective conversion rate as calculated pursuant to and in accordance with the Company’s Organizational Documents (the “</w:t>
      </w:r>
      <w:r>
        <w:rPr>
          <w:rFonts w:ascii="Arial" w:cs="Arial" w:eastAsia="Arial" w:hAnsi="Arial"/>
          <w:sz w:val="16"/>
          <w:szCs w:val="16"/>
          <w:u w:val="single" w:color="auto"/>
          <w:color w:val="auto"/>
        </w:rPr>
        <w:t>Company Preferred Stock Conversion</w:t>
      </w:r>
      <w:r>
        <w:rPr>
          <w:rFonts w:ascii="Arial" w:cs="Arial" w:eastAsia="Arial" w:hAnsi="Arial"/>
          <w:sz w:val="16"/>
          <w:szCs w:val="16"/>
          <w:color w:val="auto"/>
        </w:rPr>
        <w:t>”);</w:t>
      </w:r>
    </w:p>
    <w:p>
      <w:pPr>
        <w:spacing w:after="0" w:line="83" w:lineRule="exact"/>
        <w:rPr>
          <w:rFonts w:ascii="Arial" w:cs="Arial" w:eastAsia="Arial" w:hAnsi="Arial"/>
          <w:sz w:val="16"/>
          <w:szCs w:val="16"/>
          <w:color w:val="auto"/>
        </w:rPr>
      </w:pPr>
    </w:p>
    <w:p>
      <w:pPr>
        <w:ind w:left="1320" w:right="719" w:hanging="434"/>
        <w:spacing w:after="0" w:line="277" w:lineRule="auto"/>
        <w:tabs>
          <w:tab w:leader="none" w:pos="1298" w:val="left"/>
        </w:tabs>
        <w:numPr>
          <w:ilvl w:val="0"/>
          <w:numId w:val="548"/>
        </w:numPr>
        <w:rPr>
          <w:rFonts w:ascii="Arial" w:cs="Arial" w:eastAsia="Arial" w:hAnsi="Arial"/>
          <w:sz w:val="18"/>
          <w:szCs w:val="18"/>
          <w:color w:val="auto"/>
        </w:rPr>
      </w:pPr>
      <w:r>
        <w:rPr>
          <w:rFonts w:ascii="Arial" w:cs="Arial" w:eastAsia="Arial" w:hAnsi="Arial"/>
          <w:sz w:val="18"/>
          <w:szCs w:val="18"/>
          <w:color w:val="auto"/>
        </w:rPr>
        <w:t>At the Effective Time, Merger Sub will merge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and the Company shall become a wholly-owned Subsidiary of Parent; and</w:t>
      </w:r>
    </w:p>
    <w:p>
      <w:pPr>
        <w:spacing w:after="0" w:line="102" w:lineRule="exact"/>
        <w:rPr>
          <w:rFonts w:ascii="Arial" w:cs="Arial" w:eastAsia="Arial" w:hAnsi="Arial"/>
          <w:sz w:val="18"/>
          <w:szCs w:val="18"/>
          <w:color w:val="auto"/>
        </w:rPr>
      </w:pPr>
    </w:p>
    <w:p>
      <w:pPr>
        <w:ind w:left="1320" w:right="519" w:hanging="434"/>
        <w:spacing w:after="0" w:line="253" w:lineRule="auto"/>
        <w:tabs>
          <w:tab w:leader="none" w:pos="1288" w:val="left"/>
        </w:tabs>
        <w:numPr>
          <w:ilvl w:val="0"/>
          <w:numId w:val="548"/>
        </w:numPr>
        <w:rPr>
          <w:rFonts w:ascii="Arial" w:cs="Arial" w:eastAsia="Arial" w:hAnsi="Arial"/>
          <w:sz w:val="18"/>
          <w:szCs w:val="18"/>
          <w:color w:val="auto"/>
        </w:rPr>
      </w:pPr>
      <w:r>
        <w:rPr>
          <w:rFonts w:ascii="Arial" w:cs="Arial" w:eastAsia="Arial" w:hAnsi="Arial"/>
          <w:sz w:val="18"/>
          <w:szCs w:val="18"/>
          <w:color w:val="auto"/>
        </w:rPr>
        <w:t>At the Effective Time (after giving effect to the consummation of the Company Preferred Stock Conversion), by virtue of the Merger and without any action on the part of any holder of Company Common Stock, each share of Company Common Stock issued and outstanding immediately prior to the Effective Time (other than (i) any shares of Company Common Stock subject to Company Options, (ii) any shares of Company Common Stock held in the treasury of the Company, and (iii) any Dissenting Shares), shall be canceled and converted into the right to receive a number of shares of common stock, par value $0.0001 per share of Parent (the “</w:t>
      </w:r>
      <w:r>
        <w:rPr>
          <w:rFonts w:ascii="Arial" w:cs="Arial" w:eastAsia="Arial" w:hAnsi="Arial"/>
          <w:sz w:val="18"/>
          <w:szCs w:val="18"/>
          <w:u w:val="single" w:color="auto"/>
          <w:color w:val="auto"/>
        </w:rPr>
        <w:t>Parent Common Stock</w:t>
      </w:r>
      <w:r>
        <w:rPr>
          <w:rFonts w:ascii="Arial" w:cs="Arial" w:eastAsia="Arial" w:hAnsi="Arial"/>
          <w:sz w:val="18"/>
          <w:szCs w:val="18"/>
          <w:color w:val="auto"/>
        </w:rPr>
        <w:t>”) equal to the quotient obtained by dividing (i) the quotient obtained by dividing $550,000,000 (the “</w:t>
      </w:r>
      <w:r>
        <w:rPr>
          <w:rFonts w:ascii="Arial" w:cs="Arial" w:eastAsia="Arial" w:hAnsi="Arial"/>
          <w:sz w:val="18"/>
          <w:szCs w:val="18"/>
          <w:u w:val="single" w:color="auto"/>
          <w:color w:val="auto"/>
        </w:rPr>
        <w:t>Base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Purchase Price</w:t>
      </w:r>
      <w:r>
        <w:rPr>
          <w:rFonts w:ascii="Arial" w:cs="Arial" w:eastAsia="Arial" w:hAnsi="Arial"/>
          <w:sz w:val="18"/>
          <w:szCs w:val="18"/>
          <w:color w:val="auto"/>
        </w:rPr>
        <w:t>”) by the number of Aggregate Fully Diluted Company Common Stock, by (ii) $10.00.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09" w:name="page510"/>
    <w:bookmarkEnd w:id="50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 of BCTG Acquisition Corp.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April 13, 2021</w:t>
      </w:r>
    </w:p>
    <w:p>
      <w:pPr>
        <w:spacing w:after="0" w:line="143"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Canaccord Genuity LLC (“</w:t>
      </w:r>
      <w:r>
        <w:rPr>
          <w:rFonts w:ascii="Arial" w:cs="Arial" w:eastAsia="Arial" w:hAnsi="Arial"/>
          <w:sz w:val="16"/>
          <w:szCs w:val="16"/>
          <w:u w:val="single" w:color="auto"/>
          <w:color w:val="auto"/>
        </w:rPr>
        <w:t>Canaccord Genuity</w:t>
      </w:r>
      <w:r>
        <w:rPr>
          <w:rFonts w:ascii="Arial" w:cs="Arial" w:eastAsia="Arial" w:hAnsi="Arial"/>
          <w:sz w:val="16"/>
          <w:szCs w:val="16"/>
          <w:color w:val="auto"/>
        </w:rPr>
        <w:t>”), as part of its investment banking activities, is regularly engaged in the valuation of businesses and their securities in connection with mergers and acquisitions, negotiated underwritings, secondary distributions of listed and unlisted securities, private placements and valuations for corporate and other purposes. In the ordinary course of business, we and our affiliates may acquire, hold or sell, for our and our affiliates own accounts and the accounts of customers, equity, debt and other securities and financial instruments (including bank loans and other obligations) of Parent and the Company, certain of their respective affiliates and any other company that may be involved in the Transaction, as well as provide investment banking and other financial services to such companies. We have been engaged to serve as financial advisor to Parent solely in connection with the Transaction, and will receive a fee for our services, upon delivery of this Fairness Opinion and a fee contingent upon the successful completion of the Transaction. During the past two years, we have not received any compensation from Parent or the Company. We may in the future provide investment banking services to Parent and its affiliates.</w:t>
      </w:r>
    </w:p>
    <w:p>
      <w:pPr>
        <w:spacing w:after="0" w:line="100"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In connection with our review of the proposed Transaction and developing our Fairness Opinion, we have, among other things:</w:t>
      </w:r>
    </w:p>
    <w:p>
      <w:pPr>
        <w:spacing w:after="0" w:line="89" w:lineRule="exact"/>
        <w:rPr>
          <w:sz w:val="20"/>
          <w:szCs w:val="20"/>
          <w:color w:val="auto"/>
        </w:rPr>
      </w:pPr>
    </w:p>
    <w:p>
      <w:pPr>
        <w:ind w:left="1280" w:hanging="394"/>
        <w:spacing w:after="0"/>
        <w:tabs>
          <w:tab w:leader="none" w:pos="1280" w:val="left"/>
        </w:tabs>
        <w:numPr>
          <w:ilvl w:val="0"/>
          <w:numId w:val="549"/>
        </w:numPr>
        <w:rPr>
          <w:rFonts w:ascii="Arial" w:cs="Arial" w:eastAsia="Arial" w:hAnsi="Arial"/>
          <w:sz w:val="17"/>
          <w:szCs w:val="17"/>
          <w:color w:val="auto"/>
        </w:rPr>
      </w:pPr>
      <w:r>
        <w:rPr>
          <w:rFonts w:ascii="Arial" w:cs="Arial" w:eastAsia="Arial" w:hAnsi="Arial"/>
          <w:sz w:val="17"/>
          <w:szCs w:val="17"/>
          <w:color w:val="auto"/>
        </w:rPr>
        <w:t>reviewed certain publicly available business and financial information relating to the Company;</w:t>
      </w:r>
    </w:p>
    <w:p>
      <w:pPr>
        <w:spacing w:after="0" w:line="169" w:lineRule="exact"/>
        <w:rPr>
          <w:rFonts w:ascii="Arial" w:cs="Arial" w:eastAsia="Arial" w:hAnsi="Arial"/>
          <w:sz w:val="17"/>
          <w:szCs w:val="17"/>
          <w:color w:val="auto"/>
        </w:rPr>
      </w:pPr>
    </w:p>
    <w:p>
      <w:pPr>
        <w:jc w:val="both"/>
        <w:ind w:left="1320" w:right="459" w:hanging="434"/>
        <w:spacing w:after="0" w:line="263" w:lineRule="auto"/>
        <w:tabs>
          <w:tab w:leader="none" w:pos="1288" w:val="left"/>
        </w:tabs>
        <w:numPr>
          <w:ilvl w:val="0"/>
          <w:numId w:val="549"/>
        </w:numPr>
        <w:rPr>
          <w:rFonts w:ascii="Arial" w:cs="Arial" w:eastAsia="Arial" w:hAnsi="Arial"/>
          <w:sz w:val="18"/>
          <w:szCs w:val="18"/>
          <w:color w:val="auto"/>
        </w:rPr>
      </w:pPr>
      <w:r>
        <w:rPr>
          <w:rFonts w:ascii="Arial" w:cs="Arial" w:eastAsia="Arial" w:hAnsi="Arial"/>
          <w:sz w:val="18"/>
          <w:szCs w:val="18"/>
          <w:color w:val="auto"/>
        </w:rPr>
        <w:t>analyzed certain internal financial statements and other business and financial information, including certain historical and projected financial and operating data concerning the Company provided to us by Parent;</w:t>
      </w:r>
    </w:p>
    <w:p>
      <w:pPr>
        <w:spacing w:after="0" w:line="116" w:lineRule="exact"/>
        <w:rPr>
          <w:rFonts w:ascii="Arial" w:cs="Arial" w:eastAsia="Arial" w:hAnsi="Arial"/>
          <w:sz w:val="18"/>
          <w:szCs w:val="18"/>
          <w:color w:val="auto"/>
        </w:rPr>
      </w:pPr>
    </w:p>
    <w:p>
      <w:pPr>
        <w:ind w:left="1320" w:right="839" w:hanging="434"/>
        <w:spacing w:after="0" w:line="308" w:lineRule="auto"/>
        <w:tabs>
          <w:tab w:leader="none" w:pos="1293" w:val="left"/>
        </w:tabs>
        <w:numPr>
          <w:ilvl w:val="0"/>
          <w:numId w:val="549"/>
        </w:numPr>
        <w:rPr>
          <w:rFonts w:ascii="Arial" w:cs="Arial" w:eastAsia="Arial" w:hAnsi="Arial"/>
          <w:sz w:val="17"/>
          <w:szCs w:val="17"/>
          <w:color w:val="auto"/>
        </w:rPr>
      </w:pPr>
      <w:r>
        <w:rPr>
          <w:rFonts w:ascii="Arial" w:cs="Arial" w:eastAsia="Arial" w:hAnsi="Arial"/>
          <w:sz w:val="17"/>
          <w:szCs w:val="17"/>
          <w:color w:val="auto"/>
        </w:rPr>
        <w:t>conducted discussions with members of senior management of the Company regarding past and current operations and financial condition and the prospects of the Company;</w:t>
      </w:r>
    </w:p>
    <w:p>
      <w:pPr>
        <w:spacing w:after="0" w:line="65" w:lineRule="exact"/>
        <w:rPr>
          <w:rFonts w:ascii="Arial" w:cs="Arial" w:eastAsia="Arial" w:hAnsi="Arial"/>
          <w:sz w:val="17"/>
          <w:szCs w:val="17"/>
          <w:color w:val="auto"/>
        </w:rPr>
      </w:pPr>
    </w:p>
    <w:p>
      <w:pPr>
        <w:ind w:left="1320" w:right="859" w:hanging="434"/>
        <w:spacing w:after="0" w:line="277" w:lineRule="auto"/>
        <w:tabs>
          <w:tab w:leader="none" w:pos="1283" w:val="left"/>
        </w:tabs>
        <w:numPr>
          <w:ilvl w:val="0"/>
          <w:numId w:val="549"/>
        </w:numPr>
        <w:rPr>
          <w:rFonts w:ascii="Arial" w:cs="Arial" w:eastAsia="Arial" w:hAnsi="Arial"/>
          <w:sz w:val="18"/>
          <w:szCs w:val="18"/>
          <w:color w:val="auto"/>
        </w:rPr>
      </w:pPr>
      <w:r>
        <w:rPr>
          <w:rFonts w:ascii="Arial" w:cs="Arial" w:eastAsia="Arial" w:hAnsi="Arial"/>
          <w:sz w:val="18"/>
          <w:szCs w:val="18"/>
          <w:color w:val="auto"/>
        </w:rPr>
        <w:t>reviewed financial and stock market data of certain publicly traded companies we deemed to be relevant and comparable to the Company;</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278" w:val="left"/>
        </w:tabs>
        <w:numPr>
          <w:ilvl w:val="0"/>
          <w:numId w:val="549"/>
        </w:numPr>
        <w:rPr>
          <w:rFonts w:ascii="Arial" w:cs="Arial" w:eastAsia="Arial" w:hAnsi="Arial"/>
          <w:sz w:val="18"/>
          <w:szCs w:val="18"/>
          <w:color w:val="auto"/>
        </w:rPr>
      </w:pPr>
      <w:r>
        <w:rPr>
          <w:rFonts w:ascii="Arial" w:cs="Arial" w:eastAsia="Arial" w:hAnsi="Arial"/>
          <w:sz w:val="18"/>
          <w:szCs w:val="18"/>
          <w:color w:val="auto"/>
        </w:rPr>
        <w:t>reviewed financial terms of certain initial public offerings executed by certain companies we deemed to be relevant to the Company;</w:t>
      </w:r>
    </w:p>
    <w:p>
      <w:pPr>
        <w:spacing w:after="0" w:line="102" w:lineRule="exact"/>
        <w:rPr>
          <w:rFonts w:ascii="Arial" w:cs="Arial" w:eastAsia="Arial" w:hAnsi="Arial"/>
          <w:sz w:val="18"/>
          <w:szCs w:val="18"/>
          <w:color w:val="auto"/>
        </w:rPr>
      </w:pPr>
    </w:p>
    <w:p>
      <w:pPr>
        <w:ind w:left="1320" w:right="499" w:hanging="434"/>
        <w:spacing w:after="0" w:line="277" w:lineRule="auto"/>
        <w:tabs>
          <w:tab w:leader="none" w:pos="1283" w:val="left"/>
        </w:tabs>
        <w:numPr>
          <w:ilvl w:val="0"/>
          <w:numId w:val="549"/>
        </w:numPr>
        <w:rPr>
          <w:rFonts w:ascii="Arial" w:cs="Arial" w:eastAsia="Arial" w:hAnsi="Arial"/>
          <w:sz w:val="18"/>
          <w:szCs w:val="18"/>
          <w:color w:val="auto"/>
        </w:rPr>
      </w:pPr>
      <w:r>
        <w:rPr>
          <w:rFonts w:ascii="Arial" w:cs="Arial" w:eastAsia="Arial" w:hAnsi="Arial"/>
          <w:sz w:val="18"/>
          <w:szCs w:val="18"/>
          <w:color w:val="auto"/>
        </w:rPr>
        <w:t>compared the financial terms of the Transaction with the financial terms of certain other acquisitions we deemed to be relevant and comparable to the Transaction;</w:t>
      </w:r>
    </w:p>
    <w:p>
      <w:pPr>
        <w:spacing w:after="0" w:line="89" w:lineRule="exact"/>
        <w:rPr>
          <w:rFonts w:ascii="Arial" w:cs="Arial" w:eastAsia="Arial" w:hAnsi="Arial"/>
          <w:sz w:val="18"/>
          <w:szCs w:val="18"/>
          <w:color w:val="auto"/>
        </w:rPr>
      </w:pPr>
    </w:p>
    <w:p>
      <w:pPr>
        <w:ind w:left="1280" w:hanging="394"/>
        <w:spacing w:after="0"/>
        <w:tabs>
          <w:tab w:leader="none" w:pos="128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reviewed the terms of the Agreement furnished to us by Parent; and</w:t>
      </w:r>
    </w:p>
    <w:p>
      <w:pPr>
        <w:spacing w:after="0" w:line="157" w:lineRule="exact"/>
        <w:rPr>
          <w:rFonts w:ascii="Arial" w:cs="Arial" w:eastAsia="Arial" w:hAnsi="Arial"/>
          <w:sz w:val="18"/>
          <w:szCs w:val="18"/>
          <w:color w:val="auto"/>
        </w:rPr>
      </w:pPr>
    </w:p>
    <w:p>
      <w:pPr>
        <w:ind w:left="1320" w:right="719" w:hanging="434"/>
        <w:spacing w:after="0" w:line="263" w:lineRule="auto"/>
        <w:tabs>
          <w:tab w:leader="none" w:pos="1293" w:val="left"/>
        </w:tabs>
        <w:numPr>
          <w:ilvl w:val="0"/>
          <w:numId w:val="549"/>
        </w:numPr>
        <w:rPr>
          <w:rFonts w:ascii="Arial" w:cs="Arial" w:eastAsia="Arial" w:hAnsi="Arial"/>
          <w:sz w:val="18"/>
          <w:szCs w:val="18"/>
          <w:color w:val="auto"/>
        </w:rPr>
      </w:pPr>
      <w:r>
        <w:rPr>
          <w:rFonts w:ascii="Arial" w:cs="Arial" w:eastAsia="Arial" w:hAnsi="Arial"/>
          <w:sz w:val="18"/>
          <w:szCs w:val="18"/>
          <w:color w:val="auto"/>
        </w:rPr>
        <w:t>reviewed such other financial studies and analyses, performed such other investigations, and took into account such other matters as we deemed necessary, including an assessment of general economic, market and monetary conditions.</w:t>
      </w:r>
    </w:p>
    <w:p>
      <w:pPr>
        <w:spacing w:after="0" w:line="116"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In connection with our review and arriving at our Fairness Opinion, we have not independently verified any of the foregoing information, have relied on such information, have assumed that all such information is complete and accurate in all material respects, and have relied on assurances of the managements of Parent and the Company that they are not aware of any facts that would make such information misleading in any material respect. With respect to the internal financial forecasts and other forward-looking financial information provided to us by senior management of Parent and the Company, we have assumed, with your consent, that they have been reasonably prepared on bases reflecting the best currently available estimates and judgments of such management. We have also assumed that the Transaction will be consummated upon the terms set forth in the Agreement, without waiver, modification or amendment of any material term, condition or agreement therein which would be in any way meaningful to our analysis. We have also assumed that, in the course of obtaining necessary regulatory and third party approvals and consents for the Transaction, no modification, delay, limitation, restriction or conditions will be imposed that will have a material and adverse effect on Parent or the Company or the contemplated benefits of the Transaction in any way meaningful to our analysis.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10" w:name="page511"/>
    <w:bookmarkEnd w:id="510"/>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 of BCTG Acquisition Corp.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April 13, 2021</w:t>
      </w:r>
    </w:p>
    <w:p>
      <w:pPr>
        <w:spacing w:after="0" w:line="143" w:lineRule="exact"/>
        <w:rPr>
          <w:sz w:val="20"/>
          <w:szCs w:val="20"/>
          <w:color w:val="auto"/>
        </w:rPr>
      </w:pPr>
    </w:p>
    <w:p>
      <w:pPr>
        <w:ind w:left="460" w:right="719" w:firstLine="432"/>
        <w:spacing w:after="0" w:line="285" w:lineRule="auto"/>
        <w:rPr>
          <w:sz w:val="20"/>
          <w:szCs w:val="20"/>
          <w:color w:val="auto"/>
        </w:rPr>
      </w:pPr>
      <w:r>
        <w:rPr>
          <w:rFonts w:ascii="Arial" w:cs="Arial" w:eastAsia="Arial" w:hAnsi="Arial"/>
          <w:sz w:val="16"/>
          <w:szCs w:val="16"/>
          <w:color w:val="auto"/>
        </w:rPr>
        <w:t>This Fairness Opinion has been approved by a fairness committee of Canaccord Genuity in accordance with FINRA Rule 5150. Our Fairness Opinion is rendered on the basis of securities, economic and market conditions prevailing as of the date hereof and on the prospects, financial and otherwise, of the Company, known to us as of the date hereof. It should be understood that (i) subsequent developments may affect the conclusions expressed in this Fairness Opinion if this Fairness Opinion were rendered as of a later date, and</w:t>
      </w:r>
    </w:p>
    <w:p>
      <w:pPr>
        <w:spacing w:after="0" w:line="2" w:lineRule="exact"/>
        <w:rPr>
          <w:sz w:val="20"/>
          <w:szCs w:val="20"/>
          <w:color w:val="auto"/>
        </w:rPr>
      </w:pPr>
    </w:p>
    <w:p>
      <w:pPr>
        <w:ind w:left="460" w:right="459" w:hanging="6"/>
        <w:spacing w:after="0" w:line="286" w:lineRule="auto"/>
        <w:tabs>
          <w:tab w:leader="none" w:pos="725" w:val="left"/>
        </w:tabs>
        <w:numPr>
          <w:ilvl w:val="0"/>
          <w:numId w:val="550"/>
        </w:numPr>
        <w:rPr>
          <w:rFonts w:ascii="Arial" w:cs="Arial" w:eastAsia="Arial" w:hAnsi="Arial"/>
          <w:sz w:val="16"/>
          <w:szCs w:val="16"/>
          <w:color w:val="auto"/>
        </w:rPr>
      </w:pPr>
      <w:r>
        <w:rPr>
          <w:rFonts w:ascii="Arial" w:cs="Arial" w:eastAsia="Arial" w:hAnsi="Arial"/>
          <w:sz w:val="16"/>
          <w:szCs w:val="16"/>
          <w:color w:val="auto"/>
        </w:rPr>
        <w:t>Canaccord Genuity disclaims any obligation to advise any person of any change in any manner affecting this Fairness Opinion that may come to our attention after the date of this Fairness Opinion. We have not undertaken to reaffirm or revise this Fairness Opinion or otherwise comment upon any events occurring after the date hereof and do not have any obligation to update, revise or reaffirm this Fairness Opinion. We have not been requested to conduct and we have not conducted, nor have we relied upon, any independent valuation or appraisal of any of the assets of the Company. We also have not evaluated the solvency of any party to the Agreement under any state or federal laws, rules or regulations relating to bankruptcy, insolvency or similar matters. In addition, we have assumed, with your consent, that any material liabilities (contingent or otherwise, known or unknown) of the Company are as set forth in the financial statements of the Company provided to us.</w:t>
      </w:r>
    </w:p>
    <w:p>
      <w:pPr>
        <w:spacing w:after="0" w:line="105"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color w:val="auto"/>
        </w:rPr>
        <w:t>This Fairness Opinion is limited to the fairness, from a financial point of view, to Parent of the Base Purchase Price. We do not express any view on, and our opinion does not address, any other term or aspect of any other agreements or arrangements contemplated by the Agreement or entered into in connection with the Transaction. We also express no opinion as to the fairness of the Transaction to the holders of any class of securities, creditors or other constituencies of Parent. Our Fairness Opinion does not address the relative merits of the Transaction as compared to other business strategies or transactions that might be available to Parent, nor does it address the underlying business decision of Parent to proceed with the Transaction or any view on any other term or aspect of the Agreement. We also note that we are not legal, accounting, regulatory or tax experts and have relied on the assessments made by Parent and its advisors with respect to such matters. We have not considered, and we express no opinion as to, the fairness of the amount or nature of the compensation to be paid to any Parent officers, directors or employees, or class of such persons. Further, we express no view or opinion as to in the future what the value of Parent Common Stock actually will be when issued or the price or range of prices at which Parent Common Stock or any other securities may trade or otherwise be transferable at any time, including following announcement or consummation of the Transaction.</w:t>
      </w:r>
    </w:p>
    <w:p>
      <w:pPr>
        <w:spacing w:after="0" w:line="90"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This Fairness Opinion, as set forth in this letter form, is directed to and for the information of the Board of Directors of Parent (in its capacity as such) in connection with its evaluation of the Transaction and does not constitute advice or a recommendation to any stockholder as to how such stockholder should vote with respect to the Transaction or any other aspect of the Transaction or how such stockholders should otherwise act on any matter relating to the Transaction. It is understood that this letter may not be disclosed or otherwise referred to without our prior written consent.</w:t>
      </w:r>
    </w:p>
    <w:p>
      <w:pPr>
        <w:spacing w:after="0" w:line="125"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Based upon and subject to the foregoing, it is our opinion that, as of the date hereof, the Base Purchase Price is fair, from a financial point of view, to Parent.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100330</wp:posOffset>
            </wp:positionV>
            <wp:extent cx="1680210" cy="3429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6802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CANACCORD GENUITY LLC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11" w:name="page512"/>
    <w:bookmarkEnd w:id="511"/>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148" w:lineRule="exact"/>
        <w:rPr>
          <w:sz w:val="20"/>
          <w:szCs w:val="20"/>
          <w:color w:val="auto"/>
        </w:rPr>
      </w:pPr>
    </w:p>
    <w:p>
      <w:pPr>
        <w:ind w:left="460" w:right="639" w:firstLine="432"/>
        <w:spacing w:after="0" w:line="286" w:lineRule="auto"/>
        <w:rPr>
          <w:sz w:val="20"/>
          <w:szCs w:val="20"/>
          <w:color w:val="auto"/>
        </w:rPr>
      </w:pPr>
      <w:r>
        <w:rPr>
          <w:rFonts w:ascii="Arial" w:cs="Arial" w:eastAsia="Arial" w:hAnsi="Arial"/>
          <w:sz w:val="17"/>
          <w:szCs w:val="17"/>
          <w:color w:val="auto"/>
        </w:rPr>
        <w:t>Our Current Charter provides that all of our directors, officers, employees and agents shall be entitled to be indemnified by us to the fullest extent permitted by Section 145 of the DGCL. Section 145 of the DGCL concerning indemnification of officers, directors, employees and agents is set forth below.</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158" w:lineRule="exact"/>
        <w:rPr>
          <w:sz w:val="20"/>
          <w:szCs w:val="20"/>
          <w:color w:val="auto"/>
        </w:rPr>
      </w:pPr>
    </w:p>
    <w:p>
      <w:pPr>
        <w:ind w:left="1320" w:right="499" w:hanging="434"/>
        <w:spacing w:after="0" w:line="268" w:lineRule="auto"/>
        <w:tabs>
          <w:tab w:leader="none" w:pos="1303" w:val="left"/>
        </w:tabs>
        <w:numPr>
          <w:ilvl w:val="0"/>
          <w:numId w:val="551"/>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98" w:lineRule="exact"/>
        <w:rPr>
          <w:rFonts w:ascii="Arial" w:cs="Arial" w:eastAsia="Arial" w:hAnsi="Arial"/>
          <w:sz w:val="17"/>
          <w:szCs w:val="17"/>
          <w:color w:val="auto"/>
        </w:rPr>
      </w:pPr>
    </w:p>
    <w:p>
      <w:pPr>
        <w:ind w:left="1320" w:right="459" w:hanging="434"/>
        <w:spacing w:after="0" w:line="286" w:lineRule="auto"/>
        <w:tabs>
          <w:tab w:leader="none" w:pos="1268" w:val="left"/>
        </w:tabs>
        <w:numPr>
          <w:ilvl w:val="0"/>
          <w:numId w:val="551"/>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03" w:lineRule="exact"/>
        <w:rPr>
          <w:rFonts w:ascii="Arial" w:cs="Arial" w:eastAsia="Arial" w:hAnsi="Arial"/>
          <w:sz w:val="16"/>
          <w:szCs w:val="16"/>
          <w:color w:val="auto"/>
        </w:rPr>
      </w:pPr>
    </w:p>
    <w:p>
      <w:pPr>
        <w:ind w:left="1320" w:right="579" w:hanging="434"/>
        <w:spacing w:after="0" w:line="291" w:lineRule="auto"/>
        <w:tabs>
          <w:tab w:leader="none" w:pos="1309" w:val="left"/>
        </w:tabs>
        <w:numPr>
          <w:ilvl w:val="0"/>
          <w:numId w:val="551"/>
        </w:numPr>
        <w:rPr>
          <w:rFonts w:ascii="Arial" w:cs="Arial" w:eastAsia="Arial" w:hAnsi="Arial"/>
          <w:sz w:val="16"/>
          <w:szCs w:val="16"/>
          <w:color w:val="auto"/>
        </w:rPr>
      </w:pPr>
      <w:r>
        <w:rPr>
          <w:rFonts w:ascii="Arial" w:cs="Arial" w:eastAsia="Arial" w:hAnsi="Arial"/>
          <w:sz w:val="16"/>
          <w:szCs w:val="16"/>
          <w:color w:val="auto"/>
        </w:rPr>
        <w:t>To the extent that a present or former director or officer of a corporation has been successful on the merits or otherwise in defense of any action, suit or proceeding referred to in subsections (a) and</w:t>
      </w:r>
    </w:p>
    <w:p>
      <w:pPr>
        <w:ind w:left="1320" w:right="659" w:hanging="2"/>
        <w:spacing w:after="0" w:line="255" w:lineRule="auto"/>
        <w:tabs>
          <w:tab w:leader="none" w:pos="1575" w:val="left"/>
        </w:tabs>
        <w:numPr>
          <w:ilvl w:val="1"/>
          <w:numId w:val="551"/>
        </w:numPr>
        <w:rPr>
          <w:rFonts w:ascii="Arial" w:cs="Arial" w:eastAsia="Arial" w:hAnsi="Arial"/>
          <w:sz w:val="18"/>
          <w:szCs w:val="18"/>
          <w:color w:val="auto"/>
        </w:rPr>
      </w:pPr>
      <w:r>
        <w:rPr>
          <w:rFonts w:ascii="Arial" w:cs="Arial" w:eastAsia="Arial" w:hAnsi="Arial"/>
          <w:sz w:val="18"/>
          <w:szCs w:val="18"/>
          <w:color w:val="auto"/>
        </w:rPr>
        <w:t>of this section, or in defense of any claim, issue or matter therein, such person shall be indemnified against expenses (including attorneys’ fees) actually and reasonably incurred by such person in connection therewith.</w:t>
      </w:r>
    </w:p>
    <w:p>
      <w:pPr>
        <w:spacing w:after="0" w:line="122" w:lineRule="exact"/>
        <w:rPr>
          <w:rFonts w:ascii="Arial" w:cs="Arial" w:eastAsia="Arial" w:hAnsi="Arial"/>
          <w:sz w:val="18"/>
          <w:szCs w:val="18"/>
          <w:color w:val="auto"/>
        </w:rPr>
      </w:pPr>
    </w:p>
    <w:p>
      <w:pPr>
        <w:ind w:left="1320" w:right="459" w:hanging="434"/>
        <w:spacing w:after="0" w:line="305" w:lineRule="auto"/>
        <w:tabs>
          <w:tab w:leader="none" w:pos="1268" w:val="left"/>
        </w:tabs>
        <w:numPr>
          <w:ilvl w:val="0"/>
          <w:numId w:val="551"/>
        </w:numPr>
        <w:rPr>
          <w:rFonts w:ascii="Arial" w:cs="Arial" w:eastAsia="Arial" w:hAnsi="Arial"/>
          <w:sz w:val="15"/>
          <w:szCs w:val="15"/>
          <w:color w:val="auto"/>
        </w:rPr>
      </w:pPr>
      <w:r>
        <w:rPr>
          <w:rFonts w:ascii="Arial" w:cs="Arial" w:eastAsia="Arial" w:hAnsi="Arial"/>
          <w:sz w:val="15"/>
          <w:szCs w:val="15"/>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1" w:lineRule="exact"/>
        <w:rPr>
          <w:rFonts w:ascii="Arial" w:cs="Arial" w:eastAsia="Arial" w:hAnsi="Arial"/>
          <w:sz w:val="15"/>
          <w:szCs w:val="15"/>
          <w:color w:val="auto"/>
        </w:rPr>
      </w:pPr>
    </w:p>
    <w:p>
      <w:pPr>
        <w:ind w:left="1320" w:right="499" w:hanging="2"/>
        <w:spacing w:after="0" w:line="281" w:lineRule="auto"/>
        <w:tabs>
          <w:tab w:leader="none" w:pos="1565" w:val="left"/>
        </w:tabs>
        <w:numPr>
          <w:ilvl w:val="1"/>
          <w:numId w:val="552"/>
        </w:numPr>
        <w:rPr>
          <w:rFonts w:ascii="Arial" w:cs="Arial" w:eastAsia="Arial" w:hAnsi="Arial"/>
          <w:sz w:val="16"/>
          <w:szCs w:val="16"/>
          <w:color w:val="auto"/>
        </w:rPr>
      </w:pPr>
      <w:r>
        <w:rPr>
          <w:rFonts w:ascii="Arial" w:cs="Arial" w:eastAsia="Arial" w:hAnsi="Arial"/>
          <w:sz w:val="16"/>
          <w:szCs w:val="16"/>
          <w:color w:val="auto"/>
        </w:rPr>
        <w:t>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w:t>
      </w:r>
    </w:p>
    <w:p>
      <w:pPr>
        <w:spacing w:after="0" w:line="2" w:lineRule="exact"/>
        <w:rPr>
          <w:rFonts w:ascii="Arial" w:cs="Arial" w:eastAsia="Arial" w:hAnsi="Arial"/>
          <w:sz w:val="16"/>
          <w:szCs w:val="16"/>
          <w:color w:val="auto"/>
        </w:rPr>
      </w:pPr>
    </w:p>
    <w:p>
      <w:pPr>
        <w:ind w:left="1320" w:right="799"/>
        <w:spacing w:after="0" w:line="260" w:lineRule="auto"/>
        <w:rPr>
          <w:rFonts w:ascii="Arial" w:cs="Arial" w:eastAsia="Arial" w:hAnsi="Arial"/>
          <w:sz w:val="16"/>
          <w:szCs w:val="16"/>
          <w:color w:val="auto"/>
        </w:rPr>
      </w:pPr>
      <w:r>
        <w:rPr>
          <w:rFonts w:ascii="Arial" w:cs="Arial" w:eastAsia="Arial" w:hAnsi="Arial"/>
          <w:sz w:val="18"/>
          <w:szCs w:val="18"/>
          <w:color w:val="auto"/>
        </w:rPr>
        <w:t>(3) if there are no such directors, or if such directors so direct, by independent legal counsel in a written opinion, or (4) by the stockholders.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12" w:name="page513"/>
    <w:bookmarkEnd w:id="512"/>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54" w:lineRule="auto"/>
        <w:tabs>
          <w:tab w:leader="none" w:pos="1313" w:val="left"/>
        </w:tabs>
        <w:numPr>
          <w:ilvl w:val="0"/>
          <w:numId w:val="553"/>
        </w:numPr>
        <w:rPr>
          <w:rFonts w:ascii="Arial" w:cs="Arial" w:eastAsia="Arial" w:hAnsi="Arial"/>
          <w:sz w:val="18"/>
          <w:szCs w:val="18"/>
          <w:color w:val="auto"/>
        </w:rPr>
      </w:pPr>
      <w:r>
        <w:rPr>
          <w:rFonts w:ascii="Arial" w:cs="Arial" w:eastAsia="Arial" w:hAnsi="Arial"/>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10" w:lineRule="exact"/>
        <w:rPr>
          <w:rFonts w:ascii="Arial" w:cs="Arial" w:eastAsia="Arial" w:hAnsi="Arial"/>
          <w:sz w:val="18"/>
          <w:szCs w:val="18"/>
          <w:color w:val="auto"/>
        </w:rPr>
      </w:pPr>
    </w:p>
    <w:p>
      <w:pPr>
        <w:ind w:left="1320" w:right="479" w:hanging="434"/>
        <w:spacing w:after="0" w:line="287" w:lineRule="auto"/>
        <w:tabs>
          <w:tab w:leader="none" w:pos="1289" w:val="left"/>
        </w:tabs>
        <w:numPr>
          <w:ilvl w:val="0"/>
          <w:numId w:val="553"/>
        </w:numPr>
        <w:rPr>
          <w:rFonts w:ascii="Arial" w:cs="Arial" w:eastAsia="Arial" w:hAnsi="Arial"/>
          <w:sz w:val="16"/>
          <w:szCs w:val="16"/>
          <w:color w:val="auto"/>
        </w:rPr>
      </w:pPr>
      <w:r>
        <w:rPr>
          <w:rFonts w:ascii="Arial" w:cs="Arial" w:eastAsia="Arial" w:hAnsi="Arial"/>
          <w:sz w:val="16"/>
          <w:szCs w:val="16"/>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77" w:lineRule="exact"/>
        <w:rPr>
          <w:rFonts w:ascii="Arial" w:cs="Arial" w:eastAsia="Arial" w:hAnsi="Arial"/>
          <w:sz w:val="16"/>
          <w:szCs w:val="16"/>
          <w:color w:val="auto"/>
        </w:rPr>
      </w:pPr>
    </w:p>
    <w:p>
      <w:pPr>
        <w:ind w:left="1320" w:right="479" w:hanging="434"/>
        <w:spacing w:after="0" w:line="293" w:lineRule="auto"/>
        <w:tabs>
          <w:tab w:leader="none" w:pos="1268" w:val="left"/>
        </w:tabs>
        <w:numPr>
          <w:ilvl w:val="0"/>
          <w:numId w:val="553"/>
        </w:numPr>
        <w:rPr>
          <w:rFonts w:ascii="Arial" w:cs="Arial" w:eastAsia="Arial" w:hAnsi="Arial"/>
          <w:sz w:val="16"/>
          <w:szCs w:val="16"/>
          <w:color w:val="auto"/>
        </w:rPr>
      </w:pPr>
      <w:r>
        <w:rPr>
          <w:rFonts w:ascii="Arial" w:cs="Arial" w:eastAsia="Arial" w:hAnsi="Arial"/>
          <w:sz w:val="16"/>
          <w:szCs w:val="16"/>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69" w:lineRule="exact"/>
        <w:rPr>
          <w:rFonts w:ascii="Arial" w:cs="Arial" w:eastAsia="Arial" w:hAnsi="Arial"/>
          <w:sz w:val="16"/>
          <w:szCs w:val="16"/>
          <w:color w:val="auto"/>
        </w:rPr>
      </w:pPr>
    </w:p>
    <w:p>
      <w:pPr>
        <w:ind w:left="1320" w:right="499" w:hanging="434"/>
        <w:spacing w:after="0" w:line="289" w:lineRule="auto"/>
        <w:tabs>
          <w:tab w:leader="none" w:pos="1278" w:val="left"/>
        </w:tabs>
        <w:numPr>
          <w:ilvl w:val="0"/>
          <w:numId w:val="553"/>
        </w:numPr>
        <w:rPr>
          <w:rFonts w:ascii="Arial" w:cs="Arial" w:eastAsia="Arial" w:hAnsi="Arial"/>
          <w:sz w:val="16"/>
          <w:szCs w:val="16"/>
          <w:color w:val="auto"/>
        </w:rPr>
      </w:pPr>
      <w:r>
        <w:rPr>
          <w:rFonts w:ascii="Arial" w:cs="Arial" w:eastAsia="Arial" w:hAnsi="Arial"/>
          <w:sz w:val="16"/>
          <w:szCs w:val="16"/>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85" w:lineRule="exact"/>
        <w:rPr>
          <w:rFonts w:ascii="Arial" w:cs="Arial" w:eastAsia="Arial" w:hAnsi="Arial"/>
          <w:sz w:val="16"/>
          <w:szCs w:val="16"/>
          <w:color w:val="auto"/>
        </w:rPr>
      </w:pPr>
    </w:p>
    <w:p>
      <w:pPr>
        <w:ind w:left="1320" w:right="559" w:hanging="434"/>
        <w:spacing w:after="0" w:line="270" w:lineRule="auto"/>
        <w:tabs>
          <w:tab w:leader="none" w:pos="1328" w:val="left"/>
        </w:tabs>
        <w:numPr>
          <w:ilvl w:val="0"/>
          <w:numId w:val="553"/>
        </w:numPr>
        <w:rPr>
          <w:rFonts w:ascii="Arial" w:cs="Arial" w:eastAsia="Arial" w:hAnsi="Arial"/>
          <w:sz w:val="17"/>
          <w:szCs w:val="17"/>
          <w:color w:val="auto"/>
        </w:rPr>
      </w:pPr>
      <w:r>
        <w:rPr>
          <w:rFonts w:ascii="Arial" w:cs="Arial" w:eastAsia="Arial" w:hAnsi="Arial"/>
          <w:sz w:val="17"/>
          <w:szCs w:val="17"/>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86" w:lineRule="exact"/>
        <w:rPr>
          <w:rFonts w:ascii="Arial" w:cs="Arial" w:eastAsia="Arial" w:hAnsi="Arial"/>
          <w:sz w:val="17"/>
          <w:szCs w:val="17"/>
          <w:color w:val="auto"/>
        </w:rPr>
      </w:pPr>
    </w:p>
    <w:p>
      <w:pPr>
        <w:ind w:left="1320" w:right="499" w:hanging="434"/>
        <w:spacing w:after="0" w:line="259" w:lineRule="auto"/>
        <w:tabs>
          <w:tab w:leader="none" w:pos="1279" w:val="left"/>
        </w:tabs>
        <w:numPr>
          <w:ilvl w:val="0"/>
          <w:numId w:val="553"/>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92" w:lineRule="exact"/>
        <w:rPr>
          <w:rFonts w:ascii="Arial" w:cs="Arial" w:eastAsia="Arial" w:hAnsi="Arial"/>
          <w:sz w:val="18"/>
          <w:szCs w:val="18"/>
          <w:color w:val="auto"/>
        </w:rPr>
      </w:pPr>
    </w:p>
    <w:p>
      <w:pPr>
        <w:ind w:left="1320" w:right="479" w:hanging="434"/>
        <w:spacing w:after="0" w:line="301" w:lineRule="auto"/>
        <w:tabs>
          <w:tab w:leader="none" w:pos="1274" w:val="left"/>
        </w:tabs>
        <w:numPr>
          <w:ilvl w:val="0"/>
          <w:numId w:val="553"/>
        </w:numPr>
        <w:rPr>
          <w:rFonts w:ascii="Arial" w:cs="Arial" w:eastAsia="Arial" w:hAnsi="Arial"/>
          <w:sz w:val="16"/>
          <w:szCs w:val="16"/>
          <w:color w:val="auto"/>
        </w:rPr>
      </w:pPr>
      <w:r>
        <w:rPr>
          <w:rFonts w:ascii="Arial" w:cs="Arial" w:eastAsia="Arial" w:hAnsi="Arial"/>
          <w:sz w:val="16"/>
          <w:szCs w:val="16"/>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76"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13" w:name="page514"/>
    <w:bookmarkEnd w:id="513"/>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460" w:right="679"/>
        <w:spacing w:after="0" w:line="255" w:lineRule="auto"/>
        <w:rPr>
          <w:sz w:val="20"/>
          <w:szCs w:val="20"/>
          <w:color w:val="auto"/>
        </w:rPr>
      </w:pPr>
      <w:r>
        <w:rPr>
          <w:rFonts w:ascii="Arial" w:cs="Arial" w:eastAsia="Arial" w:hAnsi="Arial"/>
          <w:sz w:val="18"/>
          <w:szCs w:val="18"/>
          <w:color w:val="auto"/>
        </w:rPr>
        <w:t>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25" w:lineRule="exact"/>
        <w:rPr>
          <w:sz w:val="20"/>
          <w:szCs w:val="20"/>
          <w:color w:val="auto"/>
        </w:rPr>
      </w:pPr>
    </w:p>
    <w:p>
      <w:pPr>
        <w:ind w:left="460" w:right="539" w:firstLine="432"/>
        <w:spacing w:after="0" w:line="289" w:lineRule="auto"/>
        <w:rPr>
          <w:sz w:val="20"/>
          <w:szCs w:val="20"/>
          <w:color w:val="auto"/>
        </w:rPr>
      </w:pPr>
      <w:r>
        <w:rPr>
          <w:rFonts w:ascii="Arial" w:cs="Arial" w:eastAsia="Arial" w:hAnsi="Arial"/>
          <w:sz w:val="16"/>
          <w:szCs w:val="16"/>
          <w:color w:val="auto"/>
        </w:rPr>
        <w:t>In accordance with Section 102(b)(7) of the DGCL, our Current Charter provides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Current Charter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 monetary relief, such as an injunction or rescission, in the event of a breach of a director’s duty of care.</w:t>
      </w:r>
    </w:p>
    <w:p>
      <w:pPr>
        <w:spacing w:after="0" w:line="85"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If the DGCL is amended to authorize corporate action further eliminating or limiting the liability of directors, then, in accordance with our Current Charter, the liability of our directors to us or our stockholders will be eliminated or limited to the fullest extent authorized by the DGCL, as so amended. Any repeal or amendment of provisions of our Current Charter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10"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Our Current Charter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11"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Notwithstanding the foregoing, a person eligible for indemnification pursuant to our Current Charter will be indemnified by us in connection with a proceeding initiated by such person only if such proceeding was authorized by our board of directors, except for proceedings to enforce rights to indemnification.</w:t>
      </w:r>
    </w:p>
    <w:p>
      <w:pPr>
        <w:spacing w:after="0" w:line="84"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right to indemnification which will be conferred by our Current Charter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Current Charter or otherwise.</w:t>
      </w:r>
    </w:p>
    <w:p>
      <w:pPr>
        <w:spacing w:after="0" w:line="110" w:lineRule="exact"/>
        <w:rPr>
          <w:sz w:val="20"/>
          <w:szCs w:val="20"/>
          <w:color w:val="auto"/>
        </w:rPr>
      </w:pPr>
    </w:p>
    <w:p>
      <w:pPr>
        <w:ind w:left="460" w:right="679" w:firstLine="432"/>
        <w:spacing w:after="0" w:line="311" w:lineRule="auto"/>
        <w:rPr>
          <w:sz w:val="20"/>
          <w:szCs w:val="20"/>
          <w:color w:val="auto"/>
        </w:rPr>
      </w:pPr>
      <w:r>
        <w:rPr>
          <w:rFonts w:ascii="Arial" w:cs="Arial" w:eastAsia="Arial" w:hAnsi="Arial"/>
          <w:sz w:val="16"/>
          <w:szCs w:val="16"/>
          <w:color w:val="auto"/>
        </w:rPr>
        <w:t>The rights to indemnification and advancement of expenses will not be deemed exclusive of any other rights which any person covered by our Current Charter may have or hereafter acquire under law, our Current Charter, our bylaws, an agreement, vote of stockholders or disinterested directors, or otherwise.</w:t>
      </w:r>
    </w:p>
    <w:p>
      <w:pPr>
        <w:spacing w:after="0" w:line="81" w:lineRule="exact"/>
        <w:rPr>
          <w:sz w:val="20"/>
          <w:szCs w:val="20"/>
          <w:color w:val="auto"/>
        </w:rPr>
      </w:pPr>
    </w:p>
    <w:p>
      <w:pPr>
        <w:ind w:left="460" w:right="579" w:firstLine="432"/>
        <w:spacing w:after="0" w:line="270" w:lineRule="auto"/>
        <w:rPr>
          <w:sz w:val="20"/>
          <w:szCs w:val="20"/>
          <w:color w:val="auto"/>
        </w:rPr>
      </w:pPr>
      <w:r>
        <w:rPr>
          <w:rFonts w:ascii="Arial" w:cs="Arial" w:eastAsia="Arial" w:hAnsi="Arial"/>
          <w:sz w:val="17"/>
          <w:szCs w:val="17"/>
          <w:color w:val="auto"/>
        </w:rPr>
        <w:t>Any repeal or amendment of provisions of our Current Charter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Current Charter also permits us, to the extent and in the manner authorized or permitted by law, to indemnify and to advance expenses to persons other that those specifically covered by our Current Charter.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14" w:name="page515"/>
    <w:bookmarkEnd w:id="514"/>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Our current bylaws include the provisions relating to advancement of expenses and indemnification rights consistent with those which are set forth in our Current Charter.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10"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97"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We have entered into indemnification agreements with each of our officers and directors a form that was filed as Exhibit 10.7 of our Registration Statement on Form S-1, filed with the SEC on August 31, 2020.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148" w:lineRule="exact"/>
        <w:rPr>
          <w:sz w:val="20"/>
          <w:szCs w:val="20"/>
          <w:color w:val="auto"/>
        </w:rPr>
      </w:pPr>
    </w:p>
    <w:p>
      <w:pPr>
        <w:ind w:left="1300" w:hanging="414"/>
        <w:spacing w:after="0"/>
        <w:tabs>
          <w:tab w:leader="none" w:pos="130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The following exhibits are filed as part of this Registration Statement:</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gridSpan w:val="5"/>
          </w:tcPr>
          <w:p>
            <w:pPr>
              <w:ind w:left="440"/>
              <w:spacing w:after="0"/>
              <w:rPr>
                <w:sz w:val="20"/>
                <w:szCs w:val="20"/>
                <w:color w:val="auto"/>
              </w:rPr>
            </w:pPr>
            <w:r>
              <w:rPr>
                <w:rFonts w:ascii="Arial" w:cs="Arial" w:eastAsia="Arial" w:hAnsi="Arial"/>
                <w:sz w:val="16"/>
                <w:szCs w:val="16"/>
                <w:b w:val="1"/>
                <w:bCs w:val="1"/>
                <w:color w:val="auto"/>
              </w:rPr>
              <w:t>Incorporated by Reference</w:t>
            </w:r>
          </w:p>
        </w:tc>
      </w:tr>
      <w:tr>
        <w:trPr>
          <w:trHeight w:val="46"/>
        </w:trPr>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182"/>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7"/>
              </w:rPr>
              <w:t>Schedule/</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80"/>
              <w:spacing w:after="0" w:line="182" w:lineRule="exact"/>
              <w:rPr>
                <w:sz w:val="20"/>
                <w:szCs w:val="20"/>
                <w:color w:val="auto"/>
              </w:rPr>
            </w:pPr>
            <w:r>
              <w:rPr>
                <w:rFonts w:ascii="Arial" w:cs="Arial" w:eastAsia="Arial" w:hAnsi="Arial"/>
                <w:sz w:val="16"/>
                <w:szCs w:val="16"/>
                <w:b w:val="1"/>
                <w:bCs w:val="1"/>
                <w:color w:val="auto"/>
                <w:w w:val="93"/>
              </w:rPr>
              <w:t>Exhibit</w:t>
            </w:r>
          </w:p>
        </w:tc>
        <w:tc>
          <w:tcPr>
            <w:tcW w:w="1600" w:type="dxa"/>
            <w:vAlign w:val="bottom"/>
          </w:tcPr>
          <w:p>
            <w:pPr>
              <w:spacing w:after="0"/>
              <w:rPr>
                <w:sz w:val="15"/>
                <w:szCs w:val="15"/>
                <w:color w:val="auto"/>
              </w:rPr>
            </w:pPr>
          </w:p>
        </w:tc>
      </w:tr>
      <w:tr>
        <w:trPr>
          <w:trHeight w:val="210"/>
        </w:trPr>
        <w:tc>
          <w:tcPr>
            <w:tcW w:w="94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400" w:type="dxa"/>
            <w:vAlign w:val="bottom"/>
          </w:tcPr>
          <w:p>
            <w:pPr>
              <w:spacing w:after="0"/>
              <w:rPr>
                <w:sz w:val="18"/>
                <w:szCs w:val="18"/>
                <w:color w:val="auto"/>
              </w:rPr>
            </w:pPr>
          </w:p>
        </w:tc>
        <w:tc>
          <w:tcPr>
            <w:tcW w:w="2480" w:type="dxa"/>
            <w:vAlign w:val="bottom"/>
            <w:gridSpan w:val="21"/>
          </w:tcPr>
          <w:p>
            <w:pPr>
              <w:ind w:left="600"/>
              <w:spacing w:after="0"/>
              <w:rPr>
                <w:sz w:val="20"/>
                <w:szCs w:val="20"/>
                <w:color w:val="auto"/>
              </w:rPr>
            </w:pPr>
            <w:r>
              <w:rPr>
                <w:rFonts w:ascii="Arial" w:cs="Arial" w:eastAsia="Arial" w:hAnsi="Arial"/>
                <w:sz w:val="16"/>
                <w:szCs w:val="16"/>
                <w:b w:val="1"/>
                <w:bCs w:val="1"/>
                <w:color w:val="auto"/>
              </w:rPr>
              <w:t>Description</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4"/>
              </w:rPr>
              <w:t>Form</w:t>
            </w:r>
          </w:p>
        </w:tc>
        <w:tc>
          <w:tcPr>
            <w:tcW w:w="1060" w:type="dxa"/>
            <w:vAlign w:val="bottom"/>
            <w:gridSpan w:val="3"/>
          </w:tcPr>
          <w:p>
            <w:pPr>
              <w:ind w:left="100"/>
              <w:spacing w:after="0"/>
              <w:rPr>
                <w:sz w:val="20"/>
                <w:szCs w:val="20"/>
                <w:color w:val="auto"/>
              </w:rPr>
            </w:pPr>
            <w:r>
              <w:rPr>
                <w:rFonts w:ascii="Arial" w:cs="Arial" w:eastAsia="Arial" w:hAnsi="Arial"/>
                <w:sz w:val="16"/>
                <w:szCs w:val="16"/>
                <w:b w:val="1"/>
                <w:bCs w:val="1"/>
                <w:color w:val="auto"/>
              </w:rPr>
              <w:t>File Number</w:t>
            </w:r>
          </w:p>
        </w:tc>
        <w:tc>
          <w:tcPr>
            <w:tcW w:w="9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Number</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5"/>
              </w:rPr>
              <w:t>File Date</w:t>
            </w:r>
          </w:p>
        </w:tc>
      </w:tr>
      <w:tr>
        <w:trPr>
          <w:trHeight w:val="46"/>
        </w:trPr>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169"/>
        </w:trPr>
        <w:tc>
          <w:tcPr>
            <w:tcW w:w="84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4"/>
                <w:szCs w:val="14"/>
                <w:color w:val="auto"/>
              </w:rPr>
            </w:pPr>
          </w:p>
        </w:tc>
        <w:tc>
          <w:tcPr>
            <w:tcW w:w="2800" w:type="dxa"/>
            <w:vAlign w:val="bottom"/>
            <w:gridSpan w:val="21"/>
            <w:shd w:val="clear" w:color="auto" w:fill="CCEEFF"/>
          </w:tcPr>
          <w:p>
            <w:pPr>
              <w:spacing w:after="0" w:line="169" w:lineRule="exact"/>
              <w:rPr>
                <w:rFonts w:ascii="Arial" w:cs="Arial" w:eastAsia="Arial" w:hAnsi="Arial"/>
                <w:sz w:val="18"/>
                <w:szCs w:val="18"/>
                <w:color w:val="0000EE"/>
                <w:w w:val="92"/>
              </w:rPr>
            </w:pPr>
            <w:hyperlink r:id="rId624">
              <w:r>
                <w:rPr>
                  <w:rFonts w:ascii="Arial" w:cs="Arial" w:eastAsia="Arial" w:hAnsi="Arial"/>
                  <w:sz w:val="18"/>
                  <w:szCs w:val="18"/>
                  <w:color w:val="0000EE"/>
                  <w:w w:val="92"/>
                </w:rPr>
                <w:t>Agreement and Plan of Merger, dated</w:t>
              </w:r>
            </w:hyperlink>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9"/>
              </w:rPr>
              <w:t>8-K</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0"/>
              </w:rPr>
              <w:t>001-39485</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87"/>
              </w:rPr>
              <w:t>2.1</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3"/>
              </w:rPr>
              <w:t>April 14, 2021</w:t>
            </w:r>
          </w:p>
        </w:tc>
      </w:tr>
      <w:tr>
        <w:trPr>
          <w:trHeight w:val="196"/>
        </w:trPr>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560" w:type="dxa"/>
            <w:vAlign w:val="bottom"/>
            <w:tcBorders>
              <w:top w:val="single" w:sz="8" w:color="0000EE"/>
              <w:bottom w:val="single" w:sz="8" w:color="0000EE"/>
            </w:tcBorders>
            <w:gridSpan w:val="12"/>
            <w:shd w:val="clear" w:color="auto" w:fill="CCEEFF"/>
          </w:tcPr>
          <w:p>
            <w:pPr>
              <w:spacing w:after="0" w:line="196" w:lineRule="exact"/>
              <w:rPr>
                <w:rFonts w:ascii="Arial" w:cs="Arial" w:eastAsia="Arial" w:hAnsi="Arial"/>
                <w:sz w:val="18"/>
                <w:szCs w:val="18"/>
                <w:color w:val="0000EE"/>
                <w:w w:val="90"/>
              </w:rPr>
            </w:pPr>
            <w:hyperlink r:id="rId624">
              <w:r>
                <w:rPr>
                  <w:rFonts w:ascii="Arial" w:cs="Arial" w:eastAsia="Arial" w:hAnsi="Arial"/>
                  <w:sz w:val="18"/>
                  <w:szCs w:val="18"/>
                  <w:color w:val="0000EE"/>
                  <w:w w:val="90"/>
                </w:rPr>
                <w:t>as of April 13, 2021, by and among</w:t>
              </w:r>
            </w:hyperlink>
          </w:p>
        </w:tc>
        <w:tc>
          <w:tcPr>
            <w:tcW w:w="140" w:type="dxa"/>
            <w:vAlign w:val="bottom"/>
            <w:tcBorders>
              <w:top w:val="single" w:sz="8" w:color="0000EE"/>
              <w:bottom w:val="single" w:sz="8" w:color="CCEEFF"/>
            </w:tcBorders>
            <w:gridSpan w:val="5"/>
            <w:shd w:val="clear" w:color="auto" w:fill="CCEEFF"/>
          </w:tcPr>
          <w:p>
            <w:pPr>
              <w:spacing w:after="0"/>
              <w:rPr>
                <w:sz w:val="17"/>
                <w:szCs w:val="17"/>
                <w:color w:val="auto"/>
              </w:rPr>
            </w:pPr>
          </w:p>
        </w:tc>
        <w:tc>
          <w:tcPr>
            <w:tcW w:w="180" w:type="dxa"/>
            <w:vAlign w:val="bottom"/>
            <w:tcBorders>
              <w:top w:val="single" w:sz="8" w:color="CCEEFF"/>
              <w:bottom w:val="single" w:sz="8" w:color="CCEEFF"/>
            </w:tcBorders>
            <w:gridSpan w:val="5"/>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80" w:type="dxa"/>
            <w:vAlign w:val="bottom"/>
            <w:gridSpan w:val="22"/>
            <w:shd w:val="clear" w:color="auto" w:fill="CCEEFF"/>
          </w:tcPr>
          <w:p>
            <w:pPr>
              <w:spacing w:after="0" w:line="196" w:lineRule="exact"/>
              <w:rPr>
                <w:rFonts w:ascii="Arial" w:cs="Arial" w:eastAsia="Arial" w:hAnsi="Arial"/>
                <w:sz w:val="18"/>
                <w:szCs w:val="18"/>
                <w:color w:val="0000EE"/>
              </w:rPr>
            </w:pPr>
            <w:hyperlink r:id="rId624">
              <w:r>
                <w:rPr>
                  <w:rFonts w:ascii="Arial" w:cs="Arial" w:eastAsia="Arial" w:hAnsi="Arial"/>
                  <w:sz w:val="18"/>
                  <w:szCs w:val="18"/>
                  <w:color w:val="0000EE"/>
                </w:rPr>
                <w:t>BCTG Acquisition Corp., BCTG</w:t>
              </w:r>
            </w:hyperlink>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96"/>
        </w:trPr>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0000EE"/>
            </w:tcBorders>
            <w:gridSpan w:val="9"/>
            <w:shd w:val="clear" w:color="auto" w:fill="CCEEFF"/>
          </w:tcPr>
          <w:p>
            <w:pPr>
              <w:spacing w:after="0" w:line="196" w:lineRule="exact"/>
              <w:rPr>
                <w:rFonts w:ascii="Arial" w:cs="Arial" w:eastAsia="Arial" w:hAnsi="Arial"/>
                <w:sz w:val="18"/>
                <w:szCs w:val="18"/>
                <w:color w:val="0000EE"/>
              </w:rPr>
            </w:pPr>
            <w:hyperlink r:id="rId624">
              <w:r>
                <w:rPr>
                  <w:rFonts w:ascii="Arial" w:cs="Arial" w:eastAsia="Arial" w:hAnsi="Arial"/>
                  <w:sz w:val="18"/>
                  <w:szCs w:val="18"/>
                  <w:color w:val="0000EE"/>
                </w:rPr>
                <w:t>Merger Sub Inc. and Tango</w:t>
              </w:r>
            </w:hyperlink>
          </w:p>
        </w:tc>
        <w:tc>
          <w:tcPr>
            <w:tcW w:w="500" w:type="dxa"/>
            <w:vAlign w:val="bottom"/>
            <w:tcBorders>
              <w:top w:val="single" w:sz="8" w:color="CCEEFF"/>
            </w:tcBorders>
            <w:gridSpan w:val="13"/>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r>
      <w:tr>
        <w:trPr>
          <w:trHeight w:val="20"/>
        </w:trPr>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r>
      <w:tr>
        <w:trPr>
          <w:trHeight w:val="196"/>
        </w:trPr>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80" w:type="dxa"/>
            <w:vAlign w:val="bottom"/>
            <w:gridSpan w:val="22"/>
            <w:shd w:val="clear" w:color="auto" w:fill="CCEEFF"/>
          </w:tcPr>
          <w:p>
            <w:pPr>
              <w:spacing w:after="0" w:line="196" w:lineRule="exact"/>
              <w:rPr>
                <w:rFonts w:ascii="Arial" w:cs="Arial" w:eastAsia="Arial" w:hAnsi="Arial"/>
                <w:sz w:val="18"/>
                <w:szCs w:val="18"/>
                <w:color w:val="0000EE"/>
              </w:rPr>
            </w:pPr>
            <w:hyperlink r:id="rId624">
              <w:r>
                <w:rPr>
                  <w:rFonts w:ascii="Arial" w:cs="Arial" w:eastAsia="Arial" w:hAnsi="Arial"/>
                  <w:sz w:val="18"/>
                  <w:szCs w:val="18"/>
                  <w:color w:val="0000EE"/>
                </w:rPr>
                <w:t>Therapeutics, Inc. (Included as</w:t>
              </w:r>
            </w:hyperlink>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0"/>
        </w:trPr>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0000EE"/>
            </w:tcBorders>
            <w:gridSpan w:val="7"/>
            <w:shd w:val="clear" w:color="auto" w:fill="CCEEFF"/>
          </w:tcPr>
          <w:p>
            <w:pPr>
              <w:spacing w:after="0" w:line="196" w:lineRule="exact"/>
              <w:rPr>
                <w:rFonts w:ascii="Arial" w:cs="Arial" w:eastAsia="Arial" w:hAnsi="Arial"/>
                <w:sz w:val="18"/>
                <w:szCs w:val="18"/>
                <w:i w:val="1"/>
                <w:iCs w:val="1"/>
                <w:color w:val="0000EE"/>
                <w:w w:val="88"/>
              </w:rPr>
            </w:pPr>
            <w:hyperlink r:id="rId624">
              <w:r>
                <w:rPr>
                  <w:rFonts w:ascii="Arial" w:cs="Arial" w:eastAsia="Arial" w:hAnsi="Arial"/>
                  <w:sz w:val="18"/>
                  <w:szCs w:val="18"/>
                  <w:i w:val="1"/>
                  <w:iCs w:val="1"/>
                  <w:color w:val="0000EE"/>
                  <w:w w:val="88"/>
                </w:rPr>
                <w:t xml:space="preserve">Annex A </w:t>
              </w:r>
              <w:r>
                <w:rPr>
                  <w:rFonts w:ascii="Arial" w:cs="Arial" w:eastAsia="Arial" w:hAnsi="Arial"/>
                  <w:sz w:val="18"/>
                  <w:szCs w:val="18"/>
                  <w:color w:val="0000EE"/>
                  <w:w w:val="88"/>
                </w:rPr>
                <w:t>to the proxy statement/</w:t>
              </w:r>
            </w:hyperlink>
          </w:p>
        </w:tc>
        <w:tc>
          <w:tcPr>
            <w:tcW w:w="580" w:type="dxa"/>
            <w:vAlign w:val="bottom"/>
            <w:tcBorders>
              <w:bottom w:val="single" w:sz="8" w:color="CCEEFF"/>
            </w:tcBorders>
            <w:gridSpan w:val="15"/>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r>
      <w:tr>
        <w:trPr>
          <w:trHeight w:val="196"/>
        </w:trPr>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80" w:type="dxa"/>
            <w:vAlign w:val="bottom"/>
            <w:gridSpan w:val="22"/>
            <w:shd w:val="clear" w:color="auto" w:fill="CCEEFF"/>
          </w:tcPr>
          <w:p>
            <w:pPr>
              <w:spacing w:after="0" w:line="196" w:lineRule="exact"/>
              <w:rPr>
                <w:rFonts w:ascii="Arial" w:cs="Arial" w:eastAsia="Arial" w:hAnsi="Arial"/>
                <w:sz w:val="18"/>
                <w:szCs w:val="18"/>
                <w:color w:val="0000EE"/>
              </w:rPr>
            </w:pPr>
            <w:hyperlink r:id="rId624">
              <w:r>
                <w:rPr>
                  <w:rFonts w:ascii="Arial" w:cs="Arial" w:eastAsia="Arial" w:hAnsi="Arial"/>
                  <w:sz w:val="18"/>
                  <w:szCs w:val="18"/>
                  <w:color w:val="0000EE"/>
                </w:rPr>
                <w:t>prospectus forming a part of this</w:t>
              </w:r>
            </w:hyperlink>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96"/>
        </w:trPr>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0000EE"/>
            </w:tcBorders>
            <w:gridSpan w:val="8"/>
            <w:shd w:val="clear" w:color="auto" w:fill="CCEEFF"/>
          </w:tcPr>
          <w:p>
            <w:pPr>
              <w:spacing w:after="0" w:line="196" w:lineRule="exact"/>
              <w:rPr>
                <w:rFonts w:ascii="Arial" w:cs="Arial" w:eastAsia="Arial" w:hAnsi="Arial"/>
                <w:sz w:val="18"/>
                <w:szCs w:val="18"/>
                <w:color w:val="0000EE"/>
              </w:rPr>
            </w:pPr>
            <w:hyperlink r:id="rId624">
              <w:r>
                <w:rPr>
                  <w:rFonts w:ascii="Arial" w:cs="Arial" w:eastAsia="Arial" w:hAnsi="Arial"/>
                  <w:sz w:val="18"/>
                  <w:szCs w:val="18"/>
                  <w:color w:val="0000EE"/>
                </w:rPr>
                <w:t>Registration Statement).</w:t>
              </w:r>
            </w:hyperlink>
          </w:p>
        </w:tc>
        <w:tc>
          <w:tcPr>
            <w:tcW w:w="540" w:type="dxa"/>
            <w:vAlign w:val="bottom"/>
            <w:tcBorders>
              <w:top w:val="single" w:sz="8" w:color="CCEEFF"/>
            </w:tcBorders>
            <w:gridSpan w:val="14"/>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lef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2880" w:type="dxa"/>
            <w:vAlign w:val="bottom"/>
            <w:gridSpan w:val="22"/>
          </w:tcPr>
          <w:p>
            <w:pPr>
              <w:spacing w:after="0" w:line="176" w:lineRule="exact"/>
              <w:rPr>
                <w:rFonts w:ascii="Arial" w:cs="Arial" w:eastAsia="Arial" w:hAnsi="Arial"/>
                <w:sz w:val="18"/>
                <w:szCs w:val="18"/>
                <w:color w:val="0000EE"/>
                <w:w w:val="96"/>
              </w:rPr>
            </w:pPr>
            <w:hyperlink r:id="rId625">
              <w:r>
                <w:rPr>
                  <w:rFonts w:ascii="Arial" w:cs="Arial" w:eastAsia="Arial" w:hAnsi="Arial"/>
                  <w:sz w:val="18"/>
                  <w:szCs w:val="18"/>
                  <w:color w:val="0000EE"/>
                  <w:w w:val="96"/>
                </w:rPr>
                <w:t>Amended and Restated Certificate of</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8-K</w:t>
            </w:r>
          </w:p>
        </w:tc>
        <w:tc>
          <w:tcPr>
            <w:tcW w:w="98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0"/>
              </w:rPr>
              <w:t>001-39485</w:t>
            </w:r>
          </w:p>
        </w:tc>
        <w:tc>
          <w:tcPr>
            <w:tcW w:w="8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8"/>
                <w:szCs w:val="18"/>
                <w:color w:val="auto"/>
                <w:w w:val="88"/>
              </w:rPr>
              <w:t>September 9, 2020</w:t>
            </w: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Borders>
              <w:top w:val="single" w:sz="8" w:color="0000EE"/>
            </w:tcBorders>
            <w:gridSpan w:val="16"/>
          </w:tcPr>
          <w:p>
            <w:pPr>
              <w:spacing w:after="0" w:line="196" w:lineRule="exact"/>
              <w:rPr>
                <w:rFonts w:ascii="Arial" w:cs="Arial" w:eastAsia="Arial" w:hAnsi="Arial"/>
                <w:sz w:val="18"/>
                <w:szCs w:val="18"/>
                <w:color w:val="0000EE"/>
                <w:w w:val="97"/>
              </w:rPr>
            </w:pPr>
            <w:hyperlink r:id="rId625">
              <w:r>
                <w:rPr>
                  <w:rFonts w:ascii="Arial" w:cs="Arial" w:eastAsia="Arial" w:hAnsi="Arial"/>
                  <w:sz w:val="18"/>
                  <w:szCs w:val="18"/>
                  <w:color w:val="0000EE"/>
                  <w:w w:val="97"/>
                </w:rPr>
                <w:t>Incorporation of BCTG Acquisition</w:t>
              </w:r>
            </w:hyperlink>
          </w:p>
        </w:tc>
        <w:tc>
          <w:tcPr>
            <w:tcW w:w="22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625">
              <w:r>
                <w:rPr>
                  <w:rFonts w:ascii="Arial" w:cs="Arial" w:eastAsia="Arial" w:hAnsi="Arial"/>
                  <w:sz w:val="18"/>
                  <w:szCs w:val="18"/>
                  <w:color w:val="0000EE"/>
                </w:rPr>
                <w:t>Corp.</w:t>
              </w:r>
            </w:hyperlink>
          </w:p>
        </w:tc>
        <w:tc>
          <w:tcPr>
            <w:tcW w:w="30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61"/>
        </w:trPr>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5"/>
                <w:szCs w:val="15"/>
                <w:color w:val="auto"/>
              </w:rPr>
            </w:pPr>
          </w:p>
        </w:tc>
        <w:tc>
          <w:tcPr>
            <w:tcW w:w="2880" w:type="dxa"/>
            <w:vAlign w:val="bottom"/>
            <w:gridSpan w:val="22"/>
            <w:shd w:val="clear" w:color="auto" w:fill="CCEEFF"/>
          </w:tcPr>
          <w:p>
            <w:pPr>
              <w:spacing w:after="0" w:line="176" w:lineRule="exact"/>
              <w:rPr>
                <w:rFonts w:ascii="Arial" w:cs="Arial" w:eastAsia="Arial" w:hAnsi="Arial"/>
                <w:sz w:val="18"/>
                <w:szCs w:val="18"/>
                <w:color w:val="0000EE"/>
              </w:rPr>
            </w:pPr>
            <w:hyperlink r:id="rId626">
              <w:r>
                <w:rPr>
                  <w:rFonts w:ascii="Arial" w:cs="Arial" w:eastAsia="Arial" w:hAnsi="Arial"/>
                  <w:sz w:val="18"/>
                  <w:szCs w:val="18"/>
                  <w:color w:val="0000EE"/>
                </w:rPr>
                <w:t>Bylaws of BCTG Acquisition Corp.</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S-1/A</w:t>
            </w:r>
          </w:p>
        </w:tc>
        <w:tc>
          <w:tcPr>
            <w:tcW w:w="980" w:type="dxa"/>
            <w:vAlign w:val="bottom"/>
            <w:gridSpan w:val="2"/>
            <w:shd w:val="clear" w:color="auto" w:fill="CCEEFF"/>
          </w:tcPr>
          <w:p>
            <w:pPr>
              <w:jc w:val="center"/>
              <w:ind w:left="12"/>
              <w:spacing w:after="0" w:line="176" w:lineRule="exact"/>
              <w:rPr>
                <w:sz w:val="20"/>
                <w:szCs w:val="20"/>
                <w:color w:val="auto"/>
              </w:rPr>
            </w:pPr>
            <w:r>
              <w:rPr>
                <w:rFonts w:ascii="Arial" w:cs="Arial" w:eastAsia="Arial" w:hAnsi="Arial"/>
                <w:sz w:val="18"/>
                <w:szCs w:val="18"/>
                <w:color w:val="auto"/>
                <w:w w:val="91"/>
              </w:rPr>
              <w:t>333-240237</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3.3</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August 31, 2020</w:t>
            </w:r>
          </w:p>
        </w:tc>
      </w:tr>
      <w:tr>
        <w:trPr>
          <w:trHeight w:val="88"/>
        </w:trPr>
        <w:tc>
          <w:tcPr>
            <w:tcW w:w="8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1060" w:type="dxa"/>
            <w:vAlign w:val="bottom"/>
            <w:tcBorders>
              <w:top w:val="single" w:sz="8" w:color="0000EE"/>
            </w:tcBorders>
            <w:shd w:val="clear" w:color="auto" w:fill="CCEEFF"/>
          </w:tcPr>
          <w:p>
            <w:pPr>
              <w:spacing w:after="0"/>
              <w:rPr>
                <w:sz w:val="7"/>
                <w:szCs w:val="7"/>
                <w:color w:val="auto"/>
              </w:rPr>
            </w:pPr>
          </w:p>
        </w:tc>
        <w:tc>
          <w:tcPr>
            <w:tcW w:w="28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left w:val="single" w:sz="8" w:color="CCEEFF"/>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600" w:type="dxa"/>
            <w:vAlign w:val="bottom"/>
            <w:tcBorders>
              <w:top w:val="single" w:sz="8" w:color="CCEEFF"/>
            </w:tcBorders>
            <w:shd w:val="clear" w:color="auto" w:fill="CCEEFF"/>
          </w:tcPr>
          <w:p>
            <w:pPr>
              <w:spacing w:after="0"/>
              <w:rPr>
                <w:sz w:val="7"/>
                <w:szCs w:val="7"/>
                <w:color w:val="auto"/>
              </w:rPr>
            </w:pPr>
          </w:p>
        </w:tc>
      </w:tr>
      <w:tr>
        <w:trPr>
          <w:trHeight w:val="175"/>
        </w:trPr>
        <w:tc>
          <w:tcPr>
            <w:tcW w:w="840" w:type="dxa"/>
            <w:vAlign w:val="bottom"/>
          </w:tcPr>
          <w:p>
            <w:pPr>
              <w:spacing w:after="0" w:line="176"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5"/>
                <w:szCs w:val="15"/>
                <w:color w:val="auto"/>
              </w:rPr>
            </w:pPr>
          </w:p>
        </w:tc>
        <w:tc>
          <w:tcPr>
            <w:tcW w:w="2880" w:type="dxa"/>
            <w:vAlign w:val="bottom"/>
            <w:gridSpan w:val="22"/>
          </w:tcPr>
          <w:p>
            <w:pPr>
              <w:spacing w:after="0" w:line="176" w:lineRule="exact"/>
              <w:rPr>
                <w:rFonts w:ascii="Arial" w:cs="Arial" w:eastAsia="Arial" w:hAnsi="Arial"/>
                <w:sz w:val="18"/>
                <w:szCs w:val="18"/>
                <w:color w:val="0000EE"/>
              </w:rPr>
            </w:pPr>
            <w:hyperlink w:anchor="page491">
              <w:r>
                <w:rPr>
                  <w:rFonts w:ascii="Arial" w:cs="Arial" w:eastAsia="Arial" w:hAnsi="Arial"/>
                  <w:sz w:val="18"/>
                  <w:szCs w:val="18"/>
                  <w:color w:val="0000EE"/>
                </w:rPr>
                <w:t>Form of Second Amended and</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2"/>
          </w:tcPr>
          <w:p>
            <w:pPr>
              <w:spacing w:after="0" w:line="196" w:lineRule="exact"/>
              <w:rPr>
                <w:rFonts w:ascii="Arial" w:cs="Arial" w:eastAsia="Arial" w:hAnsi="Arial"/>
                <w:sz w:val="18"/>
                <w:szCs w:val="18"/>
                <w:color w:val="0000EE"/>
                <w:w w:val="99"/>
              </w:rPr>
            </w:pPr>
            <w:hyperlink w:anchor="page491">
              <w:r>
                <w:rPr>
                  <w:rFonts w:ascii="Arial" w:cs="Arial" w:eastAsia="Arial" w:hAnsi="Arial"/>
                  <w:sz w:val="18"/>
                  <w:szCs w:val="18"/>
                  <w:color w:val="0000EE"/>
                  <w:w w:val="99"/>
                </w:rPr>
                <w:t>Restated Certificate of Incorporation</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Borders>
              <w:top w:val="single" w:sz="8" w:color="0000EE"/>
            </w:tcBorders>
            <w:gridSpan w:val="15"/>
          </w:tcPr>
          <w:p>
            <w:pPr>
              <w:spacing w:after="0" w:line="196" w:lineRule="exact"/>
              <w:rPr>
                <w:rFonts w:ascii="Arial" w:cs="Arial" w:eastAsia="Arial" w:hAnsi="Arial"/>
                <w:sz w:val="18"/>
                <w:szCs w:val="18"/>
                <w:color w:val="0000EE"/>
                <w:w w:val="96"/>
              </w:rPr>
            </w:pPr>
            <w:hyperlink w:anchor="page491">
              <w:r>
                <w:rPr>
                  <w:rFonts w:ascii="Arial" w:cs="Arial" w:eastAsia="Arial" w:hAnsi="Arial"/>
                  <w:sz w:val="18"/>
                  <w:szCs w:val="18"/>
                  <w:color w:val="0000EE"/>
                  <w:w w:val="96"/>
                </w:rPr>
                <w:t>(Included as Annex B to the proxy</w:t>
              </w:r>
            </w:hyperlink>
          </w:p>
        </w:tc>
        <w:tc>
          <w:tcPr>
            <w:tcW w:w="24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491">
              <w:r>
                <w:rPr>
                  <w:rFonts w:ascii="Arial" w:cs="Arial" w:eastAsia="Arial" w:hAnsi="Arial"/>
                  <w:sz w:val="18"/>
                  <w:szCs w:val="18"/>
                  <w:color w:val="0000EE"/>
                  <w:w w:val="89"/>
                </w:rPr>
                <w:t>statement/prospectus forming a part of</w:t>
              </w:r>
            </w:hyperlink>
          </w:p>
        </w:tc>
        <w:tc>
          <w:tcPr>
            <w:tcW w:w="10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2"/>
          </w:tcPr>
          <w:p>
            <w:pPr>
              <w:spacing w:after="0" w:line="196" w:lineRule="exact"/>
              <w:rPr>
                <w:rFonts w:ascii="Arial" w:cs="Arial" w:eastAsia="Arial" w:hAnsi="Arial"/>
                <w:sz w:val="18"/>
                <w:szCs w:val="18"/>
                <w:color w:val="0000EE"/>
              </w:rPr>
            </w:pPr>
            <w:hyperlink w:anchor="page491">
              <w:r>
                <w:rPr>
                  <w:rFonts w:ascii="Arial" w:cs="Arial" w:eastAsia="Arial" w:hAnsi="Arial"/>
                  <w:sz w:val="18"/>
                  <w:szCs w:val="18"/>
                  <w:color w:val="0000EE"/>
                </w:rPr>
                <w:t>this Registration Statement).</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61"/>
        </w:trPr>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r>
      <w:tr>
        <w:trPr>
          <w:trHeight w:val="202"/>
        </w:trPr>
        <w:tc>
          <w:tcPr>
            <w:tcW w:w="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7"/>
                <w:szCs w:val="17"/>
                <w:color w:val="auto"/>
              </w:rPr>
            </w:pPr>
          </w:p>
        </w:tc>
        <w:tc>
          <w:tcPr>
            <w:tcW w:w="2880" w:type="dxa"/>
            <w:vAlign w:val="bottom"/>
            <w:gridSpan w:val="22"/>
            <w:shd w:val="clear" w:color="auto" w:fill="CCEEFF"/>
          </w:tcPr>
          <w:p>
            <w:pPr>
              <w:spacing w:after="0" w:line="201" w:lineRule="exact"/>
              <w:rPr>
                <w:sz w:val="20"/>
                <w:szCs w:val="20"/>
                <w:color w:val="auto"/>
              </w:rPr>
            </w:pPr>
            <w:r>
              <w:rPr>
                <w:rFonts w:ascii="Arial" w:cs="Arial" w:eastAsia="Arial" w:hAnsi="Arial"/>
                <w:sz w:val="18"/>
                <w:szCs w:val="18"/>
                <w:color w:val="auto"/>
              </w:rPr>
              <w:t>Form of Amended and Restated</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51"/>
        </w:trPr>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22"/>
            <w:shd w:val="clear" w:color="auto" w:fill="CCEEFF"/>
          </w:tcPr>
          <w:p>
            <w:pPr>
              <w:spacing w:after="0"/>
              <w:rPr>
                <w:sz w:val="20"/>
                <w:szCs w:val="20"/>
                <w:color w:val="auto"/>
              </w:rPr>
            </w:pPr>
            <w:r>
              <w:rPr>
                <w:rFonts w:ascii="Arial" w:cs="Arial" w:eastAsia="Arial" w:hAnsi="Arial"/>
                <w:sz w:val="18"/>
                <w:szCs w:val="18"/>
                <w:color w:val="auto"/>
              </w:rPr>
              <w:t>Bylaws.</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175"/>
        </w:trPr>
        <w:tc>
          <w:tcPr>
            <w:tcW w:w="840" w:type="dxa"/>
            <w:vAlign w:val="bottom"/>
          </w:tcPr>
          <w:p>
            <w:pPr>
              <w:spacing w:after="0" w:line="176"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5"/>
                <w:szCs w:val="15"/>
                <w:color w:val="auto"/>
              </w:rPr>
            </w:pPr>
          </w:p>
        </w:tc>
        <w:tc>
          <w:tcPr>
            <w:tcW w:w="2880" w:type="dxa"/>
            <w:vAlign w:val="bottom"/>
            <w:gridSpan w:val="22"/>
          </w:tcPr>
          <w:p>
            <w:pPr>
              <w:spacing w:after="0" w:line="176" w:lineRule="exact"/>
              <w:rPr>
                <w:rFonts w:ascii="Arial" w:cs="Arial" w:eastAsia="Arial" w:hAnsi="Arial"/>
                <w:sz w:val="18"/>
                <w:szCs w:val="18"/>
                <w:color w:val="0000EE"/>
                <w:w w:val="95"/>
              </w:rPr>
            </w:pPr>
            <w:hyperlink r:id="rId627">
              <w:r>
                <w:rPr>
                  <w:rFonts w:ascii="Arial" w:cs="Arial" w:eastAsia="Arial" w:hAnsi="Arial"/>
                  <w:sz w:val="18"/>
                  <w:szCs w:val="18"/>
                  <w:color w:val="0000EE"/>
                  <w:w w:val="95"/>
                </w:rPr>
                <w:t>Specimen Common Stock Certificate.</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3"/>
              </w:rPr>
              <w:t>S-1/A</w:t>
            </w:r>
          </w:p>
        </w:tc>
        <w:tc>
          <w:tcPr>
            <w:tcW w:w="980" w:type="dxa"/>
            <w:vAlign w:val="bottom"/>
            <w:gridSpan w:val="2"/>
          </w:tcPr>
          <w:p>
            <w:pPr>
              <w:jc w:val="center"/>
              <w:ind w:left="12"/>
              <w:spacing w:after="0" w:line="176" w:lineRule="exact"/>
              <w:rPr>
                <w:sz w:val="20"/>
                <w:szCs w:val="20"/>
                <w:color w:val="auto"/>
              </w:rPr>
            </w:pPr>
            <w:r>
              <w:rPr>
                <w:rFonts w:ascii="Arial" w:cs="Arial" w:eastAsia="Arial" w:hAnsi="Arial"/>
                <w:sz w:val="18"/>
                <w:szCs w:val="18"/>
                <w:color w:val="auto"/>
                <w:w w:val="91"/>
              </w:rPr>
              <w:t>333-240237</w:t>
            </w:r>
          </w:p>
        </w:tc>
        <w:tc>
          <w:tcPr>
            <w:tcW w:w="8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8"/>
                <w:szCs w:val="18"/>
                <w:color w:val="auto"/>
                <w:w w:val="91"/>
              </w:rPr>
              <w:t>August 31, 2020</w:t>
            </w:r>
          </w:p>
        </w:tc>
      </w:tr>
      <w:tr>
        <w:trPr>
          <w:trHeight w:val="88"/>
        </w:trPr>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106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0" w:type="dxa"/>
            <w:vAlign w:val="bottom"/>
          </w:tcPr>
          <w:p>
            <w:pPr>
              <w:spacing w:after="0"/>
              <w:rPr>
                <w:sz w:val="7"/>
                <w:szCs w:val="7"/>
                <w:color w:val="auto"/>
              </w:rPr>
            </w:pPr>
          </w:p>
        </w:tc>
      </w:tr>
      <w:tr>
        <w:trPr>
          <w:trHeight w:val="202"/>
        </w:trPr>
        <w:tc>
          <w:tcPr>
            <w:tcW w:w="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7"/>
                <w:szCs w:val="17"/>
                <w:color w:val="auto"/>
              </w:rPr>
            </w:pPr>
          </w:p>
        </w:tc>
        <w:tc>
          <w:tcPr>
            <w:tcW w:w="2880" w:type="dxa"/>
            <w:vAlign w:val="bottom"/>
            <w:gridSpan w:val="22"/>
            <w:shd w:val="clear" w:color="auto" w:fill="CCEEFF"/>
          </w:tcPr>
          <w:p>
            <w:pPr>
              <w:spacing w:after="0" w:line="201" w:lineRule="exact"/>
              <w:rPr>
                <w:sz w:val="20"/>
                <w:szCs w:val="20"/>
                <w:color w:val="auto"/>
              </w:rPr>
            </w:pPr>
            <w:r>
              <w:rPr>
                <w:rFonts w:ascii="Arial" w:cs="Arial" w:eastAsia="Arial" w:hAnsi="Arial"/>
                <w:sz w:val="18"/>
                <w:szCs w:val="18"/>
                <w:color w:val="auto"/>
                <w:w w:val="97"/>
              </w:rPr>
              <w:t>Specimen Common Stock Certificate</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51"/>
        </w:trPr>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22"/>
            <w:shd w:val="clear" w:color="auto" w:fill="CCEEFF"/>
          </w:tcPr>
          <w:p>
            <w:pPr>
              <w:spacing w:after="0"/>
              <w:rPr>
                <w:sz w:val="20"/>
                <w:szCs w:val="20"/>
                <w:color w:val="auto"/>
              </w:rPr>
            </w:pPr>
            <w:r>
              <w:rPr>
                <w:rFonts w:ascii="Arial" w:cs="Arial" w:eastAsia="Arial" w:hAnsi="Arial"/>
                <w:sz w:val="18"/>
                <w:szCs w:val="18"/>
                <w:color w:val="auto"/>
              </w:rPr>
              <w:t>of the Combined Entity.</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02"/>
        </w:trPr>
        <w:tc>
          <w:tcPr>
            <w:tcW w:w="840" w:type="dxa"/>
            <w:vAlign w:val="bottom"/>
          </w:tcPr>
          <w:p>
            <w:pPr>
              <w:spacing w:after="0" w:line="201"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c>
          <w:tcPr>
            <w:tcW w:w="2880" w:type="dxa"/>
            <w:vAlign w:val="bottom"/>
            <w:gridSpan w:val="22"/>
          </w:tcPr>
          <w:p>
            <w:pPr>
              <w:spacing w:after="0" w:line="201" w:lineRule="exact"/>
              <w:rPr>
                <w:sz w:val="20"/>
                <w:szCs w:val="20"/>
                <w:color w:val="auto"/>
              </w:rPr>
            </w:pPr>
            <w:r>
              <w:rPr>
                <w:rFonts w:ascii="Arial" w:cs="Arial" w:eastAsia="Arial" w:hAnsi="Arial"/>
                <w:sz w:val="18"/>
                <w:szCs w:val="18"/>
                <w:color w:val="auto"/>
              </w:rPr>
              <w:t>Opinion of Loeb &amp; Loeb LLP as to</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2"/>
          </w:tcPr>
          <w:p>
            <w:pPr>
              <w:spacing w:after="0"/>
              <w:rPr>
                <w:sz w:val="20"/>
                <w:szCs w:val="20"/>
                <w:color w:val="auto"/>
              </w:rPr>
            </w:pPr>
            <w:r>
              <w:rPr>
                <w:rFonts w:ascii="Arial" w:cs="Arial" w:eastAsia="Arial" w:hAnsi="Arial"/>
                <w:sz w:val="18"/>
                <w:szCs w:val="18"/>
                <w:color w:val="auto"/>
                <w:w w:val="97"/>
              </w:rPr>
              <w:t>the validity of the shares of Common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22"/>
          </w:tcPr>
          <w:p>
            <w:pPr>
              <w:spacing w:after="0"/>
              <w:rPr>
                <w:sz w:val="20"/>
                <w:szCs w:val="20"/>
                <w:color w:val="auto"/>
              </w:rPr>
            </w:pPr>
            <w:r>
              <w:rPr>
                <w:rFonts w:ascii="Arial" w:cs="Arial" w:eastAsia="Arial" w:hAnsi="Arial"/>
                <w:sz w:val="18"/>
                <w:szCs w:val="18"/>
                <w:color w:val="auto"/>
              </w:rPr>
              <w:t>Stock of BCTG Acquisition Corp.</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
        </w:trPr>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5"/>
                <w:szCs w:val="15"/>
                <w:color w:val="auto"/>
              </w:rPr>
            </w:pPr>
          </w:p>
        </w:tc>
        <w:tc>
          <w:tcPr>
            <w:tcW w:w="2880" w:type="dxa"/>
            <w:vAlign w:val="bottom"/>
            <w:gridSpan w:val="22"/>
            <w:shd w:val="clear" w:color="auto" w:fill="CCEEFF"/>
          </w:tcPr>
          <w:p>
            <w:pPr>
              <w:spacing w:after="0" w:line="176" w:lineRule="exact"/>
              <w:rPr>
                <w:rFonts w:ascii="Arial" w:cs="Arial" w:eastAsia="Arial" w:hAnsi="Arial"/>
                <w:sz w:val="18"/>
                <w:szCs w:val="18"/>
                <w:color w:val="0000EE"/>
                <w:w w:val="93"/>
              </w:rPr>
            </w:pPr>
            <w:hyperlink r:id="rId628">
              <w:r>
                <w:rPr>
                  <w:rFonts w:ascii="Arial" w:cs="Arial" w:eastAsia="Arial" w:hAnsi="Arial"/>
                  <w:sz w:val="18"/>
                  <w:szCs w:val="18"/>
                  <w:color w:val="0000EE"/>
                  <w:w w:val="93"/>
                </w:rPr>
                <w:t>Letter Agreement, dated September 2,</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98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001-39485</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10.1</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September 9, 2020</w:t>
            </w:r>
          </w:p>
        </w:tc>
      </w:tr>
      <w:tr>
        <w:trPr>
          <w:trHeight w:val="196"/>
        </w:trPr>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74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r:id="rId628">
              <w:r>
                <w:rPr>
                  <w:rFonts w:ascii="Arial" w:cs="Arial" w:eastAsia="Arial" w:hAnsi="Arial"/>
                  <w:sz w:val="18"/>
                  <w:szCs w:val="18"/>
                  <w:color w:val="0000EE"/>
                </w:rPr>
                <w:t>2020, among BCTG Acquisition</w:t>
              </w:r>
            </w:hyperlink>
          </w:p>
        </w:tc>
        <w:tc>
          <w:tcPr>
            <w:tcW w:w="140" w:type="dxa"/>
            <w:vAlign w:val="bottom"/>
            <w:tcBorders>
              <w:top w:val="single" w:sz="8" w:color="CCEEFF"/>
            </w:tcBorders>
            <w:gridSpan w:val="3"/>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r>
      <w:tr>
        <w:trPr>
          <w:trHeight w:val="20"/>
        </w:trPr>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200" w:type="dxa"/>
            <w:vAlign w:val="bottom"/>
            <w:gridSpan w:val="3"/>
            <w:shd w:val="clear" w:color="auto" w:fill="CCEEFF"/>
          </w:tcPr>
          <w:p>
            <w:pPr>
              <w:spacing w:after="0" w:line="20" w:lineRule="exact"/>
              <w:rPr>
                <w:sz w:val="1"/>
                <w:szCs w:val="1"/>
                <w:color w:val="auto"/>
              </w:rPr>
            </w:pPr>
          </w:p>
        </w:tc>
        <w:tc>
          <w:tcPr>
            <w:tcW w:w="340" w:type="dxa"/>
            <w:vAlign w:val="bottom"/>
            <w:gridSpan w:val="11"/>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0000EE"/>
            </w:tcBorders>
            <w:gridSpan w:val="11"/>
            <w:shd w:val="clear" w:color="auto" w:fill="CCEEFF"/>
          </w:tcPr>
          <w:p>
            <w:pPr>
              <w:spacing w:after="0" w:line="196" w:lineRule="exact"/>
              <w:rPr>
                <w:rFonts w:ascii="Arial" w:cs="Arial" w:eastAsia="Arial" w:hAnsi="Arial"/>
                <w:sz w:val="18"/>
                <w:szCs w:val="18"/>
                <w:color w:val="0000EE"/>
                <w:w w:val="90"/>
              </w:rPr>
            </w:pPr>
            <w:hyperlink r:id="rId628">
              <w:r>
                <w:rPr>
                  <w:rFonts w:ascii="Arial" w:cs="Arial" w:eastAsia="Arial" w:hAnsi="Arial"/>
                  <w:sz w:val="18"/>
                  <w:szCs w:val="18"/>
                  <w:color w:val="0000EE"/>
                  <w:w w:val="90"/>
                </w:rPr>
                <w:t>Corp. and its officers, directors and</w:t>
              </w:r>
            </w:hyperlink>
          </w:p>
        </w:tc>
        <w:tc>
          <w:tcPr>
            <w:tcW w:w="340" w:type="dxa"/>
            <w:vAlign w:val="bottom"/>
            <w:tcBorders>
              <w:bottom w:val="single" w:sz="8" w:color="CCEEFF"/>
            </w:tcBorders>
            <w:gridSpan w:val="11"/>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r>
      <w:tr>
        <w:trPr>
          <w:trHeight w:val="196"/>
        </w:trPr>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80" w:type="dxa"/>
            <w:vAlign w:val="bottom"/>
            <w:gridSpan w:val="22"/>
            <w:shd w:val="clear" w:color="auto" w:fill="CCEEFF"/>
          </w:tcPr>
          <w:p>
            <w:pPr>
              <w:spacing w:after="0" w:line="196" w:lineRule="exact"/>
              <w:rPr>
                <w:rFonts w:ascii="Arial" w:cs="Arial" w:eastAsia="Arial" w:hAnsi="Arial"/>
                <w:sz w:val="18"/>
                <w:szCs w:val="18"/>
                <w:color w:val="0000EE"/>
              </w:rPr>
            </w:pPr>
            <w:hyperlink r:id="rId628">
              <w:r>
                <w:rPr>
                  <w:rFonts w:ascii="Arial" w:cs="Arial" w:eastAsia="Arial" w:hAnsi="Arial"/>
                  <w:sz w:val="18"/>
                  <w:szCs w:val="18"/>
                  <w:color w:val="0000EE"/>
                </w:rPr>
                <w:t>Initial Stockholders.</w:t>
              </w:r>
            </w:hyperlink>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lef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15" w:name="page516"/>
    <w:bookmarkEnd w:id="515"/>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gridSpan w:val="5"/>
          </w:tcPr>
          <w:p>
            <w:pPr>
              <w:jc w:val="center"/>
              <w:ind w:right="672"/>
              <w:spacing w:after="0"/>
              <w:rPr>
                <w:sz w:val="20"/>
                <w:szCs w:val="20"/>
                <w:color w:val="auto"/>
              </w:rPr>
            </w:pPr>
            <w:r>
              <w:rPr>
                <w:rFonts w:ascii="Arial" w:cs="Arial" w:eastAsia="Arial" w:hAnsi="Arial"/>
                <w:sz w:val="16"/>
                <w:szCs w:val="16"/>
                <w:b w:val="1"/>
                <w:bCs w:val="1"/>
                <w:color w:val="auto"/>
                <w:w w:val="91"/>
              </w:rPr>
              <w:t>Incorporated by Reference</w:t>
            </w:r>
          </w:p>
        </w:tc>
      </w:tr>
      <w:tr>
        <w:trPr>
          <w:trHeight w:val="87"/>
        </w:trPr>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bottom w:val="single" w:sz="8" w:color="auto"/>
            </w:tcBorders>
            <w:gridSpan w:val="2"/>
          </w:tcPr>
          <w:p>
            <w:pPr>
              <w:spacing w:after="0"/>
              <w:rPr>
                <w:sz w:val="7"/>
                <w:szCs w:val="7"/>
                <w:color w:val="auto"/>
              </w:rPr>
            </w:pPr>
          </w:p>
        </w:tc>
        <w:tc>
          <w:tcPr>
            <w:tcW w:w="880" w:type="dxa"/>
            <w:vAlign w:val="bottom"/>
            <w:tcBorders>
              <w:bottom w:val="single" w:sz="8" w:color="auto"/>
            </w:tcBorders>
            <w:gridSpan w:val="2"/>
          </w:tcPr>
          <w:p>
            <w:pPr>
              <w:spacing w:after="0"/>
              <w:rPr>
                <w:sz w:val="7"/>
                <w:szCs w:val="7"/>
                <w:color w:val="auto"/>
              </w:rPr>
            </w:pPr>
          </w:p>
        </w:tc>
        <w:tc>
          <w:tcPr>
            <w:tcW w:w="940" w:type="dxa"/>
            <w:vAlign w:val="bottom"/>
            <w:tcBorders>
              <w:bottom w:val="single" w:sz="8" w:color="auto"/>
            </w:tcBorders>
            <w:gridSpan w:val="2"/>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r>
      <w:tr>
        <w:trPr>
          <w:trHeight w:val="182"/>
        </w:trPr>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80"/>
              <w:spacing w:after="0" w:line="182" w:lineRule="exact"/>
              <w:rPr>
                <w:sz w:val="20"/>
                <w:szCs w:val="20"/>
                <w:color w:val="auto"/>
              </w:rPr>
            </w:pPr>
            <w:r>
              <w:rPr>
                <w:rFonts w:ascii="Arial" w:cs="Arial" w:eastAsia="Arial" w:hAnsi="Arial"/>
                <w:sz w:val="16"/>
                <w:szCs w:val="16"/>
                <w:b w:val="1"/>
                <w:bCs w:val="1"/>
                <w:color w:val="auto"/>
                <w:w w:val="87"/>
              </w:rPr>
              <w:t>Schedule/</w:t>
            </w:r>
          </w:p>
        </w:tc>
        <w:tc>
          <w:tcPr>
            <w:tcW w:w="88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94"/>
              </w:rPr>
              <w:t>File</w:t>
            </w:r>
          </w:p>
        </w:tc>
        <w:tc>
          <w:tcPr>
            <w:tcW w:w="940" w:type="dxa"/>
            <w:vAlign w:val="bottom"/>
            <w:gridSpan w:val="2"/>
          </w:tcPr>
          <w:p>
            <w:pPr>
              <w:jc w:val="center"/>
              <w:ind w:right="80"/>
              <w:spacing w:after="0" w:line="182" w:lineRule="exact"/>
              <w:rPr>
                <w:sz w:val="20"/>
                <w:szCs w:val="20"/>
                <w:color w:val="auto"/>
              </w:rPr>
            </w:pPr>
            <w:r>
              <w:rPr>
                <w:rFonts w:ascii="Arial" w:cs="Arial" w:eastAsia="Arial" w:hAnsi="Arial"/>
                <w:sz w:val="16"/>
                <w:szCs w:val="16"/>
                <w:b w:val="1"/>
                <w:bCs w:val="1"/>
                <w:color w:val="auto"/>
                <w:w w:val="93"/>
              </w:rPr>
              <w:t>Exhibit</w:t>
            </w:r>
          </w:p>
        </w:tc>
        <w:tc>
          <w:tcPr>
            <w:tcW w:w="1600" w:type="dxa"/>
            <w:vAlign w:val="bottom"/>
          </w:tcPr>
          <w:p>
            <w:pPr>
              <w:spacing w:after="0"/>
              <w:rPr>
                <w:sz w:val="15"/>
                <w:szCs w:val="15"/>
                <w:color w:val="auto"/>
              </w:rPr>
            </w:pPr>
          </w:p>
        </w:tc>
      </w:tr>
      <w:tr>
        <w:trPr>
          <w:trHeight w:val="210"/>
        </w:trPr>
        <w:tc>
          <w:tcPr>
            <w:tcW w:w="88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8"/>
          </w:tcPr>
          <w:p>
            <w:pPr>
              <w:ind w:left="20"/>
              <w:spacing w:after="0"/>
              <w:rPr>
                <w:sz w:val="20"/>
                <w:szCs w:val="20"/>
                <w:color w:val="auto"/>
              </w:rPr>
            </w:pPr>
            <w:r>
              <w:rPr>
                <w:rFonts w:ascii="Arial" w:cs="Arial" w:eastAsia="Arial" w:hAnsi="Arial"/>
                <w:sz w:val="16"/>
                <w:szCs w:val="16"/>
                <w:b w:val="1"/>
                <w:bCs w:val="1"/>
                <w:color w:val="auto"/>
              </w:rPr>
              <w:t>Description</w:t>
            </w:r>
          </w:p>
        </w:tc>
        <w:tc>
          <w:tcPr>
            <w:tcW w:w="7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Form</w:t>
            </w:r>
          </w:p>
        </w:tc>
        <w:tc>
          <w:tcPr>
            <w:tcW w:w="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9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Number</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5"/>
              </w:rPr>
              <w:t>File Date</w:t>
            </w:r>
          </w:p>
        </w:tc>
      </w:tr>
      <w:tr>
        <w:trPr>
          <w:trHeight w:val="46"/>
        </w:trPr>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169"/>
        </w:trPr>
        <w:tc>
          <w:tcPr>
            <w:tcW w:w="88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2200" w:type="dxa"/>
            <w:vAlign w:val="bottom"/>
            <w:tcBorders>
              <w:bottom w:val="single" w:sz="8" w:color="0000EE"/>
            </w:tcBorders>
            <w:gridSpan w:val="11"/>
            <w:shd w:val="clear" w:color="auto" w:fill="CCEEFF"/>
          </w:tcPr>
          <w:p>
            <w:pPr>
              <w:spacing w:after="0" w:line="169" w:lineRule="exact"/>
              <w:rPr>
                <w:rFonts w:ascii="Arial" w:cs="Arial" w:eastAsia="Arial" w:hAnsi="Arial"/>
                <w:sz w:val="18"/>
                <w:szCs w:val="18"/>
                <w:color w:val="0000EE"/>
                <w:w w:val="89"/>
              </w:rPr>
            </w:pPr>
            <w:hyperlink r:id="rId630">
              <w:r>
                <w:rPr>
                  <w:rFonts w:ascii="Arial" w:cs="Arial" w:eastAsia="Arial" w:hAnsi="Arial"/>
                  <w:sz w:val="18"/>
                  <w:szCs w:val="18"/>
                  <w:color w:val="0000EE"/>
                  <w:w w:val="89"/>
                </w:rPr>
                <w:t>Investment Management Trust</w:t>
              </w:r>
            </w:hyperlink>
          </w:p>
        </w:tc>
        <w:tc>
          <w:tcPr>
            <w:tcW w:w="600" w:type="dxa"/>
            <w:vAlign w:val="bottom"/>
            <w:tcBorders>
              <w:bottom w:val="single" w:sz="8" w:color="CCEEFF"/>
            </w:tcBorders>
            <w:gridSpan w:val="19"/>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9"/>
              </w:rPr>
              <w:t>8-K</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0"/>
              </w:rPr>
              <w:t>001-39485</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85"/>
              </w:rPr>
              <w:t>10.2</w:t>
            </w:r>
          </w:p>
        </w:tc>
        <w:tc>
          <w:tcPr>
            <w:tcW w:w="10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88"/>
              </w:rPr>
              <w:t>September 9, 2020</w:t>
            </w: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2720" w:type="dxa"/>
            <w:vAlign w:val="bottom"/>
            <w:tcBorders>
              <w:bottom w:val="single" w:sz="8" w:color="0000EE"/>
            </w:tcBorders>
            <w:gridSpan w:val="26"/>
            <w:shd w:val="clear" w:color="auto" w:fill="CCEEFF"/>
          </w:tcPr>
          <w:p>
            <w:pPr>
              <w:spacing w:after="0" w:line="196" w:lineRule="exact"/>
              <w:rPr>
                <w:rFonts w:ascii="Arial" w:cs="Arial" w:eastAsia="Arial" w:hAnsi="Arial"/>
                <w:sz w:val="18"/>
                <w:szCs w:val="18"/>
                <w:color w:val="0000EE"/>
                <w:w w:val="88"/>
              </w:rPr>
            </w:pPr>
            <w:hyperlink r:id="rId630">
              <w:r>
                <w:rPr>
                  <w:rFonts w:ascii="Arial" w:cs="Arial" w:eastAsia="Arial" w:hAnsi="Arial"/>
                  <w:sz w:val="18"/>
                  <w:szCs w:val="18"/>
                  <w:color w:val="0000EE"/>
                  <w:w w:val="88"/>
                </w:rPr>
                <w:t>Agreement, dated September 2, 2020,</w:t>
              </w:r>
            </w:hyperlink>
          </w:p>
        </w:tc>
        <w:tc>
          <w:tcPr>
            <w:tcW w:w="180" w:type="dxa"/>
            <w:vAlign w:val="bottom"/>
            <w:tcBorders>
              <w:bottom w:val="single" w:sz="8" w:color="CCEEFF"/>
            </w:tcBorders>
            <w:gridSpan w:val="5"/>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2460" w:type="dxa"/>
            <w:vAlign w:val="bottom"/>
            <w:tcBorders>
              <w:bottom w:val="single" w:sz="8" w:color="0000EE"/>
            </w:tcBorders>
            <w:gridSpan w:val="16"/>
            <w:shd w:val="clear" w:color="auto" w:fill="CCEEFF"/>
          </w:tcPr>
          <w:p>
            <w:pPr>
              <w:spacing w:after="0" w:line="196" w:lineRule="exact"/>
              <w:rPr>
                <w:rFonts w:ascii="Arial" w:cs="Arial" w:eastAsia="Arial" w:hAnsi="Arial"/>
                <w:sz w:val="18"/>
                <w:szCs w:val="18"/>
                <w:color w:val="0000EE"/>
                <w:w w:val="89"/>
              </w:rPr>
            </w:pPr>
            <w:hyperlink r:id="rId630">
              <w:r>
                <w:rPr>
                  <w:rFonts w:ascii="Arial" w:cs="Arial" w:eastAsia="Arial" w:hAnsi="Arial"/>
                  <w:sz w:val="18"/>
                  <w:szCs w:val="18"/>
                  <w:color w:val="0000EE"/>
                  <w:w w:val="89"/>
                </w:rPr>
                <w:t>by and between Continental Stock</w:t>
              </w:r>
            </w:hyperlink>
          </w:p>
        </w:tc>
        <w:tc>
          <w:tcPr>
            <w:tcW w:w="440" w:type="dxa"/>
            <w:vAlign w:val="bottom"/>
            <w:tcBorders>
              <w:bottom w:val="single" w:sz="8" w:color="CCEEFF"/>
            </w:tcBorders>
            <w:gridSpan w:val="15"/>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r>
      <w:tr>
        <w:trPr>
          <w:trHeight w:val="196"/>
        </w:trPr>
        <w:tc>
          <w:tcPr>
            <w:tcW w:w="8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900" w:type="dxa"/>
            <w:vAlign w:val="bottom"/>
            <w:gridSpan w:val="31"/>
            <w:shd w:val="clear" w:color="auto" w:fill="CCEEFF"/>
          </w:tcPr>
          <w:p>
            <w:pPr>
              <w:spacing w:after="0" w:line="196" w:lineRule="exact"/>
              <w:rPr>
                <w:rFonts w:ascii="Arial" w:cs="Arial" w:eastAsia="Arial" w:hAnsi="Arial"/>
                <w:sz w:val="18"/>
                <w:szCs w:val="18"/>
                <w:color w:val="0000EE"/>
                <w:w w:val="95"/>
              </w:rPr>
            </w:pPr>
            <w:hyperlink r:id="rId630">
              <w:r>
                <w:rPr>
                  <w:rFonts w:ascii="Arial" w:cs="Arial" w:eastAsia="Arial" w:hAnsi="Arial"/>
                  <w:sz w:val="18"/>
                  <w:szCs w:val="18"/>
                  <w:color w:val="0000EE"/>
                  <w:w w:val="95"/>
                </w:rPr>
                <w:t>Transfer &amp; Trust Company and BCTG</w:t>
              </w:r>
            </w:hyperlink>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2760" w:type="dxa"/>
            <w:vAlign w:val="bottom"/>
            <w:tcBorders>
              <w:top w:val="single" w:sz="8" w:color="0000EE"/>
            </w:tcBorders>
            <w:gridSpan w:val="28"/>
            <w:shd w:val="clear" w:color="auto" w:fill="CCEEFF"/>
          </w:tcPr>
          <w:p>
            <w:pPr>
              <w:spacing w:after="0" w:line="196" w:lineRule="exact"/>
              <w:rPr>
                <w:rFonts w:ascii="Arial" w:cs="Arial" w:eastAsia="Arial" w:hAnsi="Arial"/>
                <w:sz w:val="18"/>
                <w:szCs w:val="18"/>
                <w:color w:val="0000EE"/>
              </w:rPr>
            </w:pPr>
            <w:hyperlink r:id="rId630">
              <w:r>
                <w:rPr>
                  <w:rFonts w:ascii="Arial" w:cs="Arial" w:eastAsia="Arial" w:hAnsi="Arial"/>
                  <w:sz w:val="18"/>
                  <w:szCs w:val="18"/>
                  <w:color w:val="0000EE"/>
                </w:rPr>
                <w:t>Acquisition Corp.</w:t>
              </w:r>
            </w:hyperlink>
          </w:p>
        </w:tc>
        <w:tc>
          <w:tcPr>
            <w:tcW w:w="140" w:type="dxa"/>
            <w:vAlign w:val="bottom"/>
            <w:tcBorders>
              <w:top w:val="single" w:sz="8" w:color="CCEEFF"/>
            </w:tcBorders>
            <w:gridSpan w:val="3"/>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right w:val="single" w:sz="8" w:color="CCEEFF"/>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r>
      <w:tr>
        <w:trPr>
          <w:trHeight w:val="176"/>
        </w:trPr>
        <w:tc>
          <w:tcPr>
            <w:tcW w:w="88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5"/>
                <w:szCs w:val="15"/>
                <w:color w:val="auto"/>
              </w:rPr>
            </w:pPr>
          </w:p>
        </w:tc>
        <w:tc>
          <w:tcPr>
            <w:tcW w:w="2700" w:type="dxa"/>
            <w:vAlign w:val="bottom"/>
            <w:tcBorders>
              <w:bottom w:val="single" w:sz="8" w:color="0000EE"/>
            </w:tcBorders>
            <w:gridSpan w:val="25"/>
          </w:tcPr>
          <w:p>
            <w:pPr>
              <w:spacing w:after="0" w:line="176" w:lineRule="exact"/>
              <w:rPr>
                <w:rFonts w:ascii="Arial" w:cs="Arial" w:eastAsia="Arial" w:hAnsi="Arial"/>
                <w:sz w:val="18"/>
                <w:szCs w:val="18"/>
                <w:color w:val="0000EE"/>
                <w:w w:val="89"/>
              </w:rPr>
            </w:pPr>
            <w:hyperlink r:id="rId631">
              <w:r>
                <w:rPr>
                  <w:rFonts w:ascii="Arial" w:cs="Arial" w:eastAsia="Arial" w:hAnsi="Arial"/>
                  <w:sz w:val="18"/>
                  <w:szCs w:val="18"/>
                  <w:color w:val="0000EE"/>
                  <w:w w:val="89"/>
                </w:rPr>
                <w:t>Registration Rights Agreement, dated</w:t>
              </w:r>
            </w:hyperlink>
          </w:p>
        </w:tc>
        <w:tc>
          <w:tcPr>
            <w:tcW w:w="200" w:type="dxa"/>
            <w:vAlign w:val="bottom"/>
            <w:gridSpan w:val="6"/>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001-39485</w:t>
            </w:r>
          </w:p>
        </w:tc>
        <w:tc>
          <w:tcPr>
            <w:tcW w:w="8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85"/>
              </w:rPr>
              <w:t>10.4</w:t>
            </w:r>
          </w:p>
        </w:tc>
        <w:tc>
          <w:tcPr>
            <w:tcW w:w="10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8"/>
                <w:szCs w:val="18"/>
                <w:color w:val="auto"/>
                <w:w w:val="88"/>
              </w:rPr>
              <w:t>September 9, 2020</w:t>
            </w: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r:id="rId631">
              <w:r>
                <w:rPr>
                  <w:rFonts w:ascii="Arial" w:cs="Arial" w:eastAsia="Arial" w:hAnsi="Arial"/>
                  <w:sz w:val="18"/>
                  <w:szCs w:val="18"/>
                  <w:color w:val="0000EE"/>
                  <w:w w:val="87"/>
                </w:rPr>
                <w:t>September 2, 2020, by and between</w:t>
              </w:r>
            </w:hyperlink>
          </w:p>
        </w:tc>
        <w:tc>
          <w:tcPr>
            <w:tcW w:w="34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631">
              <w:r>
                <w:rPr>
                  <w:rFonts w:ascii="Arial" w:cs="Arial" w:eastAsia="Arial" w:hAnsi="Arial"/>
                  <w:sz w:val="18"/>
                  <w:szCs w:val="18"/>
                  <w:color w:val="0000EE"/>
                  <w:w w:val="94"/>
                </w:rPr>
                <w:t>BCTG Acquisition Corp. and Initial</w:t>
              </w:r>
            </w:hyperlink>
          </w:p>
        </w:tc>
        <w:tc>
          <w:tcPr>
            <w:tcW w:w="30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31"/>
          </w:tcPr>
          <w:p>
            <w:pPr>
              <w:spacing w:after="0" w:line="196" w:lineRule="exact"/>
              <w:rPr>
                <w:rFonts w:ascii="Arial" w:cs="Arial" w:eastAsia="Arial" w:hAnsi="Arial"/>
                <w:sz w:val="18"/>
                <w:szCs w:val="18"/>
                <w:color w:val="0000EE"/>
              </w:rPr>
            </w:pPr>
            <w:hyperlink r:id="rId631">
              <w:r>
                <w:rPr>
                  <w:rFonts w:ascii="Arial" w:cs="Arial" w:eastAsia="Arial" w:hAnsi="Arial"/>
                  <w:sz w:val="18"/>
                  <w:szCs w:val="18"/>
                  <w:color w:val="0000EE"/>
                </w:rPr>
                <w:t>Stockholders.</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61"/>
        </w:trPr>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r>
      <w:tr>
        <w:trPr>
          <w:trHeight w:val="176"/>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21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9"/>
              </w:rPr>
            </w:pPr>
            <w:hyperlink r:id="rId632">
              <w:r>
                <w:rPr>
                  <w:rFonts w:ascii="Arial" w:cs="Arial" w:eastAsia="Arial" w:hAnsi="Arial"/>
                  <w:sz w:val="18"/>
                  <w:szCs w:val="18"/>
                  <w:color w:val="0000EE"/>
                  <w:w w:val="89"/>
                </w:rPr>
                <w:t>Indemnity Agreements, dated</w:t>
              </w:r>
            </w:hyperlink>
          </w:p>
        </w:tc>
        <w:tc>
          <w:tcPr>
            <w:tcW w:w="780" w:type="dxa"/>
            <w:vAlign w:val="bottom"/>
            <w:tcBorders>
              <w:bottom w:val="single" w:sz="8" w:color="CCEEFF"/>
            </w:tcBorders>
            <w:gridSpan w:val="22"/>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001-39485</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10.7</w:t>
            </w:r>
          </w:p>
        </w:tc>
        <w:tc>
          <w:tcPr>
            <w:tcW w:w="1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September 9, 2020</w:t>
            </w: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2460" w:type="dxa"/>
            <w:vAlign w:val="bottom"/>
            <w:tcBorders>
              <w:bottom w:val="single" w:sz="8" w:color="0000EE"/>
            </w:tcBorders>
            <w:gridSpan w:val="16"/>
            <w:shd w:val="clear" w:color="auto" w:fill="CCEEFF"/>
          </w:tcPr>
          <w:p>
            <w:pPr>
              <w:spacing w:after="0" w:line="196" w:lineRule="exact"/>
              <w:rPr>
                <w:rFonts w:ascii="Arial" w:cs="Arial" w:eastAsia="Arial" w:hAnsi="Arial"/>
                <w:sz w:val="18"/>
                <w:szCs w:val="18"/>
                <w:color w:val="0000EE"/>
                <w:w w:val="88"/>
              </w:rPr>
            </w:pPr>
            <w:hyperlink r:id="rId632">
              <w:r>
                <w:rPr>
                  <w:rFonts w:ascii="Arial" w:cs="Arial" w:eastAsia="Arial" w:hAnsi="Arial"/>
                  <w:sz w:val="18"/>
                  <w:szCs w:val="18"/>
                  <w:color w:val="0000EE"/>
                  <w:w w:val="88"/>
                </w:rPr>
                <w:t>September 2, 2020, by and among</w:t>
              </w:r>
            </w:hyperlink>
          </w:p>
        </w:tc>
        <w:tc>
          <w:tcPr>
            <w:tcW w:w="440" w:type="dxa"/>
            <w:vAlign w:val="bottom"/>
            <w:tcBorders>
              <w:bottom w:val="single" w:sz="8" w:color="CCEEFF"/>
            </w:tcBorders>
            <w:gridSpan w:val="15"/>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r>
      <w:tr>
        <w:trPr>
          <w:trHeight w:val="196"/>
        </w:trPr>
        <w:tc>
          <w:tcPr>
            <w:tcW w:w="8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900" w:type="dxa"/>
            <w:vAlign w:val="bottom"/>
            <w:gridSpan w:val="31"/>
            <w:shd w:val="clear" w:color="auto" w:fill="CCEEFF"/>
          </w:tcPr>
          <w:p>
            <w:pPr>
              <w:spacing w:after="0" w:line="196" w:lineRule="exact"/>
              <w:rPr>
                <w:rFonts w:ascii="Arial" w:cs="Arial" w:eastAsia="Arial" w:hAnsi="Arial"/>
                <w:sz w:val="18"/>
                <w:szCs w:val="18"/>
                <w:color w:val="0000EE"/>
              </w:rPr>
            </w:pPr>
            <w:hyperlink r:id="rId632">
              <w:r>
                <w:rPr>
                  <w:rFonts w:ascii="Arial" w:cs="Arial" w:eastAsia="Arial" w:hAnsi="Arial"/>
                  <w:sz w:val="18"/>
                  <w:szCs w:val="18"/>
                  <w:color w:val="0000EE"/>
                </w:rPr>
                <w:t>BCTG Acquisition Corp. and the</w:t>
              </w:r>
            </w:hyperlink>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r>
      <w:tr>
        <w:trPr>
          <w:trHeight w:val="196"/>
        </w:trPr>
        <w:tc>
          <w:tcPr>
            <w:tcW w:w="8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900" w:type="dxa"/>
            <w:vAlign w:val="bottom"/>
            <w:gridSpan w:val="31"/>
            <w:shd w:val="clear" w:color="auto" w:fill="CCEEFF"/>
          </w:tcPr>
          <w:p>
            <w:pPr>
              <w:spacing w:after="0" w:line="196" w:lineRule="exact"/>
              <w:rPr>
                <w:rFonts w:ascii="Arial" w:cs="Arial" w:eastAsia="Arial" w:hAnsi="Arial"/>
                <w:sz w:val="18"/>
                <w:szCs w:val="18"/>
                <w:color w:val="0000EE"/>
                <w:w w:val="94"/>
              </w:rPr>
            </w:pPr>
            <w:hyperlink r:id="rId632">
              <w:r>
                <w:rPr>
                  <w:rFonts w:ascii="Arial" w:cs="Arial" w:eastAsia="Arial" w:hAnsi="Arial"/>
                  <w:sz w:val="18"/>
                  <w:szCs w:val="18"/>
                  <w:color w:val="0000EE"/>
                  <w:w w:val="94"/>
                </w:rPr>
                <w:t>directors and officers of the Registrant</w:t>
              </w:r>
            </w:hyperlink>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right w:val="single" w:sz="8" w:color="CCEEFF"/>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80" w:type="dxa"/>
            <w:vAlign w:val="bottom"/>
            <w:tcBorders>
              <w:top w:val="single" w:sz="8" w:color="0000EE"/>
              <w:left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r>
      <w:tr>
        <w:trPr>
          <w:trHeight w:val="175"/>
        </w:trPr>
        <w:tc>
          <w:tcPr>
            <w:tcW w:w="880" w:type="dxa"/>
            <w:vAlign w:val="bottom"/>
          </w:tcPr>
          <w:p>
            <w:pPr>
              <w:spacing w:after="0" w:line="176"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5"/>
                <w:szCs w:val="15"/>
                <w:color w:val="auto"/>
              </w:rPr>
            </w:pPr>
          </w:p>
        </w:tc>
        <w:tc>
          <w:tcPr>
            <w:tcW w:w="2220" w:type="dxa"/>
            <w:vAlign w:val="bottom"/>
            <w:tcBorders>
              <w:bottom w:val="single" w:sz="8" w:color="0000EE"/>
            </w:tcBorders>
            <w:gridSpan w:val="12"/>
          </w:tcPr>
          <w:p>
            <w:pPr>
              <w:spacing w:after="0" w:line="176" w:lineRule="exact"/>
              <w:rPr>
                <w:rFonts w:ascii="Arial" w:cs="Arial" w:eastAsia="Arial" w:hAnsi="Arial"/>
                <w:sz w:val="18"/>
                <w:szCs w:val="18"/>
                <w:color w:val="0000EE"/>
                <w:w w:val="89"/>
              </w:rPr>
            </w:pPr>
            <w:hyperlink r:id="rId633">
              <w:r>
                <w:rPr>
                  <w:rFonts w:ascii="Arial" w:cs="Arial" w:eastAsia="Arial" w:hAnsi="Arial"/>
                  <w:sz w:val="18"/>
                  <w:szCs w:val="18"/>
                  <w:color w:val="0000EE"/>
                  <w:w w:val="89"/>
                </w:rPr>
                <w:t>Subscription Agreement, dated</w:t>
              </w:r>
            </w:hyperlink>
          </w:p>
        </w:tc>
        <w:tc>
          <w:tcPr>
            <w:tcW w:w="680" w:type="dxa"/>
            <w:vAlign w:val="bottom"/>
            <w:gridSpan w:val="19"/>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001-39485</w:t>
            </w:r>
          </w:p>
        </w:tc>
        <w:tc>
          <w:tcPr>
            <w:tcW w:w="8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85"/>
              </w:rPr>
              <w:t>10.5</w:t>
            </w:r>
          </w:p>
        </w:tc>
        <w:tc>
          <w:tcPr>
            <w:tcW w:w="10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8"/>
                <w:szCs w:val="18"/>
                <w:color w:val="auto"/>
                <w:w w:val="88"/>
              </w:rPr>
              <w:t>September 9, 2020</w:t>
            </w: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31"/>
          </w:tcPr>
          <w:p>
            <w:pPr>
              <w:spacing w:after="0" w:line="196" w:lineRule="exact"/>
              <w:rPr>
                <w:rFonts w:ascii="Arial" w:cs="Arial" w:eastAsia="Arial" w:hAnsi="Arial"/>
                <w:sz w:val="18"/>
                <w:szCs w:val="18"/>
                <w:color w:val="0000EE"/>
                <w:w w:val="95"/>
              </w:rPr>
            </w:pPr>
            <w:hyperlink r:id="rId633">
              <w:r>
                <w:rPr>
                  <w:rFonts w:ascii="Arial" w:cs="Arial" w:eastAsia="Arial" w:hAnsi="Arial"/>
                  <w:sz w:val="18"/>
                  <w:szCs w:val="18"/>
                  <w:color w:val="0000EE"/>
                  <w:w w:val="95"/>
                </w:rPr>
                <w:t>September 2, 20202, by and between</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3"/>
              </w:rPr>
            </w:pPr>
            <w:hyperlink r:id="rId633">
              <w:r>
                <w:rPr>
                  <w:rFonts w:ascii="Arial" w:cs="Arial" w:eastAsia="Arial" w:hAnsi="Arial"/>
                  <w:sz w:val="18"/>
                  <w:szCs w:val="18"/>
                  <w:color w:val="0000EE"/>
                  <w:w w:val="93"/>
                </w:rPr>
                <w:t>BCTG Acquisition Corp. and BCTG</w:t>
              </w:r>
            </w:hyperlink>
          </w:p>
        </w:tc>
        <w:tc>
          <w:tcPr>
            <w:tcW w:w="26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31"/>
          </w:tcPr>
          <w:p>
            <w:pPr>
              <w:spacing w:after="0" w:line="196" w:lineRule="exact"/>
              <w:rPr>
                <w:rFonts w:ascii="Arial" w:cs="Arial" w:eastAsia="Arial" w:hAnsi="Arial"/>
                <w:sz w:val="18"/>
                <w:szCs w:val="18"/>
                <w:color w:val="0000EE"/>
              </w:rPr>
            </w:pPr>
            <w:hyperlink r:id="rId633">
              <w:r>
                <w:rPr>
                  <w:rFonts w:ascii="Arial" w:cs="Arial" w:eastAsia="Arial" w:hAnsi="Arial"/>
                  <w:sz w:val="18"/>
                  <w:szCs w:val="18"/>
                  <w:color w:val="0000EE"/>
                </w:rPr>
                <w:t>Holdings, LLC</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61"/>
        </w:trPr>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r>
      <w:tr>
        <w:trPr>
          <w:trHeight w:val="175"/>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2640" w:type="dxa"/>
            <w:vAlign w:val="bottom"/>
            <w:tcBorders>
              <w:bottom w:val="single" w:sz="8" w:color="215E9E"/>
            </w:tcBorders>
            <w:gridSpan w:val="23"/>
            <w:shd w:val="clear" w:color="auto" w:fill="CCEEFF"/>
          </w:tcPr>
          <w:p>
            <w:pPr>
              <w:spacing w:after="0" w:line="176" w:lineRule="exact"/>
              <w:rPr>
                <w:rFonts w:ascii="Arial" w:cs="Arial" w:eastAsia="Arial" w:hAnsi="Arial"/>
                <w:sz w:val="18"/>
                <w:szCs w:val="18"/>
                <w:color w:val="215E9E"/>
                <w:w w:val="89"/>
              </w:rPr>
            </w:pPr>
            <w:hyperlink w:anchor="page521">
              <w:r>
                <w:rPr>
                  <w:rFonts w:ascii="Arial" w:cs="Arial" w:eastAsia="Arial" w:hAnsi="Arial"/>
                  <w:sz w:val="18"/>
                  <w:szCs w:val="18"/>
                  <w:color w:val="215E9E"/>
                  <w:w w:val="89"/>
                </w:rPr>
                <w:t>Tango Therapeutics, Inc. 2017 Stock</w:t>
              </w:r>
            </w:hyperlink>
          </w:p>
        </w:tc>
        <w:tc>
          <w:tcPr>
            <w:tcW w:w="260" w:type="dxa"/>
            <w:vAlign w:val="bottom"/>
            <w:tcBorders>
              <w:bottom w:val="single" w:sz="8" w:color="CCEEFF"/>
            </w:tcBorders>
            <w:gridSpan w:val="8"/>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2600" w:type="dxa"/>
            <w:vAlign w:val="bottom"/>
            <w:tcBorders>
              <w:bottom w:val="single" w:sz="8" w:color="215E9E"/>
            </w:tcBorders>
            <w:gridSpan w:val="21"/>
            <w:shd w:val="clear" w:color="auto" w:fill="CCEEFF"/>
          </w:tcPr>
          <w:p>
            <w:pPr>
              <w:spacing w:after="0" w:line="196" w:lineRule="exact"/>
              <w:rPr>
                <w:rFonts w:ascii="Arial" w:cs="Arial" w:eastAsia="Arial" w:hAnsi="Arial"/>
                <w:sz w:val="18"/>
                <w:szCs w:val="18"/>
                <w:color w:val="215E9E"/>
                <w:w w:val="87"/>
              </w:rPr>
            </w:pPr>
            <w:hyperlink w:anchor="page521">
              <w:r>
                <w:rPr>
                  <w:rFonts w:ascii="Arial" w:cs="Arial" w:eastAsia="Arial" w:hAnsi="Arial"/>
                  <w:sz w:val="18"/>
                  <w:szCs w:val="18"/>
                  <w:color w:val="215E9E"/>
                  <w:w w:val="87"/>
                </w:rPr>
                <w:t>Option and Grant Plan, as amended,</w:t>
              </w:r>
            </w:hyperlink>
          </w:p>
        </w:tc>
        <w:tc>
          <w:tcPr>
            <w:tcW w:w="300" w:type="dxa"/>
            <w:vAlign w:val="bottom"/>
            <w:tcBorders>
              <w:bottom w:val="single" w:sz="8" w:color="CCEEFF"/>
            </w:tcBorders>
            <w:gridSpan w:val="10"/>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r>
      <w:tr>
        <w:trPr>
          <w:trHeight w:val="196"/>
        </w:trPr>
        <w:tc>
          <w:tcPr>
            <w:tcW w:w="8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900" w:type="dxa"/>
            <w:vAlign w:val="bottom"/>
            <w:gridSpan w:val="31"/>
            <w:shd w:val="clear" w:color="auto" w:fill="CCEEFF"/>
          </w:tcPr>
          <w:p>
            <w:pPr>
              <w:spacing w:after="0" w:line="196" w:lineRule="exact"/>
              <w:rPr>
                <w:rFonts w:ascii="Arial" w:cs="Arial" w:eastAsia="Arial" w:hAnsi="Arial"/>
                <w:sz w:val="18"/>
                <w:szCs w:val="18"/>
                <w:color w:val="215E9E"/>
              </w:rPr>
            </w:pPr>
            <w:hyperlink w:anchor="page521">
              <w:r>
                <w:rPr>
                  <w:rFonts w:ascii="Arial" w:cs="Arial" w:eastAsia="Arial" w:hAnsi="Arial"/>
                  <w:sz w:val="18"/>
                  <w:szCs w:val="18"/>
                  <w:color w:val="215E9E"/>
                </w:rPr>
                <w:t>and forms of award agreements</w:t>
              </w:r>
            </w:hyperlink>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2240" w:type="dxa"/>
            <w:vAlign w:val="bottom"/>
            <w:tcBorders>
              <w:top w:val="single" w:sz="8" w:color="215E9E"/>
            </w:tcBorders>
            <w:gridSpan w:val="13"/>
            <w:shd w:val="clear" w:color="auto" w:fill="CCEEFF"/>
          </w:tcPr>
          <w:p>
            <w:pPr>
              <w:spacing w:after="0" w:line="196" w:lineRule="exact"/>
              <w:rPr>
                <w:rFonts w:ascii="Arial" w:cs="Arial" w:eastAsia="Arial" w:hAnsi="Arial"/>
                <w:sz w:val="18"/>
                <w:szCs w:val="18"/>
                <w:color w:val="215E9E"/>
              </w:rPr>
            </w:pPr>
            <w:hyperlink w:anchor="page521">
              <w:r>
                <w:rPr>
                  <w:rFonts w:ascii="Arial" w:cs="Arial" w:eastAsia="Arial" w:hAnsi="Arial"/>
                  <w:sz w:val="18"/>
                  <w:szCs w:val="18"/>
                  <w:color w:val="215E9E"/>
                </w:rPr>
                <w:t>thereunder.</w:t>
              </w:r>
            </w:hyperlink>
          </w:p>
        </w:tc>
        <w:tc>
          <w:tcPr>
            <w:tcW w:w="660" w:type="dxa"/>
            <w:vAlign w:val="bottom"/>
            <w:tcBorders>
              <w:top w:val="single" w:sz="8" w:color="CCEEFF"/>
            </w:tcBorders>
            <w:gridSpan w:val="18"/>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680" w:type="dxa"/>
            <w:vAlign w:val="bottom"/>
            <w:tcBorders>
              <w:top w:val="single" w:sz="8" w:color="215E9E"/>
            </w:tcBorders>
            <w:shd w:val="clear" w:color="auto" w:fill="CCEEFF"/>
          </w:tcPr>
          <w:p>
            <w:pPr>
              <w:spacing w:after="0"/>
              <w:rPr>
                <w:sz w:val="5"/>
                <w:szCs w:val="5"/>
                <w:color w:val="auto"/>
              </w:rPr>
            </w:pPr>
          </w:p>
        </w:tc>
        <w:tc>
          <w:tcPr>
            <w:tcW w:w="120" w:type="dxa"/>
            <w:vAlign w:val="bottom"/>
            <w:tcBorders>
              <w:top w:val="single" w:sz="8" w:color="215E9E"/>
              <w:right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r>
      <w:tr>
        <w:trPr>
          <w:trHeight w:val="176"/>
        </w:trPr>
        <w:tc>
          <w:tcPr>
            <w:tcW w:w="880" w:type="dxa"/>
            <w:vAlign w:val="bottom"/>
          </w:tcPr>
          <w:p>
            <w:pPr>
              <w:spacing w:after="0" w:line="176" w:lineRule="exact"/>
              <w:rPr>
                <w:sz w:val="20"/>
                <w:szCs w:val="20"/>
                <w:color w:val="auto"/>
              </w:rPr>
            </w:pPr>
            <w:r>
              <w:rPr>
                <w:rFonts w:ascii="Arial" w:cs="Arial" w:eastAsia="Arial" w:hAnsi="Arial"/>
                <w:sz w:val="18"/>
                <w:szCs w:val="18"/>
                <w:color w:val="auto"/>
              </w:rPr>
              <w:t>10.10†</w:t>
            </w:r>
          </w:p>
        </w:tc>
        <w:tc>
          <w:tcPr>
            <w:tcW w:w="120" w:type="dxa"/>
            <w:vAlign w:val="bottom"/>
          </w:tcPr>
          <w:p>
            <w:pPr>
              <w:spacing w:after="0"/>
              <w:rPr>
                <w:sz w:val="15"/>
                <w:szCs w:val="15"/>
                <w:color w:val="auto"/>
              </w:rPr>
            </w:pPr>
          </w:p>
        </w:tc>
        <w:tc>
          <w:tcPr>
            <w:tcW w:w="2580" w:type="dxa"/>
            <w:vAlign w:val="bottom"/>
            <w:tcBorders>
              <w:bottom w:val="single" w:sz="8" w:color="0000EE"/>
            </w:tcBorders>
            <w:gridSpan w:val="20"/>
          </w:tcPr>
          <w:p>
            <w:pPr>
              <w:spacing w:after="0" w:line="176" w:lineRule="exact"/>
              <w:rPr>
                <w:rFonts w:ascii="Arial" w:cs="Arial" w:eastAsia="Arial" w:hAnsi="Arial"/>
                <w:sz w:val="18"/>
                <w:szCs w:val="18"/>
                <w:color w:val="0000EE"/>
                <w:w w:val="91"/>
              </w:rPr>
            </w:pPr>
            <w:hyperlink w:anchor="page492">
              <w:r>
                <w:rPr>
                  <w:rFonts w:ascii="Arial" w:cs="Arial" w:eastAsia="Arial" w:hAnsi="Arial"/>
                  <w:sz w:val="18"/>
                  <w:szCs w:val="18"/>
                  <w:color w:val="0000EE"/>
                  <w:w w:val="91"/>
                </w:rPr>
                <w:t>Form of 2021 Equity Incentive Plan</w:t>
              </w:r>
            </w:hyperlink>
          </w:p>
        </w:tc>
        <w:tc>
          <w:tcPr>
            <w:tcW w:w="320" w:type="dxa"/>
            <w:vAlign w:val="bottom"/>
            <w:gridSpan w:val="11"/>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492">
              <w:r>
                <w:rPr>
                  <w:rFonts w:ascii="Arial" w:cs="Arial" w:eastAsia="Arial" w:hAnsi="Arial"/>
                  <w:sz w:val="18"/>
                  <w:szCs w:val="18"/>
                  <w:color w:val="0000EE"/>
                  <w:w w:val="90"/>
                </w:rPr>
                <w:t>(Included as Annex C to the proxy</w:t>
              </w:r>
            </w:hyperlink>
          </w:p>
        </w:tc>
        <w:tc>
          <w:tcPr>
            <w:tcW w:w="420" w:type="dxa"/>
            <w:vAlign w:val="bottom"/>
            <w:gridSpan w:val="14"/>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Borders>
              <w:bottom w:val="single" w:sz="8" w:color="0000EE"/>
            </w:tcBorders>
            <w:gridSpan w:val="28"/>
          </w:tcPr>
          <w:p>
            <w:pPr>
              <w:spacing w:after="0" w:line="196" w:lineRule="exact"/>
              <w:rPr>
                <w:rFonts w:ascii="Arial" w:cs="Arial" w:eastAsia="Arial" w:hAnsi="Arial"/>
                <w:sz w:val="18"/>
                <w:szCs w:val="18"/>
                <w:color w:val="0000EE"/>
                <w:w w:val="88"/>
              </w:rPr>
            </w:pPr>
            <w:hyperlink w:anchor="page492">
              <w:r>
                <w:rPr>
                  <w:rFonts w:ascii="Arial" w:cs="Arial" w:eastAsia="Arial" w:hAnsi="Arial"/>
                  <w:sz w:val="18"/>
                  <w:szCs w:val="18"/>
                  <w:color w:val="0000EE"/>
                  <w:w w:val="88"/>
                </w:rPr>
                <w:t>statement/prospectus forming a part of</w:t>
              </w:r>
            </w:hyperlink>
          </w:p>
        </w:tc>
        <w:tc>
          <w:tcPr>
            <w:tcW w:w="14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31"/>
          </w:tcPr>
          <w:p>
            <w:pPr>
              <w:spacing w:after="0" w:line="196" w:lineRule="exact"/>
              <w:rPr>
                <w:rFonts w:ascii="Arial" w:cs="Arial" w:eastAsia="Arial" w:hAnsi="Arial"/>
                <w:sz w:val="18"/>
                <w:szCs w:val="18"/>
                <w:color w:val="0000EE"/>
              </w:rPr>
            </w:pPr>
            <w:hyperlink w:anchor="page492">
              <w:r>
                <w:rPr>
                  <w:rFonts w:ascii="Arial" w:cs="Arial" w:eastAsia="Arial" w:hAnsi="Arial"/>
                  <w:sz w:val="18"/>
                  <w:szCs w:val="18"/>
                  <w:color w:val="0000EE"/>
                </w:rPr>
                <w:t>this Registration Statement).</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61"/>
        </w:trPr>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r>
      <w:tr>
        <w:trPr>
          <w:trHeight w:val="175"/>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10.13†</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220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0"/>
              </w:rPr>
            </w:pPr>
            <w:hyperlink w:anchor="page504">
              <w:r>
                <w:rPr>
                  <w:rFonts w:ascii="Arial" w:cs="Arial" w:eastAsia="Arial" w:hAnsi="Arial"/>
                  <w:sz w:val="18"/>
                  <w:szCs w:val="18"/>
                  <w:color w:val="0000EE"/>
                  <w:w w:val="90"/>
                </w:rPr>
                <w:t>Form of 2021 Employee Stock</w:t>
              </w:r>
            </w:hyperlink>
          </w:p>
        </w:tc>
        <w:tc>
          <w:tcPr>
            <w:tcW w:w="700" w:type="dxa"/>
            <w:vAlign w:val="bottom"/>
            <w:tcBorders>
              <w:bottom w:val="single" w:sz="8" w:color="CCEEFF"/>
            </w:tcBorders>
            <w:gridSpan w:val="20"/>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r>
      <w:tr>
        <w:trPr>
          <w:trHeight w:val="196"/>
        </w:trPr>
        <w:tc>
          <w:tcPr>
            <w:tcW w:w="8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900" w:type="dxa"/>
            <w:vAlign w:val="bottom"/>
            <w:gridSpan w:val="31"/>
            <w:shd w:val="clear" w:color="auto" w:fill="CCEEFF"/>
          </w:tcPr>
          <w:p>
            <w:pPr>
              <w:spacing w:after="0" w:line="196" w:lineRule="exact"/>
              <w:rPr>
                <w:rFonts w:ascii="Arial" w:cs="Arial" w:eastAsia="Arial" w:hAnsi="Arial"/>
                <w:sz w:val="18"/>
                <w:szCs w:val="18"/>
                <w:color w:val="0000EE"/>
                <w:w w:val="97"/>
              </w:rPr>
            </w:pPr>
            <w:hyperlink w:anchor="page504">
              <w:r>
                <w:rPr>
                  <w:rFonts w:ascii="Arial" w:cs="Arial" w:eastAsia="Arial" w:hAnsi="Arial"/>
                  <w:sz w:val="18"/>
                  <w:szCs w:val="18"/>
                  <w:color w:val="0000EE"/>
                  <w:w w:val="97"/>
                </w:rPr>
                <w:t>Purchase Plan (Included as Annex D</w:t>
              </w:r>
            </w:hyperlink>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2620" w:type="dxa"/>
            <w:vAlign w:val="bottom"/>
            <w:tcBorders>
              <w:top w:val="single" w:sz="8" w:color="0000EE"/>
            </w:tcBorders>
            <w:gridSpan w:val="22"/>
            <w:shd w:val="clear" w:color="auto" w:fill="CCEEFF"/>
          </w:tcPr>
          <w:p>
            <w:pPr>
              <w:spacing w:after="0" w:line="196" w:lineRule="exact"/>
              <w:rPr>
                <w:rFonts w:ascii="Arial" w:cs="Arial" w:eastAsia="Arial" w:hAnsi="Arial"/>
                <w:sz w:val="18"/>
                <w:szCs w:val="18"/>
                <w:color w:val="0000EE"/>
                <w:w w:val="95"/>
              </w:rPr>
            </w:pPr>
            <w:hyperlink w:anchor="page504">
              <w:r>
                <w:rPr>
                  <w:rFonts w:ascii="Arial" w:cs="Arial" w:eastAsia="Arial" w:hAnsi="Arial"/>
                  <w:sz w:val="18"/>
                  <w:szCs w:val="18"/>
                  <w:color w:val="0000EE"/>
                  <w:w w:val="95"/>
                </w:rPr>
                <w:t>to the proxy statement/prospectus</w:t>
              </w:r>
            </w:hyperlink>
          </w:p>
        </w:tc>
        <w:tc>
          <w:tcPr>
            <w:tcW w:w="280" w:type="dxa"/>
            <w:vAlign w:val="bottom"/>
            <w:tcBorders>
              <w:top w:val="single" w:sz="8" w:color="CCEEFF"/>
            </w:tcBorders>
            <w:gridSpan w:val="9"/>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2380" w:type="dxa"/>
            <w:vAlign w:val="bottom"/>
            <w:tcBorders>
              <w:bottom w:val="single" w:sz="8" w:color="0000EE"/>
              <w:right w:val="single" w:sz="8" w:color="CCEEFF"/>
            </w:tcBorders>
            <w:gridSpan w:val="15"/>
            <w:shd w:val="clear" w:color="auto" w:fill="CCEEFF"/>
          </w:tcPr>
          <w:p>
            <w:pPr>
              <w:spacing w:after="0" w:line="196" w:lineRule="exact"/>
              <w:rPr>
                <w:rFonts w:ascii="Arial" w:cs="Arial" w:eastAsia="Arial" w:hAnsi="Arial"/>
                <w:sz w:val="18"/>
                <w:szCs w:val="18"/>
                <w:color w:val="0000EE"/>
                <w:w w:val="88"/>
              </w:rPr>
            </w:pPr>
            <w:hyperlink w:anchor="page504">
              <w:r>
                <w:rPr>
                  <w:rFonts w:ascii="Arial" w:cs="Arial" w:eastAsia="Arial" w:hAnsi="Arial"/>
                  <w:sz w:val="18"/>
                  <w:szCs w:val="18"/>
                  <w:color w:val="0000EE"/>
                  <w:w w:val="88"/>
                </w:rPr>
                <w:t>forming a part of this Registration</w:t>
              </w:r>
            </w:hyperlink>
          </w:p>
        </w:tc>
        <w:tc>
          <w:tcPr>
            <w:tcW w:w="520" w:type="dxa"/>
            <w:vAlign w:val="bottom"/>
            <w:tcBorders>
              <w:left w:val="single" w:sz="8" w:color="CCEEFF"/>
              <w:bottom w:val="single" w:sz="8" w:color="CCEEFF"/>
            </w:tcBorders>
            <w:gridSpan w:val="16"/>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r>
      <w:tr>
        <w:trPr>
          <w:trHeight w:val="196"/>
        </w:trPr>
        <w:tc>
          <w:tcPr>
            <w:tcW w:w="8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900" w:type="dxa"/>
            <w:vAlign w:val="bottom"/>
            <w:gridSpan w:val="31"/>
            <w:shd w:val="clear" w:color="auto" w:fill="CCEEFF"/>
          </w:tcPr>
          <w:p>
            <w:pPr>
              <w:spacing w:after="0" w:line="196" w:lineRule="exact"/>
              <w:rPr>
                <w:rFonts w:ascii="Arial" w:cs="Arial" w:eastAsia="Arial" w:hAnsi="Arial"/>
                <w:sz w:val="18"/>
                <w:szCs w:val="18"/>
                <w:color w:val="0000EE"/>
              </w:rPr>
            </w:pPr>
            <w:hyperlink w:anchor="page504">
              <w:r>
                <w:rPr>
                  <w:rFonts w:ascii="Arial" w:cs="Arial" w:eastAsia="Arial" w:hAnsi="Arial"/>
                  <w:sz w:val="18"/>
                  <w:szCs w:val="18"/>
                  <w:color w:val="0000EE"/>
                </w:rPr>
                <w:t>Statement).</w:t>
              </w:r>
            </w:hyperlink>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right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r>
      <w:tr>
        <w:trPr>
          <w:trHeight w:val="175"/>
        </w:trPr>
        <w:tc>
          <w:tcPr>
            <w:tcW w:w="880" w:type="dxa"/>
            <w:vAlign w:val="bottom"/>
          </w:tcPr>
          <w:p>
            <w:pPr>
              <w:spacing w:after="0" w:line="176" w:lineRule="exact"/>
              <w:rPr>
                <w:sz w:val="20"/>
                <w:szCs w:val="20"/>
                <w:color w:val="auto"/>
              </w:rPr>
            </w:pPr>
            <w:r>
              <w:rPr>
                <w:rFonts w:ascii="Arial" w:cs="Arial" w:eastAsia="Arial" w:hAnsi="Arial"/>
                <w:sz w:val="18"/>
                <w:szCs w:val="18"/>
                <w:color w:val="auto"/>
              </w:rPr>
              <w:t>10.14</w:t>
            </w:r>
          </w:p>
        </w:tc>
        <w:tc>
          <w:tcPr>
            <w:tcW w:w="120" w:type="dxa"/>
            <w:vAlign w:val="bottom"/>
          </w:tcPr>
          <w:p>
            <w:pPr>
              <w:spacing w:after="0"/>
              <w:rPr>
                <w:sz w:val="15"/>
                <w:szCs w:val="15"/>
                <w:color w:val="auto"/>
              </w:rPr>
            </w:pPr>
          </w:p>
        </w:tc>
        <w:tc>
          <w:tcPr>
            <w:tcW w:w="2900" w:type="dxa"/>
            <w:vAlign w:val="bottom"/>
            <w:gridSpan w:val="31"/>
          </w:tcPr>
          <w:p>
            <w:pPr>
              <w:spacing w:after="0" w:line="176" w:lineRule="exact"/>
              <w:rPr>
                <w:rFonts w:ascii="Arial" w:cs="Arial" w:eastAsia="Arial" w:hAnsi="Arial"/>
                <w:sz w:val="18"/>
                <w:szCs w:val="18"/>
                <w:color w:val="0000EE"/>
              </w:rPr>
            </w:pPr>
            <w:hyperlink r:id="rId634">
              <w:r>
                <w:rPr>
                  <w:rFonts w:ascii="Arial" w:cs="Arial" w:eastAsia="Arial" w:hAnsi="Arial"/>
                  <w:sz w:val="18"/>
                  <w:szCs w:val="18"/>
                  <w:color w:val="0000EE"/>
                </w:rPr>
                <w:t>Form of Subscription Agreement,</w:t>
              </w:r>
            </w:hyperlink>
          </w:p>
        </w:tc>
        <w:tc>
          <w:tcPr>
            <w:tcW w:w="7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001-39485</w:t>
            </w:r>
          </w:p>
        </w:tc>
        <w:tc>
          <w:tcPr>
            <w:tcW w:w="8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8"/>
                <w:szCs w:val="18"/>
                <w:color w:val="auto"/>
                <w:w w:val="93"/>
              </w:rPr>
              <w:t>April 14, 2021</w:t>
            </w: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Borders>
              <w:top w:val="single" w:sz="8" w:color="0000EE"/>
            </w:tcBorders>
            <w:gridSpan w:val="15"/>
          </w:tcPr>
          <w:p>
            <w:pPr>
              <w:spacing w:after="0" w:line="196" w:lineRule="exact"/>
              <w:rPr>
                <w:rFonts w:ascii="Arial" w:cs="Arial" w:eastAsia="Arial" w:hAnsi="Arial"/>
                <w:sz w:val="18"/>
                <w:szCs w:val="18"/>
                <w:color w:val="0000EE"/>
                <w:w w:val="88"/>
              </w:rPr>
            </w:pPr>
            <w:hyperlink r:id="rId634">
              <w:r>
                <w:rPr>
                  <w:rFonts w:ascii="Arial" w:cs="Arial" w:eastAsia="Arial" w:hAnsi="Arial"/>
                  <w:sz w:val="18"/>
                  <w:szCs w:val="18"/>
                  <w:color w:val="0000EE"/>
                  <w:w w:val="88"/>
                </w:rPr>
                <w:t>dated as of April 13, 2021 by and</w:t>
              </w:r>
            </w:hyperlink>
          </w:p>
        </w:tc>
        <w:tc>
          <w:tcPr>
            <w:tcW w:w="520" w:type="dxa"/>
            <w:vAlign w:val="bottom"/>
            <w:gridSpan w:val="16"/>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634">
              <w:r>
                <w:rPr>
                  <w:rFonts w:ascii="Arial" w:cs="Arial" w:eastAsia="Arial" w:hAnsi="Arial"/>
                  <w:sz w:val="18"/>
                  <w:szCs w:val="18"/>
                  <w:color w:val="0000EE"/>
                  <w:w w:val="91"/>
                </w:rPr>
                <w:t>among BCTG Acquisition Corp. and</w:t>
              </w:r>
            </w:hyperlink>
          </w:p>
        </w:tc>
        <w:tc>
          <w:tcPr>
            <w:tcW w:w="26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31"/>
          </w:tcPr>
          <w:p>
            <w:pPr>
              <w:spacing w:after="0" w:line="196" w:lineRule="exact"/>
              <w:rPr>
                <w:rFonts w:ascii="Arial" w:cs="Arial" w:eastAsia="Arial" w:hAnsi="Arial"/>
                <w:sz w:val="18"/>
                <w:szCs w:val="18"/>
                <w:color w:val="0000EE"/>
              </w:rPr>
            </w:pPr>
            <w:hyperlink r:id="rId634">
              <w:r>
                <w:rPr>
                  <w:rFonts w:ascii="Arial" w:cs="Arial" w:eastAsia="Arial" w:hAnsi="Arial"/>
                  <w:sz w:val="18"/>
                  <w:szCs w:val="18"/>
                  <w:color w:val="0000EE"/>
                </w:rPr>
                <w:t>certain institutional and accredited</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634">
              <w:r>
                <w:rPr>
                  <w:rFonts w:ascii="Arial" w:cs="Arial" w:eastAsia="Arial" w:hAnsi="Arial"/>
                  <w:sz w:val="18"/>
                  <w:szCs w:val="18"/>
                  <w:color w:val="0000EE"/>
                </w:rPr>
                <w:t>investors.</w:t>
              </w:r>
            </w:hyperlink>
          </w:p>
        </w:tc>
        <w:tc>
          <w:tcPr>
            <w:tcW w:w="44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61"/>
        </w:trPr>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10.15</w:t>
            </w:r>
          </w:p>
        </w:tc>
        <w:tc>
          <w:tcPr>
            <w:tcW w:w="120" w:type="dxa"/>
            <w:vAlign w:val="bottom"/>
            <w:tcBorders>
              <w:right w:val="single" w:sz="8" w:color="CCEEFF"/>
            </w:tcBorders>
            <w:shd w:val="clear" w:color="auto" w:fill="CCEEFF"/>
          </w:tcPr>
          <w:p>
            <w:pPr>
              <w:spacing w:after="0"/>
              <w:rPr>
                <w:sz w:val="15"/>
                <w:szCs w:val="15"/>
                <w:color w:val="auto"/>
              </w:rPr>
            </w:pPr>
          </w:p>
        </w:tc>
        <w:tc>
          <w:tcPr>
            <w:tcW w:w="2900" w:type="dxa"/>
            <w:vAlign w:val="bottom"/>
            <w:gridSpan w:val="31"/>
            <w:shd w:val="clear" w:color="auto" w:fill="CCEEFF"/>
          </w:tcPr>
          <w:p>
            <w:pPr>
              <w:spacing w:after="0" w:line="176" w:lineRule="exact"/>
              <w:rPr>
                <w:rFonts w:ascii="Arial" w:cs="Arial" w:eastAsia="Arial" w:hAnsi="Arial"/>
                <w:sz w:val="18"/>
                <w:szCs w:val="18"/>
                <w:color w:val="0000EE"/>
                <w:w w:val="94"/>
              </w:rPr>
            </w:pPr>
            <w:hyperlink w:anchor="page411">
              <w:r>
                <w:rPr>
                  <w:rFonts w:ascii="Arial" w:cs="Arial" w:eastAsia="Arial" w:hAnsi="Arial"/>
                  <w:sz w:val="18"/>
                  <w:szCs w:val="18"/>
                  <w:color w:val="0000EE"/>
                  <w:w w:val="94"/>
                </w:rPr>
                <w:t>Form of Company Support Agreement</w:t>
              </w:r>
            </w:hyperlink>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2760" w:type="dxa"/>
            <w:vAlign w:val="bottom"/>
            <w:tcBorders>
              <w:top w:val="single" w:sz="8" w:color="0000EE"/>
            </w:tcBorders>
            <w:gridSpan w:val="28"/>
            <w:shd w:val="clear" w:color="auto" w:fill="CCEEFF"/>
          </w:tcPr>
          <w:p>
            <w:pPr>
              <w:spacing w:after="0" w:line="196" w:lineRule="exact"/>
              <w:rPr>
                <w:rFonts w:ascii="Arial" w:cs="Arial" w:eastAsia="Arial" w:hAnsi="Arial"/>
                <w:sz w:val="18"/>
                <w:szCs w:val="18"/>
                <w:color w:val="0000EE"/>
              </w:rPr>
            </w:pPr>
            <w:hyperlink w:anchor="page411">
              <w:r>
                <w:rPr>
                  <w:rFonts w:ascii="Arial" w:cs="Arial" w:eastAsia="Arial" w:hAnsi="Arial"/>
                  <w:sz w:val="18"/>
                  <w:szCs w:val="18"/>
                  <w:color w:val="0000EE"/>
                </w:rPr>
                <w:t>by and among BCTG Acquisition</w:t>
              </w:r>
            </w:hyperlink>
          </w:p>
        </w:tc>
        <w:tc>
          <w:tcPr>
            <w:tcW w:w="140" w:type="dxa"/>
            <w:vAlign w:val="bottom"/>
            <w:tcBorders>
              <w:top w:val="single" w:sz="8" w:color="CCEEFF"/>
            </w:tcBorders>
            <w:gridSpan w:val="3"/>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CCEEFF"/>
            </w:tcBorders>
            <w:gridSpan w:val="3"/>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gridSpan w:val="5"/>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r>
      <w:tr>
        <w:trPr>
          <w:trHeight w:val="196"/>
        </w:trPr>
        <w:tc>
          <w:tcPr>
            <w:tcW w:w="8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900" w:type="dxa"/>
            <w:vAlign w:val="bottom"/>
            <w:gridSpan w:val="31"/>
            <w:shd w:val="clear" w:color="auto" w:fill="CCEEFF"/>
          </w:tcPr>
          <w:p>
            <w:pPr>
              <w:spacing w:after="0" w:line="196" w:lineRule="exact"/>
              <w:rPr>
                <w:rFonts w:ascii="Arial" w:cs="Arial" w:eastAsia="Arial" w:hAnsi="Arial"/>
                <w:sz w:val="18"/>
                <w:szCs w:val="18"/>
                <w:color w:val="0000EE"/>
                <w:w w:val="99"/>
              </w:rPr>
            </w:pPr>
            <w:hyperlink w:anchor="page411">
              <w:r>
                <w:rPr>
                  <w:rFonts w:ascii="Arial" w:cs="Arial" w:eastAsia="Arial" w:hAnsi="Arial"/>
                  <w:sz w:val="18"/>
                  <w:szCs w:val="18"/>
                  <w:color w:val="0000EE"/>
                  <w:w w:val="99"/>
                </w:rPr>
                <w:t>Corp., certain stockholders of Tango</w:t>
              </w:r>
            </w:hyperlink>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96"/>
        </w:trPr>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080" w:type="dxa"/>
            <w:vAlign w:val="bottom"/>
            <w:tcBorders>
              <w:top w:val="single" w:sz="8" w:color="0000EE"/>
              <w:bottom w:val="single" w:sz="8" w:color="0000EE"/>
            </w:tcBorders>
            <w:gridSpan w:val="8"/>
            <w:shd w:val="clear" w:color="auto" w:fill="CCEEFF"/>
          </w:tcPr>
          <w:p>
            <w:pPr>
              <w:spacing w:after="0" w:line="196" w:lineRule="exact"/>
              <w:rPr>
                <w:rFonts w:ascii="Arial" w:cs="Arial" w:eastAsia="Arial" w:hAnsi="Arial"/>
                <w:sz w:val="18"/>
                <w:szCs w:val="18"/>
                <w:color w:val="0000EE"/>
                <w:w w:val="87"/>
              </w:rPr>
            </w:pPr>
            <w:hyperlink w:anchor="page411">
              <w:r>
                <w:rPr>
                  <w:rFonts w:ascii="Arial" w:cs="Arial" w:eastAsia="Arial" w:hAnsi="Arial"/>
                  <w:sz w:val="18"/>
                  <w:szCs w:val="18"/>
                  <w:color w:val="0000EE"/>
                  <w:w w:val="87"/>
                </w:rPr>
                <w:t>Therapeutics, Inc. and Tango</w:t>
              </w:r>
            </w:hyperlink>
          </w:p>
        </w:tc>
        <w:tc>
          <w:tcPr>
            <w:tcW w:w="520" w:type="dxa"/>
            <w:vAlign w:val="bottom"/>
            <w:tcBorders>
              <w:top w:val="single" w:sz="8" w:color="0000EE"/>
              <w:bottom w:val="single" w:sz="8" w:color="CCEEFF"/>
            </w:tcBorders>
            <w:gridSpan w:val="13"/>
            <w:shd w:val="clear" w:color="auto" w:fill="CCEEFF"/>
          </w:tcPr>
          <w:p>
            <w:pPr>
              <w:spacing w:after="0"/>
              <w:rPr>
                <w:sz w:val="17"/>
                <w:szCs w:val="17"/>
                <w:color w:val="auto"/>
              </w:rPr>
            </w:pPr>
          </w:p>
        </w:tc>
        <w:tc>
          <w:tcPr>
            <w:tcW w:w="300" w:type="dxa"/>
            <w:vAlign w:val="bottom"/>
            <w:tcBorders>
              <w:top w:val="single" w:sz="8" w:color="CCEEFF"/>
              <w:bottom w:val="single" w:sz="8" w:color="CCEEFF"/>
            </w:tcBorders>
            <w:gridSpan w:val="10"/>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2780" w:type="dxa"/>
            <w:vAlign w:val="bottom"/>
            <w:tcBorders>
              <w:bottom w:val="single" w:sz="8" w:color="0000EE"/>
            </w:tcBorders>
            <w:gridSpan w:val="29"/>
            <w:shd w:val="clear" w:color="auto" w:fill="CCEEFF"/>
          </w:tcPr>
          <w:p>
            <w:pPr>
              <w:spacing w:after="0" w:line="196" w:lineRule="exact"/>
              <w:rPr>
                <w:rFonts w:ascii="Arial" w:cs="Arial" w:eastAsia="Arial" w:hAnsi="Arial"/>
                <w:sz w:val="18"/>
                <w:szCs w:val="18"/>
                <w:color w:val="0000EE"/>
                <w:w w:val="90"/>
              </w:rPr>
            </w:pPr>
            <w:hyperlink w:anchor="page411">
              <w:r>
                <w:rPr>
                  <w:rFonts w:ascii="Arial" w:cs="Arial" w:eastAsia="Arial" w:hAnsi="Arial"/>
                  <w:sz w:val="18"/>
                  <w:szCs w:val="18"/>
                  <w:color w:val="0000EE"/>
                  <w:w w:val="90"/>
                </w:rPr>
                <w:t>Therapeutics, Inc. (Included as Exhibit</w:t>
              </w:r>
            </w:hyperlink>
          </w:p>
        </w:tc>
        <w:tc>
          <w:tcPr>
            <w:tcW w:w="12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r>
      <w:tr>
        <w:trPr>
          <w:trHeight w:val="196"/>
        </w:trPr>
        <w:tc>
          <w:tcPr>
            <w:tcW w:w="8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900" w:type="dxa"/>
            <w:vAlign w:val="bottom"/>
            <w:gridSpan w:val="31"/>
            <w:shd w:val="clear" w:color="auto" w:fill="CCEEFF"/>
          </w:tcPr>
          <w:p>
            <w:pPr>
              <w:spacing w:after="0" w:line="196" w:lineRule="exact"/>
              <w:rPr>
                <w:rFonts w:ascii="Arial" w:cs="Arial" w:eastAsia="Arial" w:hAnsi="Arial"/>
                <w:sz w:val="18"/>
                <w:szCs w:val="18"/>
                <w:color w:val="0000EE"/>
              </w:rPr>
            </w:pPr>
            <w:hyperlink w:anchor="page411">
              <w:r>
                <w:rPr>
                  <w:rFonts w:ascii="Arial" w:cs="Arial" w:eastAsia="Arial" w:hAnsi="Arial"/>
                  <w:sz w:val="18"/>
                  <w:szCs w:val="18"/>
                  <w:color w:val="0000EE"/>
                </w:rPr>
                <w:t>A to exhibit 2.1).</w:t>
              </w:r>
            </w:hyperlink>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right w:val="single" w:sz="8" w:color="CCEEFF"/>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r>
      <w:tr>
        <w:trPr>
          <w:trHeight w:val="176"/>
        </w:trPr>
        <w:tc>
          <w:tcPr>
            <w:tcW w:w="880" w:type="dxa"/>
            <w:vAlign w:val="bottom"/>
          </w:tcPr>
          <w:p>
            <w:pPr>
              <w:spacing w:after="0" w:line="176" w:lineRule="exact"/>
              <w:rPr>
                <w:sz w:val="20"/>
                <w:szCs w:val="20"/>
                <w:color w:val="auto"/>
              </w:rPr>
            </w:pPr>
            <w:r>
              <w:rPr>
                <w:rFonts w:ascii="Arial" w:cs="Arial" w:eastAsia="Arial" w:hAnsi="Arial"/>
                <w:sz w:val="18"/>
                <w:szCs w:val="18"/>
                <w:color w:val="auto"/>
              </w:rPr>
              <w:t>10.16</w:t>
            </w:r>
          </w:p>
        </w:tc>
        <w:tc>
          <w:tcPr>
            <w:tcW w:w="120" w:type="dxa"/>
            <w:vAlign w:val="bottom"/>
          </w:tcPr>
          <w:p>
            <w:pPr>
              <w:spacing w:after="0"/>
              <w:rPr>
                <w:sz w:val="15"/>
                <w:szCs w:val="15"/>
                <w:color w:val="auto"/>
              </w:rPr>
            </w:pPr>
          </w:p>
        </w:tc>
        <w:tc>
          <w:tcPr>
            <w:tcW w:w="2900" w:type="dxa"/>
            <w:vAlign w:val="bottom"/>
            <w:gridSpan w:val="31"/>
          </w:tcPr>
          <w:p>
            <w:pPr>
              <w:spacing w:after="0" w:line="176" w:lineRule="exact"/>
              <w:rPr>
                <w:rFonts w:ascii="Arial" w:cs="Arial" w:eastAsia="Arial" w:hAnsi="Arial"/>
                <w:sz w:val="18"/>
                <w:szCs w:val="18"/>
                <w:color w:val="0000EE"/>
              </w:rPr>
            </w:pPr>
            <w:hyperlink w:anchor="page419">
              <w:r>
                <w:rPr>
                  <w:rFonts w:ascii="Arial" w:cs="Arial" w:eastAsia="Arial" w:hAnsi="Arial"/>
                  <w:sz w:val="18"/>
                  <w:szCs w:val="18"/>
                  <w:color w:val="0000EE"/>
                </w:rPr>
                <w:t>Form of Parent Support Agreement</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1380" w:type="dxa"/>
            <w:vAlign w:val="bottom"/>
            <w:gridSpan w:val="8"/>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31"/>
          </w:tcPr>
          <w:p>
            <w:pPr>
              <w:spacing w:after="0" w:line="196" w:lineRule="exact"/>
              <w:rPr>
                <w:rFonts w:ascii="Arial" w:cs="Arial" w:eastAsia="Arial" w:hAnsi="Arial"/>
                <w:sz w:val="18"/>
                <w:szCs w:val="18"/>
                <w:color w:val="0000EE"/>
              </w:rPr>
            </w:pPr>
            <w:hyperlink w:anchor="page419">
              <w:r>
                <w:rPr>
                  <w:rFonts w:ascii="Arial" w:cs="Arial" w:eastAsia="Arial" w:hAnsi="Arial"/>
                  <w:sz w:val="18"/>
                  <w:szCs w:val="18"/>
                  <w:color w:val="0000EE"/>
                </w:rPr>
                <w:t>(Included as Exhibit B to exhibit 2.1)</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61"/>
        </w:trPr>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r>
      <w:tr>
        <w:trPr>
          <w:trHeight w:val="175"/>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10.17</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228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8"/>
              </w:rPr>
            </w:pPr>
            <w:hyperlink w:anchor="page453">
              <w:r>
                <w:rPr>
                  <w:rFonts w:ascii="Arial" w:cs="Arial" w:eastAsia="Arial" w:hAnsi="Arial"/>
                  <w:sz w:val="18"/>
                  <w:szCs w:val="18"/>
                  <w:color w:val="0000EE"/>
                  <w:w w:val="88"/>
                </w:rPr>
                <w:t>Form of Amended and Restated</w:t>
              </w:r>
            </w:hyperlink>
          </w:p>
        </w:tc>
        <w:tc>
          <w:tcPr>
            <w:tcW w:w="620" w:type="dxa"/>
            <w:vAlign w:val="bottom"/>
            <w:tcBorders>
              <w:bottom w:val="single" w:sz="8" w:color="CCEEFF"/>
            </w:tcBorders>
            <w:gridSpan w:val="17"/>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2220" w:type="dxa"/>
            <w:vAlign w:val="bottom"/>
            <w:tcBorders>
              <w:bottom w:val="single" w:sz="8" w:color="0000EE"/>
            </w:tcBorders>
            <w:gridSpan w:val="12"/>
            <w:shd w:val="clear" w:color="auto" w:fill="CCEEFF"/>
          </w:tcPr>
          <w:p>
            <w:pPr>
              <w:spacing w:after="0" w:line="196" w:lineRule="exact"/>
              <w:rPr>
                <w:rFonts w:ascii="Arial" w:cs="Arial" w:eastAsia="Arial" w:hAnsi="Arial"/>
                <w:sz w:val="18"/>
                <w:szCs w:val="18"/>
                <w:color w:val="0000EE"/>
                <w:w w:val="89"/>
              </w:rPr>
            </w:pPr>
            <w:hyperlink w:anchor="page453">
              <w:r>
                <w:rPr>
                  <w:rFonts w:ascii="Arial" w:cs="Arial" w:eastAsia="Arial" w:hAnsi="Arial"/>
                  <w:sz w:val="18"/>
                  <w:szCs w:val="18"/>
                  <w:color w:val="0000EE"/>
                  <w:w w:val="89"/>
                </w:rPr>
                <w:t>Registration Rights Agreement</w:t>
              </w:r>
            </w:hyperlink>
          </w:p>
        </w:tc>
        <w:tc>
          <w:tcPr>
            <w:tcW w:w="680" w:type="dxa"/>
            <w:vAlign w:val="bottom"/>
            <w:tcBorders>
              <w:bottom w:val="single" w:sz="8" w:color="CCEEFF"/>
            </w:tcBorders>
            <w:gridSpan w:val="19"/>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r>
      <w:tr>
        <w:trPr>
          <w:trHeight w:val="196"/>
        </w:trPr>
        <w:tc>
          <w:tcPr>
            <w:tcW w:w="8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900" w:type="dxa"/>
            <w:vAlign w:val="bottom"/>
            <w:gridSpan w:val="31"/>
            <w:shd w:val="clear" w:color="auto" w:fill="CCEEFF"/>
          </w:tcPr>
          <w:p>
            <w:pPr>
              <w:spacing w:after="0" w:line="196" w:lineRule="exact"/>
              <w:rPr>
                <w:rFonts w:ascii="Arial" w:cs="Arial" w:eastAsia="Arial" w:hAnsi="Arial"/>
                <w:sz w:val="18"/>
                <w:szCs w:val="18"/>
                <w:color w:val="0000EE"/>
                <w:w w:val="99"/>
              </w:rPr>
            </w:pPr>
            <w:hyperlink w:anchor="page453">
              <w:r>
                <w:rPr>
                  <w:rFonts w:ascii="Arial" w:cs="Arial" w:eastAsia="Arial" w:hAnsi="Arial"/>
                  <w:sz w:val="18"/>
                  <w:szCs w:val="18"/>
                  <w:color w:val="0000EE"/>
                  <w:w w:val="99"/>
                </w:rPr>
                <w:t>(included as Exhibit G to exhibit 2.1)</w:t>
              </w:r>
            </w:hyperlink>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right w:val="single" w:sz="8" w:color="CCEEFF"/>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80" w:type="dxa"/>
            <w:vAlign w:val="bottom"/>
            <w:tcBorders>
              <w:top w:val="single" w:sz="8" w:color="0000EE"/>
              <w:left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r>
      <w:tr>
        <w:trPr>
          <w:trHeight w:val="176"/>
        </w:trPr>
        <w:tc>
          <w:tcPr>
            <w:tcW w:w="880" w:type="dxa"/>
            <w:vAlign w:val="bottom"/>
          </w:tcPr>
          <w:p>
            <w:pPr>
              <w:spacing w:after="0" w:line="176" w:lineRule="exact"/>
              <w:rPr>
                <w:sz w:val="20"/>
                <w:szCs w:val="20"/>
                <w:color w:val="auto"/>
              </w:rPr>
            </w:pPr>
            <w:r>
              <w:rPr>
                <w:rFonts w:ascii="Arial" w:cs="Arial" w:eastAsia="Arial" w:hAnsi="Arial"/>
                <w:sz w:val="18"/>
                <w:szCs w:val="18"/>
                <w:color w:val="auto"/>
              </w:rPr>
              <w:t>10.18</w:t>
            </w:r>
          </w:p>
        </w:tc>
        <w:tc>
          <w:tcPr>
            <w:tcW w:w="120" w:type="dxa"/>
            <w:vAlign w:val="bottom"/>
          </w:tcPr>
          <w:p>
            <w:pPr>
              <w:spacing w:after="0"/>
              <w:rPr>
                <w:sz w:val="15"/>
                <w:szCs w:val="15"/>
                <w:color w:val="auto"/>
              </w:rPr>
            </w:pPr>
          </w:p>
        </w:tc>
        <w:tc>
          <w:tcPr>
            <w:tcW w:w="2180" w:type="dxa"/>
            <w:vAlign w:val="bottom"/>
            <w:tcBorders>
              <w:bottom w:val="single" w:sz="8" w:color="0000EE"/>
            </w:tcBorders>
            <w:gridSpan w:val="10"/>
          </w:tcPr>
          <w:p>
            <w:pPr>
              <w:spacing w:after="0" w:line="176" w:lineRule="exact"/>
              <w:rPr>
                <w:rFonts w:ascii="Arial" w:cs="Arial" w:eastAsia="Arial" w:hAnsi="Arial"/>
                <w:sz w:val="18"/>
                <w:szCs w:val="18"/>
                <w:color w:val="0000EE"/>
                <w:w w:val="92"/>
              </w:rPr>
            </w:pPr>
            <w:hyperlink w:anchor="page426">
              <w:r>
                <w:rPr>
                  <w:rFonts w:ascii="Arial" w:cs="Arial" w:eastAsia="Arial" w:hAnsi="Arial"/>
                  <w:sz w:val="18"/>
                  <w:szCs w:val="18"/>
                  <w:color w:val="0000EE"/>
                  <w:w w:val="92"/>
                </w:rPr>
                <w:t>Form of Stockholder Lock-Up</w:t>
              </w:r>
            </w:hyperlink>
          </w:p>
        </w:tc>
        <w:tc>
          <w:tcPr>
            <w:tcW w:w="720" w:type="dxa"/>
            <w:vAlign w:val="bottom"/>
            <w:gridSpan w:val="21"/>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31"/>
          </w:tcPr>
          <w:p>
            <w:pPr>
              <w:spacing w:after="0" w:line="196" w:lineRule="exact"/>
              <w:rPr>
                <w:rFonts w:ascii="Arial" w:cs="Arial" w:eastAsia="Arial" w:hAnsi="Arial"/>
                <w:sz w:val="18"/>
                <w:szCs w:val="18"/>
                <w:color w:val="0000EE"/>
                <w:w w:val="99"/>
              </w:rPr>
            </w:pPr>
            <w:hyperlink w:anchor="page426">
              <w:r>
                <w:rPr>
                  <w:rFonts w:ascii="Arial" w:cs="Arial" w:eastAsia="Arial" w:hAnsi="Arial"/>
                  <w:sz w:val="18"/>
                  <w:szCs w:val="18"/>
                  <w:color w:val="0000EE"/>
                  <w:w w:val="99"/>
                </w:rPr>
                <w:t>Agreement (Included as Exhibit D to</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426">
              <w:r>
                <w:rPr>
                  <w:rFonts w:ascii="Arial" w:cs="Arial" w:eastAsia="Arial" w:hAnsi="Arial"/>
                  <w:sz w:val="18"/>
                  <w:szCs w:val="18"/>
                  <w:color w:val="0000EE"/>
                </w:rPr>
                <w:t>exhibit 2.1)</w:t>
              </w:r>
            </w:hyperlink>
          </w:p>
        </w:tc>
        <w:tc>
          <w:tcPr>
            <w:tcW w:w="26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53" w:lineRule="exact"/>
        <w:rPr>
          <w:sz w:val="20"/>
          <w:szCs w:val="20"/>
          <w:color w:val="auto"/>
        </w:rPr>
      </w:pPr>
    </w:p>
    <w:p>
      <w:pPr>
        <w:sectPr>
          <w:pgSz w:w="11900" w:h="16838" w:orient="portrait"/>
          <w:cols w:equalWidth="0" w:num="1">
            <w:col w:w="9019"/>
          </w:cols>
          <w:pgMar w:left="1440" w:top="273" w:right="1440" w:bottom="1440" w:gutter="0" w:footer="0" w:header="0"/>
        </w:sectPr>
      </w:pPr>
    </w:p>
    <w:p>
      <w:pPr>
        <w:ind w:left="460"/>
        <w:spacing w:after="0"/>
        <w:rPr>
          <w:sz w:val="20"/>
          <w:szCs w:val="20"/>
          <w:color w:val="auto"/>
        </w:rPr>
      </w:pPr>
      <w:r>
        <w:rPr>
          <w:rFonts w:ascii="Arial" w:cs="Arial" w:eastAsia="Arial" w:hAnsi="Arial"/>
          <w:sz w:val="17"/>
          <w:szCs w:val="17"/>
          <w:color w:val="auto"/>
        </w:rPr>
        <w:t>21.1**</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List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-139065</wp:posOffset>
            </wp:positionV>
            <wp:extent cx="5143500" cy="17970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0" w:lineRule="exact"/>
        <w:rPr>
          <w:sz w:val="20"/>
          <w:szCs w:val="20"/>
          <w:color w:val="auto"/>
        </w:rPr>
      </w:pPr>
    </w:p>
    <w:p>
      <w:pPr>
        <w:spacing w:after="0"/>
        <w:rPr>
          <w:rFonts w:ascii="Arial" w:cs="Arial" w:eastAsia="Arial" w:hAnsi="Arial"/>
          <w:sz w:val="16"/>
          <w:szCs w:val="16"/>
          <w:u w:val="single" w:color="auto"/>
          <w:color w:val="0000EE"/>
        </w:rPr>
      </w:pPr>
      <w:hyperlink w:anchor="page545">
        <w:r>
          <w:rPr>
            <w:rFonts w:ascii="Arial" w:cs="Arial" w:eastAsia="Arial" w:hAnsi="Arial"/>
            <w:sz w:val="16"/>
            <w:szCs w:val="16"/>
            <w:u w:val="single" w:color="auto"/>
            <w:color w:val="0000EE"/>
          </w:rPr>
          <w:t>Consent of WithumSmith+Brown, PC,</w:t>
        </w:r>
      </w:hyperlink>
    </w:p>
    <w:p>
      <w:pPr>
        <w:spacing w:after="0" w:line="46" w:lineRule="exact"/>
        <w:rPr>
          <w:sz w:val="20"/>
          <w:szCs w:val="20"/>
          <w:color w:val="auto"/>
        </w:rPr>
      </w:pPr>
    </w:p>
    <w:p>
      <w:pPr>
        <w:spacing w:after="0"/>
        <w:rPr>
          <w:rFonts w:ascii="Arial" w:cs="Arial" w:eastAsia="Arial" w:hAnsi="Arial"/>
          <w:sz w:val="18"/>
          <w:szCs w:val="18"/>
          <w:u w:val="single" w:color="auto"/>
          <w:color w:val="0000EE"/>
        </w:rPr>
      </w:pPr>
      <w:hyperlink w:anchor="page545">
        <w:r>
          <w:rPr>
            <w:rFonts w:ascii="Arial" w:cs="Arial" w:eastAsia="Arial" w:hAnsi="Arial"/>
            <w:sz w:val="18"/>
            <w:szCs w:val="18"/>
            <w:u w:val="single" w:color="auto"/>
            <w:color w:val="0000EE"/>
          </w:rPr>
          <w:t>independent registered public</w:t>
        </w:r>
      </w:hyperlink>
    </w:p>
    <w:p>
      <w:pPr>
        <w:spacing w:after="0" w:line="9" w:lineRule="exact"/>
        <w:rPr>
          <w:sz w:val="20"/>
          <w:szCs w:val="20"/>
          <w:color w:val="auto"/>
        </w:rPr>
      </w:pPr>
    </w:p>
    <w:p>
      <w:pPr>
        <w:spacing w:after="0"/>
        <w:rPr>
          <w:rFonts w:ascii="Arial" w:cs="Arial" w:eastAsia="Arial" w:hAnsi="Arial"/>
          <w:sz w:val="17"/>
          <w:szCs w:val="17"/>
          <w:u w:val="single" w:color="auto"/>
          <w:color w:val="0000EE"/>
        </w:rPr>
      </w:pPr>
      <w:hyperlink w:anchor="page545">
        <w:r>
          <w:rPr>
            <w:rFonts w:ascii="Arial" w:cs="Arial" w:eastAsia="Arial" w:hAnsi="Arial"/>
            <w:sz w:val="17"/>
            <w:szCs w:val="17"/>
            <w:u w:val="single" w:color="auto"/>
            <w:color w:val="0000EE"/>
          </w:rPr>
          <w:t>accounting firm of BCTG Acquisition</w:t>
        </w:r>
      </w:hyperlink>
    </w:p>
    <w:p>
      <w:pPr>
        <w:spacing w:after="0" w:line="21" w:lineRule="exact"/>
        <w:rPr>
          <w:sz w:val="20"/>
          <w:szCs w:val="20"/>
          <w:color w:val="auto"/>
        </w:rPr>
      </w:pPr>
    </w:p>
    <w:p>
      <w:pPr>
        <w:spacing w:after="0"/>
        <w:rPr>
          <w:rFonts w:ascii="Arial" w:cs="Arial" w:eastAsia="Arial" w:hAnsi="Arial"/>
          <w:sz w:val="18"/>
          <w:szCs w:val="18"/>
          <w:u w:val="single" w:color="auto"/>
          <w:color w:val="0000EE"/>
        </w:rPr>
      </w:pPr>
      <w:hyperlink w:anchor="page545">
        <w:r>
          <w:rPr>
            <w:rFonts w:ascii="Arial" w:cs="Arial" w:eastAsia="Arial" w:hAnsi="Arial"/>
            <w:sz w:val="18"/>
            <w:szCs w:val="18"/>
            <w:u w:val="single" w:color="auto"/>
            <w:color w:val="0000EE"/>
          </w:rPr>
          <w:t>Corp.</w:t>
        </w:r>
      </w:hyperlink>
    </w:p>
    <w:p>
      <w:pPr>
        <w:spacing w:after="0" w:line="18" w:lineRule="exact"/>
        <w:rPr>
          <w:sz w:val="20"/>
          <w:szCs w:val="20"/>
          <w:color w:val="auto"/>
        </w:rPr>
      </w:pPr>
    </w:p>
    <w:p>
      <w:pPr>
        <w:sectPr>
          <w:pgSz w:w="11900" w:h="16838" w:orient="portrait"/>
          <w:cols w:equalWidth="0" w:num="2">
            <w:col w:w="940" w:space="500"/>
            <w:col w:w="7579"/>
          </w:cols>
          <w:pgMar w:left="1440" w:top="273" w:right="1440" w:bottom="1440" w:gutter="0" w:footer="0" w:header="0"/>
          <w:type w:val="continuous"/>
        </w:sectPr>
      </w:pPr>
    </w:p>
    <w:tbl>
      <w:tblPr>
        <w:tblLayout w:type="fixed"/>
        <w:tblInd w:w="460" w:type="dxa"/>
        <w:tblCellMar>
          <w:top w:w="0" w:type="dxa"/>
          <w:left w:w="0" w:type="dxa"/>
          <w:bottom w:w="0" w:type="dxa"/>
          <w:right w:w="0" w:type="dxa"/>
        </w:tblCellMar>
      </w:tblPr>
      <w:tr>
        <w:trPr>
          <w:trHeight w:val="207"/>
        </w:trPr>
        <w:tc>
          <w:tcPr>
            <w:tcW w:w="9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23.2</w:t>
            </w:r>
          </w:p>
        </w:tc>
        <w:tc>
          <w:tcPr>
            <w:tcW w:w="262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88"/>
              </w:rPr>
            </w:pPr>
            <w:hyperlink w:anchor="page546">
              <w:r>
                <w:rPr>
                  <w:rFonts w:ascii="Arial" w:cs="Arial" w:eastAsia="Arial" w:hAnsi="Arial"/>
                  <w:sz w:val="18"/>
                  <w:szCs w:val="18"/>
                  <w:color w:val="0000EE"/>
                  <w:w w:val="88"/>
                </w:rPr>
                <w:t>Consent of PricewaterhouseCoopers</w:t>
              </w:r>
            </w:hyperlink>
          </w:p>
        </w:tc>
        <w:tc>
          <w:tcPr>
            <w:tcW w:w="4500" w:type="dxa"/>
            <w:vAlign w:val="bottom"/>
            <w:tcBorders>
              <w:bottom w:val="single" w:sz="8" w:color="CCEEFF"/>
            </w:tcBorders>
            <w:shd w:val="clear" w:color="auto" w:fill="CCEEFF"/>
          </w:tcPr>
          <w:p>
            <w:pPr>
              <w:spacing w:after="0"/>
              <w:rPr>
                <w:sz w:val="18"/>
                <w:szCs w:val="18"/>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252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89"/>
              </w:rPr>
            </w:pPr>
            <w:hyperlink w:anchor="page546">
              <w:r>
                <w:rPr>
                  <w:rFonts w:ascii="Arial" w:cs="Arial" w:eastAsia="Arial" w:hAnsi="Arial"/>
                  <w:sz w:val="18"/>
                  <w:szCs w:val="18"/>
                  <w:color w:val="0000EE"/>
                  <w:w w:val="89"/>
                </w:rPr>
                <w:t>LLP, independent registered public</w:t>
              </w:r>
            </w:hyperlink>
          </w:p>
        </w:tc>
        <w:tc>
          <w:tcPr>
            <w:tcW w:w="460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91"/>
              </w:rPr>
            </w:pPr>
            <w:hyperlink w:anchor="page546">
              <w:r>
                <w:rPr>
                  <w:rFonts w:ascii="Arial" w:cs="Arial" w:eastAsia="Arial" w:hAnsi="Arial"/>
                  <w:sz w:val="18"/>
                  <w:szCs w:val="18"/>
                  <w:color w:val="0000EE"/>
                  <w:w w:val="91"/>
                </w:rPr>
                <w:t>accounting firm of Tango</w:t>
              </w:r>
            </w:hyperlink>
          </w:p>
        </w:tc>
        <w:tc>
          <w:tcPr>
            <w:tcW w:w="528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980" w:type="dxa"/>
            <w:vAlign w:val="bottom"/>
            <w:shd w:val="clear" w:color="auto" w:fill="CCEEFF"/>
          </w:tcPr>
          <w:p>
            <w:pPr>
              <w:spacing w:after="0"/>
              <w:rPr>
                <w:sz w:val="17"/>
                <w:szCs w:val="17"/>
                <w:color w:val="auto"/>
              </w:rPr>
            </w:pPr>
          </w:p>
        </w:tc>
        <w:tc>
          <w:tcPr>
            <w:tcW w:w="7120" w:type="dxa"/>
            <w:vAlign w:val="bottom"/>
            <w:gridSpan w:val="5"/>
            <w:shd w:val="clear" w:color="auto" w:fill="CCEEFF"/>
          </w:tcPr>
          <w:p>
            <w:pPr>
              <w:spacing w:after="0" w:line="196" w:lineRule="exact"/>
              <w:rPr>
                <w:rFonts w:ascii="Arial" w:cs="Arial" w:eastAsia="Arial" w:hAnsi="Arial"/>
                <w:sz w:val="18"/>
                <w:szCs w:val="18"/>
                <w:color w:val="0000EE"/>
              </w:rPr>
            </w:pPr>
            <w:hyperlink w:anchor="page546">
              <w:r>
                <w:rPr>
                  <w:rFonts w:ascii="Arial" w:cs="Arial" w:eastAsia="Arial" w:hAnsi="Arial"/>
                  <w:sz w:val="18"/>
                  <w:szCs w:val="18"/>
                  <w:color w:val="0000EE"/>
                </w:rPr>
                <w:t>Therapeutics, Inc.</w:t>
              </w:r>
            </w:hyperlink>
          </w:p>
        </w:tc>
      </w:tr>
      <w:tr>
        <w:trPr>
          <w:trHeight w:val="61"/>
        </w:trPr>
        <w:tc>
          <w:tcPr>
            <w:tcW w:w="98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500" w:type="dxa"/>
            <w:vAlign w:val="bottom"/>
            <w:tcBorders>
              <w:top w:val="single" w:sz="8" w:color="CCEEFF"/>
            </w:tcBorders>
            <w:shd w:val="clear" w:color="auto" w:fill="CCEEFF"/>
          </w:tcPr>
          <w:p>
            <w:pPr>
              <w:spacing w:after="0"/>
              <w:rPr>
                <w:sz w:val="5"/>
                <w:szCs w:val="5"/>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type w:val="continuous"/>
        </w:sectPr>
      </w:pPr>
    </w:p>
    <w:bookmarkStart w:id="516" w:name="page517"/>
    <w:bookmarkEnd w:id="516"/>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5"/>
          </w:tcPr>
          <w:p>
            <w:pPr>
              <w:jc w:val="center"/>
              <w:ind w:left="299"/>
              <w:spacing w:after="0"/>
              <w:rPr>
                <w:sz w:val="20"/>
                <w:szCs w:val="20"/>
                <w:color w:val="auto"/>
              </w:rPr>
            </w:pPr>
            <w:r>
              <w:rPr>
                <w:rFonts w:ascii="Arial" w:cs="Arial" w:eastAsia="Arial" w:hAnsi="Arial"/>
                <w:sz w:val="16"/>
                <w:szCs w:val="16"/>
                <w:b w:val="1"/>
                <w:bCs w:val="1"/>
                <w:color w:val="auto"/>
                <w:w w:val="91"/>
              </w:rPr>
              <w:t>Incorporated by Reference</w:t>
            </w:r>
          </w:p>
        </w:tc>
        <w:tc>
          <w:tcPr>
            <w:tcW w:w="1140" w:type="dxa"/>
            <w:vAlign w:val="bottom"/>
          </w:tcPr>
          <w:p>
            <w:pPr>
              <w:spacing w:after="0"/>
              <w:rPr>
                <w:sz w:val="18"/>
                <w:szCs w:val="18"/>
                <w:color w:val="auto"/>
              </w:rPr>
            </w:pPr>
          </w:p>
        </w:tc>
      </w:tr>
      <w:tr>
        <w:trPr>
          <w:trHeight w:val="87"/>
        </w:trPr>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bottom w:val="single" w:sz="8" w:color="auto"/>
            </w:tcBorders>
            <w:gridSpan w:val="2"/>
          </w:tcPr>
          <w:p>
            <w:pPr>
              <w:spacing w:after="0"/>
              <w:rPr>
                <w:sz w:val="7"/>
                <w:szCs w:val="7"/>
                <w:color w:val="auto"/>
              </w:rPr>
            </w:pPr>
          </w:p>
        </w:tc>
        <w:tc>
          <w:tcPr>
            <w:tcW w:w="880" w:type="dxa"/>
            <w:vAlign w:val="bottom"/>
            <w:tcBorders>
              <w:bottom w:val="single" w:sz="8" w:color="auto"/>
            </w:tcBorders>
            <w:gridSpan w:val="2"/>
          </w:tcPr>
          <w:p>
            <w:pPr>
              <w:spacing w:after="0"/>
              <w:rPr>
                <w:sz w:val="7"/>
                <w:szCs w:val="7"/>
                <w:color w:val="auto"/>
              </w:rPr>
            </w:pPr>
          </w:p>
        </w:tc>
        <w:tc>
          <w:tcPr>
            <w:tcW w:w="1400" w:type="dxa"/>
            <w:vAlign w:val="bottom"/>
            <w:tcBorders>
              <w:bottom w:val="single" w:sz="8" w:color="auto"/>
            </w:tcBorders>
            <w:gridSpan w:val="3"/>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r>
        <w:trPr>
          <w:trHeight w:val="182"/>
        </w:trPr>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80"/>
              <w:spacing w:after="0" w:line="182" w:lineRule="exact"/>
              <w:rPr>
                <w:sz w:val="20"/>
                <w:szCs w:val="20"/>
                <w:color w:val="auto"/>
              </w:rPr>
            </w:pPr>
            <w:r>
              <w:rPr>
                <w:rFonts w:ascii="Arial" w:cs="Arial" w:eastAsia="Arial" w:hAnsi="Arial"/>
                <w:sz w:val="16"/>
                <w:szCs w:val="16"/>
                <w:b w:val="1"/>
                <w:bCs w:val="1"/>
                <w:color w:val="auto"/>
                <w:w w:val="87"/>
              </w:rPr>
              <w:t>Schedule/</w:t>
            </w:r>
          </w:p>
        </w:tc>
        <w:tc>
          <w:tcPr>
            <w:tcW w:w="88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94"/>
              </w:rPr>
              <w:t>File</w:t>
            </w:r>
          </w:p>
        </w:tc>
        <w:tc>
          <w:tcPr>
            <w:tcW w:w="1400" w:type="dxa"/>
            <w:vAlign w:val="bottom"/>
            <w:gridSpan w:val="3"/>
          </w:tcPr>
          <w:p>
            <w:pPr>
              <w:jc w:val="center"/>
              <w:ind w:right="540"/>
              <w:spacing w:after="0" w:line="182" w:lineRule="exact"/>
              <w:rPr>
                <w:sz w:val="20"/>
                <w:szCs w:val="20"/>
                <w:color w:val="auto"/>
              </w:rPr>
            </w:pPr>
            <w:r>
              <w:rPr>
                <w:rFonts w:ascii="Arial" w:cs="Arial" w:eastAsia="Arial" w:hAnsi="Arial"/>
                <w:sz w:val="16"/>
                <w:szCs w:val="16"/>
                <w:b w:val="1"/>
                <w:bCs w:val="1"/>
                <w:color w:val="auto"/>
                <w:w w:val="93"/>
              </w:rPr>
              <w:t>Exhibit</w:t>
            </w:r>
          </w:p>
        </w:tc>
        <w:tc>
          <w:tcPr>
            <w:tcW w:w="1140" w:type="dxa"/>
            <w:vAlign w:val="bottom"/>
          </w:tcPr>
          <w:p>
            <w:pPr>
              <w:spacing w:after="0"/>
              <w:rPr>
                <w:sz w:val="15"/>
                <w:szCs w:val="15"/>
                <w:color w:val="auto"/>
              </w:rPr>
            </w:pPr>
          </w:p>
        </w:tc>
      </w:tr>
      <w:tr>
        <w:trPr>
          <w:trHeight w:val="210"/>
        </w:trPr>
        <w:tc>
          <w:tcPr>
            <w:tcW w:w="88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20" w:type="dxa"/>
            <w:vAlign w:val="bottom"/>
            <w:gridSpan w:val="9"/>
          </w:tcPr>
          <w:p>
            <w:pPr>
              <w:ind w:left="200"/>
              <w:spacing w:after="0"/>
              <w:rPr>
                <w:sz w:val="20"/>
                <w:szCs w:val="20"/>
                <w:color w:val="auto"/>
              </w:rPr>
            </w:pPr>
            <w:r>
              <w:rPr>
                <w:rFonts w:ascii="Arial" w:cs="Arial" w:eastAsia="Arial" w:hAnsi="Arial"/>
                <w:sz w:val="16"/>
                <w:szCs w:val="16"/>
                <w:b w:val="1"/>
                <w:bCs w:val="1"/>
                <w:color w:val="auto"/>
              </w:rPr>
              <w:t>Description</w:t>
            </w:r>
          </w:p>
        </w:tc>
        <w:tc>
          <w:tcPr>
            <w:tcW w:w="7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Form</w:t>
            </w:r>
          </w:p>
        </w:tc>
        <w:tc>
          <w:tcPr>
            <w:tcW w:w="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140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5"/>
              </w:rPr>
              <w:t>Number</w:t>
            </w:r>
          </w:p>
        </w:tc>
        <w:tc>
          <w:tcPr>
            <w:tcW w:w="1140" w:type="dxa"/>
            <w:vAlign w:val="bottom"/>
          </w:tcPr>
          <w:p>
            <w:pPr>
              <w:ind w:left="20"/>
              <w:spacing w:after="0"/>
              <w:rPr>
                <w:sz w:val="20"/>
                <w:szCs w:val="20"/>
                <w:color w:val="auto"/>
              </w:rPr>
            </w:pPr>
            <w:r>
              <w:rPr>
                <w:rFonts w:ascii="Arial" w:cs="Arial" w:eastAsia="Arial" w:hAnsi="Arial"/>
                <w:sz w:val="16"/>
                <w:szCs w:val="16"/>
                <w:b w:val="1"/>
                <w:bCs w:val="1"/>
                <w:color w:val="auto"/>
              </w:rPr>
              <w:t>File Date</w:t>
            </w:r>
          </w:p>
        </w:tc>
      </w:tr>
      <w:tr>
        <w:trPr>
          <w:trHeight w:val="47"/>
        </w:trPr>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95"/>
        </w:trPr>
        <w:tc>
          <w:tcPr>
            <w:tcW w:w="8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0" w:type="dxa"/>
            <w:vAlign w:val="bottom"/>
            <w:gridSpan w:val="9"/>
            <w:shd w:val="clear" w:color="auto" w:fill="CCEEFF"/>
          </w:tcPr>
          <w:p>
            <w:pPr>
              <w:spacing w:after="0" w:line="195" w:lineRule="exact"/>
              <w:rPr>
                <w:sz w:val="20"/>
                <w:szCs w:val="20"/>
                <w:color w:val="auto"/>
              </w:rPr>
            </w:pPr>
            <w:r>
              <w:rPr>
                <w:rFonts w:ascii="Arial" w:cs="Arial" w:eastAsia="Arial" w:hAnsi="Arial"/>
                <w:sz w:val="18"/>
                <w:szCs w:val="18"/>
                <w:color w:val="auto"/>
              </w:rPr>
              <w:t>Consent of Loeb &amp; Loeb LLP</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6"/>
        </w:trPr>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(included as part of the opinion filed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gridSpan w:val="11"/>
            <w:shd w:val="clear" w:color="auto" w:fill="CCEEFF"/>
          </w:tcPr>
          <w:p>
            <w:pPr>
              <w:spacing w:after="0"/>
              <w:rPr>
                <w:sz w:val="20"/>
                <w:szCs w:val="20"/>
                <w:color w:val="auto"/>
              </w:rPr>
            </w:pPr>
            <w:r>
              <w:rPr>
                <w:rFonts w:ascii="Arial" w:cs="Arial" w:eastAsia="Arial" w:hAnsi="Arial"/>
                <w:sz w:val="18"/>
                <w:szCs w:val="18"/>
                <w:color w:val="auto"/>
                <w:w w:val="95"/>
              </w:rPr>
              <w:t>as Exhibit 5.1 hereto and incorporated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1"/>
        </w:trPr>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herein by reference).</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176"/>
        </w:trPr>
        <w:tc>
          <w:tcPr>
            <w:tcW w:w="880" w:type="dxa"/>
            <w:vAlign w:val="bottom"/>
          </w:tcPr>
          <w:p>
            <w:pPr>
              <w:spacing w:after="0" w:line="176" w:lineRule="exact"/>
              <w:rPr>
                <w:sz w:val="20"/>
                <w:szCs w:val="20"/>
                <w:color w:val="auto"/>
              </w:rPr>
            </w:pPr>
            <w:r>
              <w:rPr>
                <w:rFonts w:ascii="Arial" w:cs="Arial" w:eastAsia="Arial" w:hAnsi="Arial"/>
                <w:sz w:val="18"/>
                <w:szCs w:val="18"/>
                <w:color w:val="auto"/>
              </w:rPr>
              <w:t>24.1</w:t>
            </w:r>
          </w:p>
        </w:tc>
        <w:tc>
          <w:tcPr>
            <w:tcW w:w="100" w:type="dxa"/>
            <w:vAlign w:val="bottom"/>
          </w:tcPr>
          <w:p>
            <w:pPr>
              <w:spacing w:after="0"/>
              <w:rPr>
                <w:sz w:val="15"/>
                <w:szCs w:val="15"/>
                <w:color w:val="auto"/>
              </w:rPr>
            </w:pPr>
          </w:p>
        </w:tc>
        <w:tc>
          <w:tcPr>
            <w:tcW w:w="2380" w:type="dxa"/>
            <w:vAlign w:val="bottom"/>
            <w:tcBorders>
              <w:bottom w:val="single" w:sz="8" w:color="0000EE"/>
            </w:tcBorders>
            <w:gridSpan w:val="5"/>
          </w:tcPr>
          <w:p>
            <w:pPr>
              <w:spacing w:after="0" w:line="176" w:lineRule="exact"/>
              <w:rPr>
                <w:rFonts w:ascii="Arial" w:cs="Arial" w:eastAsia="Arial" w:hAnsi="Arial"/>
                <w:sz w:val="18"/>
                <w:szCs w:val="18"/>
                <w:color w:val="0000EE"/>
                <w:w w:val="91"/>
              </w:rPr>
            </w:pPr>
            <w:hyperlink w:anchor="page520">
              <w:r>
                <w:rPr>
                  <w:rFonts w:ascii="Arial" w:cs="Arial" w:eastAsia="Arial" w:hAnsi="Arial"/>
                  <w:sz w:val="18"/>
                  <w:szCs w:val="18"/>
                  <w:color w:val="0000EE"/>
                  <w:w w:val="91"/>
                </w:rPr>
                <w:t>Power of Attorney (contained on</w:t>
              </w:r>
            </w:hyperlink>
          </w:p>
        </w:tc>
        <w:tc>
          <w:tcPr>
            <w:tcW w:w="540" w:type="dxa"/>
            <w:vAlign w:val="bottom"/>
            <w:gridSpan w:val="6"/>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520">
              <w:r>
                <w:rPr>
                  <w:rFonts w:ascii="Arial" w:cs="Arial" w:eastAsia="Arial" w:hAnsi="Arial"/>
                  <w:sz w:val="18"/>
                  <w:szCs w:val="18"/>
                  <w:color w:val="0000EE"/>
                  <w:w w:val="88"/>
                </w:rPr>
                <w:t>signature page to the registration</w:t>
              </w:r>
            </w:hyperlink>
          </w:p>
        </w:tc>
        <w:tc>
          <w:tcPr>
            <w:tcW w:w="56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gridSpan w:val="11"/>
          </w:tcPr>
          <w:p>
            <w:pPr>
              <w:spacing w:after="0" w:line="196" w:lineRule="exact"/>
              <w:rPr>
                <w:rFonts w:ascii="Arial" w:cs="Arial" w:eastAsia="Arial" w:hAnsi="Arial"/>
                <w:sz w:val="18"/>
                <w:szCs w:val="18"/>
                <w:color w:val="0000EE"/>
              </w:rPr>
            </w:pPr>
            <w:hyperlink w:anchor="page520">
              <w:r>
                <w:rPr>
                  <w:rFonts w:ascii="Arial" w:cs="Arial" w:eastAsia="Arial" w:hAnsi="Arial"/>
                  <w:sz w:val="18"/>
                  <w:szCs w:val="18"/>
                  <w:color w:val="0000EE"/>
                </w:rPr>
                <w:t>statement).</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64"/>
        </w:trPr>
        <w:tc>
          <w:tcPr>
            <w:tcW w:w="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Form of Proxy Card.</w:t>
            </w: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02"/>
        </w:trPr>
        <w:tc>
          <w:tcPr>
            <w:tcW w:w="880" w:type="dxa"/>
            <w:vAlign w:val="bottom"/>
          </w:tcPr>
          <w:p>
            <w:pPr>
              <w:spacing w:after="0" w:line="201" w:lineRule="exact"/>
              <w:rPr>
                <w:sz w:val="20"/>
                <w:szCs w:val="20"/>
                <w:color w:val="auto"/>
              </w:rPr>
            </w:pPr>
            <w:r>
              <w:rPr>
                <w:rFonts w:ascii="Arial" w:cs="Arial" w:eastAsia="Arial" w:hAnsi="Arial"/>
                <w:sz w:val="18"/>
                <w:szCs w:val="18"/>
                <w:color w:val="auto"/>
              </w:rPr>
              <w:t>99.2**</w:t>
            </w:r>
          </w:p>
        </w:tc>
        <w:tc>
          <w:tcPr>
            <w:tcW w:w="100" w:type="dxa"/>
            <w:vAlign w:val="bottom"/>
          </w:tcPr>
          <w:p>
            <w:pPr>
              <w:spacing w:after="0"/>
              <w:rPr>
                <w:sz w:val="17"/>
                <w:szCs w:val="17"/>
                <w:color w:val="auto"/>
              </w:rPr>
            </w:pPr>
          </w:p>
        </w:tc>
        <w:tc>
          <w:tcPr>
            <w:tcW w:w="2920" w:type="dxa"/>
            <w:vAlign w:val="bottom"/>
            <w:gridSpan w:val="11"/>
          </w:tcPr>
          <w:p>
            <w:pPr>
              <w:spacing w:after="0" w:line="201" w:lineRule="exact"/>
              <w:rPr>
                <w:sz w:val="20"/>
                <w:szCs w:val="20"/>
                <w:color w:val="auto"/>
              </w:rPr>
            </w:pPr>
            <w:r>
              <w:rPr>
                <w:rFonts w:ascii="Arial" w:cs="Arial" w:eastAsia="Arial" w:hAnsi="Arial"/>
                <w:sz w:val="18"/>
                <w:szCs w:val="18"/>
                <w:color w:val="auto"/>
              </w:rPr>
              <w:t>Consent of Barbara Weber to be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gridSpan w:val="11"/>
          </w:tcPr>
          <w:p>
            <w:pPr>
              <w:spacing w:after="0"/>
              <w:rPr>
                <w:sz w:val="20"/>
                <w:szCs w:val="20"/>
                <w:color w:val="auto"/>
              </w:rPr>
            </w:pPr>
            <w:r>
              <w:rPr>
                <w:rFonts w:ascii="Arial" w:cs="Arial" w:eastAsia="Arial" w:hAnsi="Arial"/>
                <w:sz w:val="18"/>
                <w:szCs w:val="18"/>
                <w:color w:val="auto"/>
              </w:rPr>
              <w:t>named as a director.</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0"/>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2"/>
        </w:trPr>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7"/>
                <w:szCs w:val="17"/>
                <w:color w:val="auto"/>
              </w:rPr>
            </w:pPr>
          </w:p>
        </w:tc>
        <w:tc>
          <w:tcPr>
            <w:tcW w:w="2920" w:type="dxa"/>
            <w:vAlign w:val="bottom"/>
            <w:gridSpan w:val="11"/>
            <w:shd w:val="clear" w:color="auto" w:fill="CCEEFF"/>
          </w:tcPr>
          <w:p>
            <w:pPr>
              <w:spacing w:after="0" w:line="201" w:lineRule="exact"/>
              <w:rPr>
                <w:sz w:val="20"/>
                <w:szCs w:val="20"/>
                <w:color w:val="auto"/>
              </w:rPr>
            </w:pPr>
            <w:r>
              <w:rPr>
                <w:rFonts w:ascii="Arial" w:cs="Arial" w:eastAsia="Arial" w:hAnsi="Arial"/>
                <w:sz w:val="18"/>
                <w:szCs w:val="18"/>
                <w:color w:val="auto"/>
                <w:w w:val="96"/>
              </w:rPr>
              <w:t>Consent of Alexis Borisy to be named</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51"/>
        </w:trPr>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as a director.</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02"/>
        </w:trPr>
        <w:tc>
          <w:tcPr>
            <w:tcW w:w="880" w:type="dxa"/>
            <w:vAlign w:val="bottom"/>
          </w:tcPr>
          <w:p>
            <w:pPr>
              <w:spacing w:after="0" w:line="201" w:lineRule="exact"/>
              <w:rPr>
                <w:sz w:val="20"/>
                <w:szCs w:val="20"/>
                <w:color w:val="auto"/>
              </w:rPr>
            </w:pPr>
            <w:r>
              <w:rPr>
                <w:rFonts w:ascii="Arial" w:cs="Arial" w:eastAsia="Arial" w:hAnsi="Arial"/>
                <w:sz w:val="18"/>
                <w:szCs w:val="18"/>
                <w:color w:val="auto"/>
              </w:rPr>
              <w:t>99.4**</w:t>
            </w:r>
          </w:p>
        </w:tc>
        <w:tc>
          <w:tcPr>
            <w:tcW w:w="100" w:type="dxa"/>
            <w:vAlign w:val="bottom"/>
          </w:tcPr>
          <w:p>
            <w:pPr>
              <w:spacing w:after="0"/>
              <w:rPr>
                <w:sz w:val="17"/>
                <w:szCs w:val="17"/>
                <w:color w:val="auto"/>
              </w:rPr>
            </w:pPr>
          </w:p>
        </w:tc>
        <w:tc>
          <w:tcPr>
            <w:tcW w:w="2920" w:type="dxa"/>
            <w:vAlign w:val="bottom"/>
            <w:gridSpan w:val="11"/>
          </w:tcPr>
          <w:p>
            <w:pPr>
              <w:spacing w:after="0" w:line="201" w:lineRule="exact"/>
              <w:rPr>
                <w:sz w:val="20"/>
                <w:szCs w:val="20"/>
                <w:color w:val="auto"/>
              </w:rPr>
            </w:pPr>
            <w:r>
              <w:rPr>
                <w:rFonts w:ascii="Arial" w:cs="Arial" w:eastAsia="Arial" w:hAnsi="Arial"/>
                <w:sz w:val="18"/>
                <w:szCs w:val="18"/>
                <w:color w:val="auto"/>
                <w:w w:val="98"/>
              </w:rPr>
              <w:t>Consent of Aaron Davis to be named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gridSpan w:val="11"/>
          </w:tcPr>
          <w:p>
            <w:pPr>
              <w:spacing w:after="0"/>
              <w:rPr>
                <w:sz w:val="20"/>
                <w:szCs w:val="20"/>
                <w:color w:val="auto"/>
              </w:rPr>
            </w:pPr>
            <w:r>
              <w:rPr>
                <w:rFonts w:ascii="Arial" w:cs="Arial" w:eastAsia="Arial" w:hAnsi="Arial"/>
                <w:sz w:val="18"/>
                <w:szCs w:val="18"/>
                <w:color w:val="auto"/>
              </w:rPr>
              <w:t>as a director.</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0"/>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2"/>
        </w:trPr>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7"/>
                <w:szCs w:val="17"/>
                <w:color w:val="auto"/>
              </w:rPr>
            </w:pPr>
          </w:p>
        </w:tc>
        <w:tc>
          <w:tcPr>
            <w:tcW w:w="2920" w:type="dxa"/>
            <w:vAlign w:val="bottom"/>
            <w:gridSpan w:val="11"/>
            <w:shd w:val="clear" w:color="auto" w:fill="CCEEFF"/>
          </w:tcPr>
          <w:p>
            <w:pPr>
              <w:spacing w:after="0" w:line="201" w:lineRule="exact"/>
              <w:rPr>
                <w:sz w:val="20"/>
                <w:szCs w:val="20"/>
                <w:color w:val="auto"/>
              </w:rPr>
            </w:pPr>
            <w:r>
              <w:rPr>
                <w:rFonts w:ascii="Arial" w:cs="Arial" w:eastAsia="Arial" w:hAnsi="Arial"/>
                <w:sz w:val="18"/>
                <w:szCs w:val="18"/>
                <w:color w:val="auto"/>
                <w:w w:val="92"/>
              </w:rPr>
              <w:t>Consent of Reid Huber to be named as</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51"/>
        </w:trPr>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a director.</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02"/>
        </w:trPr>
        <w:tc>
          <w:tcPr>
            <w:tcW w:w="880" w:type="dxa"/>
            <w:vAlign w:val="bottom"/>
          </w:tcPr>
          <w:p>
            <w:pPr>
              <w:spacing w:after="0" w:line="201" w:lineRule="exact"/>
              <w:rPr>
                <w:sz w:val="20"/>
                <w:szCs w:val="20"/>
                <w:color w:val="auto"/>
              </w:rPr>
            </w:pPr>
            <w:r>
              <w:rPr>
                <w:rFonts w:ascii="Arial" w:cs="Arial" w:eastAsia="Arial" w:hAnsi="Arial"/>
                <w:sz w:val="18"/>
                <w:szCs w:val="18"/>
                <w:color w:val="auto"/>
              </w:rPr>
              <w:t>99.6**</w:t>
            </w:r>
          </w:p>
        </w:tc>
        <w:tc>
          <w:tcPr>
            <w:tcW w:w="100" w:type="dxa"/>
            <w:vAlign w:val="bottom"/>
          </w:tcPr>
          <w:p>
            <w:pPr>
              <w:spacing w:after="0"/>
              <w:rPr>
                <w:sz w:val="17"/>
                <w:szCs w:val="17"/>
                <w:color w:val="auto"/>
              </w:rPr>
            </w:pPr>
          </w:p>
        </w:tc>
        <w:tc>
          <w:tcPr>
            <w:tcW w:w="2920" w:type="dxa"/>
            <w:vAlign w:val="bottom"/>
            <w:gridSpan w:val="11"/>
          </w:tcPr>
          <w:p>
            <w:pPr>
              <w:spacing w:after="0" w:line="201" w:lineRule="exact"/>
              <w:rPr>
                <w:sz w:val="20"/>
                <w:szCs w:val="20"/>
                <w:color w:val="auto"/>
              </w:rPr>
            </w:pPr>
            <w:r>
              <w:rPr>
                <w:rFonts w:ascii="Arial" w:cs="Arial" w:eastAsia="Arial" w:hAnsi="Arial"/>
                <w:sz w:val="18"/>
                <w:szCs w:val="18"/>
                <w:color w:val="auto"/>
                <w:w w:val="97"/>
              </w:rPr>
              <w:t>Consent of Malte Peters to be named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gridSpan w:val="11"/>
          </w:tcPr>
          <w:p>
            <w:pPr>
              <w:spacing w:after="0"/>
              <w:rPr>
                <w:sz w:val="20"/>
                <w:szCs w:val="20"/>
                <w:color w:val="auto"/>
              </w:rPr>
            </w:pPr>
            <w:r>
              <w:rPr>
                <w:rFonts w:ascii="Arial" w:cs="Arial" w:eastAsia="Arial" w:hAnsi="Arial"/>
                <w:sz w:val="18"/>
                <w:szCs w:val="18"/>
                <w:color w:val="auto"/>
              </w:rPr>
              <w:t>as a director.</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0"/>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2"/>
        </w:trPr>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7"/>
                <w:szCs w:val="17"/>
                <w:color w:val="auto"/>
              </w:rPr>
            </w:pPr>
          </w:p>
        </w:tc>
        <w:tc>
          <w:tcPr>
            <w:tcW w:w="2920" w:type="dxa"/>
            <w:vAlign w:val="bottom"/>
            <w:gridSpan w:val="11"/>
            <w:shd w:val="clear" w:color="auto" w:fill="CCEEFF"/>
          </w:tcPr>
          <w:p>
            <w:pPr>
              <w:spacing w:after="0" w:line="201" w:lineRule="exact"/>
              <w:rPr>
                <w:sz w:val="20"/>
                <w:szCs w:val="20"/>
                <w:color w:val="auto"/>
              </w:rPr>
            </w:pPr>
            <w:r>
              <w:rPr>
                <w:rFonts w:ascii="Arial" w:cs="Arial" w:eastAsia="Arial" w:hAnsi="Arial"/>
                <w:sz w:val="18"/>
                <w:szCs w:val="18"/>
                <w:color w:val="auto"/>
              </w:rPr>
              <w:t>Consent of Lesley Calhoun to be</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51"/>
        </w:trPr>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named as a director.</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02"/>
        </w:trPr>
        <w:tc>
          <w:tcPr>
            <w:tcW w:w="880" w:type="dxa"/>
            <w:vAlign w:val="bottom"/>
          </w:tcPr>
          <w:p>
            <w:pPr>
              <w:spacing w:after="0" w:line="201" w:lineRule="exact"/>
              <w:rPr>
                <w:sz w:val="20"/>
                <w:szCs w:val="20"/>
                <w:color w:val="auto"/>
              </w:rPr>
            </w:pPr>
            <w:r>
              <w:rPr>
                <w:rFonts w:ascii="Arial" w:cs="Arial" w:eastAsia="Arial" w:hAnsi="Arial"/>
                <w:sz w:val="18"/>
                <w:szCs w:val="18"/>
                <w:color w:val="auto"/>
              </w:rPr>
              <w:t>99.8**</w:t>
            </w:r>
          </w:p>
        </w:tc>
        <w:tc>
          <w:tcPr>
            <w:tcW w:w="100" w:type="dxa"/>
            <w:vAlign w:val="bottom"/>
          </w:tcPr>
          <w:p>
            <w:pPr>
              <w:spacing w:after="0"/>
              <w:rPr>
                <w:sz w:val="17"/>
                <w:szCs w:val="17"/>
                <w:color w:val="auto"/>
              </w:rPr>
            </w:pPr>
          </w:p>
        </w:tc>
        <w:tc>
          <w:tcPr>
            <w:tcW w:w="2920" w:type="dxa"/>
            <w:vAlign w:val="bottom"/>
            <w:gridSpan w:val="11"/>
          </w:tcPr>
          <w:p>
            <w:pPr>
              <w:spacing w:after="0" w:line="201" w:lineRule="exact"/>
              <w:rPr>
                <w:sz w:val="20"/>
                <w:szCs w:val="20"/>
                <w:color w:val="auto"/>
              </w:rPr>
            </w:pPr>
            <w:r>
              <w:rPr>
                <w:rFonts w:ascii="Arial" w:cs="Arial" w:eastAsia="Arial" w:hAnsi="Arial"/>
                <w:sz w:val="18"/>
                <w:szCs w:val="18"/>
                <w:color w:val="auto"/>
              </w:rPr>
              <w:t>Consent of Mace Rothenberg to be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gridSpan w:val="11"/>
          </w:tcPr>
          <w:p>
            <w:pPr>
              <w:spacing w:after="0"/>
              <w:rPr>
                <w:sz w:val="20"/>
                <w:szCs w:val="20"/>
                <w:color w:val="auto"/>
              </w:rPr>
            </w:pPr>
            <w:r>
              <w:rPr>
                <w:rFonts w:ascii="Arial" w:cs="Arial" w:eastAsia="Arial" w:hAnsi="Arial"/>
                <w:sz w:val="18"/>
                <w:szCs w:val="18"/>
                <w:color w:val="auto"/>
              </w:rPr>
              <w:t>named as a director.</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0"/>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3"/>
        </w:trPr>
        <w:tc>
          <w:tcPr>
            <w:tcW w:w="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7"/>
                <w:szCs w:val="17"/>
                <w:color w:val="auto"/>
              </w:rPr>
            </w:pPr>
          </w:p>
        </w:tc>
        <w:tc>
          <w:tcPr>
            <w:tcW w:w="2920" w:type="dxa"/>
            <w:vAlign w:val="bottom"/>
            <w:gridSpan w:val="11"/>
            <w:shd w:val="clear" w:color="auto" w:fill="CCEEFF"/>
          </w:tcPr>
          <w:p>
            <w:pPr>
              <w:spacing w:after="0" w:line="202" w:lineRule="exact"/>
              <w:rPr>
                <w:rFonts w:ascii="Arial" w:cs="Arial" w:eastAsia="Arial" w:hAnsi="Arial"/>
                <w:sz w:val="18"/>
                <w:szCs w:val="18"/>
                <w:color w:val="0000EE"/>
              </w:rPr>
            </w:pPr>
            <w:hyperlink w:anchor="page547">
              <w:r>
                <w:rPr>
                  <w:rFonts w:ascii="Arial" w:cs="Arial" w:eastAsia="Arial" w:hAnsi="Arial"/>
                  <w:sz w:val="18"/>
                  <w:szCs w:val="18"/>
                  <w:color w:val="0000EE"/>
                </w:rPr>
                <w:t>Consent of Canaccord Genuity LLC.</w:t>
              </w:r>
            </w:hyperlink>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r>
      <w:tr>
        <w:trPr>
          <w:trHeight w:val="175"/>
        </w:trPr>
        <w:tc>
          <w:tcPr>
            <w:tcW w:w="880" w:type="dxa"/>
            <w:vAlign w:val="bottom"/>
          </w:tcPr>
          <w:p>
            <w:pPr>
              <w:spacing w:after="0" w:line="176" w:lineRule="exact"/>
              <w:rPr>
                <w:sz w:val="20"/>
                <w:szCs w:val="20"/>
                <w:color w:val="auto"/>
              </w:rPr>
            </w:pPr>
            <w:r>
              <w:rPr>
                <w:rFonts w:ascii="Arial" w:cs="Arial" w:eastAsia="Arial" w:hAnsi="Arial"/>
                <w:sz w:val="18"/>
                <w:szCs w:val="18"/>
                <w:color w:val="auto"/>
              </w:rPr>
              <w:t>99.10</w:t>
            </w:r>
          </w:p>
        </w:tc>
        <w:tc>
          <w:tcPr>
            <w:tcW w:w="100" w:type="dxa"/>
            <w:vAlign w:val="bottom"/>
          </w:tcPr>
          <w:p>
            <w:pPr>
              <w:spacing w:after="0"/>
              <w:rPr>
                <w:sz w:val="15"/>
                <w:szCs w:val="15"/>
                <w:color w:val="auto"/>
              </w:rPr>
            </w:pPr>
          </w:p>
        </w:tc>
        <w:tc>
          <w:tcPr>
            <w:tcW w:w="2920" w:type="dxa"/>
            <w:vAlign w:val="bottom"/>
            <w:gridSpan w:val="11"/>
          </w:tcPr>
          <w:p>
            <w:pPr>
              <w:spacing w:after="0" w:line="176" w:lineRule="exact"/>
              <w:rPr>
                <w:rFonts w:ascii="Arial" w:cs="Arial" w:eastAsia="Arial" w:hAnsi="Arial"/>
                <w:sz w:val="18"/>
                <w:szCs w:val="18"/>
                <w:color w:val="0000EE"/>
              </w:rPr>
            </w:pPr>
            <w:hyperlink w:anchor="page431">
              <w:r>
                <w:rPr>
                  <w:rFonts w:ascii="Arial" w:cs="Arial" w:eastAsia="Arial" w:hAnsi="Arial"/>
                  <w:sz w:val="18"/>
                  <w:szCs w:val="18"/>
                  <w:color w:val="0000EE"/>
                </w:rPr>
                <w:t>Opinion of Canaccord Genuity LLC</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431">
              <w:r>
                <w:rPr>
                  <w:rFonts w:ascii="Arial" w:cs="Arial" w:eastAsia="Arial" w:hAnsi="Arial"/>
                  <w:sz w:val="18"/>
                  <w:szCs w:val="18"/>
                  <w:color w:val="0000EE"/>
                  <w:w w:val="91"/>
                </w:rPr>
                <w:t>(Included as Annex E to the proxy</w:t>
              </w:r>
            </w:hyperlink>
          </w:p>
        </w:tc>
        <w:tc>
          <w:tcPr>
            <w:tcW w:w="120" w:type="dxa"/>
            <w:vAlign w:val="bottom"/>
            <w:tcBorders>
              <w:top w:val="single" w:sz="8" w:color="0000EE"/>
            </w:tcBorders>
          </w:tcPr>
          <w:p>
            <w:pPr>
              <w:spacing w:after="0"/>
              <w:rPr>
                <w:sz w:val="17"/>
                <w:szCs w:val="17"/>
                <w:color w:val="auto"/>
              </w:rPr>
            </w:pPr>
          </w:p>
        </w:tc>
        <w:tc>
          <w:tcPr>
            <w:tcW w:w="32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31">
              <w:r>
                <w:rPr>
                  <w:rFonts w:ascii="Arial" w:cs="Arial" w:eastAsia="Arial" w:hAnsi="Arial"/>
                  <w:sz w:val="18"/>
                  <w:szCs w:val="18"/>
                  <w:color w:val="0000EE"/>
                  <w:w w:val="89"/>
                </w:rPr>
                <w:t>statement/prospectus forming a part of</w:t>
              </w:r>
            </w:hyperlink>
          </w:p>
        </w:tc>
        <w:tc>
          <w:tcPr>
            <w:tcW w:w="14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gridSpan w:val="11"/>
          </w:tcPr>
          <w:p>
            <w:pPr>
              <w:spacing w:after="0" w:line="196" w:lineRule="exact"/>
              <w:rPr>
                <w:rFonts w:ascii="Arial" w:cs="Arial" w:eastAsia="Arial" w:hAnsi="Arial"/>
                <w:sz w:val="18"/>
                <w:szCs w:val="18"/>
                <w:color w:val="0000EE"/>
              </w:rPr>
            </w:pPr>
            <w:hyperlink w:anchor="page431">
              <w:r>
                <w:rPr>
                  <w:rFonts w:ascii="Arial" w:cs="Arial" w:eastAsia="Arial" w:hAnsi="Arial"/>
                  <w:sz w:val="18"/>
                  <w:szCs w:val="18"/>
                  <w:color w:val="0000EE"/>
                </w:rPr>
                <w:t>this Registration Statement).</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64"/>
        </w:trPr>
        <w:tc>
          <w:tcPr>
            <w:tcW w:w="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101.INS**</w:t>
            </w:r>
          </w:p>
        </w:tc>
        <w:tc>
          <w:tcPr>
            <w:tcW w:w="10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02"/>
        </w:trPr>
        <w:tc>
          <w:tcPr>
            <w:tcW w:w="880" w:type="dxa"/>
            <w:vAlign w:val="bottom"/>
          </w:tcPr>
          <w:p>
            <w:pPr>
              <w:spacing w:after="0" w:line="201" w:lineRule="exact"/>
              <w:rPr>
                <w:sz w:val="20"/>
                <w:szCs w:val="20"/>
                <w:color w:val="auto"/>
              </w:rPr>
            </w:pPr>
            <w:r>
              <w:rPr>
                <w:rFonts w:ascii="Arial" w:cs="Arial" w:eastAsia="Arial" w:hAnsi="Arial"/>
                <w:sz w:val="18"/>
                <w:szCs w:val="18"/>
                <w:color w:val="auto"/>
              </w:rPr>
              <w:t>101.CAL**</w:t>
            </w:r>
          </w:p>
        </w:tc>
        <w:tc>
          <w:tcPr>
            <w:tcW w:w="100" w:type="dxa"/>
            <w:vAlign w:val="bottom"/>
          </w:tcPr>
          <w:p>
            <w:pPr>
              <w:spacing w:after="0"/>
              <w:rPr>
                <w:sz w:val="17"/>
                <w:szCs w:val="17"/>
                <w:color w:val="auto"/>
              </w:rPr>
            </w:pPr>
          </w:p>
        </w:tc>
        <w:tc>
          <w:tcPr>
            <w:tcW w:w="2920" w:type="dxa"/>
            <w:vAlign w:val="bottom"/>
            <w:gridSpan w:val="11"/>
          </w:tcPr>
          <w:p>
            <w:pPr>
              <w:spacing w:after="0" w:line="201" w:lineRule="exact"/>
              <w:rPr>
                <w:sz w:val="20"/>
                <w:szCs w:val="20"/>
                <w:color w:val="auto"/>
              </w:rPr>
            </w:pPr>
            <w:r>
              <w:rPr>
                <w:rFonts w:ascii="Arial" w:cs="Arial" w:eastAsia="Arial" w:hAnsi="Arial"/>
                <w:sz w:val="18"/>
                <w:szCs w:val="18"/>
                <w:color w:val="auto"/>
              </w:rPr>
              <w:t>XBRL Taxonomy Extension</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gridSpan w:val="11"/>
          </w:tcPr>
          <w:p>
            <w:pPr>
              <w:spacing w:after="0"/>
              <w:rPr>
                <w:sz w:val="20"/>
                <w:szCs w:val="20"/>
                <w:color w:val="auto"/>
              </w:rPr>
            </w:pPr>
            <w:r>
              <w:rPr>
                <w:rFonts w:ascii="Arial" w:cs="Arial" w:eastAsia="Arial" w:hAnsi="Arial"/>
                <w:sz w:val="18"/>
                <w:szCs w:val="18"/>
                <w:color w:val="auto"/>
              </w:rPr>
              <w:t>Calculation Linkbase Document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0"/>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2"/>
        </w:trPr>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101.SCH**</w:t>
            </w:r>
          </w:p>
        </w:tc>
        <w:tc>
          <w:tcPr>
            <w:tcW w:w="100" w:type="dxa"/>
            <w:vAlign w:val="bottom"/>
            <w:shd w:val="clear" w:color="auto" w:fill="CCEEFF"/>
          </w:tcPr>
          <w:p>
            <w:pPr>
              <w:spacing w:after="0"/>
              <w:rPr>
                <w:sz w:val="17"/>
                <w:szCs w:val="17"/>
                <w:color w:val="auto"/>
              </w:rPr>
            </w:pPr>
          </w:p>
        </w:tc>
        <w:tc>
          <w:tcPr>
            <w:tcW w:w="2920" w:type="dxa"/>
            <w:vAlign w:val="bottom"/>
            <w:gridSpan w:val="11"/>
            <w:shd w:val="clear" w:color="auto" w:fill="CCEEFF"/>
          </w:tcPr>
          <w:p>
            <w:pPr>
              <w:spacing w:after="0" w:line="201" w:lineRule="exact"/>
              <w:rPr>
                <w:sz w:val="20"/>
                <w:szCs w:val="20"/>
                <w:color w:val="auto"/>
              </w:rPr>
            </w:pPr>
            <w:r>
              <w:rPr>
                <w:rFonts w:ascii="Arial" w:cs="Arial" w:eastAsia="Arial" w:hAnsi="Arial"/>
                <w:sz w:val="18"/>
                <w:szCs w:val="18"/>
                <w:color w:val="auto"/>
                <w:w w:val="99"/>
              </w:rPr>
              <w:t>XBRL Taxonomy Extension Schema</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51"/>
        </w:trPr>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Document</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02"/>
        </w:trPr>
        <w:tc>
          <w:tcPr>
            <w:tcW w:w="880" w:type="dxa"/>
            <w:vAlign w:val="bottom"/>
          </w:tcPr>
          <w:p>
            <w:pPr>
              <w:spacing w:after="0" w:line="201" w:lineRule="exact"/>
              <w:rPr>
                <w:sz w:val="20"/>
                <w:szCs w:val="20"/>
                <w:color w:val="auto"/>
              </w:rPr>
            </w:pPr>
            <w:r>
              <w:rPr>
                <w:rFonts w:ascii="Arial" w:cs="Arial" w:eastAsia="Arial" w:hAnsi="Arial"/>
                <w:sz w:val="18"/>
                <w:szCs w:val="18"/>
                <w:color w:val="auto"/>
              </w:rPr>
              <w:t>101.DEF**</w:t>
            </w:r>
          </w:p>
        </w:tc>
        <w:tc>
          <w:tcPr>
            <w:tcW w:w="100" w:type="dxa"/>
            <w:vAlign w:val="bottom"/>
          </w:tcPr>
          <w:p>
            <w:pPr>
              <w:spacing w:after="0"/>
              <w:rPr>
                <w:sz w:val="17"/>
                <w:szCs w:val="17"/>
                <w:color w:val="auto"/>
              </w:rPr>
            </w:pPr>
          </w:p>
        </w:tc>
        <w:tc>
          <w:tcPr>
            <w:tcW w:w="2920" w:type="dxa"/>
            <w:vAlign w:val="bottom"/>
            <w:gridSpan w:val="11"/>
          </w:tcPr>
          <w:p>
            <w:pPr>
              <w:spacing w:after="0" w:line="201" w:lineRule="exact"/>
              <w:rPr>
                <w:sz w:val="20"/>
                <w:szCs w:val="20"/>
                <w:color w:val="auto"/>
              </w:rPr>
            </w:pPr>
            <w:r>
              <w:rPr>
                <w:rFonts w:ascii="Arial" w:cs="Arial" w:eastAsia="Arial" w:hAnsi="Arial"/>
                <w:sz w:val="18"/>
                <w:szCs w:val="18"/>
                <w:color w:val="auto"/>
              </w:rPr>
              <w:t>XBRL Taxonomy Extension</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gridSpan w:val="11"/>
          </w:tcPr>
          <w:p>
            <w:pPr>
              <w:spacing w:after="0"/>
              <w:rPr>
                <w:sz w:val="20"/>
                <w:szCs w:val="20"/>
                <w:color w:val="auto"/>
              </w:rPr>
            </w:pPr>
            <w:r>
              <w:rPr>
                <w:rFonts w:ascii="Arial" w:cs="Arial" w:eastAsia="Arial" w:hAnsi="Arial"/>
                <w:sz w:val="18"/>
                <w:szCs w:val="18"/>
                <w:color w:val="auto"/>
              </w:rPr>
              <w:t>Definition Linkbase Document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0"/>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2"/>
        </w:trPr>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101.LAB**</w:t>
            </w:r>
          </w:p>
        </w:tc>
        <w:tc>
          <w:tcPr>
            <w:tcW w:w="100" w:type="dxa"/>
            <w:vAlign w:val="bottom"/>
            <w:shd w:val="clear" w:color="auto" w:fill="CCEEFF"/>
          </w:tcPr>
          <w:p>
            <w:pPr>
              <w:spacing w:after="0"/>
              <w:rPr>
                <w:sz w:val="17"/>
                <w:szCs w:val="17"/>
                <w:color w:val="auto"/>
              </w:rPr>
            </w:pPr>
          </w:p>
        </w:tc>
        <w:tc>
          <w:tcPr>
            <w:tcW w:w="2920" w:type="dxa"/>
            <w:vAlign w:val="bottom"/>
            <w:gridSpan w:val="11"/>
            <w:shd w:val="clear" w:color="auto" w:fill="CCEEFF"/>
          </w:tcPr>
          <w:p>
            <w:pPr>
              <w:spacing w:after="0" w:line="201" w:lineRule="exact"/>
              <w:rPr>
                <w:sz w:val="20"/>
                <w:szCs w:val="20"/>
                <w:color w:val="auto"/>
              </w:rPr>
            </w:pPr>
            <w:r>
              <w:rPr>
                <w:rFonts w:ascii="Arial" w:cs="Arial" w:eastAsia="Arial" w:hAnsi="Arial"/>
                <w:sz w:val="18"/>
                <w:szCs w:val="18"/>
                <w:color w:val="auto"/>
              </w:rPr>
              <w:t>XBRL Taxonomy Extension Labels</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51"/>
        </w:trPr>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Linkbase Document</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02"/>
        </w:trPr>
        <w:tc>
          <w:tcPr>
            <w:tcW w:w="880" w:type="dxa"/>
            <w:vAlign w:val="bottom"/>
          </w:tcPr>
          <w:p>
            <w:pPr>
              <w:spacing w:after="0" w:line="201" w:lineRule="exact"/>
              <w:rPr>
                <w:sz w:val="20"/>
                <w:szCs w:val="20"/>
                <w:color w:val="auto"/>
              </w:rPr>
            </w:pPr>
            <w:r>
              <w:rPr>
                <w:rFonts w:ascii="Arial" w:cs="Arial" w:eastAsia="Arial" w:hAnsi="Arial"/>
                <w:sz w:val="18"/>
                <w:szCs w:val="18"/>
                <w:color w:val="auto"/>
                <w:w w:val="99"/>
              </w:rPr>
              <w:t>101.PRE**</w:t>
            </w:r>
          </w:p>
        </w:tc>
        <w:tc>
          <w:tcPr>
            <w:tcW w:w="100" w:type="dxa"/>
            <w:vAlign w:val="bottom"/>
          </w:tcPr>
          <w:p>
            <w:pPr>
              <w:spacing w:after="0"/>
              <w:rPr>
                <w:sz w:val="17"/>
                <w:szCs w:val="17"/>
                <w:color w:val="auto"/>
              </w:rPr>
            </w:pPr>
          </w:p>
        </w:tc>
        <w:tc>
          <w:tcPr>
            <w:tcW w:w="2920" w:type="dxa"/>
            <w:vAlign w:val="bottom"/>
            <w:gridSpan w:val="11"/>
          </w:tcPr>
          <w:p>
            <w:pPr>
              <w:spacing w:after="0" w:line="201" w:lineRule="exact"/>
              <w:rPr>
                <w:sz w:val="20"/>
                <w:szCs w:val="20"/>
                <w:color w:val="auto"/>
              </w:rPr>
            </w:pPr>
            <w:r>
              <w:rPr>
                <w:rFonts w:ascii="Arial" w:cs="Arial" w:eastAsia="Arial" w:hAnsi="Arial"/>
                <w:sz w:val="18"/>
                <w:szCs w:val="18"/>
                <w:color w:val="auto"/>
              </w:rPr>
              <w:t>XBRL Taxonomy Extension</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gridSpan w:val="11"/>
          </w:tcPr>
          <w:p>
            <w:pPr>
              <w:spacing w:after="0"/>
              <w:rPr>
                <w:sz w:val="20"/>
                <w:szCs w:val="20"/>
                <w:color w:val="auto"/>
              </w:rPr>
            </w:pPr>
            <w:r>
              <w:rPr>
                <w:rFonts w:ascii="Arial" w:cs="Arial" w:eastAsia="Arial" w:hAnsi="Arial"/>
                <w:sz w:val="18"/>
                <w:szCs w:val="18"/>
                <w:color w:val="auto"/>
              </w:rPr>
              <w:t>Presentation Linkbase Document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175" w:lineRule="exact"/>
        <w:rPr>
          <w:sz w:val="20"/>
          <w:szCs w:val="20"/>
          <w:color w:val="auto"/>
        </w:rPr>
      </w:pPr>
    </w:p>
    <w:p>
      <w:pPr>
        <w:jc w:val="both"/>
        <w:ind w:left="460" w:right="779" w:firstLine="432"/>
        <w:spacing w:after="0" w:line="255" w:lineRule="auto"/>
        <w:rPr>
          <w:sz w:val="20"/>
          <w:szCs w:val="20"/>
          <w:color w:val="auto"/>
        </w:rPr>
      </w:pPr>
      <w:r>
        <w:rPr>
          <w:rFonts w:ascii="Arial" w:cs="Arial" w:eastAsia="Arial" w:hAnsi="Arial"/>
          <w:sz w:val="18"/>
          <w:szCs w:val="18"/>
          <w:color w:val="auto"/>
        </w:rPr>
        <w:t>The annexes, schedules, and certain exhibits to the Agreement and Plan of Merger have been omitted pursuant to Item 601(b)(2) of Regulation S-K. BCTG hereby agrees to furnish supplementally a copy of any omitted annex, schedule or exhibit to the SEC upon request.</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0" w:lineRule="exact"/>
        <w:rPr>
          <w:sz w:val="20"/>
          <w:szCs w:val="20"/>
          <w:color w:val="auto"/>
        </w:rPr>
      </w:pPr>
    </w:p>
    <w:p>
      <w:pPr>
        <w:ind w:left="860" w:hanging="406"/>
        <w:spacing w:after="0"/>
        <w:tabs>
          <w:tab w:leader="none" w:pos="860" w:val="left"/>
        </w:tabs>
        <w:numPr>
          <w:ilvl w:val="0"/>
          <w:numId w:val="555"/>
        </w:numPr>
        <w:rPr>
          <w:rFonts w:ascii="Arial" w:cs="Arial" w:eastAsia="Arial" w:hAnsi="Arial"/>
          <w:sz w:val="16"/>
          <w:szCs w:val="16"/>
          <w:color w:val="auto"/>
        </w:rPr>
      </w:pPr>
      <w:r>
        <w:rPr>
          <w:rFonts w:ascii="Arial" w:cs="Arial" w:eastAsia="Arial" w:hAnsi="Arial"/>
          <w:sz w:val="16"/>
          <w:szCs w:val="16"/>
          <w:color w:val="auto"/>
        </w:rPr>
        <w:t>To be filed by amendment.</w:t>
      </w:r>
    </w:p>
    <w:p>
      <w:pPr>
        <w:spacing w:after="0" w:line="22" w:lineRule="exact"/>
        <w:rPr>
          <w:sz w:val="20"/>
          <w:szCs w:val="20"/>
          <w:color w:val="auto"/>
        </w:rPr>
      </w:pPr>
    </w:p>
    <w:p>
      <w:pPr>
        <w:ind w:left="860" w:hanging="406"/>
        <w:spacing w:after="0"/>
        <w:tabs>
          <w:tab w:leader="none" w:pos="860" w:val="left"/>
        </w:tabs>
        <w:numPr>
          <w:ilvl w:val="0"/>
          <w:numId w:val="556"/>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w:t>
      </w:r>
    </w:p>
    <w:p>
      <w:pPr>
        <w:spacing w:after="0" w:line="1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5"/>
          <w:szCs w:val="15"/>
          <w:color w:val="auto"/>
        </w:rPr>
        <w:t>Previously filed.</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22. Undertakings.</w:t>
      </w:r>
    </w:p>
    <w:p>
      <w:pPr>
        <w:spacing w:after="0" w:line="162" w:lineRule="exact"/>
        <w:rPr>
          <w:sz w:val="20"/>
          <w:szCs w:val="20"/>
          <w:color w:val="auto"/>
        </w:rPr>
      </w:pPr>
    </w:p>
    <w:p>
      <w:pPr>
        <w:ind w:left="1300" w:hanging="414"/>
        <w:spacing w:after="0"/>
        <w:tabs>
          <w:tab w:leader="none" w:pos="130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The undersigned registrant hereby undertakes as follows:</w:t>
      </w:r>
    </w:p>
    <w:p>
      <w:pPr>
        <w:spacing w:after="0" w:line="157" w:lineRule="exact"/>
        <w:rPr>
          <w:rFonts w:ascii="Arial" w:cs="Arial" w:eastAsia="Arial" w:hAnsi="Arial"/>
          <w:sz w:val="18"/>
          <w:szCs w:val="18"/>
          <w:color w:val="auto"/>
        </w:rPr>
      </w:pPr>
    </w:p>
    <w:p>
      <w:pPr>
        <w:ind w:left="1760" w:right="519" w:hanging="442"/>
        <w:spacing w:after="0" w:line="277" w:lineRule="auto"/>
        <w:tabs>
          <w:tab w:leader="none" w:pos="1714" w:val="left"/>
        </w:tabs>
        <w:numPr>
          <w:ilvl w:val="1"/>
          <w:numId w:val="55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89"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7"/>
          <w:szCs w:val="17"/>
          <w:color w:val="auto"/>
        </w:rPr>
        <w:t>i.    To include any prospectus required by Section 10(a)(3) of the Securities Act of 1933;</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17" w:name="page518"/>
    <w:bookmarkEnd w:id="517"/>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2180" w:right="459" w:hanging="430"/>
        <w:spacing w:after="0" w:line="269" w:lineRule="auto"/>
        <w:tabs>
          <w:tab w:leader="none" w:pos="2160" w:val="left"/>
        </w:tabs>
        <w:numPr>
          <w:ilvl w:val="2"/>
          <w:numId w:val="558"/>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14" w:lineRule="exact"/>
        <w:rPr>
          <w:rFonts w:ascii="Arial" w:cs="Arial" w:eastAsia="Arial" w:hAnsi="Arial"/>
          <w:sz w:val="17"/>
          <w:szCs w:val="17"/>
          <w:color w:val="auto"/>
        </w:rPr>
      </w:pPr>
    </w:p>
    <w:p>
      <w:pPr>
        <w:ind w:left="2180" w:right="1059" w:hanging="430"/>
        <w:spacing w:after="0" w:line="263" w:lineRule="auto"/>
        <w:tabs>
          <w:tab w:leader="none" w:pos="2165" w:val="left"/>
        </w:tabs>
        <w:numPr>
          <w:ilvl w:val="2"/>
          <w:numId w:val="55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rFonts w:ascii="Arial" w:cs="Arial" w:eastAsia="Arial" w:hAnsi="Arial"/>
          <w:sz w:val="18"/>
          <w:szCs w:val="18"/>
          <w:color w:val="auto"/>
        </w:rPr>
      </w:pPr>
    </w:p>
    <w:p>
      <w:pPr>
        <w:ind w:left="1760" w:right="499" w:hanging="442"/>
        <w:spacing w:after="0" w:line="259" w:lineRule="auto"/>
        <w:tabs>
          <w:tab w:leader="none" w:pos="1714" w:val="left"/>
        </w:tabs>
        <w:numPr>
          <w:ilvl w:val="0"/>
          <w:numId w:val="559"/>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 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05" w:lineRule="exact"/>
        <w:rPr>
          <w:rFonts w:ascii="Arial" w:cs="Arial" w:eastAsia="Arial" w:hAnsi="Arial"/>
          <w:sz w:val="18"/>
          <w:szCs w:val="18"/>
          <w:color w:val="auto"/>
        </w:rPr>
      </w:pPr>
    </w:p>
    <w:p>
      <w:pPr>
        <w:ind w:left="1760" w:right="839" w:hanging="442"/>
        <w:spacing w:after="0" w:line="308" w:lineRule="auto"/>
        <w:tabs>
          <w:tab w:leader="none" w:pos="1714" w:val="left"/>
        </w:tabs>
        <w:numPr>
          <w:ilvl w:val="0"/>
          <w:numId w:val="559"/>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78" w:lineRule="exact"/>
        <w:rPr>
          <w:rFonts w:ascii="Arial" w:cs="Arial" w:eastAsia="Arial" w:hAnsi="Arial"/>
          <w:sz w:val="17"/>
          <w:szCs w:val="17"/>
          <w:color w:val="auto"/>
        </w:rPr>
      </w:pPr>
    </w:p>
    <w:p>
      <w:pPr>
        <w:ind w:left="1760" w:right="539" w:hanging="442"/>
        <w:spacing w:after="0" w:line="269" w:lineRule="auto"/>
        <w:tabs>
          <w:tab w:leader="none" w:pos="1714" w:val="left"/>
        </w:tabs>
        <w:numPr>
          <w:ilvl w:val="0"/>
          <w:numId w:val="559"/>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1" w:lineRule="exact"/>
        <w:rPr>
          <w:rFonts w:ascii="Arial" w:cs="Arial" w:eastAsia="Arial" w:hAnsi="Arial"/>
          <w:sz w:val="17"/>
          <w:szCs w:val="17"/>
          <w:color w:val="auto"/>
        </w:rPr>
      </w:pPr>
    </w:p>
    <w:p>
      <w:pPr>
        <w:ind w:left="1760" w:right="499" w:hanging="442"/>
        <w:spacing w:after="0" w:line="272" w:lineRule="auto"/>
        <w:tabs>
          <w:tab w:leader="none" w:pos="1714" w:val="left"/>
        </w:tabs>
        <w:numPr>
          <w:ilvl w:val="0"/>
          <w:numId w:val="559"/>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6" w:lineRule="exact"/>
        <w:rPr>
          <w:rFonts w:ascii="Arial" w:cs="Arial" w:eastAsia="Arial" w:hAnsi="Arial"/>
          <w:sz w:val="17"/>
          <w:szCs w:val="17"/>
          <w:color w:val="auto"/>
        </w:rPr>
      </w:pPr>
    </w:p>
    <w:p>
      <w:pPr>
        <w:ind w:left="2180" w:right="699" w:hanging="430"/>
        <w:spacing w:after="0" w:line="277" w:lineRule="auto"/>
        <w:tabs>
          <w:tab w:leader="none" w:pos="2148" w:val="left"/>
        </w:tabs>
        <w:numPr>
          <w:ilvl w:val="2"/>
          <w:numId w:val="55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02" w:lineRule="exact"/>
        <w:rPr>
          <w:rFonts w:ascii="Arial" w:cs="Arial" w:eastAsia="Arial" w:hAnsi="Arial"/>
          <w:sz w:val="18"/>
          <w:szCs w:val="18"/>
          <w:color w:val="auto"/>
        </w:rPr>
      </w:pPr>
    </w:p>
    <w:p>
      <w:pPr>
        <w:ind w:left="2180" w:right="919" w:hanging="430"/>
        <w:spacing w:after="0" w:line="308" w:lineRule="auto"/>
        <w:tabs>
          <w:tab w:leader="none" w:pos="2153" w:val="left"/>
        </w:tabs>
        <w:numPr>
          <w:ilvl w:val="2"/>
          <w:numId w:val="559"/>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the undersigned registrant;</w:t>
      </w:r>
    </w:p>
    <w:p>
      <w:pPr>
        <w:spacing w:after="0" w:line="78" w:lineRule="exact"/>
        <w:rPr>
          <w:rFonts w:ascii="Arial" w:cs="Arial" w:eastAsia="Arial" w:hAnsi="Arial"/>
          <w:sz w:val="17"/>
          <w:szCs w:val="17"/>
          <w:color w:val="auto"/>
        </w:rPr>
      </w:pPr>
    </w:p>
    <w:p>
      <w:pPr>
        <w:ind w:left="2140" w:right="559" w:hanging="426"/>
        <w:spacing w:after="0" w:line="263" w:lineRule="auto"/>
        <w:tabs>
          <w:tab w:leader="none" w:pos="2125" w:val="left"/>
        </w:tabs>
        <w:numPr>
          <w:ilvl w:val="1"/>
          <w:numId w:val="55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2" w:lineRule="exact"/>
        <w:rPr>
          <w:rFonts w:ascii="Arial" w:cs="Arial" w:eastAsia="Arial" w:hAnsi="Arial"/>
          <w:sz w:val="18"/>
          <w:szCs w:val="18"/>
          <w:color w:val="auto"/>
        </w:rPr>
      </w:pPr>
    </w:p>
    <w:p>
      <w:pPr>
        <w:ind w:left="2180" w:right="939" w:hanging="430"/>
        <w:spacing w:after="0" w:line="277" w:lineRule="auto"/>
        <w:tabs>
          <w:tab w:leader="none" w:pos="2181" w:val="left"/>
        </w:tabs>
        <w:numPr>
          <w:ilvl w:val="2"/>
          <w:numId w:val="56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02" w:lineRule="exact"/>
        <w:rPr>
          <w:rFonts w:ascii="Arial" w:cs="Arial" w:eastAsia="Arial" w:hAnsi="Arial"/>
          <w:sz w:val="18"/>
          <w:szCs w:val="18"/>
          <w:color w:val="auto"/>
        </w:rPr>
      </w:pPr>
    </w:p>
    <w:p>
      <w:pPr>
        <w:ind w:left="1760" w:right="479" w:hanging="442"/>
        <w:spacing w:after="0" w:line="259" w:lineRule="auto"/>
        <w:tabs>
          <w:tab w:leader="none" w:pos="1714" w:val="left"/>
        </w:tabs>
        <w:numPr>
          <w:ilvl w:val="0"/>
          <w:numId w:val="561"/>
        </w:numPr>
        <w:rPr>
          <w:rFonts w:ascii="Arial" w:cs="Arial" w:eastAsia="Arial" w:hAnsi="Arial"/>
          <w:sz w:val="18"/>
          <w:szCs w:val="18"/>
          <w:color w:val="auto"/>
        </w:rPr>
      </w:pPr>
      <w:r>
        <w:rPr>
          <w:rFonts w:ascii="Arial" w:cs="Arial" w:eastAsia="Arial" w:hAnsi="Arial"/>
          <w:sz w:val="18"/>
          <w:szCs w:val="18"/>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18" w:name="page519"/>
    <w:bookmarkEnd w:id="518"/>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760" w:right="499"/>
        <w:spacing w:after="0" w:line="259" w:lineRule="auto"/>
        <w:rPr>
          <w:sz w:val="20"/>
          <w:szCs w:val="20"/>
          <w:color w:val="auto"/>
        </w:rPr>
      </w:pPr>
      <w:r>
        <w:rPr>
          <w:rFonts w:ascii="Arial" w:cs="Arial" w:eastAsia="Arial" w:hAnsi="Arial"/>
          <w:sz w:val="18"/>
          <w:szCs w:val="18"/>
          <w:color w:val="auto"/>
        </w:rPr>
        <w:t>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19" w:lineRule="exact"/>
        <w:rPr>
          <w:sz w:val="20"/>
          <w:szCs w:val="20"/>
          <w:color w:val="auto"/>
        </w:rPr>
      </w:pPr>
    </w:p>
    <w:p>
      <w:pPr>
        <w:ind w:left="1760" w:right="499" w:hanging="442"/>
        <w:spacing w:after="0" w:line="290" w:lineRule="auto"/>
        <w:tabs>
          <w:tab w:leader="none" w:pos="1714" w:val="left"/>
        </w:tabs>
        <w:numPr>
          <w:ilvl w:val="1"/>
          <w:numId w:val="562"/>
        </w:numPr>
        <w:rPr>
          <w:rFonts w:ascii="Arial" w:cs="Arial" w:eastAsia="Arial" w:hAnsi="Arial"/>
          <w:sz w:val="16"/>
          <w:szCs w:val="16"/>
          <w:color w:val="auto"/>
        </w:rPr>
      </w:pPr>
      <w:r>
        <w:rPr>
          <w:rFonts w:ascii="Arial" w:cs="Arial" w:eastAsia="Arial" w:hAnsi="Arial"/>
          <w:sz w:val="16"/>
          <w:szCs w:val="16"/>
          <w:color w:val="auto"/>
        </w:rPr>
        <w:t xml:space="preserve">The registrant hereby undertakes that every prospectus: (i) that is filed pursuant to the immediately preceding paragraph,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97" w:lineRule="exact"/>
        <w:rPr>
          <w:rFonts w:ascii="Arial" w:cs="Arial" w:eastAsia="Arial" w:hAnsi="Arial"/>
          <w:sz w:val="16"/>
          <w:szCs w:val="16"/>
          <w:color w:val="auto"/>
        </w:rPr>
      </w:pPr>
    </w:p>
    <w:p>
      <w:pPr>
        <w:ind w:left="1760" w:right="479" w:hanging="442"/>
        <w:spacing w:after="0" w:line="269" w:lineRule="auto"/>
        <w:tabs>
          <w:tab w:leader="none" w:pos="1718" w:val="left"/>
        </w:tabs>
        <w:numPr>
          <w:ilvl w:val="1"/>
          <w:numId w:val="562"/>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undersigned pursuant to the foregoing provisions, or otherwise, the undersigned has been advised that in the opinion of the SEC such indemnification is against public policy as expressed in the Securities Act and is, therefore, unenforceable. In the event that a claim for indemnification against such liabilities (other than the payment by the undersigned of expenses incurred or paid by a director, officer or controlling person of the undersigned in the successful defense of any action, suit or proceeding) is asserted by such director, officer or controlling person in connection with the securities being registered, the undersigned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7" w:lineRule="exact"/>
        <w:rPr>
          <w:rFonts w:ascii="Arial" w:cs="Arial" w:eastAsia="Arial" w:hAnsi="Arial"/>
          <w:sz w:val="17"/>
          <w:szCs w:val="17"/>
          <w:color w:val="auto"/>
        </w:rPr>
      </w:pPr>
    </w:p>
    <w:p>
      <w:pPr>
        <w:ind w:left="1320" w:right="599" w:hanging="434"/>
        <w:spacing w:after="0" w:line="255" w:lineRule="auto"/>
        <w:tabs>
          <w:tab w:leader="none" w:pos="1274" w:val="left"/>
        </w:tabs>
        <w:numPr>
          <w:ilvl w:val="0"/>
          <w:numId w:val="563"/>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24" w:lineRule="exact"/>
        <w:rPr>
          <w:rFonts w:ascii="Arial" w:cs="Arial" w:eastAsia="Arial" w:hAnsi="Arial"/>
          <w:sz w:val="18"/>
          <w:szCs w:val="18"/>
          <w:color w:val="auto"/>
        </w:rPr>
      </w:pPr>
    </w:p>
    <w:p>
      <w:pPr>
        <w:ind w:left="1320" w:right="519" w:hanging="434"/>
        <w:spacing w:after="0" w:line="311" w:lineRule="auto"/>
        <w:tabs>
          <w:tab w:leader="none" w:pos="1309" w:val="left"/>
        </w:tabs>
        <w:numPr>
          <w:ilvl w:val="0"/>
          <w:numId w:val="563"/>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19" w:name="page520"/>
    <w:bookmarkEnd w:id="519"/>
    <w:p>
      <w:pPr>
        <w:ind w:left="4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148"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has caused this Registration Statement to be signed on its behalf by the undersigned, thereunto duly authorized, in the City of San Diego, State of California, on April 19, 2021.</w:t>
      </w:r>
    </w:p>
    <w:p>
      <w:pPr>
        <w:spacing w:after="0" w:line="18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BCTG ACQUISITION CORP.</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Aaron I. Davis</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Aaron I. 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-130175</wp:posOffset>
            </wp:positionV>
            <wp:extent cx="191135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0">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KNOW ALL PERSONS BY THESE PRESENTS, that each individual whose signature appears below constitutes and appoints Aaron I. Davis and Michael Beauchamp, and each of them acting singly, his or her true and lawful attorney-in-fact,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hereby ratifying and confirming all that said attorney-in-fact or his or her substitute may lawfully do or cause to be done by virtue thereof.</w:t>
      </w:r>
    </w:p>
    <w:p>
      <w:pPr>
        <w:spacing w:after="0" w:line="99"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220" w:type="dxa"/>
            <w:vAlign w:val="bottom"/>
          </w:tcPr>
          <w:p>
            <w:pPr>
              <w:spacing w:after="0"/>
              <w:rPr>
                <w:sz w:val="20"/>
                <w:szCs w:val="20"/>
                <w:color w:val="auto"/>
              </w:rPr>
            </w:pPr>
            <w:r>
              <w:rPr>
                <w:rFonts w:ascii="Arial" w:cs="Arial" w:eastAsia="Arial" w:hAnsi="Arial"/>
                <w:sz w:val="16"/>
                <w:szCs w:val="16"/>
                <w:b w:val="1"/>
                <w:bCs w:val="1"/>
                <w:color w:val="auto"/>
              </w:rPr>
              <w:t>Signature</w:t>
            </w:r>
          </w:p>
        </w:tc>
        <w:tc>
          <w:tcPr>
            <w:tcW w:w="100" w:type="dxa"/>
            <w:vAlign w:val="bottom"/>
          </w:tcPr>
          <w:p>
            <w:pPr>
              <w:spacing w:after="0"/>
              <w:rPr>
                <w:sz w:val="18"/>
                <w:szCs w:val="18"/>
                <w:color w:val="auto"/>
              </w:rPr>
            </w:pPr>
          </w:p>
        </w:tc>
        <w:tc>
          <w:tcPr>
            <w:tcW w:w="3280" w:type="dxa"/>
            <w:vAlign w:val="bottom"/>
            <w:gridSpan w:val="2"/>
          </w:tcPr>
          <w:p>
            <w:pPr>
              <w:ind w:left="1420"/>
              <w:spacing w:after="0"/>
              <w:rPr>
                <w:sz w:val="20"/>
                <w:szCs w:val="20"/>
                <w:color w:val="auto"/>
              </w:rPr>
            </w:pPr>
            <w:r>
              <w:rPr>
                <w:rFonts w:ascii="Arial" w:cs="Arial" w:eastAsia="Arial" w:hAnsi="Arial"/>
                <w:sz w:val="16"/>
                <w:szCs w:val="16"/>
                <w:b w:val="1"/>
                <w:bCs w:val="1"/>
                <w:color w:val="auto"/>
              </w:rPr>
              <w:t>Title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46"/>
        </w:trPr>
        <w:tc>
          <w:tcPr>
            <w:tcW w:w="3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3220" w:type="dxa"/>
            <w:vAlign w:val="bottom"/>
          </w:tcPr>
          <w:p>
            <w:pPr>
              <w:spacing w:after="0"/>
              <w:rPr>
                <w:sz w:val="20"/>
                <w:szCs w:val="20"/>
                <w:color w:val="auto"/>
              </w:rPr>
            </w:pPr>
            <w:r>
              <w:rPr>
                <w:rFonts w:ascii="Arial" w:cs="Arial" w:eastAsia="Arial" w:hAnsi="Arial"/>
                <w:sz w:val="18"/>
                <w:szCs w:val="18"/>
                <w:color w:val="auto"/>
              </w:rPr>
              <w:t>/s/Aaron I. Davis</w:t>
            </w:r>
          </w:p>
        </w:tc>
        <w:tc>
          <w:tcPr>
            <w:tcW w:w="10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Chief Executive Officer and Chairman</w:t>
            </w: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April 19, 2021</w:t>
            </w:r>
          </w:p>
        </w:tc>
        <w:tc>
          <w:tcPr>
            <w:tcW w:w="0" w:type="dxa"/>
            <w:vAlign w:val="bottom"/>
          </w:tcPr>
          <w:p>
            <w:pPr>
              <w:spacing w:after="0"/>
              <w:rPr>
                <w:sz w:val="1"/>
                <w:szCs w:val="1"/>
                <w:color w:val="auto"/>
              </w:rPr>
            </w:pPr>
          </w:p>
        </w:tc>
      </w:tr>
      <w:tr>
        <w:trPr>
          <w:trHeight w:val="40"/>
        </w:trPr>
        <w:tc>
          <w:tcPr>
            <w:tcW w:w="3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(Principal Executive Officer)</w:t>
            </w: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220" w:type="dxa"/>
            <w:vAlign w:val="bottom"/>
          </w:tcPr>
          <w:p>
            <w:pPr>
              <w:spacing w:after="0"/>
              <w:rPr>
                <w:sz w:val="20"/>
                <w:szCs w:val="20"/>
                <w:color w:val="auto"/>
              </w:rPr>
            </w:pPr>
            <w:r>
              <w:rPr>
                <w:rFonts w:ascii="Arial" w:cs="Arial" w:eastAsia="Arial" w:hAnsi="Arial"/>
                <w:sz w:val="18"/>
                <w:szCs w:val="18"/>
                <w:color w:val="auto"/>
              </w:rPr>
              <w:t>Aaron I. Davis</w:t>
            </w:r>
          </w:p>
        </w:tc>
        <w:tc>
          <w:tcPr>
            <w:tcW w:w="100" w:type="dxa"/>
            <w:vAlign w:val="bottom"/>
          </w:tcPr>
          <w:p>
            <w:pPr>
              <w:spacing w:after="0"/>
              <w:rPr>
                <w:sz w:val="19"/>
                <w:szCs w:val="19"/>
                <w:color w:val="auto"/>
              </w:rPr>
            </w:pPr>
          </w:p>
        </w:tc>
        <w:tc>
          <w:tcPr>
            <w:tcW w:w="328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220" w:type="dxa"/>
            <w:vAlign w:val="bottom"/>
          </w:tcPr>
          <w:p>
            <w:pPr>
              <w:spacing w:after="0"/>
              <w:rPr>
                <w:sz w:val="20"/>
                <w:szCs w:val="20"/>
                <w:color w:val="auto"/>
              </w:rPr>
            </w:pPr>
            <w:r>
              <w:rPr>
                <w:rFonts w:ascii="Arial" w:cs="Arial" w:eastAsia="Arial" w:hAnsi="Arial"/>
                <w:sz w:val="18"/>
                <w:szCs w:val="18"/>
                <w:color w:val="auto"/>
              </w:rPr>
              <w:t>/s/Michael Beauchamp</w:t>
            </w:r>
          </w:p>
        </w:tc>
        <w:tc>
          <w:tcPr>
            <w:tcW w:w="10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April 19, 2021</w:t>
            </w:r>
          </w:p>
        </w:tc>
        <w:tc>
          <w:tcPr>
            <w:tcW w:w="0" w:type="dxa"/>
            <w:vAlign w:val="bottom"/>
          </w:tcPr>
          <w:p>
            <w:pPr>
              <w:spacing w:after="0"/>
              <w:rPr>
                <w:sz w:val="1"/>
                <w:szCs w:val="1"/>
                <w:color w:val="auto"/>
              </w:rPr>
            </w:pPr>
          </w:p>
        </w:tc>
      </w:tr>
      <w:tr>
        <w:trPr>
          <w:trHeight w:val="40"/>
        </w:trPr>
        <w:tc>
          <w:tcPr>
            <w:tcW w:w="32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2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(Principal Financial and Accounting</w:t>
            </w: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3220" w:type="dxa"/>
            <w:vAlign w:val="bottom"/>
            <w:vMerge w:val="restart"/>
          </w:tcPr>
          <w:p>
            <w:pPr>
              <w:spacing w:after="0"/>
              <w:rPr>
                <w:sz w:val="20"/>
                <w:szCs w:val="20"/>
                <w:color w:val="auto"/>
              </w:rPr>
            </w:pPr>
            <w:r>
              <w:rPr>
                <w:rFonts w:ascii="Arial" w:cs="Arial" w:eastAsia="Arial" w:hAnsi="Arial"/>
                <w:sz w:val="18"/>
                <w:szCs w:val="18"/>
                <w:color w:val="auto"/>
              </w:rPr>
              <w:t>Michael Beauchamp</w:t>
            </w:r>
          </w:p>
        </w:tc>
        <w:tc>
          <w:tcPr>
            <w:tcW w:w="100" w:type="dxa"/>
            <w:vAlign w:val="bottom"/>
            <w:vMerge w:val="continue"/>
          </w:tcPr>
          <w:p>
            <w:pPr>
              <w:spacing w:after="0"/>
              <w:rPr>
                <w:sz w:val="15"/>
                <w:szCs w:val="15"/>
                <w:color w:val="auto"/>
              </w:rPr>
            </w:pPr>
          </w:p>
        </w:tc>
        <w:tc>
          <w:tcPr>
            <w:tcW w:w="3280" w:type="dxa"/>
            <w:vAlign w:val="bottom"/>
            <w:gridSpan w:val="2"/>
            <w:vMerge w:val="continue"/>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2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Officer)</w:t>
            </w: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3220" w:type="dxa"/>
            <w:vAlign w:val="bottom"/>
          </w:tcPr>
          <w:p>
            <w:pPr>
              <w:spacing w:after="0"/>
              <w:rPr>
                <w:sz w:val="20"/>
                <w:szCs w:val="20"/>
                <w:color w:val="auto"/>
              </w:rPr>
            </w:pPr>
            <w:r>
              <w:rPr>
                <w:rFonts w:ascii="Arial" w:cs="Arial" w:eastAsia="Arial" w:hAnsi="Arial"/>
                <w:sz w:val="18"/>
                <w:szCs w:val="18"/>
                <w:color w:val="auto"/>
              </w:rPr>
              <w:t>/s/Christopher Fuglesang</w:t>
            </w:r>
          </w:p>
        </w:tc>
        <w:tc>
          <w:tcPr>
            <w:tcW w:w="10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April 19, 2021</w:t>
            </w:r>
          </w:p>
        </w:tc>
        <w:tc>
          <w:tcPr>
            <w:tcW w:w="0" w:type="dxa"/>
            <w:vAlign w:val="bottom"/>
          </w:tcPr>
          <w:p>
            <w:pPr>
              <w:spacing w:after="0"/>
              <w:rPr>
                <w:sz w:val="1"/>
                <w:szCs w:val="1"/>
                <w:color w:val="auto"/>
              </w:rPr>
            </w:pPr>
          </w:p>
        </w:tc>
      </w:tr>
      <w:tr>
        <w:trPr>
          <w:trHeight w:val="40"/>
        </w:trPr>
        <w:tc>
          <w:tcPr>
            <w:tcW w:w="3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220" w:type="dxa"/>
            <w:vAlign w:val="bottom"/>
          </w:tcPr>
          <w:p>
            <w:pPr>
              <w:spacing w:after="0"/>
              <w:rPr>
                <w:sz w:val="20"/>
                <w:szCs w:val="20"/>
                <w:color w:val="auto"/>
              </w:rPr>
            </w:pPr>
            <w:r>
              <w:rPr>
                <w:rFonts w:ascii="Arial" w:cs="Arial" w:eastAsia="Arial" w:hAnsi="Arial"/>
                <w:sz w:val="18"/>
                <w:szCs w:val="18"/>
                <w:color w:val="auto"/>
              </w:rPr>
              <w:t>Christopher Fuglesang</w:t>
            </w:r>
          </w:p>
        </w:tc>
        <w:tc>
          <w:tcPr>
            <w:tcW w:w="1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220" w:type="dxa"/>
            <w:vAlign w:val="bottom"/>
          </w:tcPr>
          <w:p>
            <w:pPr>
              <w:spacing w:after="0"/>
              <w:rPr>
                <w:sz w:val="20"/>
                <w:szCs w:val="20"/>
                <w:color w:val="auto"/>
              </w:rPr>
            </w:pPr>
            <w:r>
              <w:rPr>
                <w:rFonts w:ascii="Arial" w:cs="Arial" w:eastAsia="Arial" w:hAnsi="Arial"/>
                <w:sz w:val="18"/>
                <w:szCs w:val="18"/>
                <w:color w:val="auto"/>
              </w:rPr>
              <w:t>/s/Carole L. Nuechterlein</w:t>
            </w:r>
          </w:p>
        </w:tc>
        <w:tc>
          <w:tcPr>
            <w:tcW w:w="10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April 19, 2021</w:t>
            </w:r>
          </w:p>
        </w:tc>
        <w:tc>
          <w:tcPr>
            <w:tcW w:w="0" w:type="dxa"/>
            <w:vAlign w:val="bottom"/>
          </w:tcPr>
          <w:p>
            <w:pPr>
              <w:spacing w:after="0"/>
              <w:rPr>
                <w:sz w:val="1"/>
                <w:szCs w:val="1"/>
                <w:color w:val="auto"/>
              </w:rPr>
            </w:pPr>
          </w:p>
        </w:tc>
      </w:tr>
      <w:tr>
        <w:trPr>
          <w:trHeight w:val="40"/>
        </w:trPr>
        <w:tc>
          <w:tcPr>
            <w:tcW w:w="3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220" w:type="dxa"/>
            <w:vAlign w:val="bottom"/>
          </w:tcPr>
          <w:p>
            <w:pPr>
              <w:spacing w:after="0"/>
              <w:rPr>
                <w:sz w:val="20"/>
                <w:szCs w:val="20"/>
                <w:color w:val="auto"/>
              </w:rPr>
            </w:pPr>
            <w:r>
              <w:rPr>
                <w:rFonts w:ascii="Arial" w:cs="Arial" w:eastAsia="Arial" w:hAnsi="Arial"/>
                <w:sz w:val="18"/>
                <w:szCs w:val="18"/>
                <w:color w:val="auto"/>
              </w:rPr>
              <w:t>Carole L. Nuechterlein</w:t>
            </w:r>
          </w:p>
        </w:tc>
        <w:tc>
          <w:tcPr>
            <w:tcW w:w="1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220" w:type="dxa"/>
            <w:vAlign w:val="bottom"/>
          </w:tcPr>
          <w:p>
            <w:pPr>
              <w:spacing w:after="0"/>
              <w:rPr>
                <w:sz w:val="20"/>
                <w:szCs w:val="20"/>
                <w:color w:val="auto"/>
              </w:rPr>
            </w:pPr>
            <w:r>
              <w:rPr>
                <w:rFonts w:ascii="Arial" w:cs="Arial" w:eastAsia="Arial" w:hAnsi="Arial"/>
                <w:sz w:val="18"/>
                <w:szCs w:val="18"/>
                <w:color w:val="auto"/>
              </w:rPr>
              <w:t>/s/Richard Heyman</w:t>
            </w:r>
          </w:p>
        </w:tc>
        <w:tc>
          <w:tcPr>
            <w:tcW w:w="10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April 19, 2021</w:t>
            </w:r>
          </w:p>
        </w:tc>
        <w:tc>
          <w:tcPr>
            <w:tcW w:w="0" w:type="dxa"/>
            <w:vAlign w:val="bottom"/>
          </w:tcPr>
          <w:p>
            <w:pPr>
              <w:spacing w:after="0"/>
              <w:rPr>
                <w:sz w:val="1"/>
                <w:szCs w:val="1"/>
                <w:color w:val="auto"/>
              </w:rPr>
            </w:pPr>
          </w:p>
        </w:tc>
      </w:tr>
      <w:tr>
        <w:trPr>
          <w:trHeight w:val="40"/>
        </w:trPr>
        <w:tc>
          <w:tcPr>
            <w:tcW w:w="3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220" w:type="dxa"/>
            <w:vAlign w:val="bottom"/>
          </w:tcPr>
          <w:p>
            <w:pPr>
              <w:spacing w:after="0"/>
              <w:rPr>
                <w:sz w:val="20"/>
                <w:szCs w:val="20"/>
                <w:color w:val="auto"/>
              </w:rPr>
            </w:pPr>
            <w:r>
              <w:rPr>
                <w:rFonts w:ascii="Arial" w:cs="Arial" w:eastAsia="Arial" w:hAnsi="Arial"/>
                <w:sz w:val="18"/>
                <w:szCs w:val="18"/>
                <w:color w:val="auto"/>
              </w:rPr>
              <w:t>Richard Heyman</w:t>
            </w:r>
          </w:p>
        </w:tc>
        <w:tc>
          <w:tcPr>
            <w:tcW w:w="1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220" w:type="dxa"/>
            <w:vAlign w:val="bottom"/>
          </w:tcPr>
          <w:p>
            <w:pPr>
              <w:spacing w:after="0"/>
              <w:rPr>
                <w:sz w:val="20"/>
                <w:szCs w:val="20"/>
                <w:color w:val="auto"/>
              </w:rPr>
            </w:pPr>
            <w:r>
              <w:rPr>
                <w:rFonts w:ascii="Arial" w:cs="Arial" w:eastAsia="Arial" w:hAnsi="Arial"/>
                <w:sz w:val="18"/>
                <w:szCs w:val="18"/>
                <w:color w:val="auto"/>
              </w:rPr>
              <w:t>/s/Charles M. Baum</w:t>
            </w:r>
          </w:p>
        </w:tc>
        <w:tc>
          <w:tcPr>
            <w:tcW w:w="10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April 19, 2021</w:t>
            </w:r>
          </w:p>
        </w:tc>
        <w:tc>
          <w:tcPr>
            <w:tcW w:w="0" w:type="dxa"/>
            <w:vAlign w:val="bottom"/>
          </w:tcPr>
          <w:p>
            <w:pPr>
              <w:spacing w:after="0"/>
              <w:rPr>
                <w:sz w:val="1"/>
                <w:szCs w:val="1"/>
                <w:color w:val="auto"/>
              </w:rPr>
            </w:pPr>
          </w:p>
        </w:tc>
      </w:tr>
      <w:tr>
        <w:trPr>
          <w:trHeight w:val="40"/>
        </w:trPr>
        <w:tc>
          <w:tcPr>
            <w:tcW w:w="3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220" w:type="dxa"/>
            <w:vAlign w:val="bottom"/>
          </w:tcPr>
          <w:p>
            <w:pPr>
              <w:spacing w:after="0"/>
              <w:rPr>
                <w:sz w:val="20"/>
                <w:szCs w:val="20"/>
                <w:color w:val="auto"/>
              </w:rPr>
            </w:pPr>
            <w:r>
              <w:rPr>
                <w:rFonts w:ascii="Arial" w:cs="Arial" w:eastAsia="Arial" w:hAnsi="Arial"/>
                <w:sz w:val="18"/>
                <w:szCs w:val="18"/>
                <w:color w:val="auto"/>
              </w:rPr>
              <w:t>Charles M. Baum</w:t>
            </w:r>
          </w:p>
        </w:tc>
        <w:tc>
          <w:tcPr>
            <w:tcW w:w="1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220" w:type="dxa"/>
            <w:vAlign w:val="bottom"/>
          </w:tcPr>
          <w:p>
            <w:pPr>
              <w:spacing w:after="0"/>
              <w:rPr>
                <w:sz w:val="20"/>
                <w:szCs w:val="20"/>
                <w:color w:val="auto"/>
              </w:rPr>
            </w:pPr>
            <w:r>
              <w:rPr>
                <w:rFonts w:ascii="Arial" w:cs="Arial" w:eastAsia="Arial" w:hAnsi="Arial"/>
                <w:sz w:val="18"/>
                <w:szCs w:val="18"/>
                <w:color w:val="auto"/>
              </w:rPr>
              <w:t>/s/Jamie G. Christensen</w:t>
            </w:r>
          </w:p>
        </w:tc>
        <w:tc>
          <w:tcPr>
            <w:tcW w:w="10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April 19, 2021</w:t>
            </w:r>
          </w:p>
        </w:tc>
        <w:tc>
          <w:tcPr>
            <w:tcW w:w="0" w:type="dxa"/>
            <w:vAlign w:val="bottom"/>
          </w:tcPr>
          <w:p>
            <w:pPr>
              <w:spacing w:after="0"/>
              <w:rPr>
                <w:sz w:val="1"/>
                <w:szCs w:val="1"/>
                <w:color w:val="auto"/>
              </w:rPr>
            </w:pPr>
          </w:p>
        </w:tc>
      </w:tr>
      <w:tr>
        <w:trPr>
          <w:trHeight w:val="40"/>
        </w:trPr>
        <w:tc>
          <w:tcPr>
            <w:tcW w:w="3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220" w:type="dxa"/>
            <w:vAlign w:val="bottom"/>
          </w:tcPr>
          <w:p>
            <w:pPr>
              <w:spacing w:after="0"/>
              <w:rPr>
                <w:sz w:val="20"/>
                <w:szCs w:val="20"/>
                <w:color w:val="auto"/>
              </w:rPr>
            </w:pPr>
            <w:r>
              <w:rPr>
                <w:rFonts w:ascii="Arial" w:cs="Arial" w:eastAsia="Arial" w:hAnsi="Arial"/>
                <w:sz w:val="18"/>
                <w:szCs w:val="18"/>
                <w:color w:val="auto"/>
              </w:rPr>
              <w:t>Jamie G. Christensen</w:t>
            </w:r>
          </w:p>
        </w:tc>
        <w:tc>
          <w:tcPr>
            <w:tcW w:w="1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220" w:type="dxa"/>
            <w:vAlign w:val="bottom"/>
          </w:tcPr>
          <w:p>
            <w:pPr>
              <w:spacing w:after="0"/>
              <w:rPr>
                <w:sz w:val="20"/>
                <w:szCs w:val="20"/>
                <w:color w:val="auto"/>
              </w:rPr>
            </w:pPr>
            <w:r>
              <w:rPr>
                <w:rFonts w:ascii="Arial" w:cs="Arial" w:eastAsia="Arial" w:hAnsi="Arial"/>
                <w:sz w:val="18"/>
                <w:szCs w:val="18"/>
                <w:color w:val="auto"/>
              </w:rPr>
              <w:t>/s/James B. Avery</w:t>
            </w:r>
          </w:p>
        </w:tc>
        <w:tc>
          <w:tcPr>
            <w:tcW w:w="10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April 19, 2021</w:t>
            </w:r>
          </w:p>
        </w:tc>
        <w:tc>
          <w:tcPr>
            <w:tcW w:w="0" w:type="dxa"/>
            <w:vAlign w:val="bottom"/>
          </w:tcPr>
          <w:p>
            <w:pPr>
              <w:spacing w:after="0"/>
              <w:rPr>
                <w:sz w:val="1"/>
                <w:szCs w:val="1"/>
                <w:color w:val="auto"/>
              </w:rPr>
            </w:pPr>
          </w:p>
        </w:tc>
      </w:tr>
      <w:tr>
        <w:trPr>
          <w:trHeight w:val="40"/>
        </w:trPr>
        <w:tc>
          <w:tcPr>
            <w:tcW w:w="3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220" w:type="dxa"/>
            <w:vAlign w:val="bottom"/>
          </w:tcPr>
          <w:p>
            <w:pPr>
              <w:spacing w:after="0"/>
              <w:rPr>
                <w:sz w:val="20"/>
                <w:szCs w:val="20"/>
                <w:color w:val="auto"/>
              </w:rPr>
            </w:pPr>
            <w:r>
              <w:rPr>
                <w:rFonts w:ascii="Arial" w:cs="Arial" w:eastAsia="Arial" w:hAnsi="Arial"/>
                <w:sz w:val="18"/>
                <w:szCs w:val="18"/>
                <w:color w:val="auto"/>
              </w:rPr>
              <w:t>James B. Avery</w:t>
            </w:r>
          </w:p>
        </w:tc>
        <w:tc>
          <w:tcPr>
            <w:tcW w:w="1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II-9</w:t>
            </w: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3" w:right="1440" w:bottom="1440" w:gutter="0" w:footer="0" w:header="0"/>
        </w:sectPr>
      </w:pPr>
    </w:p>
    <w:bookmarkStart w:id="520" w:name="page521"/>
    <w:bookmarkEnd w:id="520"/>
    <w:p>
      <w:pPr>
        <w:jc w:val="right"/>
        <w:spacing w:after="0"/>
        <w:rPr>
          <w:sz w:val="20"/>
          <w:szCs w:val="20"/>
          <w:color w:val="auto"/>
        </w:rPr>
      </w:pPr>
      <w:r>
        <w:rPr>
          <w:rFonts w:ascii="Arial" w:cs="Arial" w:eastAsia="Arial" w:hAnsi="Arial"/>
          <w:sz w:val="22"/>
          <w:szCs w:val="22"/>
          <w:b w:val="1"/>
          <w:bCs w:val="1"/>
          <w:color w:val="auto"/>
        </w:rPr>
        <w:t>Exhibit 10.6</w:t>
      </w:r>
    </w:p>
    <w:p>
      <w:pPr>
        <w:spacing w:after="0" w:line="2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2017 STOCK OPTION AND GRANT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PURPOSE OF THE PLAN; DEFINITIONS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name of the plan is the Tango Therapeutics, Inc. 2017 Stock Option and Grant Plan (the “Plan”). The purpose of the Plan is to encourage and enable the officers, employees, directors, Consultants and other key persons of Tango Therapeutics, Inc., a Delaware corporation (including any successor entity, the “Company”) and its Subsidiaries, upon whose judgment, initiative and efforts the Company largely depends for the successful conduct of its business, to acquire a proprietary interest in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shall be defined as set forth below:</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Person means a Person that directly or indirectly, through one or more intermediaries, controls, is controlled by or is under common control with the first mentioned Person. A Person shall be deemed to control another Person if such first Person possesses directly or indirectly the power to direct, or cause the direction of, the management and policies of the second Person, whether through the ownership of voting securities, by contract or otherwise.</w:t>
      </w:r>
    </w:p>
    <w:p>
      <w:pPr>
        <w:spacing w:after="0" w:line="187"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Award</w:t>
      </w:r>
      <w:r>
        <w:rPr>
          <w:rFonts w:ascii="Arial" w:cs="Arial" w:eastAsia="Arial" w:hAnsi="Arial"/>
          <w:sz w:val="16"/>
          <w:szCs w:val="16"/>
          <w:color w:val="auto"/>
        </w:rPr>
        <w:t>” or “Awards,” except where referring to a particular category of grant under the Plan, shall include Incentive Stock Options, Non-Qualified Stock Options, Restricted Stock Awards, Unrestricted Stock Awards, Restricted Stock Units or any combination of the foregoing.</w:t>
      </w:r>
    </w:p>
    <w:p>
      <w:pPr>
        <w:spacing w:after="0" w:line="12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means a written or electronic agreement setting forth the terms and provisions applicable to an Award granted under the Plan. Each Award Agreement may contain terms and conditions in addition to those set forth in the Plan; provided, however, in the event of any conflict in the terms of the Plan and the Award Agreement, the terms of the Plan shall govern.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Cause</w:t>
      </w:r>
      <w:r>
        <w:rPr>
          <w:rFonts w:ascii="Arial" w:cs="Arial" w:eastAsia="Arial" w:hAnsi="Arial"/>
          <w:sz w:val="17"/>
          <w:szCs w:val="17"/>
          <w:color w:val="auto"/>
        </w:rPr>
        <w:t>” shall have the meaning as set forth in the Award Agreement(s). In the case that any Award Agreement does not contain a definition of “Cause,” it shall mean (i) the grantee’s dishonest statements or acts with respect to the Company or any Affiliate of the Company, or any current or prospective customers, suppliers vendors or other third parties with which such entity does business; (ii) the grantee’s commission of (A) a felony or (B) any misdemeanor involving moral turpitude, deceit, dishonesty or fraud; (iii) the grantee’s failure to perform his assigned duties and responsibilities to the reasonable satisfaction of the Company which failure continues, in the reasonable judgment of the Company, after written notice given to the grantee by the Company; (iv) the grantee’s gross negligence, willful misconduct or insubordination with respect to the Company or any Affiliate of the Company; or (v) the grantee’s material violation of any provision of any agreement(s) between the grantee and the Company relating to noncompetition, nonsolicitation, nondisclosure and/or assignment of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171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521" w:name="page522"/>
    <w:bookmarkEnd w:id="521"/>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Chief Executive Officer</w:t>
      </w:r>
      <w:r>
        <w:rPr>
          <w:rFonts w:ascii="Arial" w:cs="Arial" w:eastAsia="Arial" w:hAnsi="Arial"/>
          <w:sz w:val="18"/>
          <w:szCs w:val="18"/>
          <w:color w:val="auto"/>
        </w:rPr>
        <w:t>” means the Chief Executive Officer of the Company or, if there is no Chief Executive Officer, then the President of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amended, and any successor Code, and related rules, regulations and interpretations.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Committee of the Board referred to in Section 2.</w:t>
      </w:r>
    </w:p>
    <w:p>
      <w:pPr>
        <w:spacing w:after="0" w:line="22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Consultant</w:t>
      </w:r>
      <w:r>
        <w:rPr>
          <w:rFonts w:ascii="Arial" w:cs="Arial" w:eastAsia="Arial" w:hAnsi="Arial"/>
          <w:sz w:val="18"/>
          <w:szCs w:val="18"/>
          <w:color w:val="auto"/>
        </w:rPr>
        <w:t>” means any natural person that provides bona fide services to the Company (including a Subsidiary), and such services are not in connection with the offer or sale of securities in a capital-raising transaction and do not directly or indirectly promote or maintain a market for the Company’s securities.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means “disability” as defined in Section 422(c)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the date on which the Plan is adopted as set forth on the final page of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and the rules and regulations thereunder.</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of the Stock on any given date means the fair market value of the Stock determined in good faith by the Committee based on the reasonable application of a reasonable valuation method not inconsistent with Section 409A of the Code. If the Stock is admitted to trade on a national securities exchange, the determination shall be made by reference to the closing price reported on such exchange. If there is no closing price for such date, the determination shall be made by reference to the last date preceding such date for which there is a closing price.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spacing w:after="0" w:line="16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Good Reason</w:t>
      </w:r>
      <w:r>
        <w:rPr>
          <w:rFonts w:ascii="Arial" w:cs="Arial" w:eastAsia="Arial" w:hAnsi="Arial"/>
          <w:sz w:val="17"/>
          <w:szCs w:val="17"/>
          <w:color w:val="auto"/>
        </w:rPr>
        <w:t>” shall have the meaning as set forth in the Award Agreement(s). In the case that any Award Agreement does not contain a definition of “Good Reason,” it shall mean (i) a material diminution in the grantee’s base salary except for across-the-board salary reductions similarly affecting all or substantially all similarly situated employees of the Company or (ii) a change of more than 50 miles in the geographic location at which the grantee provides services to the Company, so long as the grantee provides at least ninety (90) days notice to the Company following the initial occurrence of any such event and the Company fails to cure such event within thirty (30) days thereafter.</w:t>
      </w:r>
    </w:p>
    <w:p>
      <w:pPr>
        <w:spacing w:after="0" w:line="17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 Date</w:t>
      </w:r>
      <w:r>
        <w:rPr>
          <w:rFonts w:ascii="Arial" w:cs="Arial" w:eastAsia="Arial" w:hAnsi="Arial"/>
          <w:sz w:val="18"/>
          <w:szCs w:val="18"/>
          <w:color w:val="auto"/>
        </w:rPr>
        <w:t>” means the date that the Committee designates in its approval of an Award in accordance with applicable law as the date on which the Award is granted, which date may not precede the date of such Committee approval.</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with respect to an Award or any Shares, the Person holding such Award or Shares, including the initial recipient of the Award or any Permitted Transferee.</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522" w:name="page523"/>
    <w:bookmarkEnd w:id="522"/>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Incentive Stock Option</w:t>
      </w:r>
      <w:r>
        <w:rPr>
          <w:rFonts w:ascii="Arial" w:cs="Arial" w:eastAsia="Arial" w:hAnsi="Arial"/>
          <w:sz w:val="16"/>
          <w:szCs w:val="16"/>
          <w:color w:val="auto"/>
        </w:rPr>
        <w:t>” means any Stock Option designated and qualified as an “incentive stock option” as defined in Section 422 of the Code.</w:t>
      </w:r>
    </w:p>
    <w:p>
      <w:pPr>
        <w:spacing w:after="0" w:line="248"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Public Offering</w:t>
      </w:r>
      <w:r>
        <w:rPr>
          <w:rFonts w:ascii="Arial" w:cs="Arial" w:eastAsia="Arial" w:hAnsi="Arial"/>
          <w:sz w:val="18"/>
          <w:szCs w:val="18"/>
          <w:color w:val="auto"/>
        </w:rPr>
        <w:t>” means the consummation of the first firm commitment underwritten public offering pursuant to an effective registration statement under the Securities Act covering the offer and sale by the Company of its equity securities, as a result of or following which the Stock shall be publicly held.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means any Stock Option that is not an Incentive Stock Option.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or “</w:t>
      </w:r>
      <w:r>
        <w:rPr>
          <w:rFonts w:ascii="Arial" w:cs="Arial" w:eastAsia="Arial" w:hAnsi="Arial"/>
          <w:sz w:val="18"/>
          <w:szCs w:val="18"/>
          <w:i w:val="1"/>
          <w:iCs w:val="1"/>
          <w:color w:val="auto"/>
        </w:rPr>
        <w:t>Stock Option</w:t>
      </w:r>
      <w:r>
        <w:rPr>
          <w:rFonts w:ascii="Arial" w:cs="Arial" w:eastAsia="Arial" w:hAnsi="Arial"/>
          <w:sz w:val="18"/>
          <w:szCs w:val="18"/>
          <w:color w:val="auto"/>
        </w:rPr>
        <w:t>” means any option to purchase shares of Stock granted pursuant to Section 5.</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Transferees</w:t>
      </w:r>
      <w:r>
        <w:rPr>
          <w:rFonts w:ascii="Arial" w:cs="Arial" w:eastAsia="Arial" w:hAnsi="Arial"/>
          <w:sz w:val="18"/>
          <w:szCs w:val="18"/>
          <w:color w:val="auto"/>
        </w:rPr>
        <w:t>” shall mean any of the following to whom a Holder may transfer Shares hereunder (as set forth in Section 9(a)(ii)(A)): the Holder’s child, stepchild, grandchild, parent, stepparent, grandparent, spouse, former spouse, sibling, niece, nephew, mother-in-law, father-in-law, son-in-law, daughter-in-law, brother-in-law, or sister-in-law, including adoptive relationships, any person sharing the Holder’s household (other than a tenant or employee), a trust in which these persons have more than fifty percent of the beneficial interest, a foundation in which these persons control the management of assets, and any other entity in which these persons own more than fifty percent of the voting interests; provided, however, that any such trust does not require or permit distribution of any Shares during the term of the Award Agreement unless subject to its terms. Upon the death of the Holder, the term Permitted Transferees shall also include such deceased Holder’s estate, executors, administrators, personal representatives, heirs, legatees and distributees, as the case may be.</w:t>
      </w:r>
    </w:p>
    <w:p>
      <w:pPr>
        <w:spacing w:after="0" w:line="192"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shall mean any individual, corporation, partnership (limited or general), limited liability company, limited liability partnership, association, trust, joint venture, unincorporated organization or any similar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Restricted Stock Award</w:t>
      </w:r>
      <w:r>
        <w:rPr>
          <w:rFonts w:ascii="Arial" w:cs="Arial" w:eastAsia="Arial" w:hAnsi="Arial"/>
          <w:sz w:val="16"/>
          <w:szCs w:val="16"/>
          <w:color w:val="auto"/>
        </w:rPr>
        <w:t>” means Awards granted pursuant to Section 6 and “Restricted Stock” means Shares issued pursuant to such Awards.</w:t>
      </w:r>
    </w:p>
    <w:p>
      <w:pPr>
        <w:spacing w:after="0" w:line="24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means an Award of phantom stock units to a grantee, which may be settled in cash or Shares as determined by the Committee, pursuant to Section 8.</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Sale Event</w:t>
      </w:r>
      <w:r>
        <w:rPr>
          <w:rFonts w:ascii="Arial" w:cs="Arial" w:eastAsia="Arial" w:hAnsi="Arial"/>
          <w:sz w:val="17"/>
          <w:szCs w:val="17"/>
          <w:color w:val="auto"/>
        </w:rPr>
        <w:t>” means the consummation of (i) the dissolution or liquidation of the Company, (ii) the sale of all or substantially all of the assets of the Company on a consolidated basis to an unrelated person or entity, (iii) a merger, reorganization or consolidation pursuant to which the holders of the Company’s outstanding voting power immediately prior to such transaction do not own a majority of the outstanding voting power of the surviving or resulting entity (or its ultimate parent, if applicable), (iv) the acquisition of all or a majority of the outstanding voting stock of the Company in a single transaction or a series of related transactions by a Person or group of Persons, (v) a Deemed Liquidation Event (as defined in the Company’s Certificate of Incorporation (as may be amended, restated or otherwise modified from time to time)), or (vi) any other acquisition of the business of the Company, as determined by the Board; provided, however, that the Company’s Initial Public Offering, any subsequent public offering or another capital raising event, or a merger effected solely to change the Company’s domicile shall not constitute a “Sale Event.”</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523" w:name="page524"/>
    <w:bookmarkEnd w:id="52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409A</w:t>
      </w:r>
      <w:r>
        <w:rPr>
          <w:rFonts w:ascii="Arial" w:cs="Arial" w:eastAsia="Arial" w:hAnsi="Arial"/>
          <w:sz w:val="18"/>
          <w:szCs w:val="18"/>
          <w:color w:val="auto"/>
        </w:rPr>
        <w:t>” means Section 409A of the Code and the regulations and other guidance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the rules and regulations thereunder.</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“Service Relationship” means any relationship as a full-time employee, part-time employee, director or other key person (including Consultants) of the Company or any Subsidiary or any successor entity (e.g., a Service Relationship shall be deemed to continue without interruption in the event an individual’s status changes from full-time employee to part-time employee or Consultant).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Shares</w:t>
      </w:r>
      <w:r>
        <w:rPr>
          <w:rFonts w:ascii="Arial" w:cs="Arial" w:eastAsia="Arial" w:hAnsi="Arial"/>
          <w:sz w:val="18"/>
          <w:szCs w:val="18"/>
          <w:color w:val="auto"/>
        </w:rPr>
        <w:t>” means shares of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means the Common Stock, par value $0.001 per share, of the Company.</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or other entity (other than the Company) in which the Company has more than a 50 percent interest, either directly or indirectly.</w:t>
      </w:r>
    </w:p>
    <w:p>
      <w:pPr>
        <w:spacing w:after="0" w:line="170"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Ten Percent Owner</w:t>
      </w:r>
      <w:r>
        <w:rPr>
          <w:rFonts w:ascii="Arial" w:cs="Arial" w:eastAsia="Arial" w:hAnsi="Arial"/>
          <w:sz w:val="17"/>
          <w:szCs w:val="17"/>
          <w:color w:val="auto"/>
        </w:rPr>
        <w:t>” means an employee who owns or is deemed to own (by reason of the attribution rules of Section 424(d) of the Code) more than 10 percent of the combined voting power of all classes of stock of the Company or any parent of the Company or any Subsidiary.</w:t>
      </w:r>
    </w:p>
    <w:p>
      <w:pPr>
        <w:spacing w:after="0" w:line="146"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Termination Event</w:t>
      </w:r>
      <w:r>
        <w:rPr>
          <w:rFonts w:ascii="Arial" w:cs="Arial" w:eastAsia="Arial" w:hAnsi="Arial"/>
          <w:sz w:val="16"/>
          <w:szCs w:val="16"/>
          <w:color w:val="auto"/>
        </w:rPr>
        <w:t>” means the termination of the Award recipient’s Service Relationship with the Company and its Subsidiaries for any reason whatsoever, regardless of the circumstances thereof, and including, without limitation, upon death, disability, retirement, discharge or resignation for any reason, whether voluntarily or involuntarily. The following shall not constitute a Termination Event: (i) a transfer to the service of the Company from a Subsidiary or from the Company to a Subsidiary, or from one Subsidiary to another Subsidiary or (ii) an approved leave of absence for military service or sickness, or for any other purpose approved by the Committee, if the individual’s right to re-employment is guaranteed either by a statute or by contract or under the policy pursuant to which the leave of absence was granted or if the Committee otherwise so provides in writing.</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Stock Award</w:t>
      </w:r>
      <w:r>
        <w:rPr>
          <w:rFonts w:ascii="Arial" w:cs="Arial" w:eastAsia="Arial" w:hAnsi="Arial"/>
          <w:sz w:val="16"/>
          <w:szCs w:val="16"/>
          <w:color w:val="auto"/>
        </w:rPr>
        <w:t>” means any Award granted pursuant to Section 7 and “Unrestricted Stock” means Shares issued pursuant to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Awards.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ADMINISTRATION OF PLAN; COMMITTEE AUTHORITY TO SELECT GRANTEES AND DETERMINE AWARDS</w:t>
      </w:r>
    </w:p>
    <w:p>
      <w:pPr>
        <w:spacing w:after="0" w:line="225" w:lineRule="exact"/>
        <w:rPr>
          <w:sz w:val="20"/>
          <w:szCs w:val="20"/>
          <w:color w:val="auto"/>
        </w:rPr>
      </w:pPr>
    </w:p>
    <w:p>
      <w:pPr>
        <w:ind w:firstLine="656"/>
        <w:spacing w:after="0" w:line="286" w:lineRule="auto"/>
        <w:tabs>
          <w:tab w:leader="none" w:pos="892" w:val="left"/>
        </w:tabs>
        <w:numPr>
          <w:ilvl w:val="0"/>
          <w:numId w:val="564"/>
        </w:numPr>
        <w:rPr>
          <w:rFonts w:ascii="Arial" w:cs="Arial" w:eastAsia="Arial" w:hAnsi="Arial"/>
          <w:sz w:val="17"/>
          <w:szCs w:val="17"/>
          <w:color w:val="auto"/>
        </w:rPr>
      </w:pPr>
      <w:r>
        <w:rPr>
          <w:rFonts w:ascii="Arial" w:cs="Arial" w:eastAsia="Arial" w:hAnsi="Arial"/>
          <w:sz w:val="17"/>
          <w:szCs w:val="17"/>
          <w:u w:val="single" w:color="auto"/>
          <w:color w:val="auto"/>
        </w:rPr>
        <w:t>Administration of Plan</w:t>
      </w:r>
      <w:r>
        <w:rPr>
          <w:rFonts w:ascii="Arial" w:cs="Arial" w:eastAsia="Arial" w:hAnsi="Arial"/>
          <w:sz w:val="17"/>
          <w:szCs w:val="17"/>
          <w:color w:val="auto"/>
        </w:rPr>
        <w:t>. The Plan shall be administered by the Board, or at the discretion of the Board, by a committee of the Board, comprised of not less than two (2) directors. All references herein to the “Committee” shall be deemed to refer to the group then responsible for administration of the Plan at the relevant time (i.e., either the Board of Directors or a committee or committees of the Board, as applicable).</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24" w:name="page525"/>
    <w:bookmarkEnd w:id="524"/>
    <w:p>
      <w:pPr>
        <w:ind w:right="100" w:firstLine="656"/>
        <w:spacing w:after="0" w:line="277" w:lineRule="auto"/>
        <w:tabs>
          <w:tab w:leader="none" w:pos="903" w:val="left"/>
        </w:tabs>
        <w:numPr>
          <w:ilvl w:val="0"/>
          <w:numId w:val="565"/>
        </w:numPr>
        <w:rPr>
          <w:rFonts w:ascii="Arial" w:cs="Arial" w:eastAsia="Arial" w:hAnsi="Arial"/>
          <w:sz w:val="18"/>
          <w:szCs w:val="18"/>
          <w:color w:val="auto"/>
        </w:rPr>
      </w:pPr>
      <w:r>
        <w:rPr>
          <w:rFonts w:ascii="Arial" w:cs="Arial" w:eastAsia="Arial" w:hAnsi="Arial"/>
          <w:sz w:val="18"/>
          <w:szCs w:val="18"/>
          <w:u w:val="single" w:color="auto"/>
          <w:color w:val="auto"/>
        </w:rPr>
        <w:t>Powers of Committee</w:t>
      </w:r>
      <w:r>
        <w:rPr>
          <w:rFonts w:ascii="Arial" w:cs="Arial" w:eastAsia="Arial" w:hAnsi="Arial"/>
          <w:sz w:val="18"/>
          <w:szCs w:val="18"/>
          <w:color w:val="auto"/>
        </w:rPr>
        <w:t>. The Committee shall have the power and authority to grant Awards consistent with the terms of the Plan, including the power and authority:</w:t>
      </w:r>
    </w:p>
    <w:p>
      <w:pPr>
        <w:spacing w:after="0" w:line="170" w:lineRule="exact"/>
        <w:rPr>
          <w:rFonts w:ascii="Arial" w:cs="Arial" w:eastAsia="Arial" w:hAnsi="Arial"/>
          <w:sz w:val="18"/>
          <w:szCs w:val="18"/>
          <w:color w:val="auto"/>
        </w:rPr>
      </w:pPr>
    </w:p>
    <w:p>
      <w:pPr>
        <w:ind w:left="1520" w:hanging="216"/>
        <w:spacing w:after="0"/>
        <w:tabs>
          <w:tab w:leader="none" w:pos="152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225" w:lineRule="exact"/>
        <w:rPr>
          <w:rFonts w:ascii="Arial" w:cs="Arial" w:eastAsia="Arial" w:hAnsi="Arial"/>
          <w:sz w:val="18"/>
          <w:szCs w:val="18"/>
          <w:color w:val="auto"/>
        </w:rPr>
      </w:pPr>
    </w:p>
    <w:p>
      <w:pPr>
        <w:ind w:right="120" w:firstLine="1304"/>
        <w:spacing w:after="0" w:line="342" w:lineRule="auto"/>
        <w:tabs>
          <w:tab w:leader="none" w:pos="1561" w:val="left"/>
        </w:tabs>
        <w:numPr>
          <w:ilvl w:val="1"/>
          <w:numId w:val="565"/>
        </w:numPr>
        <w:rPr>
          <w:rFonts w:ascii="Arial" w:cs="Arial" w:eastAsia="Arial" w:hAnsi="Arial"/>
          <w:sz w:val="16"/>
          <w:szCs w:val="16"/>
          <w:color w:val="auto"/>
        </w:rPr>
      </w:pPr>
      <w:r>
        <w:rPr>
          <w:rFonts w:ascii="Arial" w:cs="Arial" w:eastAsia="Arial" w:hAnsi="Arial"/>
          <w:sz w:val="16"/>
          <w:szCs w:val="16"/>
          <w:color w:val="auto"/>
        </w:rPr>
        <w:t>to determine the time or times of grant, and the amount, if any, of Incentive Stock Options, Non-Qualified Stock Options, Restricted Stock Awards, Unrestricted Stock Awards, Restricted Stock Units, or any combination of the foregoing, granted to any one or more grantees;</w:t>
      </w:r>
    </w:p>
    <w:p>
      <w:pPr>
        <w:spacing w:after="0" w:line="123" w:lineRule="exact"/>
        <w:rPr>
          <w:rFonts w:ascii="Arial" w:cs="Arial" w:eastAsia="Arial" w:hAnsi="Arial"/>
          <w:sz w:val="16"/>
          <w:szCs w:val="16"/>
          <w:color w:val="auto"/>
        </w:rPr>
      </w:pPr>
    </w:p>
    <w:p>
      <w:pPr>
        <w:ind w:right="220" w:firstLine="1304"/>
        <w:spacing w:after="0" w:line="277" w:lineRule="auto"/>
        <w:tabs>
          <w:tab w:leader="none" w:pos="1611" w:val="left"/>
        </w:tabs>
        <w:numPr>
          <w:ilvl w:val="1"/>
          <w:numId w:val="565"/>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any Award and, subject to the provisions of the Plan, the price, exercise price, conversion ratio or other price relating thereto;</w:t>
      </w:r>
    </w:p>
    <w:p>
      <w:pPr>
        <w:spacing w:after="0" w:line="170" w:lineRule="exact"/>
        <w:rPr>
          <w:rFonts w:ascii="Arial" w:cs="Arial" w:eastAsia="Arial" w:hAnsi="Arial"/>
          <w:sz w:val="18"/>
          <w:szCs w:val="18"/>
          <w:color w:val="auto"/>
        </w:rPr>
      </w:pPr>
    </w:p>
    <w:p>
      <w:pPr>
        <w:jc w:val="both"/>
        <w:ind w:right="20" w:firstLine="1304"/>
        <w:spacing w:after="0" w:line="263" w:lineRule="auto"/>
        <w:tabs>
          <w:tab w:leader="none" w:pos="1601" w:val="left"/>
        </w:tabs>
        <w:numPr>
          <w:ilvl w:val="1"/>
          <w:numId w:val="565"/>
        </w:numPr>
        <w:rPr>
          <w:rFonts w:ascii="Arial" w:cs="Arial" w:eastAsia="Arial" w:hAnsi="Arial"/>
          <w:sz w:val="18"/>
          <w:szCs w:val="18"/>
          <w:color w:val="auto"/>
        </w:rPr>
      </w:pPr>
      <w:r>
        <w:rPr>
          <w:rFonts w:ascii="Arial" w:cs="Arial" w:eastAsia="Arial" w:hAnsi="Arial"/>
          <w:sz w:val="18"/>
          <w:szCs w:val="18"/>
          <w:color w:val="auto"/>
        </w:rPr>
        <w:t>to determine and, subject to Section 12, to modify from time to time the terms and conditions, including restrictions, not inconsistent with the terms of the Plan, of any Award, which terms and conditions may differ among individual Awards and grantees, and to approve the form of Award Agreements;</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to accelerate at any time the exercisability or vesting of all or any portion of any Award;</w:t>
      </w:r>
    </w:p>
    <w:p>
      <w:pPr>
        <w:spacing w:after="0" w:line="225" w:lineRule="exact"/>
        <w:rPr>
          <w:rFonts w:ascii="Arial" w:cs="Arial" w:eastAsia="Arial" w:hAnsi="Arial"/>
          <w:sz w:val="18"/>
          <w:szCs w:val="18"/>
          <w:color w:val="auto"/>
        </w:rPr>
      </w:pPr>
    </w:p>
    <w:p>
      <w:pPr>
        <w:ind w:right="760" w:firstLine="1304"/>
        <w:spacing w:after="0" w:line="277" w:lineRule="auto"/>
        <w:tabs>
          <w:tab w:leader="none" w:pos="1601" w:val="left"/>
        </w:tabs>
        <w:numPr>
          <w:ilvl w:val="1"/>
          <w:numId w:val="565"/>
        </w:numPr>
        <w:rPr>
          <w:rFonts w:ascii="Arial" w:cs="Arial" w:eastAsia="Arial" w:hAnsi="Arial"/>
          <w:sz w:val="18"/>
          <w:szCs w:val="18"/>
          <w:color w:val="auto"/>
        </w:rPr>
      </w:pPr>
      <w:r>
        <w:rPr>
          <w:rFonts w:ascii="Arial" w:cs="Arial" w:eastAsia="Arial" w:hAnsi="Arial"/>
          <w:sz w:val="18"/>
          <w:szCs w:val="18"/>
          <w:color w:val="auto"/>
        </w:rPr>
        <w:t>to impose any limitations on Awards, including limitations on transfers, repurchase provisions and the like, and to exercise repurchase rights or obligations;</w:t>
      </w:r>
    </w:p>
    <w:p>
      <w:pPr>
        <w:spacing w:after="0" w:line="170" w:lineRule="exact"/>
        <w:rPr>
          <w:rFonts w:ascii="Arial" w:cs="Arial" w:eastAsia="Arial" w:hAnsi="Arial"/>
          <w:sz w:val="18"/>
          <w:szCs w:val="18"/>
          <w:color w:val="auto"/>
        </w:rPr>
      </w:pPr>
    </w:p>
    <w:p>
      <w:pPr>
        <w:ind w:left="1660" w:hanging="356"/>
        <w:spacing w:after="0"/>
        <w:tabs>
          <w:tab w:leader="none" w:pos="1660" w:val="left"/>
        </w:tabs>
        <w:numPr>
          <w:ilvl w:val="1"/>
          <w:numId w:val="565"/>
        </w:numPr>
        <w:rPr>
          <w:rFonts w:ascii="Arial" w:cs="Arial" w:eastAsia="Arial" w:hAnsi="Arial"/>
          <w:sz w:val="16"/>
          <w:szCs w:val="16"/>
          <w:color w:val="auto"/>
        </w:rPr>
      </w:pPr>
      <w:r>
        <w:rPr>
          <w:rFonts w:ascii="Arial" w:cs="Arial" w:eastAsia="Arial" w:hAnsi="Arial"/>
          <w:sz w:val="16"/>
          <w:szCs w:val="16"/>
          <w:color w:val="auto"/>
        </w:rPr>
        <w:t>subject to Section 5(a)(ii) and any restrictions imposed by Section 409A, to extend at any time the period in which Stock Options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may be exercised; and</w:t>
      </w:r>
    </w:p>
    <w:p>
      <w:pPr>
        <w:spacing w:after="0" w:line="210" w:lineRule="exact"/>
        <w:rPr>
          <w:rFonts w:ascii="Arial" w:cs="Arial" w:eastAsia="Arial" w:hAnsi="Arial"/>
          <w:sz w:val="16"/>
          <w:szCs w:val="16"/>
          <w:color w:val="auto"/>
        </w:rPr>
      </w:pPr>
    </w:p>
    <w:p>
      <w:pPr>
        <w:ind w:right="160" w:firstLine="1304"/>
        <w:spacing w:after="0" w:line="259" w:lineRule="auto"/>
        <w:tabs>
          <w:tab w:leader="none" w:pos="1701" w:val="left"/>
        </w:tabs>
        <w:numPr>
          <w:ilvl w:val="1"/>
          <w:numId w:val="565"/>
        </w:numPr>
        <w:rPr>
          <w:rFonts w:ascii="Arial" w:cs="Arial" w:eastAsia="Arial" w:hAnsi="Arial"/>
          <w:sz w:val="18"/>
          <w:szCs w:val="18"/>
          <w:color w:val="auto"/>
        </w:rPr>
      </w:pPr>
      <w:r>
        <w:rPr>
          <w:rFonts w:ascii="Arial" w:cs="Arial" w:eastAsia="Arial" w:hAnsi="Arial"/>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Award Agreements); to make all determinations it deems advisable for the administration of the Plan; to decide all disputes arising in connection with the Plan; and to otherwise supervise the administration of the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decisions and interpretations of the Committee shall be binding on all persons, including the Company and all Holders.</w:t>
      </w:r>
    </w:p>
    <w:p>
      <w:pPr>
        <w:spacing w:after="0" w:line="225" w:lineRule="exact"/>
        <w:rPr>
          <w:sz w:val="20"/>
          <w:szCs w:val="20"/>
          <w:color w:val="auto"/>
        </w:rPr>
      </w:pPr>
    </w:p>
    <w:p>
      <w:pPr>
        <w:ind w:firstLine="656"/>
        <w:spacing w:after="0" w:line="272" w:lineRule="auto"/>
        <w:tabs>
          <w:tab w:leader="none" w:pos="892" w:val="left"/>
        </w:tabs>
        <w:numPr>
          <w:ilvl w:val="0"/>
          <w:numId w:val="566"/>
        </w:numPr>
        <w:rPr>
          <w:rFonts w:ascii="Arial" w:cs="Arial" w:eastAsia="Arial" w:hAnsi="Arial"/>
          <w:sz w:val="17"/>
          <w:szCs w:val="17"/>
          <w:color w:val="auto"/>
        </w:rPr>
      </w:pPr>
      <w:r>
        <w:rPr>
          <w:rFonts w:ascii="Arial" w:cs="Arial" w:eastAsia="Arial" w:hAnsi="Arial"/>
          <w:sz w:val="17"/>
          <w:szCs w:val="17"/>
          <w:u w:val="single" w:color="auto"/>
          <w:color w:val="auto"/>
        </w:rPr>
        <w:t>Delegation of Authority to Grant Options</w:t>
      </w:r>
      <w:r>
        <w:rPr>
          <w:rFonts w:ascii="Arial" w:cs="Arial" w:eastAsia="Arial" w:hAnsi="Arial"/>
          <w:sz w:val="17"/>
          <w:szCs w:val="17"/>
          <w:color w:val="auto"/>
        </w:rPr>
        <w:t>. Subject to applicable law, the Committee, in its discretion, may delegate to the Chief Executive Officer of the Company the power to designate non-officer employees to be recipients of Options, and to determine the number of such Options to be received by such employees; provided, however, that the resolution so authorizing the Chief Executive Officer shall specify the total number of Options the Chief Executive Officer may so award and may not delegate to the Chief Executive Officer the authority to set the exercise price or the vesting terms of such Options. Any such delegation by the Committee shall also provide that the Chief Executive Officer may not grant Awards to himself or herself (or other officers) without the approval of the Committee. The Committee may revoke or amend the terms of a delegation at any time but such action shall not invalidate any prior actions of the Committee’s delegate or delegates that were consistent with the terms of the Plan.</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25" w:name="page526"/>
    <w:bookmarkEnd w:id="525"/>
    <w:p>
      <w:pPr>
        <w:ind w:left="660"/>
        <w:spacing w:after="0"/>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Award Agreement</w:t>
      </w:r>
      <w:r>
        <w:rPr>
          <w:rFonts w:ascii="Arial" w:cs="Arial" w:eastAsia="Arial" w:hAnsi="Arial"/>
          <w:sz w:val="16"/>
          <w:szCs w:val="16"/>
          <w:color w:val="auto"/>
        </w:rPr>
        <w:t>. Awards under the Plan shall be evidenced by Award Agreements that set forth the terms, conditions and limitations for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Award.</w:t>
      </w:r>
    </w:p>
    <w:p>
      <w:pPr>
        <w:spacing w:after="0" w:line="211" w:lineRule="exact"/>
        <w:rPr>
          <w:sz w:val="20"/>
          <w:szCs w:val="20"/>
          <w:color w:val="auto"/>
        </w:rPr>
      </w:pPr>
    </w:p>
    <w:p>
      <w:pPr>
        <w:ind w:right="100" w:firstLine="656"/>
        <w:spacing w:after="0" w:line="254" w:lineRule="auto"/>
        <w:tabs>
          <w:tab w:leader="none" w:pos="892" w:val="left"/>
        </w:tabs>
        <w:numPr>
          <w:ilvl w:val="0"/>
          <w:numId w:val="567"/>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Neither the Board nor the Committee, nor any member of either or any delegate thereof, shall be liable for any act, omission, interpretation, construction or determination made in good faith in connection with the Plan, and the members of the Board and the Committee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governing documents, including its certificate of incorporation or bylaws (each, as may be amended, restated, or otherwise modified from time to time), or any directors’ and officers’ liability insurance coverage which may be in effect from time to time and/or any indemnification agreement between such individual and the Company.</w:t>
      </w:r>
    </w:p>
    <w:p>
      <w:pPr>
        <w:spacing w:after="0" w:line="194" w:lineRule="exact"/>
        <w:rPr>
          <w:rFonts w:ascii="Arial" w:cs="Arial" w:eastAsia="Arial" w:hAnsi="Arial"/>
          <w:sz w:val="18"/>
          <w:szCs w:val="18"/>
          <w:color w:val="auto"/>
        </w:rPr>
      </w:pPr>
    </w:p>
    <w:p>
      <w:pPr>
        <w:ind w:firstLine="656"/>
        <w:spacing w:after="0" w:line="270" w:lineRule="auto"/>
        <w:tabs>
          <w:tab w:leader="none" w:pos="873" w:val="left"/>
        </w:tabs>
        <w:numPr>
          <w:ilvl w:val="0"/>
          <w:numId w:val="567"/>
        </w:numPr>
        <w:rPr>
          <w:rFonts w:ascii="Arial" w:cs="Arial" w:eastAsia="Arial" w:hAnsi="Arial"/>
          <w:sz w:val="17"/>
          <w:szCs w:val="17"/>
          <w:color w:val="auto"/>
        </w:rPr>
      </w:pPr>
      <w:r>
        <w:rPr>
          <w:rFonts w:ascii="Arial" w:cs="Arial" w:eastAsia="Arial" w:hAnsi="Arial"/>
          <w:sz w:val="17"/>
          <w:szCs w:val="17"/>
          <w:u w:val="single" w:color="auto"/>
          <w:color w:val="auto"/>
        </w:rPr>
        <w:t>Foreign Award Recipients</w:t>
      </w:r>
      <w:r>
        <w:rPr>
          <w:rFonts w:ascii="Arial" w:cs="Arial" w:eastAsia="Arial" w:hAnsi="Arial"/>
          <w:sz w:val="17"/>
          <w:szCs w:val="17"/>
          <w:color w:val="auto"/>
        </w:rPr>
        <w:t xml:space="preserve">. Notwithstanding any provision of the Plan to the contrary, in order to comply with the laws in other countries in which the Company and any Subsidiary operate or have employees or other individuals eligible for Awards, the Committee, in its sole discretion, shall have the power and authority to: (i) determine which Subsidiaries, if any, shall be covered by the Plan; (ii) determine which individuals, if any,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Committee determines such actions to be necessary or advisable (and such subplans and/or modifications shall be attached to the Plan as appendices);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subplans and/or modifications shall increase the share limitation contained in Section 3(a) hereof; and (v) take any action, before or after an Award is made, that the Committee determines to be necessary or advisable to obtain approval or comply with any local governmental regulatory exemptions or approvals.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STOCK ISSUABLE UNDER THE PLAN; MERGERS AND OTHER TRANSACTIONS; SUBSTITUTION</w:t>
      </w:r>
    </w:p>
    <w:p>
      <w:pPr>
        <w:spacing w:after="0" w:line="225" w:lineRule="exact"/>
        <w:rPr>
          <w:sz w:val="20"/>
          <w:szCs w:val="20"/>
          <w:color w:val="auto"/>
        </w:rPr>
      </w:pPr>
    </w:p>
    <w:p>
      <w:pPr>
        <w:ind w:right="20" w:firstLine="656"/>
        <w:spacing w:after="0" w:line="290" w:lineRule="auto"/>
        <w:tabs>
          <w:tab w:leader="none" w:pos="892" w:val="left"/>
        </w:tabs>
        <w:numPr>
          <w:ilvl w:val="0"/>
          <w:numId w:val="568"/>
        </w:numPr>
        <w:rPr>
          <w:rFonts w:ascii="Arial" w:cs="Arial" w:eastAsia="Arial" w:hAnsi="Arial"/>
          <w:sz w:val="16"/>
          <w:szCs w:val="16"/>
          <w:color w:val="auto"/>
        </w:rPr>
      </w:pPr>
      <w:r>
        <w:rPr>
          <w:rFonts w:ascii="Arial" w:cs="Arial" w:eastAsia="Arial" w:hAnsi="Arial"/>
          <w:sz w:val="16"/>
          <w:szCs w:val="16"/>
          <w:u w:val="single" w:color="auto"/>
          <w:color w:val="auto"/>
        </w:rPr>
        <w:t>Stock Issuable</w:t>
      </w:r>
      <w:r>
        <w:rPr>
          <w:rFonts w:ascii="Arial" w:cs="Arial" w:eastAsia="Arial" w:hAnsi="Arial"/>
          <w:sz w:val="16"/>
          <w:szCs w:val="16"/>
          <w:color w:val="auto"/>
        </w:rPr>
        <w:t>. The maximum number of Shares reserved and available for issuance under the Plan shall be 10,000,000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10,000,000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10,000,000 Shares shall be granted to any one individual in any calendar year period.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6" w:name="page527"/>
    <w:bookmarkEnd w:id="526"/>
    <w:p>
      <w:pPr>
        <w:ind w:left="-20" w:right="100" w:firstLine="656"/>
        <w:spacing w:after="0" w:line="287" w:lineRule="auto"/>
        <w:tabs>
          <w:tab w:leader="none" w:pos="883" w:val="left"/>
        </w:tabs>
        <w:numPr>
          <w:ilvl w:val="0"/>
          <w:numId w:val="569"/>
        </w:numPr>
        <w:rPr>
          <w:rFonts w:ascii="Arial" w:cs="Arial" w:eastAsia="Arial" w:hAnsi="Arial"/>
          <w:sz w:val="16"/>
          <w:szCs w:val="16"/>
          <w:color w:val="auto"/>
        </w:rPr>
      </w:pPr>
      <w:r>
        <w:rPr>
          <w:rFonts w:ascii="Arial" w:cs="Arial" w:eastAsia="Arial" w:hAnsi="Arial"/>
          <w:sz w:val="16"/>
          <w:szCs w:val="16"/>
          <w:u w:val="single" w:color="auto"/>
          <w:color w:val="auto"/>
        </w:rPr>
        <w:t>Changes in Stock</w:t>
      </w:r>
      <w:r>
        <w:rPr>
          <w:rFonts w:ascii="Arial" w:cs="Arial" w:eastAsia="Arial" w:hAnsi="Arial"/>
          <w:sz w:val="16"/>
          <w:szCs w:val="16"/>
          <w:color w:val="auto"/>
        </w:rPr>
        <w:t>. Subject to Section 3(c) hereof, if, as a result of any reorganization, recapitalization, reclassification, stock dividend, stock split, reverse stock split or other similar change in the Company’s capital stock, the outstanding Shares are increased or decreased or are exchanged for a different number or kind of shares or other securities of the Company, or additional Shares or new or different shares or other securities of the Company or other non-cash assets are distributed with respect to such Shares or other securities, in each case, without the receipt of consideration by the Company, or, if, as a result of any merger or consolidation, or sale of all or substantially all of the assets of the Company, the outstanding Shares are converted into or exchanged for other securities of the Company or any successor entity (or a parent or subsidiary thereof), the Committee shall make an appropriate and proportionate adjustment in (i) the maximum number of Shares reserved for issuance under the Plan, (ii) the number and kind of Shares or other securities subject to any then outstanding Awards under the Plan, (iii) the repurchase price, if any, per Share subject to each outstanding Award, and (iv) the exercise price for each Share subject to any then outstanding Stock Options under the Plan, without changing the aggregate exercise price (i.e., the per share exercise price multiplied by the number of shares underlying such Stock Options) as to which such Stock Options remain exercisable. The adjustment by the Committee shall be final, binding and conclusive. No fractional Shares shall be issued under the Plan resulting from any such adjustment, but the Committee in its discretion may make a cash payment in lieu of fractional shares.</w:t>
      </w:r>
    </w:p>
    <w:p>
      <w:pPr>
        <w:spacing w:after="0" w:line="167" w:lineRule="exact"/>
        <w:rPr>
          <w:rFonts w:ascii="Arial" w:cs="Arial" w:eastAsia="Arial" w:hAnsi="Arial"/>
          <w:sz w:val="16"/>
          <w:szCs w:val="16"/>
          <w:color w:val="auto"/>
        </w:rPr>
      </w:pPr>
    </w:p>
    <w:p>
      <w:pPr>
        <w:ind w:left="880" w:hanging="244"/>
        <w:spacing w:after="0"/>
        <w:tabs>
          <w:tab w:leader="none" w:pos="880" w:val="left"/>
        </w:tabs>
        <w:numPr>
          <w:ilvl w:val="0"/>
          <w:numId w:val="569"/>
        </w:numPr>
        <w:rPr>
          <w:rFonts w:ascii="Arial" w:cs="Arial" w:eastAsia="Arial" w:hAnsi="Arial"/>
          <w:sz w:val="18"/>
          <w:szCs w:val="18"/>
          <w:color w:val="auto"/>
        </w:rPr>
      </w:pPr>
      <w:r>
        <w:rPr>
          <w:rFonts w:ascii="Arial" w:cs="Arial" w:eastAsia="Arial" w:hAnsi="Arial"/>
          <w:sz w:val="18"/>
          <w:szCs w:val="18"/>
          <w:u w:val="single" w:color="auto"/>
          <w:color w:val="auto"/>
        </w:rPr>
        <w:t>Sale Events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00" w:hanging="216"/>
        <w:spacing w:after="0"/>
        <w:tabs>
          <w:tab w:leader="none" w:pos="1500" w:val="left"/>
        </w:tabs>
        <w:numPr>
          <w:ilvl w:val="1"/>
          <w:numId w:val="569"/>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firstLine="1292"/>
        <w:spacing w:after="0" w:line="257" w:lineRule="auto"/>
        <w:tabs>
          <w:tab w:leader="none" w:pos="2231" w:val="left"/>
        </w:tabs>
        <w:numPr>
          <w:ilvl w:val="2"/>
          <w:numId w:val="569"/>
        </w:numPr>
        <w:rPr>
          <w:rFonts w:ascii="Arial" w:cs="Arial" w:eastAsia="Arial" w:hAnsi="Arial"/>
          <w:sz w:val="18"/>
          <w:szCs w:val="18"/>
          <w:color w:val="auto"/>
        </w:rPr>
      </w:pPr>
      <w:r>
        <w:rPr>
          <w:rFonts w:ascii="Arial" w:cs="Arial" w:eastAsia="Arial" w:hAnsi="Arial"/>
          <w:sz w:val="18"/>
          <w:szCs w:val="18"/>
          <w:color w:val="auto"/>
        </w:rPr>
        <w:t>In the case of and subject to the consummation of a Sale Event, the Plan and all outstanding Options issued hereunder shall terminate upon the effective time of any such Sale Event unless assumed or continued by the successor entity, or new stock options or other awards of the successor entity or parent thereof are substituted therefor, with an equitable or proportionate adjustment as to the number and kind of shares and, if appropriate, the per share exercise prices, as such parties shall agree (after taking into account any acceleration hereunder and/or pursuant to the terms of any Award Agreement).</w:t>
      </w:r>
    </w:p>
    <w:p>
      <w:pPr>
        <w:spacing w:after="0" w:line="187" w:lineRule="exact"/>
        <w:rPr>
          <w:rFonts w:ascii="Arial" w:cs="Arial" w:eastAsia="Arial" w:hAnsi="Arial"/>
          <w:sz w:val="18"/>
          <w:szCs w:val="18"/>
          <w:color w:val="auto"/>
        </w:rPr>
      </w:pPr>
    </w:p>
    <w:p>
      <w:pPr>
        <w:jc w:val="both"/>
        <w:ind w:left="640" w:right="80" w:firstLine="1292"/>
        <w:spacing w:after="0" w:line="279" w:lineRule="auto"/>
        <w:tabs>
          <w:tab w:leader="none" w:pos="2221" w:val="left"/>
        </w:tabs>
        <w:numPr>
          <w:ilvl w:val="2"/>
          <w:numId w:val="569"/>
        </w:numPr>
        <w:rPr>
          <w:rFonts w:ascii="Arial" w:cs="Arial" w:eastAsia="Arial" w:hAnsi="Arial"/>
          <w:sz w:val="17"/>
          <w:szCs w:val="17"/>
          <w:color w:val="auto"/>
        </w:rPr>
      </w:pPr>
      <w:r>
        <w:rPr>
          <w:rFonts w:ascii="Arial" w:cs="Arial" w:eastAsia="Arial" w:hAnsi="Arial"/>
          <w:sz w:val="17"/>
          <w:szCs w:val="17"/>
          <w:color w:val="auto"/>
        </w:rPr>
        <w:t>In the event of the termination of the Plan and all outstanding Options issued hereunder pursuant to Section 3(c), each Holder of Options shall be permitted, within a period of time prior to the consummation of the Sale Event as specified by the Committee, to exercise all such Options which are then exercisable or will become exercisable as of the effective time of the Sale Event; provided, however, that the exercise of Options not exercisable prior to the Sale Event shall be subject to the consummation of the Sale Event.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527" w:name="page528"/>
    <w:bookmarkEnd w:id="527"/>
    <w:p>
      <w:pPr>
        <w:ind w:left="660" w:right="20" w:firstLine="1292"/>
        <w:spacing w:after="0" w:line="273" w:lineRule="auto"/>
        <w:tabs>
          <w:tab w:leader="none" w:pos="2241" w:val="left"/>
        </w:tabs>
        <w:numPr>
          <w:ilvl w:val="1"/>
          <w:numId w:val="570"/>
        </w:numPr>
        <w:rPr>
          <w:rFonts w:ascii="Arial" w:cs="Arial" w:eastAsia="Arial" w:hAnsi="Arial"/>
          <w:sz w:val="17"/>
          <w:szCs w:val="17"/>
          <w:color w:val="auto"/>
        </w:rPr>
      </w:pPr>
      <w:r>
        <w:rPr>
          <w:rFonts w:ascii="Arial" w:cs="Arial" w:eastAsia="Arial" w:hAnsi="Arial"/>
          <w:sz w:val="17"/>
          <w:szCs w:val="17"/>
          <w:color w:val="auto"/>
        </w:rPr>
        <w:t>Notwithstanding anything to the contrary in Section 3(c)(i)(A), in the event of a Sale Event, the Company shall have the right, but not the obligation, to make or provide for a cash payment to the Holders of Options, without any consent of the Holders, in exchange for the cancellation thereof, in an amount equal to the difference between (A) the value as determined by the Committee of the consideration payable per share of Stock pursuant to the Sale Event (the “Sale Price”) times the number of Shares subject to outstanding Options being cancelled (to the extent then vested and exercisable, including by reason of acceleration in connection with such Sale Event, at prices not in excess of the Sale Price) and (B) the aggregate exercise price of all such outstanding vested and exercisable Options.</w:t>
      </w:r>
    </w:p>
    <w:p>
      <w:pPr>
        <w:spacing w:after="0" w:line="177" w:lineRule="exact"/>
        <w:rPr>
          <w:rFonts w:ascii="Arial" w:cs="Arial" w:eastAsia="Arial" w:hAnsi="Arial"/>
          <w:sz w:val="17"/>
          <w:szCs w:val="17"/>
          <w:color w:val="auto"/>
        </w:rPr>
      </w:pPr>
    </w:p>
    <w:p>
      <w:pPr>
        <w:ind w:left="1560" w:hanging="256"/>
        <w:spacing w:after="0"/>
        <w:tabs>
          <w:tab w:leader="none" w:pos="1560" w:val="left"/>
        </w:tabs>
        <w:numPr>
          <w:ilvl w:val="0"/>
          <w:numId w:val="571"/>
        </w:numPr>
        <w:rPr>
          <w:rFonts w:ascii="Arial" w:cs="Arial" w:eastAsia="Arial" w:hAnsi="Arial"/>
          <w:sz w:val="18"/>
          <w:szCs w:val="18"/>
          <w:color w:val="auto"/>
        </w:rPr>
      </w:pPr>
      <w:r>
        <w:rPr>
          <w:rFonts w:ascii="Arial" w:cs="Arial" w:eastAsia="Arial" w:hAnsi="Arial"/>
          <w:sz w:val="18"/>
          <w:szCs w:val="18"/>
          <w:u w:val="single" w:color="auto"/>
          <w:color w:val="auto"/>
        </w:rPr>
        <w:t>Restricted Stock and Restricted Stock Unit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1292"/>
        <w:spacing w:after="0" w:line="275" w:lineRule="auto"/>
        <w:tabs>
          <w:tab w:leader="none" w:pos="2251" w:val="left"/>
        </w:tabs>
        <w:numPr>
          <w:ilvl w:val="1"/>
          <w:numId w:val="571"/>
        </w:numPr>
        <w:rPr>
          <w:rFonts w:ascii="Arial" w:cs="Arial" w:eastAsia="Arial" w:hAnsi="Arial"/>
          <w:sz w:val="17"/>
          <w:szCs w:val="17"/>
          <w:color w:val="auto"/>
        </w:rPr>
      </w:pPr>
      <w:r>
        <w:rPr>
          <w:rFonts w:ascii="Arial" w:cs="Arial" w:eastAsia="Arial" w:hAnsi="Arial"/>
          <w:sz w:val="17"/>
          <w:szCs w:val="17"/>
          <w:color w:val="auto"/>
        </w:rPr>
        <w:t>In the case of and subject to the consummation of a Sale Event, all Restricted Stock and unvested Restricted Stock Unit Awards (other than those becoming vested as a result of the Sale Event) issued hereunder shall be forfeited immediately prior to the effective time of any such Sale Event unless assumed or continued by the successor entity, or awards of the successor entity or parent thereof are substituted therefor, with an equitable or proportionate adjustment as to the number and kind of shares subject to such awards as such parties shall agree (after taking into account any acceleration hereunder and/or pursuant to the terms of any Award Agreement).</w:t>
      </w:r>
    </w:p>
    <w:p>
      <w:pPr>
        <w:spacing w:after="0" w:line="176" w:lineRule="exact"/>
        <w:rPr>
          <w:rFonts w:ascii="Arial" w:cs="Arial" w:eastAsia="Arial" w:hAnsi="Arial"/>
          <w:sz w:val="17"/>
          <w:szCs w:val="17"/>
          <w:color w:val="auto"/>
        </w:rPr>
      </w:pPr>
    </w:p>
    <w:p>
      <w:pPr>
        <w:ind w:left="660" w:right="20" w:firstLine="1292"/>
        <w:spacing w:after="0" w:line="311" w:lineRule="auto"/>
        <w:tabs>
          <w:tab w:leader="none" w:pos="2241" w:val="left"/>
        </w:tabs>
        <w:numPr>
          <w:ilvl w:val="1"/>
          <w:numId w:val="571"/>
        </w:numPr>
        <w:rPr>
          <w:rFonts w:ascii="Arial" w:cs="Arial" w:eastAsia="Arial" w:hAnsi="Arial"/>
          <w:sz w:val="16"/>
          <w:szCs w:val="16"/>
          <w:color w:val="auto"/>
        </w:rPr>
      </w:pPr>
      <w:r>
        <w:rPr>
          <w:rFonts w:ascii="Arial" w:cs="Arial" w:eastAsia="Arial" w:hAnsi="Arial"/>
          <w:sz w:val="16"/>
          <w:szCs w:val="16"/>
          <w:color w:val="auto"/>
        </w:rPr>
        <w:t>In the event of the forfeiture of Restricted Stock pursuant to Section 3(c)(ii)(A), such Restricted Stock shall be repurchased from the Holder thereof at a price per share equal to the lower of the original per share purchase price paid by the Holder (subject to adjustment as provided in Section 3(b)) or the current Fair Market Value of such Shares, determined immediately prior to the effective time of the Sale Event.</w:t>
      </w:r>
    </w:p>
    <w:p>
      <w:pPr>
        <w:spacing w:after="0" w:line="148" w:lineRule="exact"/>
        <w:rPr>
          <w:rFonts w:ascii="Arial" w:cs="Arial" w:eastAsia="Arial" w:hAnsi="Arial"/>
          <w:sz w:val="16"/>
          <w:szCs w:val="16"/>
          <w:color w:val="auto"/>
        </w:rPr>
      </w:pPr>
    </w:p>
    <w:p>
      <w:pPr>
        <w:ind w:left="660" w:right="160" w:firstLine="1292"/>
        <w:spacing w:after="0" w:line="259" w:lineRule="auto"/>
        <w:tabs>
          <w:tab w:leader="none" w:pos="2241" w:val="left"/>
        </w:tabs>
        <w:numPr>
          <w:ilvl w:val="1"/>
          <w:numId w:val="571"/>
        </w:numPr>
        <w:rPr>
          <w:rFonts w:ascii="Arial" w:cs="Arial" w:eastAsia="Arial" w:hAnsi="Arial"/>
          <w:sz w:val="18"/>
          <w:szCs w:val="18"/>
          <w:color w:val="auto"/>
        </w:rPr>
      </w:pPr>
      <w:r>
        <w:rPr>
          <w:rFonts w:ascii="Arial" w:cs="Arial" w:eastAsia="Arial" w:hAnsi="Arial"/>
          <w:sz w:val="18"/>
          <w:szCs w:val="18"/>
          <w:color w:val="auto"/>
        </w:rPr>
        <w:t>Notwithstanding anything to the contrary in Section 3(c)(ii)(A), in the event of a Sale Event, the Company shall have the right, but not the obligation, to make or provide for a cash payment to the Holders of Restricted Stock or Restricted Stock Unit Awards, without consent of the Holders, in exchange for the cancellation thereof, in an amount equal to the Sale Price times the number of Shares subject to such Awards, to be paid at the time of such Sale Event or upon the later vesting of such Awards.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ELIGIBILITY</w:t>
      </w:r>
    </w:p>
    <w:p>
      <w:pPr>
        <w:spacing w:after="0" w:line="225"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 xml:space="preserve">Grantees under the Plan will be such full or part-time officers and other employees, directors, Consultants and key persons of the Company and any Subsidiary who are selected from time to time by the Committee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Awards shall be granted only to those individuals described in Rule 701(c) of the Securities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Upon the grant of a Stock Option, the Company and the grantee shall enter into an Award Agreement. The terms and conditions of each such Award Agreement shall be determined by the Committee, and such terms and conditions may differ among individual Awards and grantees.</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28" w:name="page529"/>
    <w:bookmarkEnd w:id="528"/>
    <w:p>
      <w:pPr>
        <w:jc w:val="both"/>
        <w:ind w:right="240" w:firstLine="648"/>
        <w:spacing w:after="0" w:line="286" w:lineRule="auto"/>
        <w:rPr>
          <w:sz w:val="20"/>
          <w:szCs w:val="20"/>
          <w:color w:val="auto"/>
        </w:rPr>
      </w:pPr>
      <w:r>
        <w:rPr>
          <w:rFonts w:ascii="Arial" w:cs="Arial" w:eastAsia="Arial" w:hAnsi="Arial"/>
          <w:sz w:val="17"/>
          <w:szCs w:val="17"/>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65" w:lineRule="exact"/>
        <w:rPr>
          <w:sz w:val="20"/>
          <w:szCs w:val="20"/>
          <w:color w:val="auto"/>
        </w:rPr>
      </w:pPr>
    </w:p>
    <w:p>
      <w:pPr>
        <w:jc w:val="both"/>
        <w:ind w:firstLine="656"/>
        <w:spacing w:after="0" w:line="263" w:lineRule="auto"/>
        <w:tabs>
          <w:tab w:leader="none" w:pos="892" w:val="left"/>
        </w:tabs>
        <w:numPr>
          <w:ilvl w:val="1"/>
          <w:numId w:val="572"/>
        </w:numPr>
        <w:rPr>
          <w:rFonts w:ascii="Arial" w:cs="Arial" w:eastAsia="Arial" w:hAnsi="Arial"/>
          <w:sz w:val="18"/>
          <w:szCs w:val="18"/>
          <w:color w:val="auto"/>
        </w:rPr>
      </w:pPr>
      <w:r>
        <w:rPr>
          <w:rFonts w:ascii="Arial" w:cs="Arial" w:eastAsia="Arial" w:hAnsi="Arial"/>
          <w:sz w:val="18"/>
          <w:szCs w:val="18"/>
          <w:u w:val="single" w:color="auto"/>
          <w:color w:val="auto"/>
        </w:rPr>
        <w:t>Terms of Stock Options</w:t>
      </w:r>
      <w:r>
        <w:rPr>
          <w:rFonts w:ascii="Arial" w:cs="Arial" w:eastAsia="Arial" w:hAnsi="Arial"/>
          <w:sz w:val="18"/>
          <w:szCs w:val="18"/>
          <w:color w:val="auto"/>
        </w:rPr>
        <w:t>. The Committee in its discretion may grant Stock Options to those individuals who meet the eligibility requirements of Section 4. Stock Options shall be subject to the following terms and conditions and shall contain such additional terms and conditions, not inconsistent with the terms of the Plan, as the Committee shall deem desirable.</w:t>
      </w:r>
    </w:p>
    <w:p>
      <w:pPr>
        <w:spacing w:after="0" w:line="183" w:lineRule="exact"/>
        <w:rPr>
          <w:rFonts w:ascii="Arial" w:cs="Arial" w:eastAsia="Arial" w:hAnsi="Arial"/>
          <w:sz w:val="18"/>
          <w:szCs w:val="18"/>
          <w:color w:val="auto"/>
        </w:rPr>
      </w:pPr>
    </w:p>
    <w:p>
      <w:pPr>
        <w:ind w:right="20" w:firstLine="1304"/>
        <w:spacing w:after="0" w:line="259" w:lineRule="auto"/>
        <w:tabs>
          <w:tab w:leader="none" w:pos="1511" w:val="left"/>
        </w:tabs>
        <w:numPr>
          <w:ilvl w:val="2"/>
          <w:numId w:val="572"/>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for the Shares covered by a Stock Option shall be determined by the Committee at the time of grant but shall not be less than 100 percent of the Fair Market Value on the Grant Date. In the case of an Incentive Stock Option that is granted to a Ten Percent Owner, the exercise price per share for the Shares covered by such Incentive Stock Option shall not be less than 110 percent of the Fair Market Value on the Grant Date.</w:t>
      </w:r>
    </w:p>
    <w:p>
      <w:pPr>
        <w:spacing w:after="0" w:line="186" w:lineRule="exact"/>
        <w:rPr>
          <w:rFonts w:ascii="Arial" w:cs="Arial" w:eastAsia="Arial" w:hAnsi="Arial"/>
          <w:sz w:val="18"/>
          <w:szCs w:val="18"/>
          <w:color w:val="auto"/>
        </w:rPr>
      </w:pPr>
    </w:p>
    <w:p>
      <w:pPr>
        <w:ind w:left="1560" w:hanging="256"/>
        <w:spacing w:after="0"/>
        <w:tabs>
          <w:tab w:leader="none" w:pos="1560" w:val="left"/>
        </w:tabs>
        <w:numPr>
          <w:ilvl w:val="2"/>
          <w:numId w:val="572"/>
        </w:numPr>
        <w:rPr>
          <w:rFonts w:ascii="Arial" w:cs="Arial" w:eastAsia="Arial" w:hAnsi="Arial"/>
          <w:sz w:val="16"/>
          <w:szCs w:val="16"/>
          <w:color w:val="auto"/>
        </w:rPr>
      </w:pPr>
      <w:r>
        <w:rPr>
          <w:rFonts w:ascii="Arial" w:cs="Arial" w:eastAsia="Arial" w:hAnsi="Arial"/>
          <w:sz w:val="16"/>
          <w:szCs w:val="16"/>
          <w:u w:val="single" w:color="auto"/>
          <w:color w:val="auto"/>
        </w:rPr>
        <w:t>Option Term</w:t>
      </w:r>
      <w:r>
        <w:rPr>
          <w:rFonts w:ascii="Arial" w:cs="Arial" w:eastAsia="Arial" w:hAnsi="Arial"/>
          <w:sz w:val="16"/>
          <w:szCs w:val="16"/>
          <w:color w:val="auto"/>
        </w:rPr>
        <w:t>. The term of each Stock Option shall be fixed by the Committee, but no Stock Option shall be exercisable more than ten</w:t>
      </w:r>
    </w:p>
    <w:p>
      <w:pPr>
        <w:spacing w:after="0" w:line="46" w:lineRule="exact"/>
        <w:rPr>
          <w:rFonts w:ascii="Arial" w:cs="Arial" w:eastAsia="Arial" w:hAnsi="Arial"/>
          <w:sz w:val="16"/>
          <w:szCs w:val="16"/>
          <w:color w:val="auto"/>
        </w:rPr>
      </w:pPr>
    </w:p>
    <w:p>
      <w:pPr>
        <w:ind w:right="120" w:firstLine="8"/>
        <w:spacing w:after="0" w:line="260" w:lineRule="auto"/>
        <w:tabs>
          <w:tab w:leader="none" w:pos="345" w:val="left"/>
        </w:tabs>
        <w:numPr>
          <w:ilvl w:val="0"/>
          <w:numId w:val="573"/>
        </w:numPr>
        <w:rPr>
          <w:rFonts w:ascii="Arial" w:cs="Arial" w:eastAsia="Arial" w:hAnsi="Arial"/>
          <w:sz w:val="18"/>
          <w:szCs w:val="18"/>
          <w:color w:val="auto"/>
        </w:rPr>
      </w:pPr>
      <w:r>
        <w:rPr>
          <w:rFonts w:ascii="Arial" w:cs="Arial" w:eastAsia="Arial" w:hAnsi="Arial"/>
          <w:sz w:val="18"/>
          <w:szCs w:val="18"/>
          <w:color w:val="auto"/>
        </w:rPr>
        <w:t>years from the Grant Date. In the case of an Incentive Stock Option that is granted to a Ten Percent Owner, the term of such Stock Option shall be no more than five (5) years from the Grant Date.</w:t>
      </w:r>
    </w:p>
    <w:p>
      <w:pPr>
        <w:spacing w:after="0" w:line="185" w:lineRule="exact"/>
        <w:rPr>
          <w:rFonts w:ascii="Arial" w:cs="Arial" w:eastAsia="Arial" w:hAnsi="Arial"/>
          <w:sz w:val="18"/>
          <w:szCs w:val="18"/>
          <w:color w:val="auto"/>
        </w:rPr>
      </w:pPr>
    </w:p>
    <w:p>
      <w:pPr>
        <w:ind w:right="60" w:firstLine="1304"/>
        <w:spacing w:after="0" w:line="271" w:lineRule="auto"/>
        <w:tabs>
          <w:tab w:leader="none" w:pos="1611" w:val="left"/>
        </w:tabs>
        <w:numPr>
          <w:ilvl w:val="2"/>
          <w:numId w:val="573"/>
        </w:numPr>
        <w:rPr>
          <w:rFonts w:ascii="Arial" w:cs="Arial" w:eastAsia="Arial" w:hAnsi="Arial"/>
          <w:sz w:val="17"/>
          <w:szCs w:val="17"/>
          <w:color w:val="auto"/>
        </w:rPr>
      </w:pPr>
      <w:r>
        <w:rPr>
          <w:rFonts w:ascii="Arial" w:cs="Arial" w:eastAsia="Arial" w:hAnsi="Arial"/>
          <w:sz w:val="17"/>
          <w:szCs w:val="17"/>
          <w:u w:val="single" w:color="auto"/>
          <w:color w:val="auto"/>
        </w:rPr>
        <w:t>Exercisability; Rights of a Stockholder</w:t>
      </w:r>
      <w:r>
        <w:rPr>
          <w:rFonts w:ascii="Arial" w:cs="Arial" w:eastAsia="Arial" w:hAnsi="Arial"/>
          <w:sz w:val="17"/>
          <w:szCs w:val="17"/>
          <w:color w:val="auto"/>
        </w:rPr>
        <w:t>. Stock Options shall become exercisable and/or vested at such time or times, whether or not in installments, as shall be determined by the Committee at or after the Grant Date. The Award Agreement may permit a grantee to exercise all or a portion of a Stock Option immediately at grant; provided that the Shares issued upon such exercise shall be subject to restrictions and a vesting schedule identical to the vesting schedule of the related Stock Option, such Shares shall be deemed to be Restricted Stock for purposes of the Plan, and the optionee may be required to enter into an additional or new Award Agreement as a condition to exercise of such Stock Option. An optionee shall have the rights of a stockholder only as to Shares acquired upon the exercise of a Stock Option and not as to unexercised Stock Options. An optionee shall not be deemed to have acquired any Shares unless and until a Stock Option shall have been exercised pursuant to the terms of the Award Agreement and this Plan and the optionee’s name has been entered on the books of the Company as a stockholder.</w:t>
      </w:r>
    </w:p>
    <w:p>
      <w:pPr>
        <w:spacing w:after="0" w:line="178" w:lineRule="exact"/>
        <w:rPr>
          <w:rFonts w:ascii="Arial" w:cs="Arial" w:eastAsia="Arial" w:hAnsi="Arial"/>
          <w:sz w:val="17"/>
          <w:szCs w:val="17"/>
          <w:color w:val="auto"/>
        </w:rPr>
      </w:pPr>
    </w:p>
    <w:p>
      <w:pPr>
        <w:ind w:right="100" w:firstLine="1304"/>
        <w:spacing w:after="0" w:line="263" w:lineRule="auto"/>
        <w:tabs>
          <w:tab w:leader="none" w:pos="1601" w:val="left"/>
        </w:tabs>
        <w:numPr>
          <w:ilvl w:val="2"/>
          <w:numId w:val="573"/>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Stock Options may be exercised by an optionee in whole or in part, by the optionee giving written or electronic notice of exercise to the Company, specifying the number of Shares to be purchased. Payment of the purchase price may be made by one or more of the following methods (or any combination thereof) to the extent provided in the Award Agreement:</w:t>
      </w:r>
    </w:p>
    <w:p>
      <w:pPr>
        <w:spacing w:after="0" w:line="183" w:lineRule="exact"/>
        <w:rPr>
          <w:rFonts w:ascii="Arial" w:cs="Arial" w:eastAsia="Arial" w:hAnsi="Arial"/>
          <w:sz w:val="18"/>
          <w:szCs w:val="18"/>
          <w:color w:val="auto"/>
        </w:rPr>
      </w:pPr>
    </w:p>
    <w:p>
      <w:pPr>
        <w:ind w:left="2240" w:hanging="288"/>
        <w:spacing w:after="0"/>
        <w:tabs>
          <w:tab w:leader="none" w:pos="2240" w:val="left"/>
        </w:tabs>
        <w:numPr>
          <w:ilvl w:val="3"/>
          <w:numId w:val="573"/>
        </w:numPr>
        <w:rPr>
          <w:rFonts w:ascii="Arial" w:cs="Arial" w:eastAsia="Arial" w:hAnsi="Arial"/>
          <w:sz w:val="16"/>
          <w:szCs w:val="16"/>
          <w:color w:val="auto"/>
        </w:rPr>
      </w:pPr>
      <w:r>
        <w:rPr>
          <w:rFonts w:ascii="Arial" w:cs="Arial" w:eastAsia="Arial" w:hAnsi="Arial"/>
          <w:sz w:val="16"/>
          <w:szCs w:val="16"/>
          <w:color w:val="auto"/>
        </w:rPr>
        <w:t>In cash, by certified or bank check, by wire transfer of immediately available funds, or other instrument acceptable to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Committee;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29" w:name="page530"/>
    <w:bookmarkEnd w:id="529"/>
    <w:p>
      <w:pPr>
        <w:ind w:left="660" w:right="160" w:firstLine="1292"/>
        <w:spacing w:after="0" w:line="311" w:lineRule="auto"/>
        <w:tabs>
          <w:tab w:leader="none" w:pos="2241" w:val="left"/>
        </w:tabs>
        <w:numPr>
          <w:ilvl w:val="0"/>
          <w:numId w:val="574"/>
        </w:numPr>
        <w:rPr>
          <w:rFonts w:ascii="Arial" w:cs="Arial" w:eastAsia="Arial" w:hAnsi="Arial"/>
          <w:sz w:val="16"/>
          <w:szCs w:val="16"/>
          <w:color w:val="auto"/>
        </w:rPr>
      </w:pPr>
      <w:r>
        <w:rPr>
          <w:rFonts w:ascii="Arial" w:cs="Arial" w:eastAsia="Arial" w:hAnsi="Arial"/>
          <w:sz w:val="16"/>
          <w:szCs w:val="16"/>
          <w:color w:val="auto"/>
        </w:rPr>
        <w:t xml:space="preserve">If permitted by the Committee, by the optionee delivering to the Company a promissory note, if the Board has expressly authorized the loan of funds to the optionee for the purpose of enabling or assisting the optionee to effect the exercise of his or her Stock Option; </w:t>
      </w:r>
      <w:r>
        <w:rPr>
          <w:rFonts w:ascii="Arial" w:cs="Arial" w:eastAsia="Arial" w:hAnsi="Arial"/>
          <w:sz w:val="16"/>
          <w:szCs w:val="16"/>
          <w:u w:val="single" w:color="auto"/>
          <w:color w:val="auto"/>
        </w:rPr>
        <w:t>provided</w:t>
      </w:r>
      <w:r>
        <w:rPr>
          <w:rFonts w:ascii="Arial" w:cs="Arial" w:eastAsia="Arial" w:hAnsi="Arial"/>
          <w:sz w:val="16"/>
          <w:szCs w:val="16"/>
          <w:color w:val="auto"/>
        </w:rPr>
        <w:t>, that at least so much of the exercise price as represents the par value of the Stock shall be paid in cash if required by state law;</w:t>
      </w:r>
    </w:p>
    <w:p>
      <w:pPr>
        <w:spacing w:after="0" w:line="148" w:lineRule="exact"/>
        <w:rPr>
          <w:rFonts w:ascii="Arial" w:cs="Arial" w:eastAsia="Arial" w:hAnsi="Arial"/>
          <w:sz w:val="16"/>
          <w:szCs w:val="16"/>
          <w:color w:val="auto"/>
        </w:rPr>
      </w:pPr>
    </w:p>
    <w:p>
      <w:pPr>
        <w:ind w:left="660" w:firstLine="1292"/>
        <w:spacing w:after="0" w:line="255" w:lineRule="auto"/>
        <w:tabs>
          <w:tab w:leader="none" w:pos="2241" w:val="left"/>
        </w:tabs>
        <w:numPr>
          <w:ilvl w:val="0"/>
          <w:numId w:val="574"/>
        </w:numPr>
        <w:rPr>
          <w:rFonts w:ascii="Arial" w:cs="Arial" w:eastAsia="Arial" w:hAnsi="Arial"/>
          <w:sz w:val="18"/>
          <w:szCs w:val="18"/>
          <w:color w:val="auto"/>
        </w:rPr>
      </w:pPr>
      <w:r>
        <w:rPr>
          <w:rFonts w:ascii="Arial" w:cs="Arial" w:eastAsia="Arial" w:hAnsi="Arial"/>
          <w:sz w:val="18"/>
          <w:szCs w:val="18"/>
          <w:color w:val="auto"/>
        </w:rPr>
        <w:t>If permitted by the Committee and the Initial Public Offering has occurred (or the Stock otherwise becomes publicly-traded), through the delivery (or attestation to the ownership) of Shares that have been purchased by the optionee on the open market or that are beneficially owned by the optionee and are not then subject to restrictions under any Company plan. To the extent required to avoid variable accounting treatment under ASC 718 or other applicable accounting rules, such surrendered Shares if originally purchased from the Company shall have been owned by the optionee for at least six (6) months. Such surrendered Shares shall be valued at Fair Market Value on the exercise date;</w:t>
      </w:r>
    </w:p>
    <w:p>
      <w:pPr>
        <w:spacing w:after="0" w:line="192" w:lineRule="exact"/>
        <w:rPr>
          <w:rFonts w:ascii="Arial" w:cs="Arial" w:eastAsia="Arial" w:hAnsi="Arial"/>
          <w:sz w:val="18"/>
          <w:szCs w:val="18"/>
          <w:color w:val="auto"/>
        </w:rPr>
      </w:pPr>
    </w:p>
    <w:p>
      <w:pPr>
        <w:ind w:left="660" w:right="320" w:firstLine="1292"/>
        <w:spacing w:after="0" w:line="296" w:lineRule="auto"/>
        <w:tabs>
          <w:tab w:leader="none" w:pos="2251" w:val="left"/>
        </w:tabs>
        <w:numPr>
          <w:ilvl w:val="0"/>
          <w:numId w:val="574"/>
        </w:numPr>
        <w:rPr>
          <w:rFonts w:ascii="Arial" w:cs="Arial" w:eastAsia="Arial" w:hAnsi="Arial"/>
          <w:sz w:val="16"/>
          <w:szCs w:val="16"/>
          <w:color w:val="auto"/>
        </w:rPr>
      </w:pPr>
      <w:r>
        <w:rPr>
          <w:rFonts w:ascii="Arial" w:cs="Arial" w:eastAsia="Arial" w:hAnsi="Arial"/>
          <w:sz w:val="16"/>
          <w:szCs w:val="16"/>
          <w:color w:val="auto"/>
        </w:rPr>
        <w:t xml:space="preserve">If permitted by the Committee and the Initial Public Offering has occurred (or the Stock otherwise becomes publicly-traded), by the optionee delivering to the Company a properly executed exercise notice together with irrevocable instructions to a broker to promptly deliver to the Company cash or a check payable and acceptable to the Company for the purchase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the optionee chooses to pay the purchase price as so provided, the optionee and the broker shall comply with such procedures and enter into such agreements of indemnity and other agreements as the Committee shall prescribe as a condition of such payment procedure; or</w:t>
      </w:r>
    </w:p>
    <w:p>
      <w:pPr>
        <w:spacing w:after="0" w:line="161" w:lineRule="exact"/>
        <w:rPr>
          <w:rFonts w:ascii="Arial" w:cs="Arial" w:eastAsia="Arial" w:hAnsi="Arial"/>
          <w:sz w:val="16"/>
          <w:szCs w:val="16"/>
          <w:color w:val="auto"/>
        </w:rPr>
      </w:pPr>
    </w:p>
    <w:p>
      <w:pPr>
        <w:ind w:left="660" w:right="240" w:firstLine="1292"/>
        <w:spacing w:after="0" w:line="263" w:lineRule="auto"/>
        <w:tabs>
          <w:tab w:leader="none" w:pos="2231" w:val="left"/>
        </w:tabs>
        <w:numPr>
          <w:ilvl w:val="0"/>
          <w:numId w:val="574"/>
        </w:numPr>
        <w:rPr>
          <w:rFonts w:ascii="Arial" w:cs="Arial" w:eastAsia="Arial" w:hAnsi="Arial"/>
          <w:sz w:val="18"/>
          <w:szCs w:val="18"/>
          <w:color w:val="auto"/>
        </w:rPr>
      </w:pPr>
      <w:r>
        <w:rPr>
          <w:rFonts w:ascii="Arial" w:cs="Arial" w:eastAsia="Arial" w:hAnsi="Arial"/>
          <w:sz w:val="18"/>
          <w:szCs w:val="18"/>
          <w:color w:val="auto"/>
        </w:rPr>
        <w:t>If permitted by the Committee, and only with respect to Stock Options that are not Incentive Stock Options, by a “net exercise” arrangement pursuant to which the Company will reduce the number of Shares issuable upon exercise by the largest whole number of Shares with a Fair Market Value that does not exceed the aggregate exercise price.</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Payment instruments will be received subject to collection. No certificates for Shares so purchased will be issued to the optionee or, with respect to uncertificated Stock, no transfer to the optionee on the records of the Company will take place, until the Company has completed all steps it has deemed necessary to satisfy legal requirements relating to the issuance and sale of the Shares, which steps may include, without limitation, (i) receipt of a representation from the optionee at the time of exercise of the Option that the optionee is purchasing the Shares for the optionee’s own account and not with a view to any sale or distribution of the Shares or other representations relating to compliance with applicable law governing the issuance of securities, (ii) the legending of the certificate (or notation on any book entry) representing the Shares to evidence the foregoing restrictions, (iii) obtaining from optionee payment or provision for all withholding taxes due as a result of the exercise of the Option, and (iv) if required by the Company, the optionee’s execution and delivery of any stockholders’ agreements or other agreements with the Company and/or certain other stockholders of the Company relating to shares of the Stock. The delivery of certificates representing the shares of Stock (or the transfer to the optionee on the records of the Company with respect to uncertificated Stock) to be purchased pursuant to the exercise of a Stock Option will be contingent upon (A) receipt from the optionee (or a purchaser acting in his or her stead in accordance with the provisions of the Stock Option) by the Company of the full purchase price for such Shares and the fulfillment of any other requirements contained in the Award Agreement or applicable provisions of laws and (B) if required by the Company, the optionee shall have entered into any stockholders agreements or other agreements with the Company and/or certain other of the Company’s stockholders relating to the Stock. In the event an optionee chooses to pay the purchase price by previously-owned Shares through the attestation method, the number of Shares transferred to the optionee upon the exercise of the Stock Option shall be net of the number of Shares attested to.</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0" w:name="page531"/>
    <w:bookmarkEnd w:id="530"/>
    <w:p>
      <w:pPr>
        <w:ind w:right="80" w:firstLine="656"/>
        <w:spacing w:after="0" w:line="257" w:lineRule="auto"/>
        <w:tabs>
          <w:tab w:leader="none" w:pos="903" w:val="left"/>
        </w:tabs>
        <w:numPr>
          <w:ilvl w:val="0"/>
          <w:numId w:val="575"/>
        </w:numPr>
        <w:rPr>
          <w:rFonts w:ascii="Arial" w:cs="Arial" w:eastAsia="Arial" w:hAnsi="Arial"/>
          <w:sz w:val="18"/>
          <w:szCs w:val="18"/>
          <w:color w:val="auto"/>
        </w:rPr>
      </w:pPr>
      <w:r>
        <w:rPr>
          <w:rFonts w:ascii="Arial" w:cs="Arial" w:eastAsia="Arial" w:hAnsi="Arial"/>
          <w:sz w:val="18"/>
          <w:szCs w:val="18"/>
          <w:u w:val="single" w:color="auto"/>
          <w:color w:val="auto"/>
        </w:rPr>
        <w:t>Annual Limit on Incentive Stock Options</w:t>
      </w:r>
      <w:r>
        <w:rPr>
          <w:rFonts w:ascii="Arial" w:cs="Arial" w:eastAsia="Arial" w:hAnsi="Arial"/>
          <w:sz w:val="18"/>
          <w:szCs w:val="18"/>
          <w:color w:val="auto"/>
        </w:rPr>
        <w:t>. To the extent required for “incentive stock option” treatment under Section 422 of the Code, the aggregate Fair Market Value (determined as of the Grant Date) of the Shares with respect to which Incentive Stock Options granted under the Plan and any other plan of the Company or its parent and any Subsidiary that become exercisable for the first time by an optionee during any calendar year shall not exceed $100,000 or such other limit as may be in effect from time to time under Section 422 of the Code. To the extent that any Stock Option exceeds this limit, it shall constitute a Non-Qualified Stock Option.</w:t>
      </w:r>
    </w:p>
    <w:p>
      <w:pPr>
        <w:spacing w:after="0" w:line="187" w:lineRule="exact"/>
        <w:rPr>
          <w:rFonts w:ascii="Arial" w:cs="Arial" w:eastAsia="Arial" w:hAnsi="Arial"/>
          <w:sz w:val="18"/>
          <w:szCs w:val="18"/>
          <w:color w:val="auto"/>
        </w:rPr>
      </w:pPr>
    </w:p>
    <w:p>
      <w:pPr>
        <w:ind w:firstLine="656"/>
        <w:spacing w:after="0" w:line="269" w:lineRule="auto"/>
        <w:tabs>
          <w:tab w:leader="none" w:pos="892" w:val="left"/>
        </w:tabs>
        <w:numPr>
          <w:ilvl w:val="0"/>
          <w:numId w:val="575"/>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Any portion of a Stock Option that is not vested and exercisable on the date of termination of an optionee’s Service Relationship shall immediately expire and be null and void. Once any portion of the Stock Option becomes vested and exercisable, the optionee’s right to exercise such portion of the Stock Option (or the optionee’s representatives and legatees as applicable) in the event of a termination of the optionee’s Service Relationship shall continue until the earliest of: (i) the date which is: (A) twelve (12) months following the date on which the optionee’s Service Relationship terminates due to death or Disability (or such longer period of time as determined by the Committee and set forth in the applicable Award Agreement), or (B) three (3) months following the date on which the optionee’s Service Relationship terminates if the termination is due to any reason other than death or Disability (or such longer period of time as determined by the Committee and set forth in the applicable Award Agreement), or (ii) the Expiration Date set forth in the Award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an Award Agreement may provide that if the optionee’s Service Relationship is terminated for Cause, the Stock Option shall terminate immediately and be null and void upon the date of the optionee’s termination and shall not thereafter be exercisable.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ind w:firstLine="656"/>
        <w:spacing w:after="0" w:line="293" w:lineRule="auto"/>
        <w:tabs>
          <w:tab w:leader="none" w:pos="892" w:val="left"/>
        </w:tabs>
        <w:numPr>
          <w:ilvl w:val="0"/>
          <w:numId w:val="576"/>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Awards</w:t>
      </w:r>
      <w:r>
        <w:rPr>
          <w:rFonts w:ascii="Arial" w:cs="Arial" w:eastAsia="Arial" w:hAnsi="Arial"/>
          <w:sz w:val="16"/>
          <w:szCs w:val="16"/>
          <w:color w:val="auto"/>
        </w:rPr>
        <w:t>. The Committee may, in its sole discretion, grant (or sell at par value or such other purchase price determined by the Committee) to an eligible individual under Section 4 hereof a Restricted Stock Award under the Plan. The Committee shall determine the restrictions and conditions applicable to each Restricted Stock Award at the time of grant. Conditions may be based on continuing employment (or other Service Relationship), achievement of pre-established performance goals and objectives and/or such other criteria as the Committee may determine. Upon the grant of a Restricted Stock Award, the Company and the grantee shall enter into an Award Agreement. The terms and conditions of each such Award Agreement shall be determined by the Committee, and such terms and conditions may differ among individual Awards and grantees.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1" w:name="page532"/>
    <w:bookmarkEnd w:id="531"/>
    <w:p>
      <w:pPr>
        <w:ind w:right="80" w:firstLine="656"/>
        <w:spacing w:after="0" w:line="272" w:lineRule="auto"/>
        <w:tabs>
          <w:tab w:leader="none" w:pos="903" w:val="left"/>
        </w:tabs>
        <w:numPr>
          <w:ilvl w:val="0"/>
          <w:numId w:val="577"/>
        </w:numPr>
        <w:rPr>
          <w:rFonts w:ascii="Arial" w:cs="Arial" w:eastAsia="Arial" w:hAnsi="Arial"/>
          <w:sz w:val="17"/>
          <w:szCs w:val="17"/>
          <w:color w:val="auto"/>
        </w:rPr>
      </w:pPr>
      <w:r>
        <w:rPr>
          <w:rFonts w:ascii="Arial" w:cs="Arial" w:eastAsia="Arial" w:hAnsi="Arial"/>
          <w:sz w:val="17"/>
          <w:szCs w:val="17"/>
          <w:u w:val="single" w:color="auto"/>
          <w:color w:val="auto"/>
        </w:rPr>
        <w:t>Rights as a Stockholder</w:t>
      </w:r>
      <w:r>
        <w:rPr>
          <w:rFonts w:ascii="Arial" w:cs="Arial" w:eastAsia="Arial" w:hAnsi="Arial"/>
          <w:sz w:val="17"/>
          <w:szCs w:val="17"/>
          <w:color w:val="auto"/>
        </w:rPr>
        <w:t xml:space="preserve">. Upon the grant of the Restricted Stock Award and payment of any applicable purchase price, a grantee of Restricted Stock shall be considered the record owner of and shall be entitled to vote the Restricted Stock if, and to the extent, such Shares are entitled to voting rights, subject to such conditions contained in the Award Agreement. The grantee shall be entitled to receive all dividends and any other distributions declared on the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is under no duty to declare any such dividends or to make any such distribution. Unless the Committee shall otherwise determine, certificates evidencing the Restricted Stock shall remain in the possession of the Company until such Restricted Stock is vested as provided in subsection (d) below of this Section, and the grantee shall be required, as a condition of the grant, to deliver to the Company a stock power endorsed in blank and such other instruments of transfer as the Committee may prescribe.</w:t>
      </w:r>
    </w:p>
    <w:p>
      <w:pPr>
        <w:spacing w:after="0" w:line="177" w:lineRule="exact"/>
        <w:rPr>
          <w:rFonts w:ascii="Arial" w:cs="Arial" w:eastAsia="Arial" w:hAnsi="Arial"/>
          <w:sz w:val="17"/>
          <w:szCs w:val="17"/>
          <w:color w:val="auto"/>
        </w:rPr>
      </w:pPr>
    </w:p>
    <w:p>
      <w:pPr>
        <w:ind w:right="120" w:firstLine="656"/>
        <w:spacing w:after="0" w:line="257" w:lineRule="auto"/>
        <w:tabs>
          <w:tab w:leader="none" w:pos="892" w:val="left"/>
        </w:tabs>
        <w:numPr>
          <w:ilvl w:val="0"/>
          <w:numId w:val="577"/>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Restricted Stock may not be sold, assigned, transferred, pledged or otherwise encumbered or disposed of except as specifically provided herein or in the Award Agreement. Except as may otherwise be provided by the Committee either in the Award Agreement or, subject to Section 12 below, in writing after the Award Agreement is issued, if a grantee’s Service Relationship with the Company and any Subsidiary terminates, the Company or its assigns shall have the right, as may be specified in the relevant instrument, to repurchase some or all of the Shares subject to the Award at such purchase price as is set forth in the Award Agreement.</w:t>
      </w:r>
    </w:p>
    <w:p>
      <w:pPr>
        <w:spacing w:after="0" w:line="187" w:lineRule="exact"/>
        <w:rPr>
          <w:rFonts w:ascii="Arial" w:cs="Arial" w:eastAsia="Arial" w:hAnsi="Arial"/>
          <w:sz w:val="18"/>
          <w:szCs w:val="18"/>
          <w:color w:val="auto"/>
        </w:rPr>
      </w:pPr>
    </w:p>
    <w:p>
      <w:pPr>
        <w:ind w:right="160" w:firstLine="656"/>
        <w:spacing w:after="0" w:line="311" w:lineRule="auto"/>
        <w:tabs>
          <w:tab w:leader="none" w:pos="903" w:val="left"/>
        </w:tabs>
        <w:numPr>
          <w:ilvl w:val="0"/>
          <w:numId w:val="577"/>
        </w:numPr>
        <w:rPr>
          <w:rFonts w:ascii="Arial" w:cs="Arial" w:eastAsia="Arial" w:hAnsi="Arial"/>
          <w:sz w:val="16"/>
          <w:szCs w:val="16"/>
          <w:color w:val="auto"/>
        </w:rPr>
      </w:pPr>
      <w:r>
        <w:rPr>
          <w:rFonts w:ascii="Arial" w:cs="Arial" w:eastAsia="Arial" w:hAnsi="Arial"/>
          <w:sz w:val="16"/>
          <w:szCs w:val="16"/>
          <w:u w:val="single" w:color="auto"/>
          <w:color w:val="auto"/>
        </w:rPr>
        <w:t>Vesting of Restricted Stock</w:t>
      </w:r>
      <w:r>
        <w:rPr>
          <w:rFonts w:ascii="Arial" w:cs="Arial" w:eastAsia="Arial" w:hAnsi="Arial"/>
          <w:sz w:val="16"/>
          <w:szCs w:val="16"/>
          <w:color w:val="auto"/>
        </w:rPr>
        <w:t>. The Committee at the time of grant shall specify in the Award Agreement the date or dates and/or the attainment of pre-established performance goals, objectives and other conditions on which the substantial risk of forfeiture imposed shall lapse and the Restricted Stock shall become vested, subject to such further rights of the Company or its assigns as may be specified in the Award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UNRESTRICTED STOCK AWARDS</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Committee may, in its sole discretion, grant (or sell at par value or such other purchase price determined by the Committee) to an eligible person under Section 4 hereof an Unrestricted Stock Award under the Plan. Unrestricted Stock Awards may be granted in respect of past services or other valid consideration, or in lieu of cash compensation due to such grantee.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RESTRICTED STOCK UNITS</w:t>
      </w:r>
    </w:p>
    <w:p>
      <w:pPr>
        <w:spacing w:after="0" w:line="225" w:lineRule="exact"/>
        <w:rPr>
          <w:sz w:val="20"/>
          <w:szCs w:val="20"/>
          <w:color w:val="auto"/>
        </w:rPr>
      </w:pPr>
    </w:p>
    <w:p>
      <w:pPr>
        <w:ind w:firstLine="656"/>
        <w:spacing w:after="0" w:line="290" w:lineRule="auto"/>
        <w:tabs>
          <w:tab w:leader="none" w:pos="892" w:val="left"/>
        </w:tabs>
        <w:numPr>
          <w:ilvl w:val="0"/>
          <w:numId w:val="578"/>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Units</w:t>
      </w:r>
      <w:r>
        <w:rPr>
          <w:rFonts w:ascii="Arial" w:cs="Arial" w:eastAsia="Arial" w:hAnsi="Arial"/>
          <w:sz w:val="16"/>
          <w:szCs w:val="16"/>
          <w:color w:val="auto"/>
        </w:rPr>
        <w:t>. The Committee may, in its sole discretion, grant to an eligible person under Section 4 hereof Restricted Stock Units under the Plan. The Committee shall determine the restrictions and conditions applicable to each Restricted Stock Unit at the time of grant. Vesting conditions may be based on continuing employment (or other Service Relationship), achievement of pre-established performance goals and objectives and/or other such criteria as the Committee may determine. Upon the grant of Restricted Stock Units, the grantee and the Company shall enter into an Award Agreement. The terms and conditions of each such Award Agreement shall be determined by the Committee and may differ among individual Awards and grantees. On or promptly following the vesting date or dates applicable to any Restricted Stock Unit, but in no event later than March 15 of the year following the year in which such vesting occurs, such Restricted Stock Unit(s) shall be settled in the form of cash or shares of Stock, as specified in the Award Agreement. Restricted Stock Units may not be sold, assigned, transferred, pledged, or otherwise encumbered or disposed of.</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32" w:name="page533"/>
    <w:bookmarkEnd w:id="532"/>
    <w:p>
      <w:pPr>
        <w:ind w:firstLine="656"/>
        <w:spacing w:after="0" w:line="257" w:lineRule="auto"/>
        <w:tabs>
          <w:tab w:leader="none" w:pos="903" w:val="left"/>
        </w:tabs>
        <w:numPr>
          <w:ilvl w:val="0"/>
          <w:numId w:val="579"/>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A grantee shall have the rights of a stockholder only as to Shares, if any, acquired upon settlement of Restricted Stock Units. A grantee shall not be deemed to have acquired any such Shares unless and until the Restricted Stock Units shall have been settled in Shares pursuant to the terms of the Plan and the Award Agreement, the Company shall have issued and delivered a certificate representing the Shares to the grantee (or transferred on the records of the Company with respect to uncertificated stock), and the grantee’s name has been entered in the books of the Company as a stockholder.</w:t>
      </w:r>
    </w:p>
    <w:p>
      <w:pPr>
        <w:spacing w:after="0" w:line="187" w:lineRule="exact"/>
        <w:rPr>
          <w:rFonts w:ascii="Arial" w:cs="Arial" w:eastAsia="Arial" w:hAnsi="Arial"/>
          <w:sz w:val="18"/>
          <w:szCs w:val="18"/>
          <w:color w:val="auto"/>
        </w:rPr>
      </w:pPr>
    </w:p>
    <w:p>
      <w:pPr>
        <w:ind w:right="80" w:firstLine="656"/>
        <w:spacing w:after="0" w:line="263" w:lineRule="auto"/>
        <w:tabs>
          <w:tab w:leader="none" w:pos="892" w:val="left"/>
        </w:tabs>
        <w:numPr>
          <w:ilvl w:val="0"/>
          <w:numId w:val="57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Committee either in the Award Agreement or in writing after the Award Agreement is issued, a grantee’s right in all Restricted Stock Units that have not vested shall automatically terminate upon the grantee’s cessation of Service Relationship with the Company and any Subsidiary for any reason.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TRANSFER RESTRICTIONS; COMPANY RIGHT OF FIRST REFUSAL; COMPANY REPURCHASE RIGHTS</w:t>
      </w:r>
    </w:p>
    <w:p>
      <w:pPr>
        <w:spacing w:after="0" w:line="225" w:lineRule="exact"/>
        <w:rPr>
          <w:sz w:val="20"/>
          <w:szCs w:val="20"/>
          <w:color w:val="auto"/>
        </w:rPr>
      </w:pPr>
    </w:p>
    <w:p>
      <w:pPr>
        <w:ind w:left="900" w:hanging="244"/>
        <w:spacing w:after="0"/>
        <w:tabs>
          <w:tab w:leader="none" w:pos="900" w:val="left"/>
        </w:tabs>
        <w:numPr>
          <w:ilvl w:val="0"/>
          <w:numId w:val="580"/>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4"/>
        <w:spacing w:after="0" w:line="269" w:lineRule="auto"/>
        <w:tabs>
          <w:tab w:leader="none" w:pos="1511" w:val="left"/>
        </w:tabs>
        <w:numPr>
          <w:ilvl w:val="1"/>
          <w:numId w:val="580"/>
        </w:numPr>
        <w:rPr>
          <w:rFonts w:ascii="Arial" w:cs="Arial" w:eastAsia="Arial" w:hAnsi="Arial"/>
          <w:sz w:val="17"/>
          <w:szCs w:val="17"/>
          <w:color w:val="auto"/>
        </w:rPr>
      </w:pPr>
      <w:r>
        <w:rPr>
          <w:rFonts w:ascii="Arial" w:cs="Arial" w:eastAsia="Arial" w:hAnsi="Arial"/>
          <w:sz w:val="17"/>
          <w:szCs w:val="17"/>
          <w:u w:val="single" w:color="auto"/>
          <w:color w:val="auto"/>
        </w:rPr>
        <w:t>Non-Transferability of Stock Options</w:t>
      </w:r>
      <w:r>
        <w:rPr>
          <w:rFonts w:ascii="Arial" w:cs="Arial" w:eastAsia="Arial" w:hAnsi="Arial"/>
          <w:sz w:val="17"/>
          <w:szCs w:val="17"/>
          <w:color w:val="auto"/>
        </w:rPr>
        <w:t>. Stock Options and, prior to exercise, the Shares issuable upon exercise of such Stock Option, shall not be transferable by the optionee otherwise than by will, or by the laws of descent and distribution, and all Stock Options shall be exercisable, during the optionee’s lifetime, only by the optionee, or by the optionee’s legal representative or guardian in the event of the optionee’s incapacity. Notwithstanding the foregoing, the Committee, in its sole discretion, may provide in the Award Agreement regarding a given Stock Option that the optionee may transfer by gift, without consideration for the transfer, his or her Non-Qualified Stock Options to his or her family members (as defined in Rule 701 of the Securities Act), to trusts for the benefit of such family members, or to partnerships in which such family members are the only partners (to the extent such trusts or partnerships are considered “family members” for purposes of Rule 701 of the Securities Act), provided that the transferee agrees in writing with the Company to be bound by all of the terms and conditions of this Plan and the applicable Award Agreement, including the execution of a stock power upon the issuance of Shares. Stock Options, and the Shares issuable upon exercise of such Stock Options, shall be restricted as to any pledge, hypothecation, or other transfer, including any short position, any “put equivalent position” (as defined in the Exchange Act) or any “call equivalent position” (as defined in the Exchange Act) prior to exercise.</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533" w:name="page534"/>
    <w:bookmarkEnd w:id="533"/>
    <w:p>
      <w:pPr>
        <w:ind w:left="-20" w:firstLine="1304"/>
        <w:spacing w:after="0" w:line="268" w:lineRule="auto"/>
        <w:tabs>
          <w:tab w:leader="none" w:pos="1541" w:val="left"/>
        </w:tabs>
        <w:numPr>
          <w:ilvl w:val="1"/>
          <w:numId w:val="581"/>
        </w:numPr>
        <w:rPr>
          <w:rFonts w:ascii="Arial" w:cs="Arial" w:eastAsia="Arial" w:hAnsi="Arial"/>
          <w:sz w:val="17"/>
          <w:szCs w:val="17"/>
          <w:color w:val="auto"/>
        </w:rPr>
      </w:pPr>
      <w:r>
        <w:rPr>
          <w:rFonts w:ascii="Arial" w:cs="Arial" w:eastAsia="Arial" w:hAnsi="Arial"/>
          <w:sz w:val="17"/>
          <w:szCs w:val="17"/>
          <w:u w:val="single" w:color="auto"/>
          <w:color w:val="auto"/>
        </w:rPr>
        <w:t>Shares</w:t>
      </w:r>
      <w:r>
        <w:rPr>
          <w:rFonts w:ascii="Arial" w:cs="Arial" w:eastAsia="Arial" w:hAnsi="Arial"/>
          <w:sz w:val="17"/>
          <w:szCs w:val="17"/>
          <w:color w:val="auto"/>
        </w:rPr>
        <w:t>. No Shares shall be sold, assigned, transferred, pledged, hypothecated, given away or in any other manner disposed of or encumbered, whether voluntarily or by operation of law, unless (i) the transfer is in compliance with the terms of the applicable Award Agreement, all applicable securities laws (including, without limitation, the Securities Act), and with the terms and conditions of this Section 9, (ii) the transfer does not cause the Company to become subject to the reporting requirements of the Exchange Act, and (iii) the transferee consents in writing to be bound by the provisions of the Plan and the Award Agreement, including this Section 9. In connection with any proposed transfer, the Committee may require the transferor to provide at the transferor’s own expense an opinion of counsel to the transferor, satisfactory to the Committee, that such transfer is in compliance with all foreign, federal and state securities laws (including, without limitation, the Securities Act). Any attempted transfer of Shares not in accordance with the terms and conditions of this Section 9 shall be null and void, and the Company shall not reflect on its records any change in record ownership of any Shares as a result of any such transfer, shall otherwise refuse to recognize any such transfer and shall not in any way give effect to any such transfer of Shares. The Company shall be entitled to seek protective orders, injunctive relief and other remedies available at law or in equity including, without limitation, seeking specific performance or the rescission of any transfer not made in strict compliance with the provisions of this Section 9. Subject to the foregoing general provisions, and unless otherwise provided in the applicable Award Agreement, Shares may be transferred pursuant to the following specific terms and conditions (provided that with respect to any transfer of Restricted Stock, all vesting and forfeiture provisions shall continue to apply with respect to the original recipient):</w:t>
      </w:r>
    </w:p>
    <w:p>
      <w:pPr>
        <w:spacing w:after="0" w:line="184" w:lineRule="exact"/>
        <w:rPr>
          <w:rFonts w:ascii="Arial" w:cs="Arial" w:eastAsia="Arial" w:hAnsi="Arial"/>
          <w:sz w:val="17"/>
          <w:szCs w:val="17"/>
          <w:color w:val="auto"/>
        </w:rPr>
      </w:pPr>
    </w:p>
    <w:p>
      <w:pPr>
        <w:ind w:left="640" w:right="100" w:firstLine="1292"/>
        <w:spacing w:after="0" w:line="296" w:lineRule="auto"/>
        <w:tabs>
          <w:tab w:leader="none" w:pos="2231" w:val="left"/>
        </w:tabs>
        <w:numPr>
          <w:ilvl w:val="2"/>
          <w:numId w:val="581"/>
        </w:numPr>
        <w:rPr>
          <w:rFonts w:ascii="Arial" w:cs="Arial" w:eastAsia="Arial" w:hAnsi="Arial"/>
          <w:sz w:val="16"/>
          <w:szCs w:val="16"/>
          <w:color w:val="auto"/>
        </w:rPr>
      </w:pPr>
      <w:r>
        <w:rPr>
          <w:rFonts w:ascii="Arial" w:cs="Arial" w:eastAsia="Arial" w:hAnsi="Arial"/>
          <w:sz w:val="16"/>
          <w:szCs w:val="16"/>
          <w:u w:val="single" w:color="auto"/>
          <w:color w:val="auto"/>
        </w:rPr>
        <w:t>Transfers to Permitted Transferees</w:t>
      </w:r>
      <w:r>
        <w:rPr>
          <w:rFonts w:ascii="Arial" w:cs="Arial" w:eastAsia="Arial" w:hAnsi="Arial"/>
          <w:sz w:val="16"/>
          <w:szCs w:val="16"/>
          <w:color w:val="auto"/>
        </w:rPr>
        <w:t>. The Holder may transfer any or all of the Shares to one or more Permitted Transferees; provided, however, that following such transfer, such Shares shall continue to be subject to the terms of this Plan (including this Section 9) and such Permitted Transferee(s) shall, as a condition to any such transfer, deliver a written acknowledgment to that effect to the Company and shall deliver a stock power to the Company with respect to the Shares. Notwithstanding the foregoing, the Holder may not transfer any of the Shares to a Person whom the Company reasonably determines is a direct competitor or a potential competitor of the Company or any of its Subsidiaries.</w:t>
      </w:r>
    </w:p>
    <w:p>
      <w:pPr>
        <w:spacing w:after="0" w:line="161" w:lineRule="exact"/>
        <w:rPr>
          <w:rFonts w:ascii="Arial" w:cs="Arial" w:eastAsia="Arial" w:hAnsi="Arial"/>
          <w:sz w:val="16"/>
          <w:szCs w:val="16"/>
          <w:color w:val="auto"/>
        </w:rPr>
      </w:pPr>
    </w:p>
    <w:p>
      <w:pPr>
        <w:ind w:left="640" w:right="40" w:firstLine="1292"/>
        <w:spacing w:after="0" w:line="259" w:lineRule="auto"/>
        <w:tabs>
          <w:tab w:leader="none" w:pos="2221" w:val="left"/>
        </w:tabs>
        <w:numPr>
          <w:ilvl w:val="2"/>
          <w:numId w:val="581"/>
        </w:numPr>
        <w:rPr>
          <w:rFonts w:ascii="Arial" w:cs="Arial" w:eastAsia="Arial" w:hAnsi="Arial"/>
          <w:sz w:val="18"/>
          <w:szCs w:val="18"/>
          <w:color w:val="auto"/>
        </w:rPr>
      </w:pPr>
      <w:r>
        <w:rPr>
          <w:rFonts w:ascii="Arial" w:cs="Arial" w:eastAsia="Arial" w:hAnsi="Arial"/>
          <w:sz w:val="18"/>
          <w:szCs w:val="18"/>
          <w:u w:val="single" w:color="auto"/>
          <w:color w:val="auto"/>
        </w:rPr>
        <w:t>Transfers Upon Death</w:t>
      </w:r>
      <w:r>
        <w:rPr>
          <w:rFonts w:ascii="Arial" w:cs="Arial" w:eastAsia="Arial" w:hAnsi="Arial"/>
          <w:sz w:val="18"/>
          <w:szCs w:val="18"/>
          <w:color w:val="auto"/>
        </w:rPr>
        <w:t>. Upon the death of the Holder, any Shares then held by the Holder at the time of such death and any Shares acquired after the Holder’s death by the Holder’s legal representative shall be subject to the provisions of this Plan, and the Holder’s estate, executors, administrators, personal representatives, heirs, legatees and distributees shall be obligated to convey such Shares to the Company or its assigns under the terms contemplated by the Plan and the Award Agreement.</w:t>
      </w:r>
    </w:p>
    <w:p>
      <w:pPr>
        <w:spacing w:after="0" w:line="186" w:lineRule="exact"/>
        <w:rPr>
          <w:rFonts w:ascii="Arial" w:cs="Arial" w:eastAsia="Arial" w:hAnsi="Arial"/>
          <w:sz w:val="18"/>
          <w:szCs w:val="18"/>
          <w:color w:val="auto"/>
        </w:rPr>
      </w:pPr>
    </w:p>
    <w:p>
      <w:pPr>
        <w:ind w:left="-20" w:right="100" w:firstLine="656"/>
        <w:spacing w:after="0" w:line="268" w:lineRule="auto"/>
        <w:tabs>
          <w:tab w:leader="none" w:pos="883" w:val="left"/>
        </w:tabs>
        <w:numPr>
          <w:ilvl w:val="0"/>
          <w:numId w:val="582"/>
        </w:numPr>
        <w:rPr>
          <w:rFonts w:ascii="Arial" w:cs="Arial" w:eastAsia="Arial" w:hAnsi="Arial"/>
          <w:sz w:val="17"/>
          <w:szCs w:val="17"/>
          <w:color w:val="auto"/>
        </w:rPr>
      </w:pPr>
      <w:r>
        <w:rPr>
          <w:rFonts w:ascii="Arial" w:cs="Arial" w:eastAsia="Arial" w:hAnsi="Arial"/>
          <w:sz w:val="17"/>
          <w:szCs w:val="17"/>
          <w:u w:val="single" w:color="auto"/>
          <w:color w:val="auto"/>
        </w:rPr>
        <w:t>Right of First Refusal</w:t>
      </w:r>
      <w:r>
        <w:rPr>
          <w:rFonts w:ascii="Arial" w:cs="Arial" w:eastAsia="Arial" w:hAnsi="Arial"/>
          <w:sz w:val="17"/>
          <w:szCs w:val="17"/>
          <w:color w:val="auto"/>
        </w:rPr>
        <w:t>. In the event that a Holder desires at any time to sell or otherwise transfer all or any part of his or her Shares (other than shares of Restricted Stock which by their terms are not transferrable), the Holder first shall give written notice to the Company of the Holder’s intention to make such transfer. Such notice shall state the number of Shares that the Holder proposes to sell (the “Offered Shares”), the price and the terms at which the proposed sale is to be made and the name and address of the proposed transferee. At any time within thirty (30) days after the receipt of such notice by the Company, the Company or its assigns may elect to purchase all or any portion of the Offered Shares at the price and on the terms offered by the proposed transferee and specified in the notice. The Company or its assigns shall exercise this right by mailing or delivering written notice to the Holder within the foregoing thirty (30) day period. If the Company or its assigns elect to exercise its purchase rights under this Section 9(b), the closing for such purchase shall, in any event, take place within forty-five (45) days after the receipt by the Company of the initial notice from the Holder. In the event that the Company or its assigns do not elect to exercise such purchase right, or in the event that the Company or its assigns do not pay the full purchase price within such forty-five (45) day period, the Holder may, within sixty (60) days thereafter, sell the Offered Shares to the proposed transferee and at the same price and on the same terms as specified in the Holder’s notice. Any Shares not sold to the proposed transferee shall remain subject to the Plan. If the Holder is a party to any stockholders agreements or other agreements with the Company and/or certain other of the Company’s stockholders relating to the Shares, (i) the transferring Holder shall comply with the requirements of such stockholders agreements or other agreements relating to any proposed transfer of the Offered Shares, and (ii) any proposed transferee that purchases Offered Shares shall enter into such stockholders agreements or other agreements with the Company and/or certain of the Company’s stockholders relating to the Offered Shares on the same terms and in the same capacity as the transferring Holder.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534" w:name="page535"/>
    <w:bookmarkEnd w:id="534"/>
    <w:p>
      <w:pPr>
        <w:ind w:left="880" w:hanging="244"/>
        <w:spacing w:after="0"/>
        <w:tabs>
          <w:tab w:leader="none" w:pos="880" w:val="left"/>
        </w:tabs>
        <w:numPr>
          <w:ilvl w:val="0"/>
          <w:numId w:val="583"/>
        </w:numPr>
        <w:rPr>
          <w:rFonts w:ascii="Arial" w:cs="Arial" w:eastAsia="Arial" w:hAnsi="Arial"/>
          <w:sz w:val="18"/>
          <w:szCs w:val="18"/>
          <w:color w:val="auto"/>
        </w:rPr>
      </w:pPr>
      <w:r>
        <w:rPr>
          <w:rFonts w:ascii="Arial" w:cs="Arial" w:eastAsia="Arial" w:hAnsi="Arial"/>
          <w:sz w:val="18"/>
          <w:szCs w:val="18"/>
          <w:u w:val="single" w:color="auto"/>
          <w:color w:val="auto"/>
        </w:rPr>
        <w:t>Company’s Right of Repurchase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40" w:firstLine="1304"/>
        <w:spacing w:after="0" w:line="273" w:lineRule="auto"/>
        <w:tabs>
          <w:tab w:leader="none" w:pos="1491" w:val="left"/>
        </w:tabs>
        <w:numPr>
          <w:ilvl w:val="1"/>
          <w:numId w:val="583"/>
        </w:numPr>
        <w:rPr>
          <w:rFonts w:ascii="Arial" w:cs="Arial" w:eastAsia="Arial" w:hAnsi="Arial"/>
          <w:sz w:val="17"/>
          <w:szCs w:val="17"/>
          <w:color w:val="auto"/>
        </w:rPr>
      </w:pPr>
      <w:r>
        <w:rPr>
          <w:rFonts w:ascii="Arial" w:cs="Arial" w:eastAsia="Arial" w:hAnsi="Arial"/>
          <w:sz w:val="17"/>
          <w:szCs w:val="17"/>
          <w:u w:val="single" w:color="auto"/>
          <w:color w:val="auto"/>
        </w:rPr>
        <w:t>Right of Repurchase for Unvested Shares Issued Upon the Exercise of an Option</w:t>
      </w:r>
      <w:r>
        <w:rPr>
          <w:rFonts w:ascii="Arial" w:cs="Arial" w:eastAsia="Arial" w:hAnsi="Arial"/>
          <w:sz w:val="17"/>
          <w:szCs w:val="17"/>
          <w:color w:val="auto"/>
        </w:rPr>
        <w:t>. Upon a Termination Event, the Company or its assigns shall have the right and option to repurchase from a Holder of Shares acquired upon exercise of a Stock Option which are still subject to a risk of forfeiture as of the Termination Event. Such repurchase rights may be exercised by the Company within the later of (A) six (6) months following the date of such Termination Event or (B) seven (7) months after the acquisition of Shares upon exercise of a Stock Option. The repurchase price shall be equal to the lower of the original per share price paid by the Holder, subject to adjustment as provided in Section 3(b) of the Plan, or the current Fair Market Value of such Shares as of the date the Company elects to exercise its repurchase rights.</w:t>
      </w:r>
    </w:p>
    <w:p>
      <w:pPr>
        <w:spacing w:after="0" w:line="177" w:lineRule="exact"/>
        <w:rPr>
          <w:rFonts w:ascii="Arial" w:cs="Arial" w:eastAsia="Arial" w:hAnsi="Arial"/>
          <w:sz w:val="17"/>
          <w:szCs w:val="17"/>
          <w:color w:val="auto"/>
        </w:rPr>
      </w:pPr>
    </w:p>
    <w:p>
      <w:pPr>
        <w:ind w:left="-20" w:firstLine="1304"/>
        <w:spacing w:after="0" w:line="296" w:lineRule="auto"/>
        <w:tabs>
          <w:tab w:leader="none" w:pos="1541" w:val="left"/>
        </w:tabs>
        <w:numPr>
          <w:ilvl w:val="1"/>
          <w:numId w:val="583"/>
        </w:numPr>
        <w:rPr>
          <w:rFonts w:ascii="Arial" w:cs="Arial" w:eastAsia="Arial" w:hAnsi="Arial"/>
          <w:sz w:val="16"/>
          <w:szCs w:val="16"/>
          <w:color w:val="auto"/>
        </w:rPr>
      </w:pPr>
      <w:r>
        <w:rPr>
          <w:rFonts w:ascii="Arial" w:cs="Arial" w:eastAsia="Arial" w:hAnsi="Arial"/>
          <w:sz w:val="16"/>
          <w:szCs w:val="16"/>
          <w:u w:val="single" w:color="auto"/>
          <w:color w:val="auto"/>
        </w:rPr>
        <w:t>Right of Repurchase With Respect to Restricted Stock</w:t>
      </w:r>
      <w:r>
        <w:rPr>
          <w:rFonts w:ascii="Arial" w:cs="Arial" w:eastAsia="Arial" w:hAnsi="Arial"/>
          <w:sz w:val="16"/>
          <w:szCs w:val="16"/>
          <w:color w:val="auto"/>
        </w:rPr>
        <w:t>. Upon a Termination Event, the Company or its assigns shall have the right and option to repurchase from a Holder of Shares received pursuant to a Restricted Stock Award any Shares that are still subject to a risk of forfeiture as of the Termination Event. Such repurchase right may be exercised by the Company within six (6) months following the date of such Termination Event. The repurchase price shall be the lower of the original per share purchase price paid by the Holder, subject to adjustment as provided in Section 3(b) of the Plan, or the current Fair Market Value of such Shares as of the date the Company elects to exercise its repurchase rights.</w:t>
      </w:r>
    </w:p>
    <w:p>
      <w:pPr>
        <w:spacing w:after="0" w:line="161" w:lineRule="exact"/>
        <w:rPr>
          <w:rFonts w:ascii="Arial" w:cs="Arial" w:eastAsia="Arial" w:hAnsi="Arial"/>
          <w:sz w:val="16"/>
          <w:szCs w:val="16"/>
          <w:color w:val="auto"/>
        </w:rPr>
      </w:pPr>
    </w:p>
    <w:p>
      <w:pPr>
        <w:ind w:left="-20" w:right="20" w:firstLine="1304"/>
        <w:spacing w:after="0" w:line="293" w:lineRule="auto"/>
        <w:tabs>
          <w:tab w:leader="none" w:pos="1591" w:val="left"/>
        </w:tabs>
        <w:numPr>
          <w:ilvl w:val="1"/>
          <w:numId w:val="583"/>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Any repurchase right of the Company shall be exercised by the Company or its assigns by giving the Holder written notice on or before the last day of the repurchase period of its intention to exercise such repurchase right. Upon such notification, the Holder shall promptly surrender to the Company, free and clear of any liens or encumbrances, any certificates representing the Shares being purchased, together with a duly executed stock power for the transfer of such Shares to the Company or the Company’s assignee or assignees. Upon the Company’s or its assignee’s receipt of the certificates from the Holder, the Company or its assignee or assignees shall deliver to him, her or them a check for the applicable repurchase price; provided, however, that the Company may pay the repurchase price by offsetting and canceling any indebtedness then owed by the Holder to the Company.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535" w:name="page536"/>
    <w:bookmarkEnd w:id="535"/>
    <w:p>
      <w:pPr>
        <w:ind w:left="-60" w:firstLine="656"/>
        <w:spacing w:after="0" w:line="288" w:lineRule="auto"/>
        <w:tabs>
          <w:tab w:leader="none" w:pos="843" w:val="left"/>
        </w:tabs>
        <w:numPr>
          <w:ilvl w:val="0"/>
          <w:numId w:val="584"/>
        </w:numPr>
        <w:rPr>
          <w:rFonts w:ascii="Arial" w:cs="Arial" w:eastAsia="Arial" w:hAnsi="Arial"/>
          <w:sz w:val="16"/>
          <w:szCs w:val="16"/>
          <w:color w:val="auto"/>
        </w:rPr>
      </w:pPr>
      <w:r>
        <w:rPr>
          <w:rFonts w:ascii="Arial" w:cs="Arial" w:eastAsia="Arial" w:hAnsi="Arial"/>
          <w:sz w:val="16"/>
          <w:szCs w:val="16"/>
          <w:u w:val="single" w:color="auto"/>
          <w:color w:val="auto"/>
        </w:rPr>
        <w:t>Drag Along Right</w:t>
      </w:r>
      <w:r>
        <w:rPr>
          <w:rFonts w:ascii="Arial" w:cs="Arial" w:eastAsia="Arial" w:hAnsi="Arial"/>
          <w:sz w:val="16"/>
          <w:szCs w:val="16"/>
          <w:color w:val="auto"/>
        </w:rPr>
        <w:t>. In the event the holders of a majority of the Company’s equity securities then outstanding (the “Majority Shareholders”) determine to enter into a Sale Event in a bona fide negotiated transaction (a “Sale”), with any non-Affiliate of the Company or any majority shareholder (in each case, the “Buyer”), a Holder of Shares, including any Permitted Transferee, shall be obligated to and shall upon the written request of the Majority Shareholders: (a) sell, transfer and deliver, or cause to be sold, transferred and delivered, to the Buyer, his or her Shares (including for this purpose all of such Holder’s Shares that presently or as a result of any such transaction may be acquired upon the exercise of an Option (following the payment of the exercise price therefor)) on substantially the same terms applicable to the Majority Shareholders (with appropriate adjustments to reflect the conversion of convertible securities, the redemption of redeemable securities and the exercise of exercisable securities as well as the relative preferences and priorities of preferred stock); and (b) execute and deliver such instruments of conveyance and transfer and take such other action, including voting such Shares in favor of any Sale proposed by the Majority Shareholders and executing any purchase agreements, merger agreements, indemnity agreements, escrow agreements or related documents as the Majority Shareholders or the Buyer may reasonably require in order to carry out the terms and provisions of this Section 9(d).</w:t>
      </w:r>
    </w:p>
    <w:p>
      <w:pPr>
        <w:spacing w:after="0" w:line="168" w:lineRule="exact"/>
        <w:rPr>
          <w:rFonts w:ascii="Arial" w:cs="Arial" w:eastAsia="Arial" w:hAnsi="Arial"/>
          <w:sz w:val="16"/>
          <w:szCs w:val="16"/>
          <w:color w:val="auto"/>
        </w:rPr>
      </w:pPr>
    </w:p>
    <w:p>
      <w:pPr>
        <w:ind w:left="840" w:hanging="244"/>
        <w:spacing w:after="0"/>
        <w:tabs>
          <w:tab w:leader="none" w:pos="840" w:val="left"/>
        </w:tabs>
        <w:numPr>
          <w:ilvl w:val="0"/>
          <w:numId w:val="584"/>
        </w:numPr>
        <w:rPr>
          <w:rFonts w:ascii="Arial" w:cs="Arial" w:eastAsia="Arial" w:hAnsi="Arial"/>
          <w:sz w:val="18"/>
          <w:szCs w:val="18"/>
          <w:color w:val="auto"/>
        </w:rPr>
      </w:pPr>
      <w:r>
        <w:rPr>
          <w:rFonts w:ascii="Arial" w:cs="Arial" w:eastAsia="Arial" w:hAnsi="Arial"/>
          <w:sz w:val="18"/>
          <w:szCs w:val="18"/>
          <w:u w:val="single" w:color="auto"/>
          <w:color w:val="auto"/>
        </w:rPr>
        <w:t>Escrow Arrangement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 w:right="20" w:firstLine="1304"/>
        <w:spacing w:after="0" w:line="272" w:lineRule="auto"/>
        <w:tabs>
          <w:tab w:leader="none" w:pos="1451" w:val="left"/>
        </w:tabs>
        <w:numPr>
          <w:ilvl w:val="1"/>
          <w:numId w:val="584"/>
        </w:numPr>
        <w:rPr>
          <w:rFonts w:ascii="Arial" w:cs="Arial" w:eastAsia="Arial" w:hAnsi="Arial"/>
          <w:sz w:val="17"/>
          <w:szCs w:val="17"/>
          <w:color w:val="auto"/>
        </w:rPr>
      </w:pPr>
      <w:r>
        <w:rPr>
          <w:rFonts w:ascii="Arial" w:cs="Arial" w:eastAsia="Arial" w:hAnsi="Arial"/>
          <w:sz w:val="17"/>
          <w:szCs w:val="17"/>
          <w:u w:val="single" w:color="auto"/>
          <w:color w:val="auto"/>
        </w:rPr>
        <w:t>Escrow</w:t>
      </w:r>
      <w:r>
        <w:rPr>
          <w:rFonts w:ascii="Arial" w:cs="Arial" w:eastAsia="Arial" w:hAnsi="Arial"/>
          <w:sz w:val="17"/>
          <w:szCs w:val="17"/>
          <w:color w:val="auto"/>
        </w:rPr>
        <w:t>. In order to carry out the provisions of this Section 9 of this Plan more effectively, the Company shall hold any Shares issued pursuant to Awards granted under the Plan in escrow together with separate stock powers executed by the Holder in blank for transfer. The Company shall not dispose of the Shares except as otherwise provided in this Plan. In the event of any repurchase by the Company (or any of its assigns), the Company is hereby authorized by the Holder, as the Holder’s attorney-in-fact, to date and complete the stock powers necessary for the transfer of the Shares being purchased and to transfer such Shares in accordance with the terms hereof. At such time as any Shares are no longer subject to the Company’s repurchase and first refusal rights, the Company shall, at the written request of the Holder, deliver to the Holder a certificate representing such Shares with the balance of the Shares to be held in escrow pursuant to this Section.</w:t>
      </w:r>
    </w:p>
    <w:p>
      <w:pPr>
        <w:spacing w:after="0" w:line="177" w:lineRule="exact"/>
        <w:rPr>
          <w:rFonts w:ascii="Arial" w:cs="Arial" w:eastAsia="Arial" w:hAnsi="Arial"/>
          <w:sz w:val="17"/>
          <w:szCs w:val="17"/>
          <w:color w:val="auto"/>
        </w:rPr>
      </w:pPr>
    </w:p>
    <w:p>
      <w:pPr>
        <w:ind w:left="-60" w:firstLine="1304"/>
        <w:spacing w:after="0" w:line="269" w:lineRule="auto"/>
        <w:tabs>
          <w:tab w:leader="none" w:pos="1501" w:val="left"/>
        </w:tabs>
        <w:numPr>
          <w:ilvl w:val="1"/>
          <w:numId w:val="584"/>
        </w:numPr>
        <w:rPr>
          <w:rFonts w:ascii="Arial" w:cs="Arial" w:eastAsia="Arial" w:hAnsi="Arial"/>
          <w:sz w:val="17"/>
          <w:szCs w:val="17"/>
          <w:color w:val="auto"/>
        </w:rPr>
      </w:pPr>
      <w:r>
        <w:rPr>
          <w:rFonts w:ascii="Arial" w:cs="Arial" w:eastAsia="Arial" w:hAnsi="Arial"/>
          <w:sz w:val="17"/>
          <w:szCs w:val="17"/>
          <w:u w:val="single" w:color="auto"/>
          <w:color w:val="auto"/>
        </w:rPr>
        <w:t>Remedy</w:t>
      </w:r>
      <w:r>
        <w:rPr>
          <w:rFonts w:ascii="Arial" w:cs="Arial" w:eastAsia="Arial" w:hAnsi="Arial"/>
          <w:sz w:val="17"/>
          <w:szCs w:val="17"/>
          <w:color w:val="auto"/>
        </w:rPr>
        <w:t>. Without limitation of any other provision of this Plan or other rights, in the event that a Holder or any other Person is required to sell a Holder’s Shares pursuant to the provisions of Sections 9(b) or (c) hereof and in the further event that he or she refuses or for any reason fails to deliver to the Company or its designated purchaser of such Shares the certificate or certificates evidencing such Shares together with a related stock power, the Company or such designated purchaser may deposit the applicable purchase price for such Shares with a bank designated by the Company, or with the Company’s independent public accounting firm, as agent or trustee, or in escrow, for such Holder or other Person, to be held by such bank or accounting firm for the benefit of and for delivery to him, her, them or it, and/or, in its discretion, pay such purchase price by offsetting any indebtedness then owed by such Holder as provided above. Upon any such deposit and/or offset by the Company or its designated purchaser of such amount and upon notice to the Person who was required to sell the Shares to be sold pursuant to the provisions of Sections 9(b) or (c), such Shares shall at such time be deemed to have been sold, assigned, transferred and conveyed to such purchaser, such Holder shall have no further rights thereto (other than the right to withdraw the payment thereof held in escrow, if applicable), and the Company shall record such transfer in its stock transfer book or in any appropriate manner.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171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908" w:right="399" w:bottom="1440" w:gutter="0" w:footer="0" w:header="0"/>
        </w:sectPr>
      </w:pPr>
    </w:p>
    <w:bookmarkStart w:id="536" w:name="page537"/>
    <w:bookmarkEnd w:id="536"/>
    <w:p>
      <w:pPr>
        <w:ind w:right="40" w:firstLine="656"/>
        <w:spacing w:after="0" w:line="259" w:lineRule="auto"/>
        <w:tabs>
          <w:tab w:leader="none" w:pos="873" w:val="left"/>
        </w:tabs>
        <w:numPr>
          <w:ilvl w:val="0"/>
          <w:numId w:val="585"/>
        </w:numPr>
        <w:rPr>
          <w:rFonts w:ascii="Arial" w:cs="Arial" w:eastAsia="Arial" w:hAnsi="Arial"/>
          <w:sz w:val="18"/>
          <w:szCs w:val="18"/>
          <w:color w:val="auto"/>
        </w:rPr>
      </w:pPr>
      <w:r>
        <w:rPr>
          <w:rFonts w:ascii="Arial" w:cs="Arial" w:eastAsia="Arial" w:hAnsi="Arial"/>
          <w:sz w:val="18"/>
          <w:szCs w:val="18"/>
          <w:u w:val="single" w:color="auto"/>
          <w:color w:val="auto"/>
        </w:rPr>
        <w:t>Lockup Provision</w:t>
      </w:r>
      <w:r>
        <w:rPr>
          <w:rFonts w:ascii="Arial" w:cs="Arial" w:eastAsia="Arial" w:hAnsi="Arial"/>
          <w:sz w:val="18"/>
          <w:szCs w:val="18"/>
          <w:color w:val="auto"/>
        </w:rPr>
        <w:t>. If requested by the Company, a Holder shall not sell or otherwise transfer or dispose of any Shares (including, without limitation, pursuant to Rule 144 under the Securities Act) held by him or her for such period following the effective date of a public offering by the Company of Shares as the Company shall specify reasonably and in good faith. If requested by the underwriter engaged by the Company, each Holder shall execute a separate letter confirming his or her agreement to comply with this Section.</w:t>
      </w:r>
    </w:p>
    <w:p>
      <w:pPr>
        <w:spacing w:after="0" w:line="186" w:lineRule="exact"/>
        <w:rPr>
          <w:rFonts w:ascii="Arial" w:cs="Arial" w:eastAsia="Arial" w:hAnsi="Arial"/>
          <w:sz w:val="18"/>
          <w:szCs w:val="18"/>
          <w:color w:val="auto"/>
        </w:rPr>
      </w:pPr>
    </w:p>
    <w:p>
      <w:pPr>
        <w:jc w:val="both"/>
        <w:ind w:firstLine="656"/>
        <w:spacing w:after="0" w:line="259" w:lineRule="auto"/>
        <w:tabs>
          <w:tab w:leader="none" w:pos="903" w:val="left"/>
        </w:tabs>
        <w:numPr>
          <w:ilvl w:val="0"/>
          <w:numId w:val="585"/>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Capital Structure</w:t>
      </w:r>
      <w:r>
        <w:rPr>
          <w:rFonts w:ascii="Arial" w:cs="Arial" w:eastAsia="Arial" w:hAnsi="Arial"/>
          <w:sz w:val="18"/>
          <w:szCs w:val="18"/>
          <w:color w:val="auto"/>
        </w:rPr>
        <w:t>. If, as a result of any reorganization, recapitalization, reclassification, stock dividend, stock split, reverse stock split or other similar change in the Common Stock, the outstanding Shares are increased or decreased or are exchanged for a different number or kind of securities of the Company, the restrictions contained in this Section 9 shall apply with equal force to additional and/or substitute securities, if any, received by Holder in exchange for, or by virtue of his or her ownership of, Shares.</w:t>
      </w:r>
    </w:p>
    <w:p>
      <w:pPr>
        <w:spacing w:after="0" w:line="186" w:lineRule="exact"/>
        <w:rPr>
          <w:rFonts w:ascii="Arial" w:cs="Arial" w:eastAsia="Arial" w:hAnsi="Arial"/>
          <w:sz w:val="18"/>
          <w:szCs w:val="18"/>
          <w:color w:val="auto"/>
        </w:rPr>
      </w:pPr>
    </w:p>
    <w:p>
      <w:pPr>
        <w:ind w:right="20" w:firstLine="656"/>
        <w:spacing w:after="0" w:line="311" w:lineRule="auto"/>
        <w:tabs>
          <w:tab w:leader="none" w:pos="903" w:val="left"/>
        </w:tabs>
        <w:numPr>
          <w:ilvl w:val="0"/>
          <w:numId w:val="585"/>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terms and provisions of Section 9(b) and Section 9(c) (except for the Company’s right to repurchase Shares still subject to a risk of forfeiture upon a Termination Event) shall terminate upon the closing of the Company’s Initial Public Offering or upon consummation of any Sale Event, in either case as a result of which Shares are registered under Section 12 of the Exchange Act and publicly-traded on any national security exchange.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TAX WITHHOLDING</w:t>
      </w:r>
    </w:p>
    <w:p>
      <w:pPr>
        <w:spacing w:after="0" w:line="225" w:lineRule="exact"/>
        <w:rPr>
          <w:sz w:val="20"/>
          <w:szCs w:val="20"/>
          <w:color w:val="auto"/>
        </w:rPr>
      </w:pPr>
    </w:p>
    <w:p>
      <w:pPr>
        <w:ind w:right="20" w:firstLine="656"/>
        <w:spacing w:after="0" w:line="273" w:lineRule="auto"/>
        <w:tabs>
          <w:tab w:leader="none" w:pos="892" w:val="left"/>
        </w:tabs>
        <w:numPr>
          <w:ilvl w:val="0"/>
          <w:numId w:val="586"/>
        </w:numPr>
        <w:rPr>
          <w:rFonts w:ascii="Arial" w:cs="Arial" w:eastAsia="Arial" w:hAnsi="Arial"/>
          <w:sz w:val="17"/>
          <w:szCs w:val="17"/>
          <w:color w:val="auto"/>
        </w:rPr>
      </w:pPr>
      <w:r>
        <w:rPr>
          <w:rFonts w:ascii="Arial" w:cs="Arial" w:eastAsia="Arial" w:hAnsi="Arial"/>
          <w:sz w:val="17"/>
          <w:szCs w:val="17"/>
          <w:u w:val="single" w:color="auto"/>
          <w:color w:val="auto"/>
        </w:rPr>
        <w:t>Payment by Grantee</w:t>
      </w:r>
      <w:r>
        <w:rPr>
          <w:rFonts w:ascii="Arial" w:cs="Arial" w:eastAsia="Arial" w:hAnsi="Arial"/>
          <w:sz w:val="17"/>
          <w:szCs w:val="17"/>
          <w:color w:val="auto"/>
        </w:rPr>
        <w:t>. Each grantee shall, no later than the date as of which the value of an Award or of any Shares or other amounts received thereunder first becomes includable in the gross income of the grantee for income tax purposes, pay to the Company, or make arrangements satisfactory to the Committee regarding payment of, any Federal, state, or local taxes of any kind required by law to be withheld by the Company with respect to such income. The Company and any Subsidiary shall, to the extent permitted by law, have the right to deduct any such taxes from any payment of any kind otherwise due to the grantee. The Company’s obligation to deliver stock certificates (or evidence of book entry) to any grantee is subject to and conditioned on any such tax withholding obligations being satisfied by the grantee.</w:t>
      </w:r>
    </w:p>
    <w:p>
      <w:pPr>
        <w:spacing w:after="0" w:line="177" w:lineRule="exact"/>
        <w:rPr>
          <w:rFonts w:ascii="Arial" w:cs="Arial" w:eastAsia="Arial" w:hAnsi="Arial"/>
          <w:sz w:val="17"/>
          <w:szCs w:val="17"/>
          <w:color w:val="auto"/>
        </w:rPr>
      </w:pPr>
    </w:p>
    <w:p>
      <w:pPr>
        <w:ind w:right="280" w:firstLine="656"/>
        <w:spacing w:after="0" w:line="263" w:lineRule="auto"/>
        <w:tabs>
          <w:tab w:leader="none" w:pos="903" w:val="left"/>
        </w:tabs>
        <w:numPr>
          <w:ilvl w:val="0"/>
          <w:numId w:val="586"/>
        </w:numPr>
        <w:rPr>
          <w:rFonts w:ascii="Arial" w:cs="Arial" w:eastAsia="Arial" w:hAnsi="Arial"/>
          <w:sz w:val="18"/>
          <w:szCs w:val="18"/>
          <w:color w:val="auto"/>
        </w:rPr>
      </w:pPr>
      <w:r>
        <w:rPr>
          <w:rFonts w:ascii="Arial" w:cs="Arial" w:eastAsia="Arial" w:hAnsi="Arial"/>
          <w:sz w:val="18"/>
          <w:szCs w:val="18"/>
          <w:u w:val="single" w:color="auto"/>
          <w:color w:val="auto"/>
        </w:rPr>
        <w:t>Payment in Stock</w:t>
      </w:r>
      <w:r>
        <w:rPr>
          <w:rFonts w:ascii="Arial" w:cs="Arial" w:eastAsia="Arial" w:hAnsi="Arial"/>
          <w:sz w:val="18"/>
          <w:szCs w:val="18"/>
          <w:color w:val="auto"/>
        </w:rPr>
        <w:t>. The Company’s minimum required tax withholding obligation may be satisfied, in whole or in part, by the Company withholding from Shares to be issued pursuant to an Award a number of Shares having an aggregate Fair Market Value (as of the date the withholding is effected) that would satisfy the minimum withholding amount due.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SECTION 409A AWARDS.</w:t>
      </w:r>
    </w:p>
    <w:p>
      <w:pPr>
        <w:spacing w:after="0" w:line="225" w:lineRule="exact"/>
        <w:rPr>
          <w:sz w:val="20"/>
          <w:szCs w:val="20"/>
          <w:color w:val="auto"/>
        </w:rPr>
      </w:pPr>
    </w:p>
    <w:p>
      <w:pPr>
        <w:ind w:right="240" w:firstLine="648"/>
        <w:spacing w:after="0" w:line="271" w:lineRule="auto"/>
        <w:rPr>
          <w:sz w:val="20"/>
          <w:szCs w:val="20"/>
          <w:color w:val="auto"/>
        </w:rPr>
      </w:pPr>
      <w:r>
        <w:rPr>
          <w:rFonts w:ascii="Arial" w:cs="Arial" w:eastAsia="Arial" w:hAnsi="Arial"/>
          <w:sz w:val="17"/>
          <w:szCs w:val="17"/>
          <w:color w:val="auto"/>
        </w:rPr>
        <w:t>To the extent that any Award is determined to constitute “nonqualified deferred compensation” within the meaning of Section 409A (a “409A Award”), the Award shall be subject to such additional rules and requirements as may be specified by the Committee from time to time. In this regard, if any amount under a 409A Award is payable upon a “separation from service” (within the meaning of Section 409A) to a grantee who is considered a “specified employee” (within the meaning of Section 409A), then no such payment shall be made prior to the date that is the earlier of (i) six (6) months and one day after the grantee’s separation from service, or (ii) the grantee’s death, but only to the extent such delay is necessary to prevent such payment from being subject to interest, penalties and/or additional tax imposed pursuant to Section 409A. The Company makes no representation or warranty and shall have no liability to any grantee under the Plan or any other Person with respect to any penalties or taxes under Section 409A that are, or may be, imposed with respect to any Award.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7" w:name="page538"/>
    <w:bookmarkEnd w:id="537"/>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AMENDMENTS AND TERMINATION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Board may, at any time, amend or discontinue the Plan and the Committee may, at any time, amend or cancel any outstanding Award for the purpose of satisfying changes in law or for any other lawful purpose, but no such action shall adversely affect rights under any outstanding Award without the consent of the holder of the Award. The Committee may exercise its discretion to reduce the exercise price of outstanding Stock Options or effect repricing through cancellation of outstanding Stock Options and by granting such holders new Awards in replacement of the cancelled Stock Options. To the extent determined by the Committee to be required either by the Code to ensure that Incentive Stock Options granted under the Plan are qualified under Section 422 of the Code or otherwise, Plan amendments shall be subject to approval by the Company stockholders entitled to vote at a meeting of stockholders. Nothing in this Section 12 shall limit the Board’s or Committee’s authority to take any action permitted pursuant to Section 3(c). The Board reserves the right to amend the Plan and/or the terms of any outstanding Stock Options to the extent reasonably necessary to comply with the requirements of the exemption pursuant to paragraph (f)(4) of Rule 12h-1 of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STATUS OF PLAN</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Committee shall otherwise expressly so determine in connection with any Award.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ind w:right="280" w:firstLine="656"/>
        <w:spacing w:after="0" w:line="301" w:lineRule="auto"/>
        <w:tabs>
          <w:tab w:leader="none" w:pos="892" w:val="left"/>
        </w:tabs>
        <w:numPr>
          <w:ilvl w:val="0"/>
          <w:numId w:val="587"/>
        </w:numPr>
        <w:rPr>
          <w:rFonts w:ascii="Arial" w:cs="Arial" w:eastAsia="Arial" w:hAnsi="Arial"/>
          <w:sz w:val="16"/>
          <w:szCs w:val="16"/>
          <w:color w:val="auto"/>
        </w:rPr>
      </w:pPr>
      <w:r>
        <w:rPr>
          <w:rFonts w:ascii="Arial" w:cs="Arial" w:eastAsia="Arial" w:hAnsi="Arial"/>
          <w:sz w:val="16"/>
          <w:szCs w:val="16"/>
          <w:u w:val="single" w:color="auto"/>
          <w:color w:val="auto"/>
        </w:rPr>
        <w:t>No Distribution; Compliance with Legal Requirements</w:t>
      </w:r>
      <w:r>
        <w:rPr>
          <w:rFonts w:ascii="Arial" w:cs="Arial" w:eastAsia="Arial" w:hAnsi="Arial"/>
          <w:sz w:val="16"/>
          <w:szCs w:val="16"/>
          <w:color w:val="auto"/>
        </w:rPr>
        <w:t>. The Committee may require each person acquiring Shares pursuant to an Award to represent to and agree with the Company in writing that such person is acquiring the Shares without a view to distribution thereof. No Shares shall be issued pursuant to an Award until all applicable securities law and other legal and stock exchange or similar requirements have been satisfied. The Committee may require the placing of such stop-orders and restrictive legends on certificates for Stock and Awards as it deems appropriate.</w:t>
      </w:r>
    </w:p>
    <w:p>
      <w:pPr>
        <w:spacing w:after="0" w:line="157" w:lineRule="exact"/>
        <w:rPr>
          <w:rFonts w:ascii="Arial" w:cs="Arial" w:eastAsia="Arial" w:hAnsi="Arial"/>
          <w:sz w:val="16"/>
          <w:szCs w:val="16"/>
          <w:color w:val="auto"/>
        </w:rPr>
      </w:pPr>
    </w:p>
    <w:p>
      <w:pPr>
        <w:ind w:right="20" w:firstLine="656"/>
        <w:spacing w:after="0" w:line="254" w:lineRule="auto"/>
        <w:tabs>
          <w:tab w:leader="none" w:pos="903" w:val="left"/>
        </w:tabs>
        <w:numPr>
          <w:ilvl w:val="0"/>
          <w:numId w:val="587"/>
        </w:numPr>
        <w:rPr>
          <w:rFonts w:ascii="Arial" w:cs="Arial" w:eastAsia="Arial" w:hAnsi="Arial"/>
          <w:sz w:val="18"/>
          <w:szCs w:val="18"/>
          <w:color w:val="auto"/>
        </w:rPr>
      </w:pPr>
      <w:r>
        <w:rPr>
          <w:rFonts w:ascii="Arial" w:cs="Arial" w:eastAsia="Arial" w:hAnsi="Arial"/>
          <w:sz w:val="18"/>
          <w:szCs w:val="18"/>
          <w:u w:val="single" w:color="auto"/>
          <w:color w:val="auto"/>
        </w:rPr>
        <w:t>Delivery of Stock Certificates</w:t>
      </w:r>
      <w:r>
        <w:rPr>
          <w:rFonts w:ascii="Arial" w:cs="Arial" w:eastAsia="Arial" w:hAnsi="Arial"/>
          <w:sz w:val="18"/>
          <w:szCs w:val="18"/>
          <w:color w:val="auto"/>
        </w:rPr>
        <w:t>. Stock certificates to grantees under the Plan shall be deemed delivered for all purposes when the Company or a stock transfer agent of the Company shall have mailed such certificates in the United States mail, addressed to the grantee, at the grantee’s last known address on file with the Company; provided that stock certificates to be held in escrow pursuant to Section 9 of the Plan shall be deemed delivered when the Company shall have recorded the issuance in its records.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538" w:name="page539"/>
    <w:bookmarkEnd w:id="538"/>
    <w:p>
      <w:pPr>
        <w:ind w:right="180" w:firstLine="656"/>
        <w:spacing w:after="0" w:line="277" w:lineRule="auto"/>
        <w:tabs>
          <w:tab w:leader="none" w:pos="892" w:val="left"/>
        </w:tabs>
        <w:numPr>
          <w:ilvl w:val="0"/>
          <w:numId w:val="588"/>
        </w:numPr>
        <w:rPr>
          <w:rFonts w:ascii="Arial" w:cs="Arial" w:eastAsia="Arial" w:hAnsi="Arial"/>
          <w:sz w:val="18"/>
          <w:szCs w:val="18"/>
          <w:color w:val="auto"/>
        </w:rPr>
      </w:pPr>
      <w:r>
        <w:rPr>
          <w:rFonts w:ascii="Arial" w:cs="Arial" w:eastAsia="Arial" w:hAnsi="Arial"/>
          <w:sz w:val="18"/>
          <w:szCs w:val="18"/>
          <w:u w:val="single" w:color="auto"/>
          <w:color w:val="auto"/>
        </w:rPr>
        <w:t>No Employment Rights</w:t>
      </w:r>
      <w:r>
        <w:rPr>
          <w:rFonts w:ascii="Arial" w:cs="Arial" w:eastAsia="Arial" w:hAnsi="Arial"/>
          <w:sz w:val="18"/>
          <w:szCs w:val="18"/>
          <w:color w:val="auto"/>
        </w:rPr>
        <w:t>. The adoption of the Plan and the grant of Awards do not confer upon any Person any right to continued employment or Service Relationship with the Company or any Subsidiary.</w:t>
      </w:r>
    </w:p>
    <w:p>
      <w:pPr>
        <w:spacing w:after="0" w:line="170" w:lineRule="exact"/>
        <w:rPr>
          <w:rFonts w:ascii="Arial" w:cs="Arial" w:eastAsia="Arial" w:hAnsi="Arial"/>
          <w:sz w:val="18"/>
          <w:szCs w:val="18"/>
          <w:color w:val="auto"/>
        </w:rPr>
      </w:pPr>
    </w:p>
    <w:p>
      <w:pPr>
        <w:ind w:right="60" w:firstLine="656"/>
        <w:spacing w:after="0" w:line="342" w:lineRule="auto"/>
        <w:tabs>
          <w:tab w:leader="none" w:pos="903" w:val="left"/>
        </w:tabs>
        <w:numPr>
          <w:ilvl w:val="0"/>
          <w:numId w:val="588"/>
        </w:numPr>
        <w:rPr>
          <w:rFonts w:ascii="Arial" w:cs="Arial" w:eastAsia="Arial" w:hAnsi="Arial"/>
          <w:sz w:val="16"/>
          <w:szCs w:val="16"/>
          <w:color w:val="auto"/>
        </w:rPr>
      </w:pPr>
      <w:r>
        <w:rPr>
          <w:rFonts w:ascii="Arial" w:cs="Arial" w:eastAsia="Arial" w:hAnsi="Arial"/>
          <w:sz w:val="16"/>
          <w:szCs w:val="16"/>
          <w:u w:val="single" w:color="auto"/>
          <w:color w:val="auto"/>
        </w:rPr>
        <w:t>Trading Policy Restrictions</w:t>
      </w:r>
      <w:r>
        <w:rPr>
          <w:rFonts w:ascii="Arial" w:cs="Arial" w:eastAsia="Arial" w:hAnsi="Arial"/>
          <w:sz w:val="16"/>
          <w:szCs w:val="16"/>
          <w:color w:val="auto"/>
        </w:rPr>
        <w:t>. Option exercises and other Awards under the Plan shall be subject to the Company’s insider trading policy-related restrictions, terms and conditions as may be established by the Committee, or in accordance with policies set by the Committee, from time to time.</w:t>
      </w:r>
    </w:p>
    <w:p>
      <w:pPr>
        <w:spacing w:after="0" w:line="123" w:lineRule="exact"/>
        <w:rPr>
          <w:rFonts w:ascii="Arial" w:cs="Arial" w:eastAsia="Arial" w:hAnsi="Arial"/>
          <w:sz w:val="16"/>
          <w:szCs w:val="16"/>
          <w:color w:val="auto"/>
        </w:rPr>
      </w:pPr>
    </w:p>
    <w:p>
      <w:pPr>
        <w:ind w:right="200" w:firstLine="656"/>
        <w:spacing w:after="0" w:line="301" w:lineRule="auto"/>
        <w:tabs>
          <w:tab w:leader="none" w:pos="892" w:val="left"/>
        </w:tabs>
        <w:numPr>
          <w:ilvl w:val="0"/>
          <w:numId w:val="588"/>
        </w:numPr>
        <w:rPr>
          <w:rFonts w:ascii="Arial" w:cs="Arial" w:eastAsia="Arial" w:hAnsi="Arial"/>
          <w:sz w:val="16"/>
          <w:szCs w:val="16"/>
          <w:color w:val="auto"/>
        </w:rPr>
      </w:pP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 Each grantee to whom an Award has been made under the Plan may designate a beneficiary or beneficiaries to exercise any Award on or after the grantee’s death or receive any payment under any Award payable on or after the grantee’s death. Any such designation shall be on a form provided for that purpose by the Committee and shall not be effective until received by the Committee. If no beneficiary has been designated by a deceased grantee, or if the designated beneficiaries have predeceased the grantee, the beneficiary shall be the grantee’s estate.</w:t>
      </w:r>
    </w:p>
    <w:p>
      <w:pPr>
        <w:spacing w:after="0" w:line="157" w:lineRule="exact"/>
        <w:rPr>
          <w:rFonts w:ascii="Arial" w:cs="Arial" w:eastAsia="Arial" w:hAnsi="Arial"/>
          <w:sz w:val="16"/>
          <w:szCs w:val="16"/>
          <w:color w:val="auto"/>
        </w:rPr>
      </w:pPr>
    </w:p>
    <w:p>
      <w:pPr>
        <w:ind w:right="200" w:firstLine="656"/>
        <w:spacing w:after="0" w:line="277" w:lineRule="auto"/>
        <w:tabs>
          <w:tab w:leader="none" w:pos="873" w:val="left"/>
        </w:tabs>
        <w:numPr>
          <w:ilvl w:val="0"/>
          <w:numId w:val="588"/>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Any certificate(s) representing the Shares shall carry substantially the following legend (and with respect to uncertificated Stock, the book entries evidencing such shares shall contain the following notation):</w:t>
      </w:r>
    </w:p>
    <w:p>
      <w:pPr>
        <w:spacing w:after="0" w:line="170" w:lineRule="exact"/>
        <w:rPr>
          <w:sz w:val="20"/>
          <w:szCs w:val="20"/>
          <w:color w:val="auto"/>
        </w:rPr>
      </w:pPr>
    </w:p>
    <w:p>
      <w:pPr>
        <w:ind w:left="1300" w:right="1340"/>
        <w:spacing w:after="0" w:line="301" w:lineRule="auto"/>
        <w:rPr>
          <w:sz w:val="20"/>
          <w:szCs w:val="20"/>
          <w:color w:val="auto"/>
        </w:rPr>
      </w:pPr>
      <w:r>
        <w:rPr>
          <w:rFonts w:ascii="Arial" w:cs="Arial" w:eastAsia="Arial" w:hAnsi="Arial"/>
          <w:sz w:val="16"/>
          <w:szCs w:val="16"/>
          <w:color w:val="auto"/>
        </w:rPr>
        <w:t>The transferability of this certificate and the shares of stock represented hereby are subject to the restrictions, terms and conditions (including repurchase and restrictions against transfers) contained in the Tango Therapeutics, Inc. 2017 Stock Option and Grant Plan and any agreements entered into thereunder by and between the company and the holder of this certificate (a copy of which is available at the offices of the company for examination).</w:t>
      </w:r>
    </w:p>
    <w:p>
      <w:pPr>
        <w:spacing w:after="0" w:line="157" w:lineRule="exact"/>
        <w:rPr>
          <w:sz w:val="20"/>
          <w:szCs w:val="20"/>
          <w:color w:val="auto"/>
        </w:rPr>
      </w:pPr>
    </w:p>
    <w:p>
      <w:pPr>
        <w:ind w:right="60" w:firstLine="656"/>
        <w:spacing w:after="0" w:line="291" w:lineRule="auto"/>
        <w:tabs>
          <w:tab w:leader="none" w:pos="903" w:val="left"/>
        </w:tabs>
        <w:numPr>
          <w:ilvl w:val="0"/>
          <w:numId w:val="589"/>
        </w:numPr>
        <w:rPr>
          <w:rFonts w:ascii="Arial" w:cs="Arial" w:eastAsia="Arial" w:hAnsi="Arial"/>
          <w:sz w:val="16"/>
          <w:szCs w:val="16"/>
          <w:color w:val="auto"/>
        </w:rPr>
      </w:pPr>
      <w:r>
        <w:rPr>
          <w:rFonts w:ascii="Arial" w:cs="Arial" w:eastAsia="Arial" w:hAnsi="Arial"/>
          <w:sz w:val="16"/>
          <w:szCs w:val="16"/>
          <w:u w:val="single" w:color="auto"/>
          <w:color w:val="auto"/>
        </w:rPr>
        <w:t>Information to Holders of Options</w:t>
      </w:r>
      <w:r>
        <w:rPr>
          <w:rFonts w:ascii="Arial" w:cs="Arial" w:eastAsia="Arial" w:hAnsi="Arial"/>
          <w:sz w:val="16"/>
          <w:szCs w:val="16"/>
          <w:color w:val="auto"/>
        </w:rPr>
        <w:t>. In the event the Company is relying on the exemption from the registration requirements of Section 12(g) of the Exchange Act contained in paragraph (f)(1) of Rule 12h-1 of the Exchange Act, the Company shall provide the information described in Rule 701(e)</w:t>
      </w:r>
    </w:p>
    <w:p>
      <w:pPr>
        <w:ind w:right="20"/>
        <w:spacing w:after="0" w:line="255" w:lineRule="auto"/>
        <w:rPr>
          <w:rFonts w:ascii="Arial" w:cs="Arial" w:eastAsia="Arial" w:hAnsi="Arial"/>
          <w:sz w:val="16"/>
          <w:szCs w:val="16"/>
          <w:color w:val="auto"/>
        </w:rPr>
      </w:pPr>
      <w:r>
        <w:rPr>
          <w:rFonts w:ascii="Arial" w:cs="Arial" w:eastAsia="Arial" w:hAnsi="Arial"/>
          <w:sz w:val="18"/>
          <w:szCs w:val="18"/>
          <w:color w:val="auto"/>
        </w:rPr>
        <w:t>(3), (4) and (5) of the Securities Act to all holders of Options in accordance with the requirements thereunder. The foregoing notwithstanding, the Company shall not be required to provide such information unless the optionholder has agreed in writing, on a form prescribed by the Company, to keep such information confidential.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EFFECTIVE DATE OF PLAN</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Plan shall become effective upon adoption by the Board and shall be approved by stockholders in accordance with applicable state law and the Company’s certificate of incorporation and bylaws within twelve (12) months thereafter. If the stockholders fail to approve the Plan within twelve (12) months after its adoption by the Board of Directors, then any Awards granted or sold under the Plan shall be rescinded and no additional grants or sales shall thereafter be made under the Plan. Subject to such approval by stockholders and to the requirement that no Shares may be issued hereunder prior to such approval, Stock Options and other Awards may be granted hereunder on and after adoption of the Plan by the Board. No grants of Stock Options and other Awards may be made hereunder after the tenth anniversary of the date the Plan is adopted by the Board or the date the Plan is approved by the Company’s stockholders, whichever is earlier.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GOVERNING LAW</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This Plan, all Awards and any controversy arising out of or relating to this Plan and all Awards shall be governed by and construed in accordance with the General Corporation Law of the State of Delaware as to matters within the scope thereof, and as to all other matters shall be governed by and construed in accordance with the internal laws of Massachusetts, without regard to conflict of law principles that would result in the application of any law other than the law of the State of Massachusetts.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DATE ADOPTED BY THE BOARD OF DIRECTORS:</w:t>
            </w:r>
          </w:p>
        </w:tc>
        <w:tc>
          <w:tcPr>
            <w:tcW w:w="6440" w:type="dxa"/>
            <w:vAlign w:val="bottom"/>
          </w:tcPr>
          <w:p>
            <w:pPr>
              <w:ind w:left="820"/>
              <w:spacing w:after="0"/>
              <w:rPr>
                <w:sz w:val="20"/>
                <w:szCs w:val="20"/>
                <w:color w:val="auto"/>
              </w:rPr>
            </w:pPr>
            <w:r>
              <w:rPr>
                <w:rFonts w:ascii="Arial" w:cs="Arial" w:eastAsia="Arial" w:hAnsi="Arial"/>
                <w:sz w:val="18"/>
                <w:szCs w:val="18"/>
                <w:color w:val="auto"/>
              </w:rPr>
              <w:t>March 16, 2017</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DATE APPROVED BY THE STOCKHOLDERS:</w:t>
            </w:r>
          </w:p>
        </w:tc>
        <w:tc>
          <w:tcPr>
            <w:tcW w:w="6440" w:type="dxa"/>
            <w:vAlign w:val="bottom"/>
          </w:tcPr>
          <w:p>
            <w:pPr>
              <w:ind w:left="820"/>
              <w:spacing w:after="0"/>
              <w:rPr>
                <w:sz w:val="20"/>
                <w:szCs w:val="20"/>
                <w:color w:val="auto"/>
              </w:rPr>
            </w:pPr>
            <w:r>
              <w:rPr>
                <w:rFonts w:ascii="Arial" w:cs="Arial" w:eastAsia="Arial" w:hAnsi="Arial"/>
                <w:sz w:val="18"/>
                <w:szCs w:val="18"/>
                <w:color w:val="auto"/>
              </w:rPr>
              <w:t>March 16, 2017</w:t>
            </w:r>
          </w:p>
        </w:tc>
      </w:tr>
      <w:tr>
        <w:trPr>
          <w:trHeight w:val="655"/>
        </w:trPr>
        <w:tc>
          <w:tcPr>
            <w:tcW w:w="480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240"/>
          </w:cols>
          <w:pgMar w:left="320" w:top="908" w:right="339" w:bottom="1440" w:gutter="0" w:footer="0" w:header="0"/>
        </w:sectPr>
      </w:pPr>
    </w:p>
    <w:bookmarkStart w:id="539" w:name="page540"/>
    <w:bookmarkEnd w:id="539"/>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STOCK OPTION AND GRANT PLAN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Tango Therapeutics, Inc. 2017 Stock Option and Grant Plan (the “</w:t>
      </w:r>
      <w:r>
        <w:rPr>
          <w:rFonts w:ascii="Arial" w:cs="Arial" w:eastAsia="Arial" w:hAnsi="Arial"/>
          <w:sz w:val="16"/>
          <w:szCs w:val="16"/>
          <w:u w:val="single" w:color="auto"/>
          <w:color w:val="auto"/>
        </w:rPr>
        <w:t>Plan</w:t>
      </w:r>
      <w:r>
        <w:rPr>
          <w:rFonts w:ascii="Arial" w:cs="Arial" w:eastAsia="Arial" w:hAnsi="Arial"/>
          <w:sz w:val="16"/>
          <w:szCs w:val="16"/>
          <w:color w:val="auto"/>
        </w:rPr>
        <w:t>”) is hereby amended by the Board of Directors and stockholders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Tango Therapeutics, Inc., a Delaware corporation, as follows: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3(a) of the Plan is hereby amended by deleting it and replacing it with the following:</w:t>
      </w:r>
    </w:p>
    <w:p>
      <w:pPr>
        <w:spacing w:after="0" w:line="225" w:lineRule="exact"/>
        <w:rPr>
          <w:sz w:val="20"/>
          <w:szCs w:val="20"/>
          <w:color w:val="auto"/>
        </w:rPr>
      </w:pPr>
    </w:p>
    <w:p>
      <w:pPr>
        <w:ind w:left="660" w:right="100"/>
        <w:spacing w:after="0" w:line="272" w:lineRule="auto"/>
        <w:rPr>
          <w:sz w:val="20"/>
          <w:szCs w:val="20"/>
          <w:color w:val="auto"/>
        </w:rPr>
      </w:pPr>
      <w:r>
        <w:rPr>
          <w:rFonts w:ascii="Arial" w:cs="Arial" w:eastAsia="Arial" w:hAnsi="Arial"/>
          <w:sz w:val="17"/>
          <w:szCs w:val="17"/>
          <w:u w:val="single" w:color="auto"/>
          <w:color w:val="auto"/>
        </w:rPr>
        <w:t>Stock Issuable</w:t>
      </w:r>
      <w:r>
        <w:rPr>
          <w:rFonts w:ascii="Arial" w:cs="Arial" w:eastAsia="Arial" w:hAnsi="Arial"/>
          <w:sz w:val="17"/>
          <w:szCs w:val="17"/>
          <w:color w:val="auto"/>
        </w:rPr>
        <w:t>. The maximum number of Shares reserved and available for issuance under the Plan shall be 11,100,000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11,100,000 Shares may be issued pursuant to Incentive Stock Options. The Shares available for issuance under the Plan may be authorized but unissued Shares or Shares reacquired by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ADOPTED BY BOARD OF DIRECTORS:</w:t>
            </w:r>
          </w:p>
        </w:tc>
        <w:tc>
          <w:tcPr>
            <w:tcW w:w="7620" w:type="dxa"/>
            <w:vAlign w:val="bottom"/>
          </w:tcPr>
          <w:p>
            <w:pPr>
              <w:ind w:left="440"/>
              <w:spacing w:after="0"/>
              <w:rPr>
                <w:sz w:val="20"/>
                <w:szCs w:val="20"/>
                <w:color w:val="auto"/>
              </w:rPr>
            </w:pPr>
            <w:r>
              <w:rPr>
                <w:rFonts w:ascii="Arial" w:cs="Arial" w:eastAsia="Arial" w:hAnsi="Arial"/>
                <w:sz w:val="18"/>
                <w:szCs w:val="18"/>
                <w:color w:val="auto"/>
              </w:rPr>
              <w:t>September 12, 2018</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ADOPTED BY STOCKHOLDERS:</w:t>
            </w:r>
          </w:p>
        </w:tc>
        <w:tc>
          <w:tcPr>
            <w:tcW w:w="7620" w:type="dxa"/>
            <w:vAlign w:val="bottom"/>
          </w:tcPr>
          <w:p>
            <w:pPr>
              <w:ind w:left="440"/>
              <w:spacing w:after="0"/>
              <w:rPr>
                <w:sz w:val="20"/>
                <w:szCs w:val="20"/>
                <w:color w:val="auto"/>
              </w:rPr>
            </w:pPr>
            <w:r>
              <w:rPr>
                <w:rFonts w:ascii="Arial" w:cs="Arial" w:eastAsia="Arial" w:hAnsi="Arial"/>
                <w:sz w:val="18"/>
                <w:szCs w:val="18"/>
                <w:color w:val="auto"/>
              </w:rPr>
              <w:t>September 14, 2018</w:t>
            </w:r>
          </w:p>
        </w:tc>
      </w:tr>
      <w:tr>
        <w:trPr>
          <w:trHeight w:val="655"/>
        </w:trPr>
        <w:tc>
          <w:tcPr>
            <w:tcW w:w="362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40" w:name="page541"/>
    <w:bookmarkEnd w:id="540"/>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STOCK OPTION AND GRANT PLAN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Tango Therapeutics, Inc. 2017 Stock Option and Grant Plan (the “</w:t>
      </w:r>
      <w:r>
        <w:rPr>
          <w:rFonts w:ascii="Arial" w:cs="Arial" w:eastAsia="Arial" w:hAnsi="Arial"/>
          <w:sz w:val="16"/>
          <w:szCs w:val="16"/>
          <w:u w:val="single" w:color="auto"/>
          <w:color w:val="auto"/>
        </w:rPr>
        <w:t>Plan</w:t>
      </w:r>
      <w:r>
        <w:rPr>
          <w:rFonts w:ascii="Arial" w:cs="Arial" w:eastAsia="Arial" w:hAnsi="Arial"/>
          <w:sz w:val="16"/>
          <w:szCs w:val="16"/>
          <w:color w:val="auto"/>
        </w:rPr>
        <w:t>”) is hereby amended by the Board of Directors and stockholders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Tango Therapeutics, Inc., a Delaware corporation, as follows: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3(a) of the Plan is hereby amended by deleting it and replacing it with the following:</w:t>
      </w:r>
    </w:p>
    <w:p>
      <w:pPr>
        <w:spacing w:after="0" w:line="225" w:lineRule="exact"/>
        <w:rPr>
          <w:sz w:val="20"/>
          <w:szCs w:val="20"/>
          <w:color w:val="auto"/>
        </w:rPr>
      </w:pPr>
    </w:p>
    <w:p>
      <w:pPr>
        <w:ind w:left="660" w:right="100"/>
        <w:spacing w:after="0" w:line="272" w:lineRule="auto"/>
        <w:rPr>
          <w:sz w:val="20"/>
          <w:szCs w:val="20"/>
          <w:color w:val="auto"/>
        </w:rPr>
      </w:pPr>
      <w:r>
        <w:rPr>
          <w:rFonts w:ascii="Arial" w:cs="Arial" w:eastAsia="Arial" w:hAnsi="Arial"/>
          <w:sz w:val="17"/>
          <w:szCs w:val="17"/>
          <w:u w:val="single" w:color="auto"/>
          <w:color w:val="auto"/>
        </w:rPr>
        <w:t>Stock Issuable</w:t>
      </w:r>
      <w:r>
        <w:rPr>
          <w:rFonts w:ascii="Arial" w:cs="Arial" w:eastAsia="Arial" w:hAnsi="Arial"/>
          <w:sz w:val="17"/>
          <w:szCs w:val="17"/>
          <w:color w:val="auto"/>
        </w:rPr>
        <w:t>. The maximum number of Shares reserved and available for issuance under the Plan shall be 15,100,000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15,100,000 Shares may be issued pursuant to Incentive Stock Options. The Shares available for issuance under the Plan may be authorized but unissued Shares or Shares reacquired by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ADOPTED BY BOARD OF DIRECTORS:</w:t>
            </w:r>
          </w:p>
        </w:tc>
        <w:tc>
          <w:tcPr>
            <w:tcW w:w="7620" w:type="dxa"/>
            <w:vAlign w:val="bottom"/>
          </w:tcPr>
          <w:p>
            <w:pPr>
              <w:ind w:left="440"/>
              <w:spacing w:after="0"/>
              <w:rPr>
                <w:sz w:val="20"/>
                <w:szCs w:val="20"/>
                <w:color w:val="auto"/>
              </w:rPr>
            </w:pPr>
            <w:r>
              <w:rPr>
                <w:rFonts w:ascii="Arial" w:cs="Arial" w:eastAsia="Arial" w:hAnsi="Arial"/>
                <w:sz w:val="18"/>
                <w:szCs w:val="18"/>
                <w:color w:val="auto"/>
              </w:rPr>
              <w:t>October 2, 2018</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ADOPTED BY STOCKHOLDERS:</w:t>
            </w:r>
          </w:p>
        </w:tc>
        <w:tc>
          <w:tcPr>
            <w:tcW w:w="7620" w:type="dxa"/>
            <w:vAlign w:val="bottom"/>
          </w:tcPr>
          <w:p>
            <w:pPr>
              <w:ind w:left="440"/>
              <w:spacing w:after="0"/>
              <w:rPr>
                <w:sz w:val="20"/>
                <w:szCs w:val="20"/>
                <w:color w:val="auto"/>
              </w:rPr>
            </w:pPr>
            <w:r>
              <w:rPr>
                <w:rFonts w:ascii="Arial" w:cs="Arial" w:eastAsia="Arial" w:hAnsi="Arial"/>
                <w:sz w:val="18"/>
                <w:szCs w:val="18"/>
                <w:color w:val="auto"/>
              </w:rPr>
              <w:t>October 10, 2018</w:t>
            </w:r>
          </w:p>
        </w:tc>
      </w:tr>
      <w:tr>
        <w:trPr>
          <w:trHeight w:val="655"/>
        </w:trPr>
        <w:tc>
          <w:tcPr>
            <w:tcW w:w="362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41" w:name="page542"/>
    <w:bookmarkEnd w:id="541"/>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STOCK OPTION AND GRANT PLAN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Tango Therapeutics, Inc. 2017 Stock Option and Grant Plan (the “</w:t>
      </w:r>
      <w:r>
        <w:rPr>
          <w:rFonts w:ascii="Arial" w:cs="Arial" w:eastAsia="Arial" w:hAnsi="Arial"/>
          <w:sz w:val="16"/>
          <w:szCs w:val="16"/>
          <w:u w:val="single" w:color="auto"/>
          <w:color w:val="auto"/>
        </w:rPr>
        <w:t>Plan</w:t>
      </w:r>
      <w:r>
        <w:rPr>
          <w:rFonts w:ascii="Arial" w:cs="Arial" w:eastAsia="Arial" w:hAnsi="Arial"/>
          <w:sz w:val="16"/>
          <w:szCs w:val="16"/>
          <w:color w:val="auto"/>
        </w:rPr>
        <w:t>”) is hereby amended by the Board of Directors and stockholders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Tango Therapeutics, Inc., a Delaware corporation, as follows: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3(a) of the Plan is hereby amended by deleting it and replacing it with the following:</w:t>
      </w:r>
    </w:p>
    <w:p>
      <w:pPr>
        <w:spacing w:after="0" w:line="225" w:lineRule="exact"/>
        <w:rPr>
          <w:sz w:val="20"/>
          <w:szCs w:val="20"/>
          <w:color w:val="auto"/>
        </w:rPr>
      </w:pPr>
    </w:p>
    <w:p>
      <w:pPr>
        <w:ind w:left="660" w:right="100"/>
        <w:spacing w:after="0" w:line="272" w:lineRule="auto"/>
        <w:rPr>
          <w:sz w:val="20"/>
          <w:szCs w:val="20"/>
          <w:color w:val="auto"/>
        </w:rPr>
      </w:pPr>
      <w:r>
        <w:rPr>
          <w:rFonts w:ascii="Arial" w:cs="Arial" w:eastAsia="Arial" w:hAnsi="Arial"/>
          <w:sz w:val="17"/>
          <w:szCs w:val="17"/>
          <w:u w:val="single" w:color="auto"/>
          <w:color w:val="auto"/>
        </w:rPr>
        <w:t>Stock Issuable</w:t>
      </w:r>
      <w:r>
        <w:rPr>
          <w:rFonts w:ascii="Arial" w:cs="Arial" w:eastAsia="Arial" w:hAnsi="Arial"/>
          <w:sz w:val="17"/>
          <w:szCs w:val="17"/>
          <w:color w:val="auto"/>
        </w:rPr>
        <w:t>. The maximum number of Shares reserved and available for issuance under the Plan shall be 17,900,000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17,900,000 Shares may be issued pursuant to Incentive Stock Options. The Shares available for issuance under the Plan may be authorized but unissued Shares or Shares reacquired by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ADOPTED BY BOARD OF DIRECTORS:</w:t>
            </w:r>
          </w:p>
        </w:tc>
        <w:tc>
          <w:tcPr>
            <w:tcW w:w="7620" w:type="dxa"/>
            <w:vAlign w:val="bottom"/>
          </w:tcPr>
          <w:p>
            <w:pPr>
              <w:ind w:left="440"/>
              <w:spacing w:after="0"/>
              <w:rPr>
                <w:sz w:val="20"/>
                <w:szCs w:val="20"/>
                <w:color w:val="auto"/>
              </w:rPr>
            </w:pPr>
            <w:r>
              <w:rPr>
                <w:rFonts w:ascii="Arial" w:cs="Arial" w:eastAsia="Arial" w:hAnsi="Arial"/>
                <w:sz w:val="18"/>
                <w:szCs w:val="18"/>
                <w:color w:val="auto"/>
              </w:rPr>
              <w:t>October 18, 2019</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ADOPTED BY STOCKHOLDERS:</w:t>
            </w:r>
          </w:p>
        </w:tc>
        <w:tc>
          <w:tcPr>
            <w:tcW w:w="7620" w:type="dxa"/>
            <w:vAlign w:val="bottom"/>
          </w:tcPr>
          <w:p>
            <w:pPr>
              <w:ind w:left="440"/>
              <w:spacing w:after="0"/>
              <w:rPr>
                <w:sz w:val="20"/>
                <w:szCs w:val="20"/>
                <w:color w:val="auto"/>
              </w:rPr>
            </w:pPr>
            <w:r>
              <w:rPr>
                <w:rFonts w:ascii="Arial" w:cs="Arial" w:eastAsia="Arial" w:hAnsi="Arial"/>
                <w:sz w:val="18"/>
                <w:szCs w:val="18"/>
                <w:color w:val="auto"/>
              </w:rPr>
              <w:t>October 22, 2019</w:t>
            </w:r>
          </w:p>
        </w:tc>
      </w:tr>
      <w:tr>
        <w:trPr>
          <w:trHeight w:val="655"/>
        </w:trPr>
        <w:tc>
          <w:tcPr>
            <w:tcW w:w="362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42" w:name="page543"/>
    <w:bookmarkEnd w:id="542"/>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4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STOCK OPTION AND GRANT PLAN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Tango Therapeutics, Inc. 2017 Stock Option and Grant Plan (the “</w:t>
      </w:r>
      <w:r>
        <w:rPr>
          <w:rFonts w:ascii="Arial" w:cs="Arial" w:eastAsia="Arial" w:hAnsi="Arial"/>
          <w:sz w:val="16"/>
          <w:szCs w:val="16"/>
          <w:u w:val="single" w:color="auto"/>
          <w:color w:val="auto"/>
        </w:rPr>
        <w:t>Plan</w:t>
      </w:r>
      <w:r>
        <w:rPr>
          <w:rFonts w:ascii="Arial" w:cs="Arial" w:eastAsia="Arial" w:hAnsi="Arial"/>
          <w:sz w:val="16"/>
          <w:szCs w:val="16"/>
          <w:color w:val="auto"/>
        </w:rPr>
        <w:t>”) is hereby amended by the Board of Directors and stockholders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Tango Therapeutics, Inc., a Delaware corporation, as follows: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3(a) of the Plan is hereby amended by deleting it and replacing it with the following:</w:t>
      </w:r>
    </w:p>
    <w:p>
      <w:pPr>
        <w:spacing w:after="0" w:line="225" w:lineRule="exact"/>
        <w:rPr>
          <w:sz w:val="20"/>
          <w:szCs w:val="20"/>
          <w:color w:val="auto"/>
        </w:rPr>
      </w:pPr>
    </w:p>
    <w:p>
      <w:pPr>
        <w:ind w:left="660" w:right="100"/>
        <w:spacing w:after="0" w:line="272" w:lineRule="auto"/>
        <w:rPr>
          <w:sz w:val="20"/>
          <w:szCs w:val="20"/>
          <w:color w:val="auto"/>
        </w:rPr>
      </w:pPr>
      <w:r>
        <w:rPr>
          <w:rFonts w:ascii="Arial" w:cs="Arial" w:eastAsia="Arial" w:hAnsi="Arial"/>
          <w:sz w:val="17"/>
          <w:szCs w:val="17"/>
          <w:u w:val="single" w:color="auto"/>
          <w:color w:val="auto"/>
        </w:rPr>
        <w:t>Stock Issuable</w:t>
      </w:r>
      <w:r>
        <w:rPr>
          <w:rFonts w:ascii="Arial" w:cs="Arial" w:eastAsia="Arial" w:hAnsi="Arial"/>
          <w:sz w:val="17"/>
          <w:szCs w:val="17"/>
          <w:color w:val="auto"/>
        </w:rPr>
        <w:t>. The maximum number of Shares reserved and available for issuance under the Plan shall be 23,900,000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23,900,000 Shares may be issued pursuant to Incentive Stock Options. The Shares available for issuance under the Plan may be authorized but unissued Shares or Shares reacquired by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ADOPTED BY BOARD OF DIRECTORS:</w:t>
            </w:r>
          </w:p>
        </w:tc>
        <w:tc>
          <w:tcPr>
            <w:tcW w:w="7620" w:type="dxa"/>
            <w:vAlign w:val="bottom"/>
          </w:tcPr>
          <w:p>
            <w:pPr>
              <w:ind w:left="440"/>
              <w:spacing w:after="0"/>
              <w:rPr>
                <w:sz w:val="20"/>
                <w:szCs w:val="20"/>
                <w:color w:val="auto"/>
              </w:rPr>
            </w:pPr>
            <w:r>
              <w:rPr>
                <w:rFonts w:ascii="Arial" w:cs="Arial" w:eastAsia="Arial" w:hAnsi="Arial"/>
                <w:sz w:val="18"/>
                <w:szCs w:val="18"/>
                <w:color w:val="auto"/>
              </w:rPr>
              <w:t>April 7, 2020</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ADOPTED BY STOCKHOLDERS:</w:t>
            </w:r>
          </w:p>
        </w:tc>
        <w:tc>
          <w:tcPr>
            <w:tcW w:w="7620" w:type="dxa"/>
            <w:vAlign w:val="bottom"/>
          </w:tcPr>
          <w:p>
            <w:pPr>
              <w:ind w:left="440"/>
              <w:spacing w:after="0"/>
              <w:rPr>
                <w:sz w:val="20"/>
                <w:szCs w:val="20"/>
                <w:color w:val="auto"/>
              </w:rPr>
            </w:pPr>
            <w:r>
              <w:rPr>
                <w:rFonts w:ascii="Arial" w:cs="Arial" w:eastAsia="Arial" w:hAnsi="Arial"/>
                <w:sz w:val="18"/>
                <w:szCs w:val="18"/>
                <w:color w:val="auto"/>
              </w:rPr>
              <w:t>April 7, 2020</w:t>
            </w:r>
          </w:p>
        </w:tc>
      </w:tr>
      <w:tr>
        <w:trPr>
          <w:trHeight w:val="655"/>
        </w:trPr>
        <w:tc>
          <w:tcPr>
            <w:tcW w:w="362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43" w:name="page544"/>
    <w:bookmarkEnd w:id="543"/>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5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STOCK OPTION AND GRANT PLAN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Tango Therapeutics, Inc. 2017 Stock Option and Grant Plan (the “</w:t>
      </w:r>
      <w:r>
        <w:rPr>
          <w:rFonts w:ascii="Arial" w:cs="Arial" w:eastAsia="Arial" w:hAnsi="Arial"/>
          <w:sz w:val="16"/>
          <w:szCs w:val="16"/>
          <w:u w:val="single" w:color="auto"/>
          <w:color w:val="auto"/>
        </w:rPr>
        <w:t>Plan</w:t>
      </w:r>
      <w:r>
        <w:rPr>
          <w:rFonts w:ascii="Arial" w:cs="Arial" w:eastAsia="Arial" w:hAnsi="Arial"/>
          <w:sz w:val="16"/>
          <w:szCs w:val="16"/>
          <w:color w:val="auto"/>
        </w:rPr>
        <w:t>”) is hereby amended by the Board of Directors and stockholders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Tango Therapeutics, Inc., a Delaware corporation, as follows: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3(a) of the Plan is hereby amended by deleting it and replacing it with the following:</w:t>
      </w:r>
    </w:p>
    <w:p>
      <w:pPr>
        <w:spacing w:after="0" w:line="225" w:lineRule="exact"/>
        <w:rPr>
          <w:sz w:val="20"/>
          <w:szCs w:val="20"/>
          <w:color w:val="auto"/>
        </w:rPr>
      </w:pPr>
    </w:p>
    <w:p>
      <w:pPr>
        <w:ind w:left="660" w:right="100"/>
        <w:spacing w:after="0" w:line="272" w:lineRule="auto"/>
        <w:rPr>
          <w:sz w:val="20"/>
          <w:szCs w:val="20"/>
          <w:color w:val="auto"/>
        </w:rPr>
      </w:pPr>
      <w:r>
        <w:rPr>
          <w:rFonts w:ascii="Arial" w:cs="Arial" w:eastAsia="Arial" w:hAnsi="Arial"/>
          <w:sz w:val="17"/>
          <w:szCs w:val="17"/>
          <w:u w:val="single" w:color="auto"/>
          <w:color w:val="auto"/>
        </w:rPr>
        <w:t>Stock Issuable</w:t>
      </w:r>
      <w:r>
        <w:rPr>
          <w:rFonts w:ascii="Arial" w:cs="Arial" w:eastAsia="Arial" w:hAnsi="Arial"/>
          <w:sz w:val="17"/>
          <w:szCs w:val="17"/>
          <w:color w:val="auto"/>
        </w:rPr>
        <w:t>. The maximum number of Shares reserved and available for issuance under the Plan shall be 30,600,000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30,600,000 Shares may be issued pursuant to Incentive Stock Options. The Shares available for issuance under the Plan may be authorized but unissued Shares or Shares reacquired by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ADOPTED BY BOARD OF DIRECTORS:</w:t>
            </w:r>
          </w:p>
        </w:tc>
        <w:tc>
          <w:tcPr>
            <w:tcW w:w="7620" w:type="dxa"/>
            <w:vAlign w:val="bottom"/>
          </w:tcPr>
          <w:p>
            <w:pPr>
              <w:ind w:left="440"/>
              <w:spacing w:after="0"/>
              <w:rPr>
                <w:sz w:val="20"/>
                <w:szCs w:val="20"/>
                <w:color w:val="auto"/>
              </w:rPr>
            </w:pPr>
            <w:r>
              <w:rPr>
                <w:rFonts w:ascii="Arial" w:cs="Arial" w:eastAsia="Arial" w:hAnsi="Arial"/>
                <w:sz w:val="18"/>
                <w:szCs w:val="18"/>
                <w:color w:val="auto"/>
              </w:rPr>
              <w:t>December 9, 2020</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ADOPTED BY STOCKHOLDERS:</w:t>
            </w:r>
          </w:p>
        </w:tc>
        <w:tc>
          <w:tcPr>
            <w:tcW w:w="7620" w:type="dxa"/>
            <w:vAlign w:val="bottom"/>
          </w:tcPr>
          <w:p>
            <w:pPr>
              <w:ind w:left="440"/>
              <w:spacing w:after="0"/>
              <w:rPr>
                <w:sz w:val="20"/>
                <w:szCs w:val="20"/>
                <w:color w:val="auto"/>
              </w:rPr>
            </w:pPr>
            <w:r>
              <w:rPr>
                <w:rFonts w:ascii="Arial" w:cs="Arial" w:eastAsia="Arial" w:hAnsi="Arial"/>
                <w:sz w:val="18"/>
                <w:szCs w:val="18"/>
                <w:color w:val="auto"/>
              </w:rPr>
              <w:t>December 14, 2020</w:t>
            </w:r>
          </w:p>
        </w:tc>
      </w:tr>
      <w:tr>
        <w:trPr>
          <w:trHeight w:val="655"/>
        </w:trPr>
        <w:tc>
          <w:tcPr>
            <w:tcW w:w="362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44" w:name="page545"/>
    <w:bookmarkEnd w:id="54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hereby consent to the use in the Prospectus constituting a part of this Registration Statement on Form S-4 of our report dated March 31, 2021, relating to the financial statements of BCTG Acquisition Corp., which is contained in that Prospectus. We also consent to the reference to our Firm under the caption “Experts” in the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19, 2021</w:t>
      </w:r>
    </w:p>
    <w:p>
      <w:pPr>
        <w:sectPr>
          <w:pgSz w:w="11900" w:h="16838" w:orient="portrait"/>
          <w:cols w:equalWidth="0" w:num="1">
            <w:col w:w="11240"/>
          </w:cols>
          <w:pgMar w:left="320" w:top="121" w:right="339" w:bottom="1440" w:gutter="0" w:footer="0" w:header="0"/>
        </w:sectPr>
      </w:pPr>
    </w:p>
    <w:bookmarkStart w:id="545" w:name="page546"/>
    <w:bookmarkEnd w:id="545"/>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We hereby consent to the use in this Registration Statement on Form S-4 of BCTG Acquisition Corp. of our report dated April 12, 2021 relating to the financial statements of Tango Therapeutics, Inc. which appears in this Registration Statement. We also consent to the reference to us under the heading “Experts” in such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19, 2021</w:t>
      </w:r>
    </w:p>
    <w:p>
      <w:pPr>
        <w:sectPr>
          <w:pgSz w:w="11900" w:h="16838" w:orient="portrait"/>
          <w:cols w:equalWidth="0" w:num="1">
            <w:col w:w="11240"/>
          </w:cols>
          <w:pgMar w:left="320" w:top="121" w:right="339" w:bottom="1440" w:gutter="0" w:footer="0" w:header="0"/>
        </w:sectPr>
      </w:pPr>
    </w:p>
    <w:bookmarkStart w:id="546" w:name="page547"/>
    <w:bookmarkEnd w:id="546"/>
    <w:p>
      <w:pPr>
        <w:jc w:val="right"/>
        <w:spacing w:after="0"/>
        <w:rPr>
          <w:sz w:val="20"/>
          <w:szCs w:val="20"/>
          <w:color w:val="auto"/>
        </w:rPr>
      </w:pPr>
      <w:r>
        <w:rPr>
          <w:rFonts w:ascii="Arial" w:cs="Arial" w:eastAsia="Arial" w:hAnsi="Arial"/>
          <w:sz w:val="22"/>
          <w:szCs w:val="22"/>
          <w:b w:val="1"/>
          <w:bCs w:val="1"/>
          <w:color w:val="auto"/>
        </w:rPr>
        <w:t>Exhibit 99.9</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Canaccord Genuity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585595" cy="45466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9">
                      <a:extLst>
                        <a:ext uri="{28A0092B-C50C-407E-A947-70E740481C1C}"/>
                      </a:extLst>
                    </a:blip>
                    <a:srcRect/>
                    <a:stretch>
                      <a:fillRect/>
                    </a:stretch>
                  </pic:blipFill>
                  <pic:spPr bwMode="auto">
                    <a:xfrm>
                      <a:off x="0" y="0"/>
                      <a:ext cx="1585595" cy="45466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 High Street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Suite 1200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Boston, MA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USA 02110</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T1: 1.617.371.3900</w:t>
      </w:r>
    </w:p>
    <w:p>
      <w:pPr>
        <w:spacing w:after="0" w:line="23" w:lineRule="exact"/>
        <w:rPr>
          <w:sz w:val="20"/>
          <w:szCs w:val="20"/>
          <w:color w:val="auto"/>
        </w:rPr>
      </w:pPr>
    </w:p>
    <w:p>
      <w:pPr>
        <w:ind w:left="9820"/>
        <w:spacing w:after="0"/>
        <w:rPr>
          <w:sz w:val="20"/>
          <w:szCs w:val="20"/>
          <w:color w:val="auto"/>
        </w:rPr>
      </w:pPr>
      <w:r>
        <w:rPr>
          <w:rFonts w:ascii="Arial" w:cs="Arial" w:eastAsia="Arial" w:hAnsi="Arial"/>
          <w:sz w:val="16"/>
          <w:szCs w:val="16"/>
          <w:color w:val="auto"/>
        </w:rPr>
        <w:t>T2: 1.800.225.6201</w:t>
      </w:r>
    </w:p>
    <w:p>
      <w:pPr>
        <w:spacing w:after="0" w:line="32" w:lineRule="exact"/>
        <w:rPr>
          <w:sz w:val="20"/>
          <w:szCs w:val="20"/>
          <w:color w:val="auto"/>
        </w:rPr>
      </w:pPr>
    </w:p>
    <w:p>
      <w:pPr>
        <w:ind w:left="10660"/>
        <w:spacing w:after="0"/>
        <w:rPr>
          <w:sz w:val="20"/>
          <w:szCs w:val="20"/>
          <w:color w:val="auto"/>
        </w:rPr>
      </w:pPr>
      <w:r>
        <w:rPr>
          <w:rFonts w:ascii="Arial" w:cs="Arial" w:eastAsia="Arial" w:hAnsi="Arial"/>
          <w:sz w:val="16"/>
          <w:szCs w:val="16"/>
          <w:color w:val="auto"/>
        </w:rPr>
        <w:t>cgf.com</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Canaccord Genuity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BCTG Acquisition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12860 El Camino Real,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hereby consent to the inclusion of our opinion letter, dated April 13, 2021, to the Board of Directors of BCTG Acquisition Corp. (BCTG) as </w:t>
      </w:r>
      <w:r>
        <w:rPr>
          <w:rFonts w:ascii="Arial" w:cs="Arial" w:eastAsia="Arial" w:hAnsi="Arial"/>
          <w:sz w:val="16"/>
          <w:szCs w:val="16"/>
          <w:i w:val="1"/>
          <w:iCs w:val="1"/>
          <w:color w:val="auto"/>
        </w:rPr>
        <w:t>Annex E</w:t>
      </w:r>
      <w:r>
        <w:rPr>
          <w:rFonts w:ascii="Arial" w:cs="Arial" w:eastAsia="Arial" w:hAnsi="Arial"/>
          <w:sz w:val="16"/>
          <w:szCs w:val="16"/>
          <w:color w:val="auto"/>
        </w:rPr>
        <w:t xml:space="preserve"> to, and reference thereto under the headings “Questions and Answers about the Proposals,” “Risk Factors,” “Background of the Business Combination,” “Engagement of Financial Advisor to BCTG,” and “Opinion of BCTG’s Financial Advisor” in, the joint proxy statement/prospectus relating to the proposed business combination involving BCTG and Tango Therapeutics, Inc., which joint proxy statement/prospectus forms a part of the Registration Statement on Form S-4 of BCTG. By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Canaccord Genuity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Canaccord Genuity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Boston, 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19, 2021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206613"/>
    <w:multiLevelType w:val="hybridMultilevel"/>
    <w:lvl w:ilvl="0">
      <w:lvlJc w:val="left"/>
      <w:lvlText w:val="(%1)"/>
      <w:numFmt w:val="decimal"/>
      <w:start w:val="1"/>
    </w:lvl>
  </w:abstractNum>
  <w:abstractNum w:abstractNumId="1">
    <w:nsid w:val="7993B662"/>
    <w:multiLevelType w:val="hybridMultilevel"/>
    <w:lvl w:ilvl="0">
      <w:lvlJc w:val="left"/>
      <w:lvlText w:val="%1."/>
      <w:numFmt w:val="lowerLetter"/>
      <w:start w:val="1"/>
    </w:lvl>
    <w:lvl w:ilvl="1">
      <w:lvlJc w:val="left"/>
      <w:lvlText w:val="%2."/>
      <w:numFmt w:val="lowerLetter"/>
      <w:start w:val="4"/>
    </w:lvl>
  </w:abstractNum>
  <w:abstractNum w:abstractNumId="2">
    <w:nsid w:val="3BAB699E"/>
    <w:multiLevelType w:val="hybridMultilevel"/>
    <w:lvl w:ilvl="0">
      <w:lvlJc w:val="left"/>
      <w:lvlText w:val="%1"/>
      <w:numFmt w:val="lowerLetter"/>
      <w:start w:val="1"/>
    </w:lvl>
    <w:lvl w:ilvl="1">
      <w:lvlJc w:val="left"/>
      <w:lvlText w:val="%2."/>
      <w:numFmt w:val="lowerLetter"/>
      <w:start w:val="5"/>
    </w:lvl>
  </w:abstractNum>
  <w:abstractNum w:abstractNumId="3">
    <w:nsid w:val="71315369"/>
    <w:multiLevelType w:val="hybridMultilevel"/>
    <w:lvl w:ilvl="0">
      <w:lvlJc w:val="left"/>
      <w:lvlText w:val="%1."/>
      <w:numFmt w:val="lowerLetter"/>
      <w:start w:val="6"/>
    </w:lvl>
    <w:lvl w:ilvl="1">
      <w:lvlJc w:val="left"/>
      <w:lvlText w:val="%2"/>
      <w:numFmt w:val="lowerLetter"/>
      <w:start w:val="1"/>
    </w:lvl>
  </w:abstractNum>
  <w:abstractNum w:abstractNumId="4">
    <w:nsid w:val="7BCFBAFC"/>
    <w:multiLevelType w:val="hybridMultilevel"/>
    <w:lvl w:ilvl="0">
      <w:lvlJc w:val="left"/>
      <w:lvlText w:val="(%1)"/>
      <w:numFmt w:val="decimal"/>
      <w:start w:val="1"/>
    </w:lvl>
  </w:abstractNum>
  <w:abstractNum w:abstractNumId="5">
    <w:nsid w:val="17859F72"/>
    <w:multiLevelType w:val="hybridMultilevel"/>
    <w:lvl w:ilvl="0">
      <w:lvlJc w:val="left"/>
      <w:lvlText w:val="(%1)"/>
      <w:numFmt w:val="lowerRoman"/>
      <w:start w:val="1"/>
    </w:lvl>
  </w:abstractNum>
  <w:abstractNum w:abstractNumId="6">
    <w:nsid w:val="3AA10581"/>
    <w:multiLevelType w:val="hybridMultilevel"/>
    <w:lvl w:ilvl="0">
      <w:lvlJc w:val="left"/>
      <w:lvlText w:val="%1."/>
      <w:numFmt w:val="decimal"/>
      <w:start w:val="1"/>
    </w:lvl>
    <w:lvl w:ilvl="1">
      <w:lvlJc w:val="left"/>
      <w:lvlText w:val="%2."/>
      <w:numFmt w:val="lowerLetter"/>
      <w:start w:val="1"/>
    </w:lvl>
  </w:abstractNum>
  <w:abstractNum w:abstractNumId="7">
    <w:nsid w:val="63DE60CD"/>
    <w:multiLevelType w:val="hybridMultilevel"/>
    <w:lvl w:ilvl="0">
      <w:lvlJc w:val="left"/>
      <w:lvlText w:val="%1."/>
      <w:numFmt w:val="decimal"/>
      <w:start w:val="2"/>
    </w:lvl>
  </w:abstractNum>
  <w:abstractNum w:abstractNumId="8">
    <w:nsid w:val="621AF471"/>
    <w:multiLevelType w:val="hybridMultilevel"/>
    <w:lvl w:ilvl="0">
      <w:lvlJc w:val="left"/>
      <w:lvlText w:val="%1"/>
      <w:numFmt w:val="decimal"/>
      <w:start w:val="1"/>
    </w:lvl>
    <w:lvl w:ilvl="1">
      <w:lvlJc w:val="left"/>
      <w:lvlText w:val="%2."/>
      <w:numFmt w:val="lowerLetter"/>
      <w:start w:val="1"/>
    </w:lvl>
  </w:abstractNum>
  <w:abstractNum w:abstractNumId="9">
    <w:nsid w:val="73CFE165"/>
    <w:multiLevelType w:val="hybridMultilevel"/>
    <w:lvl w:ilvl="0">
      <w:lvlJc w:val="left"/>
      <w:lvlText w:val="%1."/>
      <w:numFmt w:val="decimal"/>
      <w:start w:val="4"/>
    </w:lvl>
    <w:lvl w:ilvl="1">
      <w:lvlJc w:val="left"/>
      <w:lvlText w:val="%2"/>
      <w:numFmt w:val="lowerLetter"/>
      <w:start w:val="1"/>
    </w:lvl>
  </w:abstractNum>
  <w:abstractNum w:abstractNumId="10">
    <w:nsid w:val="20F88EA6"/>
    <w:multiLevelType w:val="hybridMultilevel"/>
    <w:lvl w:ilvl="0">
      <w:lvlJc w:val="left"/>
      <w:lvlText w:val="(%1)"/>
      <w:numFmt w:val="decimal"/>
      <w:start w:val="1"/>
    </w:lvl>
  </w:abstractNum>
  <w:abstractNum w:abstractNumId="11">
    <w:nsid w:val="617C843E"/>
    <w:multiLevelType w:val="hybridMultilevel"/>
    <w:lvl w:ilvl="0">
      <w:lvlJc w:val="left"/>
      <w:lvlText w:val="%1."/>
      <w:numFmt w:val="decimal"/>
      <w:start w:val="5"/>
    </w:lvl>
  </w:abstractNum>
  <w:abstractNum w:abstractNumId="12">
    <w:nsid w:val="7B541FAB"/>
    <w:multiLevelType w:val="hybridMultilevel"/>
    <w:lvl w:ilvl="0">
      <w:lvlJc w:val="left"/>
      <w:lvlText w:val="%1."/>
      <w:numFmt w:val="upperLetter"/>
      <w:start w:val="17"/>
    </w:lvl>
  </w:abstractNum>
  <w:abstractNum w:abstractNumId="13">
    <w:nsid w:val="2A79EC49"/>
    <w:multiLevelType w:val="hybridMultilevel"/>
    <w:lvl w:ilvl="0">
      <w:lvlJc w:val="left"/>
      <w:lvlText w:val="%1."/>
      <w:numFmt w:val="upperLetter"/>
      <w:start w:val="1"/>
    </w:lvl>
  </w:abstractNum>
  <w:abstractNum w:abstractNumId="14">
    <w:nsid w:val="338125CF"/>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5">
    <w:nsid w:val="47C7C971"/>
    <w:multiLevelType w:val="hybridMultilevel"/>
    <w:lvl w:ilvl="0">
      <w:lvlJc w:val="left"/>
      <w:lvlText w:val="%1"/>
      <w:numFmt w:val="decimal"/>
      <w:start w:val="1"/>
    </w:lvl>
    <w:lvl w:ilvl="1">
      <w:lvlJc w:val="left"/>
      <w:lvlText w:val="%2."/>
      <w:numFmt w:val="lowerLetter"/>
      <w:start w:val="6"/>
    </w:lvl>
  </w:abstractNum>
  <w:abstractNum w:abstractNumId="16">
    <w:nsid w:val="46F8284B"/>
    <w:multiLevelType w:val="hybridMultilevel"/>
    <w:lvl w:ilvl="0">
      <w:lvlJc w:val="left"/>
      <w:lvlText w:val="%1."/>
      <w:numFmt w:val="decimal"/>
      <w:start w:val="4"/>
    </w:lvl>
    <w:lvl w:ilvl="1">
      <w:lvlJc w:val="left"/>
      <w:lvlText w:val="%2"/>
      <w:numFmt w:val="lowerLetter"/>
      <w:start w:val="1"/>
    </w:lvl>
  </w:abstractNum>
  <w:abstractNum w:abstractNumId="17">
    <w:nsid w:val="4FA327CE"/>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18">
    <w:nsid w:val="1873983A"/>
    <w:multiLevelType w:val="hybridMultilevel"/>
    <w:lvl w:ilvl="0">
      <w:lvlJc w:val="left"/>
      <w:lvlText w:val="%1"/>
      <w:numFmt w:val="upperLetter"/>
      <w:start w:val="1"/>
    </w:lvl>
    <w:lvl w:ilvl="1">
      <w:lvlJc w:val="left"/>
      <w:lvlText w:val="%2."/>
      <w:numFmt w:val="decimal"/>
      <w:start w:val="5"/>
    </w:lvl>
    <w:lvl w:ilvl="2">
      <w:lvlJc w:val="left"/>
      <w:lvlText w:val="%3"/>
      <w:numFmt w:val="decimal"/>
      <w:start w:val="1"/>
    </w:lvl>
  </w:abstractNum>
  <w:abstractNum w:abstractNumId="19">
    <w:nsid w:val="3D2DD275"/>
    <w:multiLevelType w:val="hybridMultilevel"/>
    <w:lvl w:ilvl="0">
      <w:lvlJc w:val="left"/>
      <w:lvlText w:val="%1:"/>
      <w:numFmt w:val="upperLetter"/>
      <w:start w:val="17"/>
    </w:lvl>
    <w:lvl w:ilvl="1">
      <w:lvlJc w:val="left"/>
      <w:lvlText w:val="%2"/>
      <w:numFmt w:val="decimal"/>
      <w:start w:val="1"/>
    </w:lvl>
    <w:lvl w:ilvl="2">
      <w:lvlJc w:val="left"/>
      <w:lvlText w:val="%3"/>
      <w:numFmt w:val="decimal"/>
      <w:start w:val="1"/>
    </w:lvl>
  </w:abstractNum>
  <w:abstractNum w:abstractNumId="20">
    <w:nsid w:val="2E17ECA7"/>
    <w:multiLevelType w:val="hybridMultilevel"/>
    <w:lvl w:ilvl="0">
      <w:lvlJc w:val="left"/>
      <w:lvlText w:val="%1:"/>
      <w:numFmt w:val="upperLetter"/>
      <w:start w:val="1"/>
    </w:lvl>
  </w:abstractNum>
  <w:abstractNum w:abstractNumId="21">
    <w:nsid w:val="53B2564F"/>
    <w:multiLevelType w:val="hybridMultilevel"/>
    <w:lvl w:ilvl="0">
      <w:lvlJc w:val="left"/>
      <w:lvlText w:val="%1:"/>
      <w:numFmt w:val="upperLetter"/>
      <w:start w:val="17"/>
    </w:lvl>
  </w:abstractNum>
  <w:abstractNum w:abstractNumId="22">
    <w:nsid w:val="75509D76"/>
    <w:multiLevelType w:val="hybridMultilevel"/>
    <w:lvl w:ilvl="0">
      <w:lvlJc w:val="left"/>
      <w:lvlText w:val="%1:"/>
      <w:numFmt w:val="upperLetter"/>
      <w:start w:val="1"/>
    </w:lvl>
  </w:abstractNum>
  <w:abstractNum w:abstractNumId="23">
    <w:nsid w:val="1AF7F0EA"/>
    <w:multiLevelType w:val="hybridMultilevel"/>
    <w:lvl w:ilvl="0">
      <w:lvlJc w:val="left"/>
      <w:lvlText w:val="%1:"/>
      <w:numFmt w:val="upperLetter"/>
      <w:start w:val="17"/>
    </w:lvl>
  </w:abstractNum>
  <w:abstractNum w:abstractNumId="24">
    <w:nsid w:val="4DA32C7E"/>
    <w:multiLevelType w:val="hybridMultilevel"/>
    <w:lvl w:ilvl="0">
      <w:lvlJc w:val="left"/>
      <w:lvlText w:val="%1:"/>
      <w:numFmt w:val="upperLetter"/>
      <w:start w:val="1"/>
    </w:lvl>
  </w:abstractNum>
  <w:abstractNum w:abstractNumId="25">
    <w:nsid w:val="6EC68664"/>
    <w:multiLevelType w:val="hybridMultilevel"/>
    <w:lvl w:ilvl="0">
      <w:lvlJc w:val="left"/>
      <w:lvlText w:val="%1:"/>
      <w:numFmt w:val="upperLetter"/>
      <w:start w:val="17"/>
    </w:lvl>
  </w:abstractNum>
  <w:abstractNum w:abstractNumId="26">
    <w:nsid w:val="E0D31FF"/>
    <w:multiLevelType w:val="hybridMultilevel"/>
    <w:lvl w:ilvl="0">
      <w:lvlJc w:val="left"/>
      <w:lvlText w:val="%1:"/>
      <w:numFmt w:val="upperLetter"/>
      <w:start w:val="1"/>
    </w:lvl>
  </w:abstractNum>
  <w:abstractNum w:abstractNumId="27">
    <w:nsid w:val="2FD0AD81"/>
    <w:multiLevelType w:val="hybridMultilevel"/>
    <w:lvl w:ilvl="0">
      <w:lvlJc w:val="left"/>
      <w:lvlText w:val="%1:"/>
      <w:numFmt w:val="upperLetter"/>
      <w:start w:val="17"/>
    </w:lvl>
  </w:abstractNum>
  <w:abstractNum w:abstractNumId="28">
    <w:nsid w:val="1978EBEB"/>
    <w:multiLevelType w:val="hybridMultilevel"/>
    <w:lvl w:ilvl="0">
      <w:lvlJc w:val="left"/>
      <w:lvlText w:val="%1:"/>
      <w:numFmt w:val="upperLetter"/>
      <w:start w:val="1"/>
    </w:lvl>
  </w:abstractNum>
  <w:abstractNum w:abstractNumId="29">
    <w:nsid w:val="52C12C61"/>
    <w:multiLevelType w:val="hybridMultilevel"/>
    <w:lvl w:ilvl="0">
      <w:lvlJc w:val="left"/>
      <w:lvlText w:val="%1:"/>
      <w:numFmt w:val="upperLetter"/>
      <w:start w:val="17"/>
    </w:lvl>
  </w:abstractNum>
  <w:abstractNum w:abstractNumId="30">
    <w:nsid w:val="4BDD53FD"/>
    <w:multiLevelType w:val="hybridMultilevel"/>
    <w:lvl w:ilvl="0">
      <w:lvlJc w:val="left"/>
      <w:lvlText w:val="%1:"/>
      <w:numFmt w:val="upperLetter"/>
      <w:start w:val="1"/>
    </w:lvl>
  </w:abstractNum>
  <w:abstractNum w:abstractNumId="31">
    <w:nsid w:val="569951FE"/>
    <w:multiLevelType w:val="hybridMultilevel"/>
    <w:lvl w:ilvl="0">
      <w:lvlJc w:val="left"/>
      <w:lvlText w:val="%1:"/>
      <w:numFmt w:val="upperLetter"/>
      <w:start w:val="17"/>
    </w:lvl>
  </w:abstractNum>
  <w:abstractNum w:abstractNumId="32">
    <w:nsid w:val="4C54E2C3"/>
    <w:multiLevelType w:val="hybridMultilevel"/>
    <w:lvl w:ilvl="0">
      <w:lvlJc w:val="left"/>
      <w:lvlText w:val="%1:"/>
      <w:numFmt w:val="upperLetter"/>
      <w:start w:val="1"/>
    </w:lvl>
  </w:abstractNum>
  <w:abstractNum w:abstractNumId="33">
    <w:nsid w:val="788BD9B"/>
    <w:multiLevelType w:val="hybridMultilevel"/>
    <w:lvl w:ilvl="0">
      <w:lvlJc w:val="left"/>
      <w:lvlText w:val="%1:"/>
      <w:numFmt w:val="upperLetter"/>
      <w:start w:val="17"/>
    </w:lvl>
  </w:abstractNum>
  <w:abstractNum w:abstractNumId="34">
    <w:nsid w:val="47CAA567"/>
    <w:multiLevelType w:val="hybridMultilevel"/>
    <w:lvl w:ilvl="0">
      <w:lvlJc w:val="left"/>
      <w:lvlText w:val="%1:"/>
      <w:numFmt w:val="upperLetter"/>
      <w:start w:val="1"/>
    </w:lvl>
  </w:abstractNum>
  <w:abstractNum w:abstractNumId="35">
    <w:nsid w:val="48249DBF"/>
    <w:multiLevelType w:val="hybridMultilevel"/>
    <w:lvl w:ilvl="0">
      <w:lvlJc w:val="left"/>
      <w:lvlText w:val="%1:"/>
      <w:numFmt w:val="upperLetter"/>
      <w:start w:val="17"/>
    </w:lvl>
  </w:abstractNum>
  <w:abstractNum w:abstractNumId="36">
    <w:nsid w:val="1F0E5D0D"/>
    <w:multiLevelType w:val="hybridMultilevel"/>
    <w:lvl w:ilvl="0">
      <w:lvlJc w:val="left"/>
      <w:lvlText w:val="%1:"/>
      <w:numFmt w:val="upperLetter"/>
      <w:start w:val="1"/>
    </w:lvl>
  </w:abstractNum>
  <w:abstractNum w:abstractNumId="37">
    <w:nsid w:val="26BAAE9"/>
    <w:multiLevelType w:val="hybridMultilevel"/>
    <w:lvl w:ilvl="0">
      <w:lvlJc w:val="left"/>
      <w:lvlText w:val="%1:"/>
      <w:numFmt w:val="upperLetter"/>
      <w:start w:val="17"/>
    </w:lvl>
  </w:abstractNum>
  <w:abstractNum w:abstractNumId="38">
    <w:nsid w:val="2C02FE8C"/>
    <w:multiLevelType w:val="hybridMultilevel"/>
    <w:lvl w:ilvl="0">
      <w:lvlJc w:val="left"/>
      <w:lvlText w:val="%1:"/>
      <w:numFmt w:val="upperLetter"/>
      <w:start w:val="1"/>
    </w:lvl>
  </w:abstractNum>
  <w:abstractNum w:abstractNumId="39">
    <w:nsid w:val="129517E"/>
    <w:multiLevelType w:val="hybridMultilevel"/>
    <w:lvl w:ilvl="0">
      <w:lvlJc w:val="left"/>
      <w:lvlText w:val="%1:"/>
      <w:numFmt w:val="upperLetter"/>
      <w:start w:val="17"/>
    </w:lvl>
  </w:abstractNum>
  <w:abstractNum w:abstractNumId="40">
    <w:nsid w:val="763B8C4E"/>
    <w:multiLevelType w:val="hybridMultilevel"/>
    <w:lvl w:ilvl="0">
      <w:lvlJc w:val="left"/>
      <w:lvlText w:val="%1:"/>
      <w:numFmt w:val="upperLetter"/>
      <w:start w:val="1"/>
    </w:lvl>
  </w:abstractNum>
  <w:abstractNum w:abstractNumId="41">
    <w:nsid w:val="4CFB8D32"/>
    <w:multiLevelType w:val="hybridMultilevel"/>
    <w:lvl w:ilvl="0">
      <w:lvlJc w:val="left"/>
      <w:lvlText w:val="%1:"/>
      <w:numFmt w:val="upperLetter"/>
      <w:start w:val="17"/>
    </w:lvl>
  </w:abstractNum>
  <w:abstractNum w:abstractNumId="42">
    <w:nsid w:val="62A5D5BD"/>
    <w:multiLevelType w:val="hybridMultilevel"/>
    <w:lvl w:ilvl="0">
      <w:lvlJc w:val="left"/>
      <w:lvlText w:val="%1:"/>
      <w:numFmt w:val="upperLetter"/>
      <w:start w:val="1"/>
    </w:lvl>
  </w:abstractNum>
  <w:abstractNum w:abstractNumId="43">
    <w:nsid w:val="718FABF9"/>
    <w:multiLevelType w:val="hybridMultilevel"/>
    <w:lvl w:ilvl="0">
      <w:lvlJc w:val="left"/>
      <w:lvlText w:val="%1:"/>
      <w:numFmt w:val="upperLetter"/>
      <w:start w:val="17"/>
    </w:lvl>
  </w:abstractNum>
  <w:abstractNum w:abstractNumId="44">
    <w:nsid w:val="7775797C"/>
    <w:multiLevelType w:val="hybridMultilevel"/>
    <w:lvl w:ilvl="0">
      <w:lvlJc w:val="left"/>
      <w:lvlText w:val="%1:"/>
      <w:numFmt w:val="upperLetter"/>
      <w:start w:val="1"/>
    </w:lvl>
    <w:lvl w:ilvl="1">
      <w:lvlJc w:val="left"/>
      <w:lvlText w:val="•"/>
      <w:numFmt w:val="bullet"/>
      <w:start w:val="1"/>
    </w:lvl>
  </w:abstractNum>
  <w:abstractNum w:abstractNumId="45">
    <w:nsid w:val="1626FB8C"/>
    <w:multiLevelType w:val="hybridMultilevel"/>
    <w:lvl w:ilvl="0">
      <w:lvlJc w:val="left"/>
      <w:lvlText w:val="%1:"/>
      <w:numFmt w:val="upperLetter"/>
      <w:start w:val="17"/>
    </w:lvl>
  </w:abstractNum>
  <w:abstractNum w:abstractNumId="46">
    <w:nsid w:val="3957756A"/>
    <w:multiLevelType w:val="hybridMultilevel"/>
    <w:lvl w:ilvl="0">
      <w:lvlJc w:val="left"/>
      <w:lvlText w:val="%1:"/>
      <w:numFmt w:val="upperLetter"/>
      <w:start w:val="1"/>
    </w:lvl>
  </w:abstractNum>
  <w:abstractNum w:abstractNumId="47">
    <w:nsid w:val="3E6DA1C7"/>
    <w:multiLevelType w:val="hybridMultilevel"/>
    <w:lvl w:ilvl="0">
      <w:lvlJc w:val="left"/>
      <w:lvlText w:val="%1:"/>
      <w:numFmt w:val="upperLetter"/>
      <w:start w:val="17"/>
    </w:lvl>
  </w:abstractNum>
  <w:abstractNum w:abstractNumId="48">
    <w:nsid w:val="65CA235B"/>
    <w:multiLevelType w:val="hybridMultilevel"/>
    <w:lvl w:ilvl="0">
      <w:lvlJc w:val="left"/>
      <w:lvlText w:val="%1:"/>
      <w:numFmt w:val="upperLetter"/>
      <w:start w:val="1"/>
    </w:lvl>
  </w:abstractNum>
  <w:abstractNum w:abstractNumId="49">
    <w:nsid w:val="51CB0DA4"/>
    <w:multiLevelType w:val="hybridMultilevel"/>
    <w:lvl w:ilvl="0">
      <w:lvlJc w:val="left"/>
      <w:lvlText w:val="%1:"/>
      <w:numFmt w:val="upperLetter"/>
      <w:start w:val="17"/>
    </w:lvl>
  </w:abstractNum>
  <w:abstractNum w:abstractNumId="50">
    <w:nsid w:val="7B9B743C"/>
    <w:multiLevelType w:val="hybridMultilevel"/>
    <w:lvl w:ilvl="0">
      <w:lvlJc w:val="left"/>
      <w:lvlText w:val="%1:"/>
      <w:numFmt w:val="upperLetter"/>
      <w:start w:val="1"/>
    </w:lvl>
  </w:abstractNum>
  <w:abstractNum w:abstractNumId="51">
    <w:nsid w:val="13E21002"/>
    <w:multiLevelType w:val="hybridMultilevel"/>
    <w:lvl w:ilvl="0">
      <w:lvlJc w:val="left"/>
      <w:lvlText w:val="%1:"/>
      <w:numFmt w:val="upperLetter"/>
      <w:start w:val="17"/>
    </w:lvl>
  </w:abstractNum>
  <w:abstractNum w:abstractNumId="52">
    <w:nsid w:val="257D63F4"/>
    <w:multiLevelType w:val="hybridMultilevel"/>
    <w:lvl w:ilvl="0">
      <w:lvlJc w:val="left"/>
      <w:lvlText w:val="%1:"/>
      <w:numFmt w:val="upperLetter"/>
      <w:start w:val="1"/>
    </w:lvl>
  </w:abstractNum>
  <w:abstractNum w:abstractNumId="53">
    <w:nsid w:val="70EC11B2"/>
    <w:multiLevelType w:val="hybridMultilevel"/>
    <w:lvl w:ilvl="0">
      <w:lvlJc w:val="left"/>
      <w:lvlText w:val="%1:"/>
      <w:numFmt w:val="upperLetter"/>
      <w:start w:val="17"/>
    </w:lvl>
  </w:abstractNum>
  <w:abstractNum w:abstractNumId="54">
    <w:nsid w:val="2EDA00ED"/>
    <w:multiLevelType w:val="hybridMultilevel"/>
    <w:lvl w:ilvl="0">
      <w:lvlJc w:val="left"/>
      <w:lvlText w:val="%1:"/>
      <w:numFmt w:val="upperLetter"/>
      <w:start w:val="1"/>
    </w:lvl>
  </w:abstractNum>
  <w:abstractNum w:abstractNumId="55">
    <w:nsid w:val="73209072"/>
    <w:multiLevelType w:val="hybridMultilevel"/>
    <w:lvl w:ilvl="0">
      <w:lvlJc w:val="left"/>
      <w:lvlText w:val="%1:"/>
      <w:numFmt w:val="upperLetter"/>
      <w:start w:val="17"/>
    </w:lvl>
  </w:abstractNum>
  <w:abstractNum w:abstractNumId="56">
    <w:nsid w:val="5FB29816"/>
    <w:multiLevelType w:val="hybridMultilevel"/>
    <w:lvl w:ilvl="0">
      <w:lvlJc w:val="left"/>
      <w:lvlText w:val="%1:"/>
      <w:numFmt w:val="upperLetter"/>
      <w:start w:val="1"/>
    </w:lvl>
  </w:abstractNum>
  <w:abstractNum w:abstractNumId="57">
    <w:nsid w:val="3CE732EC"/>
    <w:multiLevelType w:val="hybridMultilevel"/>
    <w:lvl w:ilvl="0">
      <w:lvlJc w:val="left"/>
      <w:lvlText w:val="%1:"/>
      <w:numFmt w:val="upperLetter"/>
      <w:start w:val="17"/>
    </w:lvl>
  </w:abstractNum>
  <w:abstractNum w:abstractNumId="58">
    <w:nsid w:val="22F13DF3"/>
    <w:multiLevelType w:val="hybridMultilevel"/>
    <w:lvl w:ilvl="0">
      <w:lvlJc w:val="left"/>
      <w:lvlText w:val="%1:"/>
      <w:numFmt w:val="upperLetter"/>
      <w:start w:val="1"/>
    </w:lvl>
  </w:abstractNum>
  <w:abstractNum w:abstractNumId="59">
    <w:nsid w:val="792B8401"/>
    <w:multiLevelType w:val="hybridMultilevel"/>
    <w:lvl w:ilvl="0">
      <w:lvlJc w:val="left"/>
      <w:lvlText w:val="%1:"/>
      <w:numFmt w:val="upperLetter"/>
      <w:start w:val="17"/>
    </w:lvl>
  </w:abstractNum>
  <w:abstractNum w:abstractNumId="60">
    <w:nsid w:val="FA85F4D"/>
    <w:multiLevelType w:val="hybridMultilevel"/>
    <w:lvl w:ilvl="0">
      <w:lvlJc w:val="left"/>
      <w:lvlText w:val="%1:"/>
      <w:numFmt w:val="upperLetter"/>
      <w:start w:val="1"/>
    </w:lvl>
    <w:lvl w:ilvl="1">
      <w:lvlJc w:val="left"/>
      <w:lvlText w:val="•"/>
      <w:numFmt w:val="bullet"/>
      <w:start w:val="1"/>
    </w:lvl>
  </w:abstractNum>
  <w:abstractNum w:abstractNumId="61">
    <w:nsid w:val="6ECE91F0"/>
    <w:multiLevelType w:val="hybridMultilevel"/>
    <w:lvl w:ilvl="0">
      <w:lvlJc w:val="left"/>
      <w:lvlText w:val="%1:"/>
      <w:numFmt w:val="upperLetter"/>
      <w:start w:val="17"/>
    </w:lvl>
  </w:abstractNum>
  <w:abstractNum w:abstractNumId="62">
    <w:nsid w:val="4FC4D600"/>
    <w:multiLevelType w:val="hybridMultilevel"/>
    <w:lvl w:ilvl="0">
      <w:lvlJc w:val="left"/>
      <w:lvlText w:val="%1:"/>
      <w:numFmt w:val="upperLetter"/>
      <w:start w:val="1"/>
    </w:lvl>
  </w:abstractNum>
  <w:abstractNum w:abstractNumId="63">
    <w:nsid w:val="5BFD4210"/>
    <w:multiLevelType w:val="hybridMultilevel"/>
    <w:lvl w:ilvl="0">
      <w:lvlJc w:val="left"/>
      <w:lvlText w:val="(%1)"/>
      <w:numFmt w:val="lowerRoman"/>
      <w:start w:val="2"/>
    </w:lvl>
  </w:abstractNum>
  <w:abstractNum w:abstractNumId="64">
    <w:nsid w:val="76574F8B"/>
    <w:multiLevelType w:val="hybridMultilevel"/>
    <w:lvl w:ilvl="0">
      <w:lvlJc w:val="left"/>
      <w:lvlText w:val="%1:"/>
      <w:numFmt w:val="upperLetter"/>
      <w:start w:val="17"/>
    </w:lvl>
  </w:abstractNum>
  <w:abstractNum w:abstractNumId="65">
    <w:nsid w:val="178F7B67"/>
    <w:multiLevelType w:val="hybridMultilevel"/>
    <w:lvl w:ilvl="0">
      <w:lvlJc w:val="left"/>
      <w:lvlText w:val="%1:"/>
      <w:numFmt w:val="upperLetter"/>
      <w:start w:val="1"/>
    </w:lvl>
  </w:abstractNum>
  <w:abstractNum w:abstractNumId="66">
    <w:nsid w:val="2421DFCF"/>
    <w:multiLevelType w:val="hybridMultilevel"/>
    <w:lvl w:ilvl="0">
      <w:lvlJc w:val="left"/>
      <w:lvlText w:val="%1:"/>
      <w:numFmt w:val="upperLetter"/>
      <w:start w:val="17"/>
    </w:lvl>
  </w:abstractNum>
  <w:abstractNum w:abstractNumId="67">
    <w:nsid w:val="1565AC99"/>
    <w:multiLevelType w:val="hybridMultilevel"/>
    <w:lvl w:ilvl="0">
      <w:lvlJc w:val="left"/>
      <w:lvlText w:val="%1:"/>
      <w:numFmt w:val="upperLetter"/>
      <w:start w:val="1"/>
    </w:lvl>
  </w:abstractNum>
  <w:abstractNum w:abstractNumId="68">
    <w:nsid w:val="19FB2650"/>
    <w:multiLevelType w:val="hybridMultilevel"/>
    <w:lvl w:ilvl="0">
      <w:lvlJc w:val="left"/>
      <w:lvlText w:val="%1:"/>
      <w:numFmt w:val="upperLetter"/>
      <w:start w:val="17"/>
    </w:lvl>
  </w:abstractNum>
  <w:abstractNum w:abstractNumId="69">
    <w:nsid w:val="5024DE5B"/>
    <w:multiLevelType w:val="hybridMultilevel"/>
    <w:lvl w:ilvl="0">
      <w:lvlJc w:val="left"/>
      <w:lvlText w:val="%1:"/>
      <w:numFmt w:val="upperLetter"/>
      <w:start w:val="1"/>
    </w:lvl>
  </w:abstractNum>
  <w:abstractNum w:abstractNumId="70">
    <w:nsid w:val="168EFE17"/>
    <w:multiLevelType w:val="hybridMultilevel"/>
    <w:lvl w:ilvl="0">
      <w:lvlJc w:val="left"/>
      <w:lvlText w:val="%1:"/>
      <w:numFmt w:val="upperLetter"/>
      <w:start w:val="17"/>
    </w:lvl>
  </w:abstractNum>
  <w:abstractNum w:abstractNumId="71">
    <w:nsid w:val="1036B29F"/>
    <w:multiLevelType w:val="hybridMultilevel"/>
    <w:lvl w:ilvl="0">
      <w:lvlJc w:val="left"/>
      <w:lvlText w:val="%1:"/>
      <w:numFmt w:val="upperLetter"/>
      <w:start w:val="1"/>
    </w:lvl>
  </w:abstractNum>
  <w:abstractNum w:abstractNumId="72">
    <w:nsid w:val="1D206B8E"/>
    <w:multiLevelType w:val="hybridMultilevel"/>
    <w:lvl w:ilvl="0">
      <w:lvlJc w:val="left"/>
      <w:lvlText w:val="%1:"/>
      <w:numFmt w:val="upperLetter"/>
      <w:start w:val="17"/>
    </w:lvl>
  </w:abstractNum>
  <w:abstractNum w:abstractNumId="73">
    <w:nsid w:val="7934D3D4"/>
    <w:multiLevelType w:val="hybridMultilevel"/>
    <w:lvl w:ilvl="0">
      <w:lvlJc w:val="left"/>
      <w:lvlText w:val="%1:"/>
      <w:numFmt w:val="upperLetter"/>
      <w:start w:val="1"/>
    </w:lvl>
  </w:abstractNum>
  <w:abstractNum w:abstractNumId="74">
    <w:nsid w:val="1C65E98"/>
    <w:multiLevelType w:val="hybridMultilevel"/>
    <w:lvl w:ilvl="0">
      <w:lvlJc w:val="left"/>
      <w:lvlText w:val="%1:"/>
      <w:numFmt w:val="upperLetter"/>
      <w:start w:val="17"/>
    </w:lvl>
  </w:abstractNum>
  <w:abstractNum w:abstractNumId="75">
    <w:nsid w:val="1495E50A"/>
    <w:multiLevelType w:val="hybridMultilevel"/>
    <w:lvl w:ilvl="0">
      <w:lvlJc w:val="left"/>
      <w:lvlText w:val="%1:"/>
      <w:numFmt w:val="upperLetter"/>
      <w:start w:val="1"/>
    </w:lvl>
  </w:abstractNum>
  <w:abstractNum w:abstractNumId="76">
    <w:nsid w:val="F5BCF61"/>
    <w:multiLevelType w:val="hybridMultilevel"/>
    <w:lvl w:ilvl="0">
      <w:lvlJc w:val="left"/>
      <w:lvlText w:val="%1:"/>
      <w:numFmt w:val="upperLetter"/>
      <w:start w:val="17"/>
    </w:lvl>
  </w:abstractNum>
  <w:abstractNum w:abstractNumId="77">
    <w:nsid w:val="3B1DD403"/>
    <w:multiLevelType w:val="hybridMultilevel"/>
    <w:lvl w:ilvl="0">
      <w:lvlJc w:val="left"/>
      <w:lvlText w:val="%1:"/>
      <w:numFmt w:val="upperLetter"/>
      <w:start w:val="1"/>
    </w:lvl>
  </w:abstractNum>
  <w:abstractNum w:abstractNumId="78">
    <w:nsid w:val="530386D1"/>
    <w:multiLevelType w:val="hybridMultilevel"/>
    <w:lvl w:ilvl="0">
      <w:lvlJc w:val="left"/>
      <w:lvlText w:val="%1:"/>
      <w:numFmt w:val="upperLetter"/>
      <w:start w:val="17"/>
    </w:lvl>
  </w:abstractNum>
  <w:abstractNum w:abstractNumId="79">
    <w:nsid w:val="7525F2BC"/>
    <w:multiLevelType w:val="hybridMultilevel"/>
    <w:lvl w:ilvl="0">
      <w:lvlJc w:val="left"/>
      <w:lvlText w:val="%1:"/>
      <w:numFmt w:val="upperLetter"/>
      <w:start w:val="1"/>
    </w:lvl>
  </w:abstractNum>
  <w:abstractNum w:abstractNumId="80">
    <w:nsid w:val="CE8E1A7"/>
    <w:multiLevelType w:val="hybridMultilevel"/>
    <w:lvl w:ilvl="0">
      <w:lvlJc w:val="left"/>
      <w:lvlText w:val="%1:"/>
      <w:numFmt w:val="upperLetter"/>
      <w:start w:val="17"/>
    </w:lvl>
  </w:abstractNum>
  <w:abstractNum w:abstractNumId="81">
    <w:nsid w:val="4E9EFB0D"/>
    <w:multiLevelType w:val="hybridMultilevel"/>
    <w:lvl w:ilvl="0">
      <w:lvlJc w:val="left"/>
      <w:lvlText w:val="%1:"/>
      <w:numFmt w:val="upperLetter"/>
      <w:start w:val="1"/>
    </w:lvl>
  </w:abstractNum>
  <w:abstractNum w:abstractNumId="82">
    <w:nsid w:val="90802BE"/>
    <w:multiLevelType w:val="hybridMultilevel"/>
    <w:lvl w:ilvl="0">
      <w:lvlJc w:val="left"/>
      <w:lvlText w:val="%1:"/>
      <w:numFmt w:val="upperLetter"/>
      <w:start w:val="17"/>
    </w:lvl>
  </w:abstractNum>
  <w:abstractNum w:abstractNumId="83">
    <w:nsid w:val="3266459B"/>
    <w:multiLevelType w:val="hybridMultilevel"/>
    <w:lvl w:ilvl="0">
      <w:lvlJc w:val="left"/>
      <w:lvlText w:val="%1:"/>
      <w:numFmt w:val="upperLetter"/>
      <w:start w:val="1"/>
    </w:lvl>
  </w:abstractNum>
  <w:abstractNum w:abstractNumId="84">
    <w:nsid w:val="3F8B0CBF"/>
    <w:multiLevelType w:val="hybridMultilevel"/>
    <w:lvl w:ilvl="0">
      <w:lvlJc w:val="left"/>
      <w:lvlText w:val="%1:"/>
      <w:numFmt w:val="upperLetter"/>
      <w:start w:val="17"/>
    </w:lvl>
  </w:abstractNum>
  <w:abstractNum w:abstractNumId="85">
    <w:nsid w:val="37E203AB"/>
    <w:multiLevelType w:val="hybridMultilevel"/>
    <w:lvl w:ilvl="0">
      <w:lvlJc w:val="left"/>
      <w:lvlText w:val="%1:"/>
      <w:numFmt w:val="upperLetter"/>
      <w:start w:val="1"/>
    </w:lvl>
  </w:abstractNum>
  <w:abstractNum w:abstractNumId="86">
    <w:nsid w:val="2586D60E"/>
    <w:multiLevelType w:val="hybridMultilevel"/>
    <w:lvl w:ilvl="0">
      <w:lvlJc w:val="left"/>
      <w:lvlText w:val="%1:"/>
      <w:numFmt w:val="upperLetter"/>
      <w:start w:val="17"/>
    </w:lvl>
  </w:abstractNum>
  <w:abstractNum w:abstractNumId="87">
    <w:nsid w:val="1F3DA4D5"/>
    <w:multiLevelType w:val="hybridMultilevel"/>
    <w:lvl w:ilvl="0">
      <w:lvlJc w:val="left"/>
      <w:lvlText w:val="%1:"/>
      <w:numFmt w:val="upperLetter"/>
      <w:start w:val="1"/>
    </w:lvl>
  </w:abstractNum>
  <w:abstractNum w:abstractNumId="88">
    <w:nsid w:val="74C93698"/>
    <w:multiLevelType w:val="hybridMultilevel"/>
    <w:lvl w:ilvl="0">
      <w:lvlJc w:val="left"/>
      <w:lvlText w:val="•"/>
      <w:numFmt w:val="bullet"/>
      <w:start w:val="1"/>
    </w:lvl>
  </w:abstractNum>
  <w:abstractNum w:abstractNumId="89">
    <w:nsid w:val="48781401"/>
    <w:multiLevelType w:val="hybridMultilevel"/>
    <w:lvl w:ilvl="0">
      <w:lvlJc w:val="left"/>
      <w:lvlText w:val="%1."/>
      <w:numFmt w:val="lowerLetter"/>
      <w:start w:val="1"/>
    </w:lvl>
  </w:abstractNum>
  <w:abstractNum w:abstractNumId="90">
    <w:nsid w:val="186928D6"/>
    <w:multiLevelType w:val="hybridMultilevel"/>
    <w:lvl w:ilvl="0">
      <w:lvlJc w:val="left"/>
      <w:lvlText w:val="•"/>
      <w:numFmt w:val="bullet"/>
      <w:start w:val="1"/>
    </w:lvl>
  </w:abstractNum>
  <w:abstractNum w:abstractNumId="91">
    <w:nsid w:val="47195E5"/>
    <w:multiLevelType w:val="hybridMultilevel"/>
    <w:lvl w:ilvl="0">
      <w:lvlJc w:val="left"/>
      <w:lvlText w:val="•"/>
      <w:numFmt w:val="bullet"/>
      <w:start w:val="1"/>
    </w:lvl>
  </w:abstractNum>
  <w:abstractNum w:abstractNumId="92">
    <w:nsid w:val="3746A5F2"/>
    <w:multiLevelType w:val="hybridMultilevel"/>
    <w:lvl w:ilvl="0">
      <w:lvlJc w:val="left"/>
      <w:lvlText w:val="•"/>
      <w:numFmt w:val="bullet"/>
      <w:start w:val="1"/>
    </w:lvl>
  </w:abstractNum>
  <w:abstractNum w:abstractNumId="93">
    <w:nsid w:val="682DFED6"/>
    <w:multiLevelType w:val="hybridMultilevel"/>
    <w:lvl w:ilvl="0">
      <w:lvlJc w:val="left"/>
      <w:lvlText w:val="(%1)"/>
      <w:numFmt w:val="lowerRoman"/>
      <w:start w:val="2"/>
    </w:lvl>
  </w:abstractNum>
  <w:abstractNum w:abstractNumId="94">
    <w:nsid w:val="606ED7F6"/>
    <w:multiLevelType w:val="hybridMultilevel"/>
    <w:lvl w:ilvl="0">
      <w:lvlJc w:val="left"/>
      <w:lvlText w:val="(%1)"/>
      <w:numFmt w:val="lowerRoman"/>
      <w:start w:val="4"/>
    </w:lvl>
  </w:abstractNum>
  <w:abstractNum w:abstractNumId="95">
    <w:nsid w:val="2D9DF57D"/>
    <w:multiLevelType w:val="hybridMultilevel"/>
    <w:lvl w:ilvl="0">
      <w:lvlJc w:val="left"/>
      <w:lvlText w:val="%1."/>
      <w:numFmt w:val="lowerLetter"/>
      <w:start w:val="1"/>
    </w:lvl>
  </w:abstractNum>
  <w:abstractNum w:abstractNumId="96">
    <w:nsid w:val="7FBD7A3E"/>
    <w:multiLevelType w:val="hybridMultilevel"/>
    <w:lvl w:ilvl="0">
      <w:lvlJc w:val="left"/>
      <w:lvlText w:val="(%1)"/>
      <w:numFmt w:val="decimal"/>
      <w:start w:val="1"/>
    </w:lvl>
  </w:abstractNum>
  <w:abstractNum w:abstractNumId="97">
    <w:nsid w:val="490B7C5"/>
    <w:multiLevelType w:val="hybridMultilevel"/>
    <w:lvl w:ilvl="0">
      <w:lvlJc w:val="left"/>
      <w:lvlText w:val="(%1)"/>
      <w:numFmt w:val="decimal"/>
      <w:start w:val="4"/>
    </w:lvl>
  </w:abstractNum>
  <w:abstractNum w:abstractNumId="98">
    <w:nsid w:val="4303A216"/>
    <w:multiLevelType w:val="hybridMultilevel"/>
    <w:lvl w:ilvl="0">
      <w:lvlJc w:val="left"/>
      <w:lvlText w:val="•"/>
      <w:numFmt w:val="bullet"/>
      <w:start w:val="1"/>
    </w:lvl>
  </w:abstractNum>
  <w:abstractNum w:abstractNumId="99">
    <w:nsid w:val="19B8A08E"/>
    <w:multiLevelType w:val="hybridMultilevel"/>
    <w:lvl w:ilvl="0">
      <w:lvlJc w:val="left"/>
      <w:lvlText w:val="•"/>
      <w:numFmt w:val="bullet"/>
      <w:start w:val="1"/>
    </w:lvl>
  </w:abstractNum>
  <w:abstractNum w:abstractNumId="100">
    <w:nsid w:val="54B59621"/>
    <w:multiLevelType w:val="hybridMultilevel"/>
    <w:lvl w:ilvl="0">
      <w:lvlJc w:val="left"/>
      <w:lvlText w:val="(%1)"/>
      <w:numFmt w:val="lowerLetter"/>
      <w:start w:val="1"/>
    </w:lvl>
  </w:abstractNum>
  <w:abstractNum w:abstractNumId="101">
    <w:nsid w:val="5992A02E"/>
    <w:multiLevelType w:val="hybridMultilevel"/>
    <w:lvl w:ilvl="0">
      <w:lvlJc w:val="left"/>
      <w:lvlText w:val="•"/>
      <w:numFmt w:val="bullet"/>
      <w:start w:val="1"/>
    </w:lvl>
  </w:abstractNum>
  <w:abstractNum w:abstractNumId="102">
    <w:nsid w:val="29EF532D"/>
    <w:multiLevelType w:val="hybridMultilevel"/>
    <w:lvl w:ilvl="0">
      <w:lvlJc w:val="left"/>
      <w:lvlText w:val="(%1)"/>
      <w:numFmt w:val="decimal"/>
      <w:start w:val="1"/>
    </w:lvl>
  </w:abstractNum>
  <w:abstractNum w:abstractNumId="103">
    <w:nsid w:val="71D601AF"/>
    <w:multiLevelType w:val="hybridMultilevel"/>
    <w:lvl w:ilvl="0">
      <w:lvlJc w:val="left"/>
      <w:lvlText w:val="•"/>
      <w:numFmt w:val="bullet"/>
      <w:start w:val="1"/>
    </w:lvl>
  </w:abstractNum>
  <w:abstractNum w:abstractNumId="104">
    <w:nsid w:val="52C77402"/>
    <w:multiLevelType w:val="hybridMultilevel"/>
    <w:lvl w:ilvl="0">
      <w:lvlJc w:val="left"/>
      <w:lvlText w:val="•"/>
      <w:numFmt w:val="bullet"/>
      <w:start w:val="1"/>
    </w:lvl>
  </w:abstractNum>
  <w:abstractNum w:abstractNumId="105">
    <w:nsid w:val="2BB5B1C6"/>
    <w:multiLevelType w:val="hybridMultilevel"/>
    <w:lvl w:ilvl="0">
      <w:lvlJc w:val="left"/>
      <w:lvlText w:val="•"/>
      <w:numFmt w:val="bullet"/>
      <w:start w:val="1"/>
    </w:lvl>
  </w:abstractNum>
  <w:abstractNum w:abstractNumId="106">
    <w:nsid w:val="66BE6B9"/>
    <w:multiLevelType w:val="hybridMultilevel"/>
    <w:lvl w:ilvl="0">
      <w:lvlJc w:val="left"/>
      <w:lvlText w:val="•"/>
      <w:numFmt w:val="bullet"/>
      <w:start w:val="1"/>
    </w:lvl>
  </w:abstractNum>
  <w:abstractNum w:abstractNumId="107">
    <w:nsid w:val="62234363"/>
    <w:multiLevelType w:val="hybridMultilevel"/>
    <w:lvl w:ilvl="0">
      <w:lvlJc w:val="left"/>
      <w:lvlText w:val="•"/>
      <w:numFmt w:val="bullet"/>
      <w:start w:val="1"/>
    </w:lvl>
  </w:abstractNum>
  <w:abstractNum w:abstractNumId="108">
    <w:nsid w:val="66D385C9"/>
    <w:multiLevelType w:val="hybridMultilevel"/>
    <w:lvl w:ilvl="0">
      <w:lvlJc w:val="left"/>
      <w:lvlText w:val="•"/>
      <w:numFmt w:val="bullet"/>
      <w:start w:val="1"/>
    </w:lvl>
  </w:abstractNum>
  <w:abstractNum w:abstractNumId="109">
    <w:nsid w:val="596F6D8A"/>
    <w:multiLevelType w:val="hybridMultilevel"/>
    <w:lvl w:ilvl="0">
      <w:lvlJc w:val="left"/>
      <w:lvlText w:val="•"/>
      <w:numFmt w:val="bullet"/>
      <w:start w:val="1"/>
    </w:lvl>
  </w:abstractNum>
  <w:abstractNum w:abstractNumId="110">
    <w:nsid w:val="5749361F"/>
    <w:multiLevelType w:val="hybridMultilevel"/>
    <w:lvl w:ilvl="0">
      <w:lvlJc w:val="left"/>
      <w:lvlText w:val="•"/>
      <w:numFmt w:val="bullet"/>
      <w:start w:val="1"/>
    </w:lvl>
  </w:abstractNum>
  <w:abstractNum w:abstractNumId="111">
    <w:nsid w:val="73BC6770"/>
    <w:multiLevelType w:val="hybridMultilevel"/>
    <w:lvl w:ilvl="0">
      <w:lvlJc w:val="left"/>
      <w:lvlText w:val="•"/>
      <w:numFmt w:val="bullet"/>
      <w:start w:val="1"/>
    </w:lvl>
  </w:abstractNum>
  <w:abstractNum w:abstractNumId="112">
    <w:nsid w:val="280E6897"/>
    <w:multiLevelType w:val="hybridMultilevel"/>
    <w:lvl w:ilvl="0">
      <w:lvlJc w:val="left"/>
      <w:lvlText w:val="(%1)"/>
      <w:numFmt w:val="lowerRoman"/>
      <w:start w:val="1"/>
    </w:lvl>
  </w:abstractNum>
  <w:abstractNum w:abstractNumId="113">
    <w:nsid w:val="605138DE"/>
    <w:multiLevelType w:val="hybridMultilevel"/>
    <w:lvl w:ilvl="0">
      <w:lvlJc w:val="left"/>
      <w:lvlText w:val="•"/>
      <w:numFmt w:val="bullet"/>
      <w:start w:val="1"/>
    </w:lvl>
  </w:abstractNum>
  <w:abstractNum w:abstractNumId="114">
    <w:nsid w:val="2622AD0C"/>
    <w:multiLevelType w:val="hybridMultilevel"/>
    <w:lvl w:ilvl="0">
      <w:lvlJc w:val="left"/>
      <w:lvlText w:val="•"/>
      <w:numFmt w:val="bullet"/>
      <w:start w:val="1"/>
    </w:lvl>
  </w:abstractNum>
  <w:abstractNum w:abstractNumId="115">
    <w:nsid w:val="67997556"/>
    <w:multiLevelType w:val="hybridMultilevel"/>
    <w:lvl w:ilvl="0">
      <w:lvlJc w:val="left"/>
      <w:lvlText w:val="•"/>
      <w:numFmt w:val="bullet"/>
      <w:start w:val="1"/>
    </w:lvl>
  </w:abstractNum>
  <w:abstractNum w:abstractNumId="116">
    <w:nsid w:val="18333C89"/>
    <w:multiLevelType w:val="hybridMultilevel"/>
    <w:lvl w:ilvl="0">
      <w:lvlJc w:val="left"/>
      <w:lvlText w:val="•"/>
      <w:numFmt w:val="bullet"/>
      <w:start w:val="1"/>
    </w:lvl>
  </w:abstractNum>
  <w:abstractNum w:abstractNumId="117">
    <w:nsid w:val="4BA9831A"/>
    <w:multiLevelType w:val="hybridMultilevel"/>
    <w:lvl w:ilvl="0">
      <w:lvlJc w:val="left"/>
      <w:lvlText w:val="•"/>
      <w:numFmt w:val="bullet"/>
      <w:start w:val="1"/>
    </w:lvl>
  </w:abstractNum>
  <w:abstractNum w:abstractNumId="118">
    <w:nsid w:val="6D71A2B"/>
    <w:multiLevelType w:val="hybridMultilevel"/>
    <w:lvl w:ilvl="0">
      <w:lvlJc w:val="left"/>
      <w:lvlText w:val="•"/>
      <w:numFmt w:val="bullet"/>
      <w:start w:val="1"/>
    </w:lvl>
  </w:abstractNum>
  <w:abstractNum w:abstractNumId="119">
    <w:nsid w:val="CFC7321"/>
    <w:multiLevelType w:val="hybridMultilevel"/>
    <w:lvl w:ilvl="0">
      <w:lvlJc w:val="left"/>
      <w:lvlText w:val="•"/>
      <w:numFmt w:val="bullet"/>
      <w:start w:val="1"/>
    </w:lvl>
  </w:abstractNum>
  <w:abstractNum w:abstractNumId="120">
    <w:nsid w:val="1421971B"/>
    <w:multiLevelType w:val="hybridMultilevel"/>
    <w:lvl w:ilvl="0">
      <w:lvlJc w:val="left"/>
      <w:lvlText w:val="•"/>
      <w:numFmt w:val="bullet"/>
      <w:start w:val="1"/>
    </w:lvl>
  </w:abstractNum>
  <w:abstractNum w:abstractNumId="121">
    <w:nsid w:val="1F404301"/>
    <w:multiLevelType w:val="hybridMultilevel"/>
    <w:lvl w:ilvl="0">
      <w:lvlJc w:val="left"/>
      <w:lvlText w:val="•"/>
      <w:numFmt w:val="bullet"/>
      <w:start w:val="1"/>
    </w:lvl>
  </w:abstractNum>
  <w:abstractNum w:abstractNumId="122">
    <w:nsid w:val="116E0907"/>
    <w:multiLevelType w:val="hybridMultilevel"/>
    <w:lvl w:ilvl="0">
      <w:lvlJc w:val="left"/>
      <w:lvlText w:val="•"/>
      <w:numFmt w:val="bullet"/>
      <w:start w:val="1"/>
    </w:lvl>
  </w:abstractNum>
  <w:abstractNum w:abstractNumId="123">
    <w:nsid w:val="4B683D0D"/>
    <w:multiLevelType w:val="hybridMultilevel"/>
    <w:lvl w:ilvl="0">
      <w:lvlJc w:val="left"/>
      <w:lvlText w:val="•"/>
      <w:numFmt w:val="bullet"/>
      <w:start w:val="1"/>
    </w:lvl>
  </w:abstractNum>
  <w:abstractNum w:abstractNumId="124">
    <w:nsid w:val="76E41D8"/>
    <w:multiLevelType w:val="hybridMultilevel"/>
    <w:lvl w:ilvl="0">
      <w:lvlJc w:val="left"/>
      <w:lvlText w:val="•"/>
      <w:numFmt w:val="bullet"/>
      <w:start w:val="1"/>
    </w:lvl>
  </w:abstractNum>
  <w:abstractNum w:abstractNumId="125">
    <w:nsid w:val="71DCE0FD"/>
    <w:multiLevelType w:val="hybridMultilevel"/>
    <w:lvl w:ilvl="0">
      <w:lvlJc w:val="left"/>
      <w:lvlText w:val="•"/>
      <w:numFmt w:val="bullet"/>
      <w:start w:val="1"/>
    </w:lvl>
  </w:abstractNum>
  <w:abstractNum w:abstractNumId="126">
    <w:nsid w:val="7906328B"/>
    <w:multiLevelType w:val="hybridMultilevel"/>
    <w:lvl w:ilvl="0">
      <w:lvlJc w:val="left"/>
      <w:lvlText w:val="•"/>
      <w:numFmt w:val="bullet"/>
      <w:start w:val="1"/>
    </w:lvl>
  </w:abstractNum>
  <w:abstractNum w:abstractNumId="127">
    <w:nsid w:val="72BBC16"/>
    <w:multiLevelType w:val="hybridMultilevel"/>
    <w:lvl w:ilvl="0">
      <w:lvlJc w:val="left"/>
      <w:lvlText w:val="•"/>
      <w:numFmt w:val="bullet"/>
      <w:start w:val="1"/>
    </w:lvl>
  </w:abstractNum>
  <w:abstractNum w:abstractNumId="128">
    <w:nsid w:val="766D98C2"/>
    <w:multiLevelType w:val="hybridMultilevel"/>
    <w:lvl w:ilvl="0">
      <w:lvlJc w:val="left"/>
      <w:lvlText w:val="•"/>
      <w:numFmt w:val="bullet"/>
      <w:start w:val="1"/>
    </w:lvl>
  </w:abstractNum>
  <w:abstractNum w:abstractNumId="129">
    <w:nsid w:val="3C09D4A1"/>
    <w:multiLevelType w:val="hybridMultilevel"/>
    <w:lvl w:ilvl="0">
      <w:lvlJc w:val="left"/>
      <w:lvlText w:val="•"/>
      <w:numFmt w:val="bullet"/>
      <w:start w:val="1"/>
    </w:lvl>
  </w:abstractNum>
  <w:abstractNum w:abstractNumId="130">
    <w:nsid w:val="20E45CA4"/>
    <w:multiLevelType w:val="hybridMultilevel"/>
    <w:lvl w:ilvl="0">
      <w:lvlJc w:val="left"/>
      <w:lvlText w:val="•"/>
      <w:numFmt w:val="bullet"/>
      <w:start w:val="1"/>
    </w:lvl>
  </w:abstractNum>
  <w:abstractNum w:abstractNumId="131">
    <w:nsid w:val="4B232EE3"/>
    <w:multiLevelType w:val="hybridMultilevel"/>
    <w:lvl w:ilvl="0">
      <w:lvlJc w:val="left"/>
      <w:lvlText w:val="•"/>
      <w:numFmt w:val="bullet"/>
      <w:start w:val="1"/>
    </w:lvl>
  </w:abstractNum>
  <w:abstractNum w:abstractNumId="132">
    <w:nsid w:val="159C74CF"/>
    <w:multiLevelType w:val="hybridMultilevel"/>
    <w:lvl w:ilvl="0">
      <w:lvlJc w:val="left"/>
      <w:lvlText w:val="•"/>
      <w:numFmt w:val="bullet"/>
      <w:start w:val="1"/>
    </w:lvl>
  </w:abstractNum>
  <w:abstractNum w:abstractNumId="133">
    <w:nsid w:val="4AD3AFD2"/>
    <w:multiLevelType w:val="hybridMultilevel"/>
    <w:lvl w:ilvl="0">
      <w:lvlJc w:val="left"/>
      <w:lvlText w:val="•"/>
      <w:numFmt w:val="bullet"/>
      <w:start w:val="1"/>
    </w:lvl>
  </w:abstractNum>
  <w:abstractNum w:abstractNumId="134">
    <w:nsid w:val="3CF93092"/>
    <w:multiLevelType w:val="hybridMultilevel"/>
    <w:lvl w:ilvl="0">
      <w:lvlJc w:val="left"/>
      <w:lvlText w:val="•"/>
      <w:numFmt w:val="bullet"/>
      <w:start w:val="1"/>
    </w:lvl>
  </w:abstractNum>
  <w:abstractNum w:abstractNumId="135">
    <w:nsid w:val="6863E8D2"/>
    <w:multiLevelType w:val="hybridMultilevel"/>
    <w:lvl w:ilvl="0">
      <w:lvlJc w:val="left"/>
      <w:lvlText w:val="•"/>
      <w:numFmt w:val="bullet"/>
      <w:start w:val="1"/>
    </w:lvl>
  </w:abstractNum>
  <w:abstractNum w:abstractNumId="136">
    <w:nsid w:val="76896198"/>
    <w:multiLevelType w:val="hybridMultilevel"/>
    <w:lvl w:ilvl="0">
      <w:lvlJc w:val="left"/>
      <w:lvlText w:val="•"/>
      <w:numFmt w:val="bullet"/>
      <w:start w:val="1"/>
    </w:lvl>
  </w:abstractNum>
  <w:abstractNum w:abstractNumId="137">
    <w:nsid w:val="4365174B"/>
    <w:multiLevelType w:val="hybridMultilevel"/>
    <w:lvl w:ilvl="0">
      <w:lvlJc w:val="left"/>
      <w:lvlText w:val="•"/>
      <w:numFmt w:val="bullet"/>
      <w:start w:val="1"/>
    </w:lvl>
  </w:abstractNum>
  <w:abstractNum w:abstractNumId="138">
    <w:nsid w:val="4A872C35"/>
    <w:multiLevelType w:val="hybridMultilevel"/>
    <w:lvl w:ilvl="0">
      <w:lvlJc w:val="left"/>
      <w:lvlText w:val="•"/>
      <w:numFmt w:val="bullet"/>
      <w:start w:val="1"/>
    </w:lvl>
  </w:abstractNum>
  <w:abstractNum w:abstractNumId="139">
    <w:nsid w:val="5D5CE761"/>
    <w:multiLevelType w:val="hybridMultilevel"/>
    <w:lvl w:ilvl="0">
      <w:lvlJc w:val="left"/>
      <w:lvlText w:val="•"/>
      <w:numFmt w:val="bullet"/>
      <w:start w:val="1"/>
    </w:lvl>
  </w:abstractNum>
  <w:abstractNum w:abstractNumId="140">
    <w:nsid w:val="1CD484D5"/>
    <w:multiLevelType w:val="hybridMultilevel"/>
    <w:lvl w:ilvl="0">
      <w:lvlJc w:val="left"/>
      <w:lvlText w:val="•"/>
      <w:numFmt w:val="bullet"/>
      <w:start w:val="1"/>
    </w:lvl>
  </w:abstractNum>
  <w:abstractNum w:abstractNumId="141">
    <w:nsid w:val="21D06255"/>
    <w:multiLevelType w:val="hybridMultilevel"/>
    <w:lvl w:ilvl="0">
      <w:lvlJc w:val="left"/>
      <w:lvlText w:val="•"/>
      <w:numFmt w:val="bullet"/>
      <w:start w:val="1"/>
    </w:lvl>
  </w:abstractNum>
  <w:abstractNum w:abstractNumId="142">
    <w:nsid w:val="51194ED1"/>
    <w:multiLevelType w:val="hybridMultilevel"/>
    <w:lvl w:ilvl="0">
      <w:lvlJc w:val="left"/>
      <w:lvlText w:val="•"/>
      <w:numFmt w:val="bullet"/>
      <w:start w:val="1"/>
    </w:lvl>
  </w:abstractNum>
  <w:abstractNum w:abstractNumId="143">
    <w:nsid w:val="44E2ED6C"/>
    <w:multiLevelType w:val="hybridMultilevel"/>
    <w:lvl w:ilvl="0">
      <w:lvlJc w:val="left"/>
      <w:lvlText w:val="•"/>
      <w:numFmt w:val="bullet"/>
      <w:start w:val="1"/>
    </w:lvl>
  </w:abstractNum>
  <w:abstractNum w:abstractNumId="144">
    <w:nsid w:val="2219B33"/>
    <w:multiLevelType w:val="hybridMultilevel"/>
    <w:lvl w:ilvl="0">
      <w:lvlJc w:val="left"/>
      <w:lvlText w:val="•"/>
      <w:numFmt w:val="bullet"/>
      <w:start w:val="1"/>
    </w:lvl>
  </w:abstractNum>
  <w:abstractNum w:abstractNumId="145">
    <w:nsid w:val="773BFBDD"/>
    <w:multiLevelType w:val="hybridMultilevel"/>
    <w:lvl w:ilvl="0">
      <w:lvlJc w:val="left"/>
      <w:lvlText w:val="•"/>
      <w:numFmt w:val="bullet"/>
      <w:start w:val="1"/>
    </w:lvl>
  </w:abstractNum>
  <w:abstractNum w:abstractNumId="146">
    <w:nsid w:val="2C7C62C2"/>
    <w:multiLevelType w:val="hybridMultilevel"/>
    <w:lvl w:ilvl="0">
      <w:lvlJc w:val="left"/>
      <w:lvlText w:val="•"/>
      <w:numFmt w:val="bullet"/>
      <w:start w:val="1"/>
    </w:lvl>
  </w:abstractNum>
  <w:abstractNum w:abstractNumId="147">
    <w:nsid w:val="1A54D7BC"/>
    <w:multiLevelType w:val="hybridMultilevel"/>
    <w:lvl w:ilvl="0">
      <w:lvlJc w:val="left"/>
      <w:lvlText w:val="•"/>
      <w:numFmt w:val="bullet"/>
      <w:start w:val="1"/>
    </w:lvl>
  </w:abstractNum>
  <w:abstractNum w:abstractNumId="148">
    <w:nsid w:val="42E57EF7"/>
    <w:multiLevelType w:val="hybridMultilevel"/>
    <w:lvl w:ilvl="0">
      <w:lvlJc w:val="left"/>
      <w:lvlText w:val="•"/>
      <w:numFmt w:val="bullet"/>
      <w:start w:val="1"/>
    </w:lvl>
  </w:abstractNum>
  <w:abstractNum w:abstractNumId="149">
    <w:nsid w:val="33537CED"/>
    <w:multiLevelType w:val="hybridMultilevel"/>
    <w:lvl w:ilvl="0">
      <w:lvlJc w:val="left"/>
      <w:lvlText w:val="•"/>
      <w:numFmt w:val="bullet"/>
      <w:start w:val="1"/>
    </w:lvl>
  </w:abstractNum>
  <w:abstractNum w:abstractNumId="150">
    <w:nsid w:val="27514ADE"/>
    <w:multiLevelType w:val="hybridMultilevel"/>
    <w:lvl w:ilvl="0">
      <w:lvlJc w:val="left"/>
      <w:lvlText w:val="•"/>
      <w:numFmt w:val="bullet"/>
      <w:start w:val="1"/>
    </w:lvl>
  </w:abstractNum>
  <w:abstractNum w:abstractNumId="151">
    <w:nsid w:val="57071613"/>
    <w:multiLevelType w:val="hybridMultilevel"/>
    <w:lvl w:ilvl="0">
      <w:lvlJc w:val="left"/>
      <w:lvlText w:val="•"/>
      <w:numFmt w:val="bullet"/>
      <w:start w:val="1"/>
    </w:lvl>
  </w:abstractNum>
  <w:abstractNum w:abstractNumId="152">
    <w:nsid w:val="5293BFEF"/>
    <w:multiLevelType w:val="hybridMultilevel"/>
    <w:lvl w:ilvl="0">
      <w:lvlJc w:val="left"/>
      <w:lvlText w:val="•"/>
      <w:numFmt w:val="bullet"/>
      <w:start w:val="1"/>
    </w:lvl>
  </w:abstractNum>
  <w:abstractNum w:abstractNumId="153">
    <w:nsid w:val="38BF53E5"/>
    <w:multiLevelType w:val="hybridMultilevel"/>
    <w:lvl w:ilvl="0">
      <w:lvlJc w:val="left"/>
      <w:lvlText w:val="•"/>
      <w:numFmt w:val="bullet"/>
      <w:start w:val="1"/>
    </w:lvl>
  </w:abstractNum>
  <w:abstractNum w:abstractNumId="154">
    <w:nsid w:val="226F5320"/>
    <w:multiLevelType w:val="hybridMultilevel"/>
    <w:lvl w:ilvl="0">
      <w:lvlJc w:val="left"/>
      <w:lvlText w:val="•"/>
      <w:numFmt w:val="bullet"/>
      <w:start w:val="1"/>
    </w:lvl>
  </w:abstractNum>
  <w:abstractNum w:abstractNumId="155">
    <w:nsid w:val="5A0201C7"/>
    <w:multiLevelType w:val="hybridMultilevel"/>
    <w:lvl w:ilvl="0">
      <w:lvlJc w:val="left"/>
      <w:lvlText w:val="•"/>
      <w:numFmt w:val="bullet"/>
      <w:start w:val="1"/>
    </w:lvl>
  </w:abstractNum>
  <w:abstractNum w:abstractNumId="156">
    <w:nsid w:val="2A9C34E2"/>
    <w:multiLevelType w:val="hybridMultilevel"/>
    <w:lvl w:ilvl="0">
      <w:lvlJc w:val="left"/>
      <w:lvlText w:val="•"/>
      <w:numFmt w:val="bullet"/>
      <w:start w:val="1"/>
    </w:lvl>
  </w:abstractNum>
  <w:abstractNum w:abstractNumId="157">
    <w:nsid w:val="1B7585AB"/>
    <w:multiLevelType w:val="hybridMultilevel"/>
    <w:lvl w:ilvl="0">
      <w:lvlJc w:val="left"/>
      <w:lvlText w:val="•"/>
      <w:numFmt w:val="bullet"/>
      <w:start w:val="1"/>
    </w:lvl>
  </w:abstractNum>
  <w:abstractNum w:abstractNumId="158">
    <w:nsid w:val="612DBDDD"/>
    <w:multiLevelType w:val="hybridMultilevel"/>
    <w:lvl w:ilvl="0">
      <w:lvlJc w:val="left"/>
      <w:lvlText w:val="•"/>
      <w:numFmt w:val="bullet"/>
      <w:start w:val="1"/>
    </w:lvl>
  </w:abstractNum>
  <w:abstractNum w:abstractNumId="159">
    <w:nsid w:val="2109CDA4"/>
    <w:multiLevelType w:val="hybridMultilevel"/>
    <w:lvl w:ilvl="0">
      <w:lvlJc w:val="left"/>
      <w:lvlText w:val="(%1)"/>
      <w:numFmt w:val="upperLetter"/>
      <w:start w:val="1"/>
    </w:lvl>
  </w:abstractNum>
  <w:abstractNum w:abstractNumId="160">
    <w:nsid w:val="577F5A4D"/>
    <w:multiLevelType w:val="hybridMultilevel"/>
    <w:lvl w:ilvl="0">
      <w:lvlJc w:val="left"/>
      <w:lvlText w:val="(%1)"/>
      <w:numFmt w:val="upperLetter"/>
      <w:start w:val="1"/>
    </w:lvl>
  </w:abstractNum>
  <w:abstractNum w:abstractNumId="161">
    <w:nsid w:val="2121A81"/>
    <w:multiLevelType w:val="hybridMultilevel"/>
    <w:lvl w:ilvl="0">
      <w:lvlJc w:val="left"/>
      <w:lvlText w:val="(%1)"/>
      <w:numFmt w:val="lowerLetter"/>
      <w:start w:val="1"/>
    </w:lvl>
  </w:abstractNum>
  <w:abstractNum w:abstractNumId="162">
    <w:nsid w:val="6C2CFC88"/>
    <w:multiLevelType w:val="hybridMultilevel"/>
    <w:lvl w:ilvl="0">
      <w:lvlJc w:val="left"/>
      <w:lvlText w:val="(%1)"/>
      <w:numFmt w:val="upperLetter"/>
      <w:start w:val="1"/>
    </w:lvl>
  </w:abstractNum>
  <w:abstractNum w:abstractNumId="163">
    <w:nsid w:val="6D1BCF1C"/>
    <w:multiLevelType w:val="hybridMultilevel"/>
    <w:lvl w:ilvl="0">
      <w:lvlJc w:val="left"/>
      <w:lvlText w:val="•"/>
      <w:numFmt w:val="bullet"/>
      <w:start w:val="1"/>
    </w:lvl>
  </w:abstractNum>
  <w:abstractNum w:abstractNumId="164">
    <w:nsid w:val="4CE5CA53"/>
    <w:multiLevelType w:val="hybridMultilevel"/>
    <w:lvl w:ilvl="0">
      <w:lvlJc w:val="left"/>
      <w:lvlText w:val="•"/>
      <w:numFmt w:val="bullet"/>
      <w:start w:val="1"/>
    </w:lvl>
  </w:abstractNum>
  <w:abstractNum w:abstractNumId="165">
    <w:nsid w:val="29262D1A"/>
    <w:multiLevelType w:val="hybridMultilevel"/>
    <w:lvl w:ilvl="0">
      <w:lvlJc w:val="left"/>
      <w:lvlText w:val="%1)"/>
      <w:numFmt w:val="lowerLetter"/>
      <w:start w:val="1"/>
    </w:lvl>
  </w:abstractNum>
  <w:abstractNum w:abstractNumId="166">
    <w:nsid w:val="557FB7EE"/>
    <w:multiLevelType w:val="hybridMultilevel"/>
    <w:lvl w:ilvl="0">
      <w:lvlJc w:val="left"/>
      <w:lvlText w:val="%1)"/>
      <w:numFmt w:val="lowerLetter"/>
      <w:start w:val="2"/>
    </w:lvl>
  </w:abstractNum>
  <w:abstractNum w:abstractNumId="167">
    <w:nsid w:val="436F2BEB"/>
    <w:multiLevelType w:val="hybridMultilevel"/>
    <w:lvl w:ilvl="0">
      <w:lvlJc w:val="left"/>
      <w:lvlText w:val="%1"/>
      <w:numFmt w:val="lowerLetter"/>
      <w:start w:val="1"/>
    </w:lvl>
    <w:lvl w:ilvl="1">
      <w:lvlJc w:val="left"/>
      <w:lvlText w:val="(%2)"/>
      <w:numFmt w:val="decimal"/>
      <w:start w:val="1"/>
    </w:lvl>
  </w:abstractNum>
  <w:abstractNum w:abstractNumId="168">
    <w:nsid w:val="6C8B4466"/>
    <w:multiLevelType w:val="hybridMultilevel"/>
    <w:lvl w:ilvl="0">
      <w:lvlJc w:val="left"/>
      <w:lvlText w:val="%1)"/>
      <w:numFmt w:val="lowerLetter"/>
      <w:start w:val="3"/>
    </w:lvl>
    <w:lvl w:ilvl="1">
      <w:lvlJc w:val="left"/>
      <w:lvlText w:val="%2"/>
      <w:numFmt w:val="decimal"/>
      <w:start w:val="1"/>
    </w:lvl>
  </w:abstractNum>
  <w:abstractNum w:abstractNumId="169">
    <w:nsid w:val="2006E424"/>
    <w:multiLevelType w:val="hybridMultilevel"/>
    <w:lvl w:ilvl="0">
      <w:lvlJc w:val="left"/>
      <w:lvlText w:val="%1)"/>
      <w:numFmt w:val="lowerLetter"/>
      <w:start w:val="5"/>
    </w:lvl>
  </w:abstractNum>
  <w:abstractNum w:abstractNumId="170">
    <w:nsid w:val="20CC134C"/>
    <w:multiLevelType w:val="hybridMultilevel"/>
    <w:lvl w:ilvl="0">
      <w:lvlJc w:val="left"/>
      <w:lvlText w:val="(%1)"/>
      <w:numFmt w:val="decimal"/>
      <w:start w:val="1"/>
    </w:lvl>
  </w:abstractNum>
  <w:abstractNum w:abstractNumId="171">
    <w:nsid w:val="95FC93B"/>
    <w:multiLevelType w:val="hybridMultilevel"/>
    <w:lvl w:ilvl="0">
      <w:lvlJc w:val="left"/>
      <w:lvlText w:val="%1)"/>
      <w:numFmt w:val="lowerLetter"/>
      <w:start w:val="1"/>
    </w:lvl>
  </w:abstractNum>
  <w:abstractNum w:abstractNumId="172">
    <w:nsid w:val="41D74679"/>
    <w:multiLevelType w:val="hybridMultilevel"/>
    <w:lvl w:ilvl="0">
      <w:lvlJc w:val="left"/>
      <w:lvlText w:val="(%1)"/>
      <w:numFmt w:val="decimal"/>
      <w:start w:val="1"/>
    </w:lvl>
  </w:abstractNum>
  <w:abstractNum w:abstractNumId="173">
    <w:nsid w:val="71E5621E"/>
    <w:multiLevelType w:val="hybridMultilevel"/>
    <w:lvl w:ilvl="0">
      <w:lvlJc w:val="left"/>
      <w:lvlText w:val="•"/>
      <w:numFmt w:val="bullet"/>
      <w:start w:val="1"/>
    </w:lvl>
  </w:abstractNum>
  <w:abstractNum w:abstractNumId="174">
    <w:nsid w:val="4E42B6A8"/>
    <w:multiLevelType w:val="hybridMultilevel"/>
    <w:lvl w:ilvl="0">
      <w:lvlJc w:val="left"/>
      <w:lvlText w:val="•"/>
      <w:numFmt w:val="bullet"/>
      <w:start w:val="1"/>
    </w:lvl>
  </w:abstractNum>
  <w:abstractNum w:abstractNumId="175">
    <w:nsid w:val="43F8E1AC"/>
    <w:multiLevelType w:val="hybridMultilevel"/>
    <w:lvl w:ilvl="0">
      <w:lvlJc w:val="left"/>
      <w:lvlText w:val="•"/>
      <w:numFmt w:val="bullet"/>
      <w:start w:val="1"/>
    </w:lvl>
  </w:abstractNum>
  <w:abstractNum w:abstractNumId="176">
    <w:nsid w:val="69215DFB"/>
    <w:multiLevelType w:val="hybridMultilevel"/>
    <w:lvl w:ilvl="0">
      <w:lvlJc w:val="left"/>
      <w:lvlText w:val="•"/>
      <w:numFmt w:val="bullet"/>
      <w:start w:val="1"/>
    </w:lvl>
  </w:abstractNum>
  <w:abstractNum w:abstractNumId="177">
    <w:nsid w:val="7ABF196A"/>
    <w:multiLevelType w:val="hybridMultilevel"/>
    <w:lvl w:ilvl="0">
      <w:lvlJc w:val="left"/>
      <w:lvlText w:val="•"/>
      <w:numFmt w:val="bullet"/>
      <w:start w:val="1"/>
    </w:lvl>
  </w:abstractNum>
  <w:abstractNum w:abstractNumId="178">
    <w:nsid w:val="5E4DB968"/>
    <w:multiLevelType w:val="hybridMultilevel"/>
    <w:lvl w:ilvl="0">
      <w:lvlJc w:val="left"/>
      <w:lvlText w:val="•"/>
      <w:numFmt w:val="bullet"/>
      <w:start w:val="1"/>
    </w:lvl>
  </w:abstractNum>
  <w:abstractNum w:abstractNumId="179">
    <w:nsid w:val="2C06DCF3"/>
    <w:multiLevelType w:val="hybridMultilevel"/>
    <w:lvl w:ilvl="0">
      <w:lvlJc w:val="left"/>
      <w:lvlText w:val="•"/>
      <w:numFmt w:val="bullet"/>
      <w:start w:val="1"/>
    </w:lvl>
  </w:abstractNum>
  <w:abstractNum w:abstractNumId="180">
    <w:nsid w:val="2E129658"/>
    <w:multiLevelType w:val="hybridMultilevel"/>
    <w:lvl w:ilvl="0">
      <w:lvlJc w:val="left"/>
      <w:lvlText w:val="•"/>
      <w:numFmt w:val="bullet"/>
      <w:start w:val="1"/>
    </w:lvl>
  </w:abstractNum>
  <w:abstractNum w:abstractNumId="181">
    <w:nsid w:val="59F0446"/>
    <w:multiLevelType w:val="hybridMultilevel"/>
    <w:lvl w:ilvl="0">
      <w:lvlJc w:val="left"/>
      <w:lvlText w:val="•"/>
      <w:numFmt w:val="bullet"/>
      <w:start w:val="1"/>
    </w:lvl>
  </w:abstractNum>
  <w:abstractNum w:abstractNumId="182">
    <w:nsid w:val="30DF306"/>
    <w:multiLevelType w:val="hybridMultilevel"/>
    <w:lvl w:ilvl="0">
      <w:lvlJc w:val="left"/>
      <w:lvlText w:val="•"/>
      <w:numFmt w:val="bullet"/>
      <w:start w:val="1"/>
    </w:lvl>
  </w:abstractNum>
  <w:abstractNum w:abstractNumId="183">
    <w:nsid w:val="A65647"/>
    <w:multiLevelType w:val="hybridMultilevel"/>
    <w:lvl w:ilvl="0">
      <w:lvlJc w:val="left"/>
      <w:lvlText w:val="•"/>
      <w:numFmt w:val="bullet"/>
      <w:start w:val="1"/>
    </w:lvl>
  </w:abstractNum>
  <w:abstractNum w:abstractNumId="184">
    <w:nsid w:val="3E5E582B"/>
    <w:multiLevelType w:val="hybridMultilevel"/>
    <w:lvl w:ilvl="0">
      <w:lvlJc w:val="left"/>
      <w:lvlText w:val="•"/>
      <w:numFmt w:val="bullet"/>
      <w:start w:val="1"/>
    </w:lvl>
  </w:abstractNum>
  <w:abstractNum w:abstractNumId="185">
    <w:nsid w:val="257D4626"/>
    <w:multiLevelType w:val="hybridMultilevel"/>
    <w:lvl w:ilvl="0">
      <w:lvlJc w:val="left"/>
      <w:lvlText w:val="•"/>
      <w:numFmt w:val="bullet"/>
      <w:start w:val="1"/>
    </w:lvl>
  </w:abstractNum>
  <w:abstractNum w:abstractNumId="186">
    <w:nsid w:val="5AA8580E"/>
    <w:multiLevelType w:val="hybridMultilevel"/>
    <w:lvl w:ilvl="0">
      <w:lvlJc w:val="left"/>
      <w:lvlText w:val="•"/>
      <w:numFmt w:val="bullet"/>
      <w:start w:val="1"/>
    </w:lvl>
  </w:abstractNum>
  <w:abstractNum w:abstractNumId="187">
    <w:nsid w:val="68FA8D0D"/>
    <w:multiLevelType w:val="hybridMultilevel"/>
    <w:lvl w:ilvl="0">
      <w:lvlJc w:val="left"/>
      <w:lvlText w:val="•"/>
      <w:numFmt w:val="bullet"/>
      <w:start w:val="1"/>
    </w:lvl>
  </w:abstractNum>
  <w:abstractNum w:abstractNumId="188">
    <w:nsid w:val="40F2CBD2"/>
    <w:multiLevelType w:val="hybridMultilevel"/>
    <w:lvl w:ilvl="0">
      <w:lvlJc w:val="left"/>
      <w:lvlText w:val="•"/>
      <w:numFmt w:val="bullet"/>
      <w:start w:val="1"/>
    </w:lvl>
  </w:abstractNum>
  <w:abstractNum w:abstractNumId="189">
    <w:nsid w:val="3BD615EB"/>
    <w:multiLevelType w:val="hybridMultilevel"/>
    <w:lvl w:ilvl="0">
      <w:lvlJc w:val="left"/>
      <w:lvlText w:val="•"/>
      <w:numFmt w:val="bullet"/>
      <w:start w:val="1"/>
    </w:lvl>
  </w:abstractNum>
  <w:abstractNum w:abstractNumId="190">
    <w:nsid w:val="A045AB2"/>
    <w:multiLevelType w:val="hybridMultilevel"/>
    <w:lvl w:ilvl="0">
      <w:lvlJc w:val="left"/>
      <w:lvlText w:val="(%1)"/>
      <w:numFmt w:val="lowerLetter"/>
      <w:start w:val="2"/>
    </w:lvl>
    <w:lvl w:ilvl="1">
      <w:lvlJc w:val="left"/>
      <w:lvlText w:val="•"/>
      <w:numFmt w:val="bullet"/>
      <w:start w:val="1"/>
    </w:lvl>
  </w:abstractNum>
  <w:abstractNum w:abstractNumId="191">
    <w:nsid w:val="1872261F"/>
    <w:multiLevelType w:val="hybridMultilevel"/>
    <w:lvl w:ilvl="0">
      <w:lvlJc w:val="left"/>
      <w:lvlText w:val="•"/>
      <w:numFmt w:val="bullet"/>
      <w:start w:val="1"/>
    </w:lvl>
  </w:abstractNum>
  <w:abstractNum w:abstractNumId="192">
    <w:nsid w:val="3DE8306C"/>
    <w:multiLevelType w:val="hybridMultilevel"/>
    <w:lvl w:ilvl="0">
      <w:lvlJc w:val="left"/>
      <w:lvlText w:val="•"/>
      <w:numFmt w:val="bullet"/>
      <w:start w:val="1"/>
    </w:lvl>
  </w:abstractNum>
  <w:abstractNum w:abstractNumId="193">
    <w:nsid w:val="7631573A"/>
    <w:multiLevelType w:val="hybridMultilevel"/>
    <w:lvl w:ilvl="0">
      <w:lvlJc w:val="left"/>
      <w:lvlText w:val="(%1)"/>
      <w:numFmt w:val="lowerLetter"/>
      <w:start w:val="1"/>
    </w:lvl>
    <w:lvl w:ilvl="1">
      <w:lvlJc w:val="left"/>
      <w:lvlText w:val="•"/>
      <w:numFmt w:val="bullet"/>
      <w:start w:val="1"/>
    </w:lvl>
  </w:abstractNum>
  <w:abstractNum w:abstractNumId="194">
    <w:nsid w:val="58DF53B"/>
    <w:multiLevelType w:val="hybridMultilevel"/>
    <w:lvl w:ilvl="0">
      <w:lvlJc w:val="left"/>
      <w:lvlText w:val="(%1)"/>
      <w:numFmt w:val="lowerLetter"/>
      <w:start w:val="35"/>
    </w:lvl>
    <w:lvl w:ilvl="1">
      <w:lvlJc w:val="left"/>
      <w:lvlText w:val="•"/>
      <w:numFmt w:val="bullet"/>
      <w:start w:val="1"/>
    </w:lvl>
  </w:abstractNum>
  <w:abstractNum w:abstractNumId="195">
    <w:nsid w:val="ACDFAC0"/>
    <w:multiLevelType w:val="hybridMultilevel"/>
    <w:lvl w:ilvl="0">
      <w:lvlJc w:val="left"/>
      <w:lvlText w:val="•"/>
      <w:numFmt w:val="bullet"/>
      <w:start w:val="1"/>
    </w:lvl>
  </w:abstractNum>
  <w:abstractNum w:abstractNumId="196">
    <w:nsid w:val="1F578454"/>
    <w:multiLevelType w:val="hybridMultilevel"/>
    <w:lvl w:ilvl="0">
      <w:lvlJc w:val="left"/>
      <w:lvlText w:val="•"/>
      <w:numFmt w:val="bullet"/>
      <w:start w:val="1"/>
    </w:lvl>
  </w:abstractNum>
  <w:abstractNum w:abstractNumId="197">
    <w:nsid w:val="5B0DAD2A"/>
    <w:multiLevelType w:val="hybridMultilevel"/>
    <w:lvl w:ilvl="0">
      <w:lvlJc w:val="left"/>
      <w:lvlText w:val="•"/>
      <w:numFmt w:val="bullet"/>
      <w:start w:val="1"/>
    </w:lvl>
  </w:abstractNum>
  <w:abstractNum w:abstractNumId="198">
    <w:nsid w:val="4E3D26AB"/>
    <w:multiLevelType w:val="hybridMultilevel"/>
    <w:lvl w:ilvl="0">
      <w:lvlJc w:val="left"/>
      <w:lvlText w:val="•"/>
      <w:numFmt w:val="bullet"/>
      <w:start w:val="1"/>
    </w:lvl>
  </w:abstractNum>
  <w:abstractNum w:abstractNumId="199">
    <w:nsid w:val="BE2C8BA"/>
    <w:multiLevelType w:val="hybridMultilevel"/>
    <w:lvl w:ilvl="0">
      <w:lvlJc w:val="left"/>
      <w:lvlText w:val="•"/>
      <w:numFmt w:val="bullet"/>
      <w:start w:val="1"/>
    </w:lvl>
  </w:abstractNum>
  <w:abstractNum w:abstractNumId="200">
    <w:nsid w:val="7B14914E"/>
    <w:multiLevelType w:val="hybridMultilevel"/>
    <w:lvl w:ilvl="0">
      <w:lvlJc w:val="left"/>
      <w:lvlText w:val="•"/>
      <w:numFmt w:val="bullet"/>
      <w:start w:val="1"/>
    </w:lvl>
  </w:abstractNum>
  <w:abstractNum w:abstractNumId="201">
    <w:nsid w:val="6F0939F8"/>
    <w:multiLevelType w:val="hybridMultilevel"/>
    <w:lvl w:ilvl="0">
      <w:lvlJc w:val="left"/>
      <w:lvlText w:val="•"/>
      <w:numFmt w:val="bullet"/>
      <w:start w:val="1"/>
    </w:lvl>
  </w:abstractNum>
  <w:abstractNum w:abstractNumId="202">
    <w:nsid w:val="154291F6"/>
    <w:multiLevelType w:val="hybridMultilevel"/>
    <w:lvl w:ilvl="0">
      <w:lvlJc w:val="left"/>
      <w:lvlText w:val="•"/>
      <w:numFmt w:val="bullet"/>
      <w:start w:val="1"/>
    </w:lvl>
  </w:abstractNum>
  <w:abstractNum w:abstractNumId="203">
    <w:nsid w:val="3CEBD7C7"/>
    <w:multiLevelType w:val="hybridMultilevel"/>
    <w:lvl w:ilvl="0">
      <w:lvlJc w:val="left"/>
      <w:lvlText w:val="•"/>
      <w:numFmt w:val="bullet"/>
      <w:start w:val="1"/>
    </w:lvl>
  </w:abstractNum>
  <w:abstractNum w:abstractNumId="204">
    <w:nsid w:val="60EE9C16"/>
    <w:multiLevelType w:val="hybridMultilevel"/>
    <w:lvl w:ilvl="0">
      <w:lvlJc w:val="left"/>
      <w:lvlText w:val="•"/>
      <w:numFmt w:val="bullet"/>
      <w:start w:val="1"/>
    </w:lvl>
  </w:abstractNum>
  <w:abstractNum w:abstractNumId="205">
    <w:nsid w:val="6385489E"/>
    <w:multiLevelType w:val="hybridMultilevel"/>
    <w:lvl w:ilvl="0">
      <w:lvlJc w:val="left"/>
      <w:lvlText w:val="•"/>
      <w:numFmt w:val="bullet"/>
      <w:start w:val="1"/>
    </w:lvl>
  </w:abstractNum>
  <w:abstractNum w:abstractNumId="206">
    <w:nsid w:val="E4B973"/>
    <w:multiLevelType w:val="hybridMultilevel"/>
    <w:lvl w:ilvl="0">
      <w:lvlJc w:val="left"/>
      <w:lvlText w:val="•"/>
      <w:numFmt w:val="bullet"/>
      <w:start w:val="1"/>
    </w:lvl>
  </w:abstractNum>
  <w:abstractNum w:abstractNumId="207">
    <w:nsid w:val="4A0FFA11"/>
    <w:multiLevelType w:val="hybridMultilevel"/>
    <w:lvl w:ilvl="0">
      <w:lvlJc w:val="left"/>
      <w:lvlText w:val="•"/>
      <w:numFmt w:val="bullet"/>
      <w:start w:val="1"/>
    </w:lvl>
  </w:abstractNum>
  <w:abstractNum w:abstractNumId="208">
    <w:nsid w:val="5E446208"/>
    <w:multiLevelType w:val="hybridMultilevel"/>
    <w:lvl w:ilvl="0">
      <w:lvlJc w:val="left"/>
      <w:lvlText w:val="•"/>
      <w:numFmt w:val="bullet"/>
      <w:start w:val="1"/>
    </w:lvl>
  </w:abstractNum>
  <w:abstractNum w:abstractNumId="209">
    <w:nsid w:val="5F3272DB"/>
    <w:multiLevelType w:val="hybridMultilevel"/>
    <w:lvl w:ilvl="0">
      <w:lvlJc w:val="left"/>
      <w:lvlText w:val="(%1)"/>
      <w:numFmt w:val="decimal"/>
      <w:start w:val="1"/>
    </w:lvl>
  </w:abstractNum>
  <w:abstractNum w:abstractNumId="210">
    <w:nsid w:val="7616D704"/>
    <w:multiLevelType w:val="hybridMultilevel"/>
    <w:lvl w:ilvl="0">
      <w:lvlJc w:val="left"/>
      <w:lvlText w:val="•"/>
      <w:numFmt w:val="bullet"/>
      <w:start w:val="1"/>
    </w:lvl>
  </w:abstractNum>
  <w:abstractNum w:abstractNumId="211">
    <w:nsid w:val="C56F860"/>
    <w:multiLevelType w:val="hybridMultilevel"/>
    <w:lvl w:ilvl="0">
      <w:lvlJc w:val="left"/>
      <w:lvlText w:val="(%1)"/>
      <w:numFmt w:val="lowerRoman"/>
      <w:start w:val="1"/>
    </w:lvl>
  </w:abstractNum>
  <w:abstractNum w:abstractNumId="212">
    <w:nsid w:val="64D17722"/>
    <w:multiLevelType w:val="hybridMultilevel"/>
    <w:lvl w:ilvl="0">
      <w:lvlJc w:val="left"/>
      <w:lvlText w:val="(%1)"/>
      <w:numFmt w:val="lowerRoman"/>
      <w:start w:val="1"/>
    </w:lvl>
  </w:abstractNum>
  <w:abstractNum w:abstractNumId="213">
    <w:nsid w:val="7924CA0A"/>
    <w:multiLevelType w:val="hybridMultilevel"/>
    <w:lvl w:ilvl="0">
      <w:lvlJc w:val="left"/>
      <w:lvlText w:val="[•]"/>
      <w:numFmt w:val="bullet"/>
      <w:start w:val="1"/>
    </w:lvl>
  </w:abstractNum>
  <w:abstractNum w:abstractNumId="214">
    <w:nsid w:val="CFD4EA7"/>
    <w:multiLevelType w:val="hybridMultilevel"/>
    <w:lvl w:ilvl="0">
      <w:lvlJc w:val="left"/>
      <w:lvlText w:val="(%1)"/>
      <w:numFmt w:val="decimal"/>
      <w:start w:val="1"/>
    </w:lvl>
  </w:abstractNum>
  <w:abstractNum w:abstractNumId="215">
    <w:nsid w:val="232FCF4D"/>
    <w:multiLevelType w:val="hybridMultilevel"/>
    <w:lvl w:ilvl="0">
      <w:lvlJc w:val="left"/>
      <w:lvlText w:val="(%1)"/>
      <w:numFmt w:val="lowerRoman"/>
      <w:start w:val="1"/>
    </w:lvl>
  </w:abstractNum>
  <w:abstractNum w:abstractNumId="216">
    <w:nsid w:val="1EA21031"/>
    <w:multiLevelType w:val="hybridMultilevel"/>
    <w:lvl w:ilvl="0">
      <w:lvlJc w:val="left"/>
      <w:lvlText w:val="•"/>
      <w:numFmt w:val="bullet"/>
      <w:start w:val="1"/>
    </w:lvl>
  </w:abstractNum>
  <w:abstractNum w:abstractNumId="217">
    <w:nsid w:val="67A5A6B5"/>
    <w:multiLevelType w:val="hybridMultilevel"/>
    <w:lvl w:ilvl="0">
      <w:lvlJc w:val="left"/>
      <w:lvlText w:val="•"/>
      <w:numFmt w:val="bullet"/>
      <w:start w:val="1"/>
    </w:lvl>
  </w:abstractNum>
  <w:abstractNum w:abstractNumId="218">
    <w:nsid w:val="C2A5C5B"/>
    <w:multiLevelType w:val="hybridMultilevel"/>
    <w:lvl w:ilvl="0">
      <w:lvlJc w:val="left"/>
      <w:lvlText w:val="•"/>
      <w:numFmt w:val="bullet"/>
      <w:start w:val="1"/>
    </w:lvl>
  </w:abstractNum>
  <w:abstractNum w:abstractNumId="219">
    <w:nsid w:val="5F94DC03"/>
    <w:multiLevelType w:val="hybridMultilevel"/>
    <w:lvl w:ilvl="0">
      <w:lvlJc w:val="left"/>
      <w:lvlText w:val="•"/>
      <w:numFmt w:val="bullet"/>
      <w:start w:val="1"/>
    </w:lvl>
  </w:abstractNum>
  <w:abstractNum w:abstractNumId="220">
    <w:nsid w:val="237BBCA0"/>
    <w:multiLevelType w:val="hybridMultilevel"/>
    <w:lvl w:ilvl="0">
      <w:lvlJc w:val="left"/>
      <w:lvlText w:val="•"/>
      <w:numFmt w:val="bullet"/>
      <w:start w:val="1"/>
    </w:lvl>
  </w:abstractNum>
  <w:abstractNum w:abstractNumId="221">
    <w:nsid w:val="162EB70D"/>
    <w:multiLevelType w:val="hybridMultilevel"/>
    <w:lvl w:ilvl="0">
      <w:lvlJc w:val="left"/>
      <w:lvlText w:val="•"/>
      <w:numFmt w:val="bullet"/>
      <w:start w:val="1"/>
    </w:lvl>
  </w:abstractNum>
  <w:abstractNum w:abstractNumId="222">
    <w:nsid w:val="78070222"/>
    <w:multiLevelType w:val="hybridMultilevel"/>
    <w:lvl w:ilvl="0">
      <w:lvlJc w:val="left"/>
      <w:lvlText w:val="•"/>
      <w:numFmt w:val="bullet"/>
      <w:start w:val="1"/>
    </w:lvl>
  </w:abstractNum>
  <w:abstractNum w:abstractNumId="223">
    <w:nsid w:val="6163ED0D"/>
    <w:multiLevelType w:val="hybridMultilevel"/>
    <w:lvl w:ilvl="0">
      <w:lvlJc w:val="left"/>
      <w:lvlText w:val="•"/>
      <w:numFmt w:val="bullet"/>
      <w:start w:val="1"/>
    </w:lvl>
  </w:abstractNum>
  <w:abstractNum w:abstractNumId="224">
    <w:nsid w:val="C600E47"/>
    <w:multiLevelType w:val="hybridMultilevel"/>
    <w:lvl w:ilvl="0">
      <w:lvlJc w:val="left"/>
      <w:lvlText w:val="•"/>
      <w:numFmt w:val="bullet"/>
      <w:start w:val="1"/>
    </w:lvl>
  </w:abstractNum>
  <w:abstractNum w:abstractNumId="225">
    <w:nsid w:val="7D94F75D"/>
    <w:multiLevelType w:val="hybridMultilevel"/>
    <w:lvl w:ilvl="0">
      <w:lvlJc w:val="left"/>
      <w:lvlText w:val="•"/>
      <w:numFmt w:val="bullet"/>
      <w:start w:val="1"/>
    </w:lvl>
  </w:abstractNum>
  <w:abstractNum w:abstractNumId="226">
    <w:nsid w:val="6C31E7CD"/>
    <w:multiLevelType w:val="hybridMultilevel"/>
    <w:lvl w:ilvl="0">
      <w:lvlJc w:val="left"/>
      <w:lvlText w:val="(%1)"/>
      <w:numFmt w:val="decimal"/>
      <w:start w:val="2"/>
    </w:lvl>
  </w:abstractNum>
  <w:abstractNum w:abstractNumId="227">
    <w:nsid w:val="2BB7929B"/>
    <w:multiLevelType w:val="hybridMultilevel"/>
    <w:lvl w:ilvl="0">
      <w:lvlJc w:val="left"/>
      <w:lvlText w:val="•"/>
      <w:numFmt w:val="bullet"/>
      <w:start w:val="1"/>
    </w:lvl>
  </w:abstractNum>
  <w:abstractNum w:abstractNumId="228">
    <w:nsid w:val="58A2A487"/>
    <w:multiLevelType w:val="hybridMultilevel"/>
    <w:lvl w:ilvl="0">
      <w:lvlJc w:val="left"/>
      <w:lvlText w:val="•"/>
      <w:numFmt w:val="bullet"/>
      <w:start w:val="1"/>
    </w:lvl>
  </w:abstractNum>
  <w:abstractNum w:abstractNumId="229">
    <w:nsid w:val="3A6F0E78"/>
    <w:multiLevelType w:val="hybridMultilevel"/>
    <w:lvl w:ilvl="0">
      <w:lvlJc w:val="left"/>
      <w:lvlText w:val="•"/>
      <w:numFmt w:val="bullet"/>
      <w:start w:val="1"/>
    </w:lvl>
  </w:abstractNum>
  <w:abstractNum w:abstractNumId="230">
    <w:nsid w:val="379A5B56"/>
    <w:multiLevelType w:val="hybridMultilevel"/>
    <w:lvl w:ilvl="0">
      <w:lvlJc w:val="left"/>
      <w:lvlText w:val="•"/>
      <w:numFmt w:val="bullet"/>
      <w:start w:val="1"/>
    </w:lvl>
  </w:abstractNum>
  <w:abstractNum w:abstractNumId="231">
    <w:nsid w:val="53B735D5"/>
    <w:multiLevelType w:val="hybridMultilevel"/>
    <w:lvl w:ilvl="0">
      <w:lvlJc w:val="left"/>
      <w:lvlText w:val="•"/>
      <w:numFmt w:val="bullet"/>
      <w:start w:val="1"/>
    </w:lvl>
  </w:abstractNum>
  <w:abstractNum w:abstractNumId="232">
    <w:nsid w:val="29784870"/>
    <w:multiLevelType w:val="hybridMultilevel"/>
    <w:lvl w:ilvl="0">
      <w:lvlJc w:val="left"/>
      <w:lvlText w:val="*"/>
      <w:numFmt w:val="bullet"/>
      <w:start w:val="1"/>
    </w:lvl>
  </w:abstractNum>
  <w:abstractNum w:abstractNumId="233">
    <w:nsid w:val="4CDCED4C"/>
    <w:multiLevelType w:val="hybridMultilevel"/>
    <w:lvl w:ilvl="0">
      <w:lvlJc w:val="left"/>
      <w:lvlText w:val="(%1)"/>
      <w:numFmt w:val="decimal"/>
      <w:start w:val="1"/>
    </w:lvl>
  </w:abstractNum>
  <w:abstractNum w:abstractNumId="234">
    <w:nsid w:val="10A30D9C"/>
    <w:multiLevelType w:val="hybridMultilevel"/>
    <w:lvl w:ilvl="0">
      <w:lvlJc w:val="left"/>
      <w:lvlText w:val="(%1)"/>
      <w:numFmt w:val="decimal"/>
      <w:start w:val="1"/>
    </w:lvl>
  </w:abstractNum>
  <w:abstractNum w:abstractNumId="235">
    <w:nsid w:val="A66E486"/>
    <w:multiLevelType w:val="hybridMultilevel"/>
    <w:lvl w:ilvl="0">
      <w:lvlJc w:val="left"/>
      <w:lvlText w:val="(%1)"/>
      <w:numFmt w:val="lowerRoman"/>
      <w:start w:val="3"/>
    </w:lvl>
  </w:abstractNum>
  <w:abstractNum w:abstractNumId="236">
    <w:nsid w:val="306235EA"/>
    <w:multiLevelType w:val="hybridMultilevel"/>
    <w:lvl w:ilvl="0">
      <w:lvlJc w:val="left"/>
      <w:lvlText w:val="•"/>
      <w:numFmt w:val="bullet"/>
      <w:start w:val="1"/>
    </w:lvl>
  </w:abstractNum>
  <w:abstractNum w:abstractNumId="237">
    <w:nsid w:val="1187C70F"/>
    <w:multiLevelType w:val="hybridMultilevel"/>
    <w:lvl w:ilvl="0">
      <w:lvlJc w:val="left"/>
      <w:lvlText w:val="•"/>
      <w:numFmt w:val="bullet"/>
      <w:start w:val="1"/>
    </w:lvl>
  </w:abstractNum>
  <w:abstractNum w:abstractNumId="238">
    <w:nsid w:val="5476DE98"/>
    <w:multiLevelType w:val="hybridMultilevel"/>
    <w:lvl w:ilvl="0">
      <w:lvlJc w:val="left"/>
      <w:lvlText w:val="•"/>
      <w:numFmt w:val="bullet"/>
      <w:start w:val="1"/>
    </w:lvl>
  </w:abstractNum>
  <w:abstractNum w:abstractNumId="239">
    <w:nsid w:val="EA697F2"/>
    <w:multiLevelType w:val="hybridMultilevel"/>
    <w:lvl w:ilvl="0">
      <w:lvlJc w:val="left"/>
      <w:lvlText w:val="•"/>
      <w:numFmt w:val="bullet"/>
      <w:start w:val="1"/>
    </w:lvl>
  </w:abstractNum>
  <w:abstractNum w:abstractNumId="240">
    <w:nsid w:val="70BA39EB"/>
    <w:multiLevelType w:val="hybridMultilevel"/>
    <w:lvl w:ilvl="0">
      <w:lvlJc w:val="left"/>
      <w:lvlText w:val="(%1)"/>
      <w:numFmt w:val="decimal"/>
      <w:start w:val="1"/>
    </w:lvl>
  </w:abstractNum>
  <w:abstractNum w:abstractNumId="241">
    <w:nsid w:val="4A8DB59C"/>
    <w:multiLevelType w:val="hybridMultilevel"/>
    <w:lvl w:ilvl="0">
      <w:lvlJc w:val="left"/>
      <w:lvlText w:val="•"/>
      <w:numFmt w:val="bullet"/>
      <w:start w:val="1"/>
    </w:lvl>
  </w:abstractNum>
  <w:abstractNum w:abstractNumId="242">
    <w:nsid w:val="1AFD9053"/>
    <w:multiLevelType w:val="hybridMultilevel"/>
    <w:lvl w:ilvl="0">
      <w:lvlJc w:val="left"/>
      <w:lvlText w:val="•"/>
      <w:numFmt w:val="bullet"/>
      <w:start w:val="1"/>
    </w:lvl>
  </w:abstractNum>
  <w:abstractNum w:abstractNumId="243">
    <w:nsid w:val="558BB10D"/>
    <w:multiLevelType w:val="hybridMultilevel"/>
    <w:lvl w:ilvl="0">
      <w:lvlJc w:val="left"/>
      <w:lvlText w:val="•"/>
      <w:numFmt w:val="bullet"/>
      <w:start w:val="1"/>
    </w:lvl>
  </w:abstractNum>
  <w:abstractNum w:abstractNumId="244">
    <w:nsid w:val="43B27FA7"/>
    <w:multiLevelType w:val="hybridMultilevel"/>
    <w:lvl w:ilvl="0">
      <w:lvlJc w:val="left"/>
      <w:lvlText w:val="•"/>
      <w:numFmt w:val="bullet"/>
      <w:start w:val="1"/>
    </w:lvl>
  </w:abstractNum>
  <w:abstractNum w:abstractNumId="245">
    <w:nsid w:val="27FADEFA"/>
    <w:multiLevelType w:val="hybridMultilevel"/>
    <w:lvl w:ilvl="0">
      <w:lvlJc w:val="left"/>
      <w:lvlText w:val="•"/>
      <w:numFmt w:val="bullet"/>
      <w:start w:val="1"/>
    </w:lvl>
  </w:abstractNum>
  <w:abstractNum w:abstractNumId="246">
    <w:nsid w:val="78BB805A"/>
    <w:multiLevelType w:val="hybridMultilevel"/>
    <w:lvl w:ilvl="0">
      <w:lvlJc w:val="left"/>
      <w:lvlText w:val="•"/>
      <w:numFmt w:val="bullet"/>
      <w:start w:val="1"/>
    </w:lvl>
  </w:abstractNum>
  <w:abstractNum w:abstractNumId="247">
    <w:nsid w:val="62548FD8"/>
    <w:multiLevelType w:val="hybridMultilevel"/>
    <w:lvl w:ilvl="0">
      <w:lvlJc w:val="left"/>
      <w:lvlText w:val="•"/>
      <w:numFmt w:val="bullet"/>
      <w:start w:val="1"/>
    </w:lvl>
  </w:abstractNum>
  <w:abstractNum w:abstractNumId="248">
    <w:nsid w:val="FA085B0"/>
    <w:multiLevelType w:val="hybridMultilevel"/>
    <w:lvl w:ilvl="0">
      <w:lvlJc w:val="left"/>
      <w:lvlText w:val="•"/>
      <w:numFmt w:val="bullet"/>
      <w:start w:val="1"/>
    </w:lvl>
  </w:abstractNum>
  <w:abstractNum w:abstractNumId="249">
    <w:nsid w:val="4E5DCB5"/>
    <w:multiLevelType w:val="hybridMultilevel"/>
    <w:lvl w:ilvl="0">
      <w:lvlJc w:val="left"/>
      <w:lvlText w:val="(%1)"/>
      <w:numFmt w:val="lowerRoman"/>
      <w:start w:val="4"/>
    </w:lvl>
  </w:abstractNum>
  <w:abstractNum w:abstractNumId="250">
    <w:nsid w:val="41E96BDB"/>
    <w:multiLevelType w:val="hybridMultilevel"/>
    <w:lvl w:ilvl="0">
      <w:lvlJc w:val="left"/>
      <w:lvlText w:val="•"/>
      <w:numFmt w:val="bullet"/>
      <w:start w:val="1"/>
    </w:lvl>
  </w:abstractNum>
  <w:abstractNum w:abstractNumId="251">
    <w:nsid w:val="331C4250"/>
    <w:multiLevelType w:val="hybridMultilevel"/>
    <w:lvl w:ilvl="0">
      <w:lvlJc w:val="left"/>
      <w:lvlText w:val="•"/>
      <w:numFmt w:val="bullet"/>
      <w:start w:val="1"/>
    </w:lvl>
    <w:lvl w:ilvl="1">
      <w:lvlJc w:val="left"/>
      <w:lvlText w:val="•"/>
      <w:numFmt w:val="bullet"/>
      <w:start w:val="1"/>
    </w:lvl>
  </w:abstractNum>
  <w:abstractNum w:abstractNumId="252">
    <w:nsid w:val="1B1493C2"/>
    <w:multiLevelType w:val="hybridMultilevel"/>
    <w:lvl w:ilvl="0">
      <w:lvlJc w:val="left"/>
      <w:lvlText w:val="•"/>
      <w:numFmt w:val="bullet"/>
      <w:start w:val="1"/>
    </w:lvl>
  </w:abstractNum>
  <w:abstractNum w:abstractNumId="253">
    <w:nsid w:val="39F06DFD"/>
    <w:multiLevelType w:val="hybridMultilevel"/>
    <w:lvl w:ilvl="0">
      <w:lvlJc w:val="left"/>
      <w:lvlText w:val="(%1)"/>
      <w:numFmt w:val="decimal"/>
      <w:start w:val="1"/>
    </w:lvl>
  </w:abstractNum>
  <w:abstractNum w:abstractNumId="254">
    <w:nsid w:val="14802F5D"/>
    <w:multiLevelType w:val="hybridMultilevel"/>
    <w:lvl w:ilvl="0">
      <w:lvlJc w:val="left"/>
      <w:lvlText w:val="(%1)"/>
      <w:numFmt w:val="decimal"/>
      <w:start w:val="4"/>
    </w:lvl>
  </w:abstractNum>
  <w:abstractNum w:abstractNumId="255">
    <w:nsid w:val="2774A209"/>
    <w:multiLevelType w:val="hybridMultilevel"/>
    <w:lvl w:ilvl="0">
      <w:lvlJc w:val="left"/>
      <w:lvlText w:val="(%1)"/>
      <w:numFmt w:val="decimal"/>
      <w:start w:val="1"/>
    </w:lvl>
  </w:abstractNum>
  <w:abstractNum w:abstractNumId="256">
    <w:nsid w:val="3785655A"/>
    <w:multiLevelType w:val="hybridMultilevel"/>
    <w:lvl w:ilvl="0">
      <w:lvlJc w:val="left"/>
      <w:lvlText w:val="(%1)"/>
      <w:numFmt w:val="lowerRoman"/>
      <w:start w:val="2"/>
    </w:lvl>
  </w:abstractNum>
  <w:abstractNum w:abstractNumId="257">
    <w:nsid w:val="B2172A"/>
    <w:multiLevelType w:val="hybridMultilevel"/>
    <w:lvl w:ilvl="0">
      <w:lvlJc w:val="left"/>
      <w:lvlText w:val="(%1)"/>
      <w:numFmt w:val="lowerRoman"/>
      <w:start w:val="2"/>
    </w:lvl>
  </w:abstractNum>
  <w:abstractNum w:abstractNumId="258">
    <w:nsid w:val="532C34A5"/>
    <w:multiLevelType w:val="hybridMultilevel"/>
    <w:lvl w:ilvl="0">
      <w:lvlJc w:val="left"/>
      <w:lvlText w:val="(%1)"/>
      <w:numFmt w:val="decimal"/>
      <w:start w:val="1"/>
    </w:lvl>
  </w:abstractNum>
  <w:abstractNum w:abstractNumId="259">
    <w:nsid w:val="102809E2"/>
    <w:multiLevelType w:val="hybridMultilevel"/>
    <w:lvl w:ilvl="0">
      <w:lvlJc w:val="left"/>
      <w:lvlText w:val="(%1)"/>
      <w:numFmt w:val="decimal"/>
      <w:start w:val="3"/>
    </w:lvl>
  </w:abstractNum>
  <w:abstractNum w:abstractNumId="260">
    <w:nsid w:val="3B2125A3"/>
    <w:multiLevelType w:val="hybridMultilevel"/>
    <w:lvl w:ilvl="0">
      <w:lvlJc w:val="left"/>
      <w:lvlText w:val="•"/>
      <w:numFmt w:val="bullet"/>
      <w:start w:val="1"/>
    </w:lvl>
    <w:lvl w:ilvl="1">
      <w:lvlJc w:val="left"/>
      <w:lvlText w:val="•"/>
      <w:numFmt w:val="bullet"/>
      <w:start w:val="1"/>
    </w:lvl>
  </w:abstractNum>
  <w:abstractNum w:abstractNumId="261">
    <w:nsid w:val="AC68FFB"/>
    <w:multiLevelType w:val="hybridMultilevel"/>
    <w:lvl w:ilvl="0">
      <w:lvlJc w:val="left"/>
      <w:lvlText w:val="(%1)"/>
      <w:numFmt w:val="decimal"/>
      <w:start w:val="1"/>
    </w:lvl>
  </w:abstractNum>
  <w:abstractNum w:abstractNumId="262">
    <w:nsid w:val="63DF3FB7"/>
    <w:multiLevelType w:val="hybridMultilevel"/>
    <w:lvl w:ilvl="0">
      <w:lvlJc w:val="left"/>
      <w:lvlText w:val="•"/>
      <w:numFmt w:val="bullet"/>
      <w:start w:val="1"/>
    </w:lvl>
  </w:abstractNum>
  <w:abstractNum w:abstractNumId="263">
    <w:nsid w:val="64996E13"/>
    <w:multiLevelType w:val="hybridMultilevel"/>
    <w:lvl w:ilvl="0">
      <w:lvlJc w:val="left"/>
      <w:lvlText w:val="•"/>
      <w:numFmt w:val="bullet"/>
      <w:start w:val="1"/>
    </w:lvl>
  </w:abstractNum>
  <w:abstractNum w:abstractNumId="264">
    <w:nsid w:val="57A37D47"/>
    <w:multiLevelType w:val="hybridMultilevel"/>
    <w:lvl w:ilvl="0">
      <w:lvlJc w:val="left"/>
      <w:lvlText w:val="•"/>
      <w:numFmt w:val="bullet"/>
      <w:start w:val="1"/>
    </w:lvl>
  </w:abstractNum>
  <w:abstractNum w:abstractNumId="265">
    <w:nsid w:val="74824D54"/>
    <w:multiLevelType w:val="hybridMultilevel"/>
    <w:lvl w:ilvl="0">
      <w:lvlJc w:val="left"/>
      <w:lvlText w:val="•"/>
      <w:numFmt w:val="bullet"/>
      <w:start w:val="1"/>
    </w:lvl>
  </w:abstractNum>
  <w:abstractNum w:abstractNumId="266">
    <w:nsid w:val="6F00529A"/>
    <w:multiLevelType w:val="hybridMultilevel"/>
    <w:lvl w:ilvl="0">
      <w:lvlJc w:val="left"/>
      <w:lvlText w:val="•"/>
      <w:numFmt w:val="bullet"/>
      <w:start w:val="1"/>
    </w:lvl>
  </w:abstractNum>
  <w:abstractNum w:abstractNumId="267">
    <w:nsid w:val="805B331"/>
    <w:multiLevelType w:val="hybridMultilevel"/>
    <w:lvl w:ilvl="0">
      <w:lvlJc w:val="left"/>
      <w:lvlText w:val="•"/>
      <w:numFmt w:val="bullet"/>
      <w:start w:val="1"/>
    </w:lvl>
  </w:abstractNum>
  <w:abstractNum w:abstractNumId="268">
    <w:nsid w:val="60A1463"/>
    <w:multiLevelType w:val="hybridMultilevel"/>
    <w:lvl w:ilvl="0">
      <w:lvlJc w:val="left"/>
      <w:lvlText w:val="•"/>
      <w:numFmt w:val="bullet"/>
      <w:start w:val="1"/>
    </w:lvl>
  </w:abstractNum>
  <w:abstractNum w:abstractNumId="269">
    <w:nsid w:val="43773132"/>
    <w:multiLevelType w:val="hybridMultilevel"/>
    <w:lvl w:ilvl="0">
      <w:lvlJc w:val="left"/>
      <w:lvlText w:val="•"/>
      <w:numFmt w:val="bullet"/>
      <w:start w:val="1"/>
    </w:lvl>
  </w:abstractNum>
  <w:abstractNum w:abstractNumId="270">
    <w:nsid w:val="16AC4B23"/>
    <w:multiLevelType w:val="hybridMultilevel"/>
    <w:lvl w:ilvl="0">
      <w:lvlJc w:val="left"/>
      <w:lvlText w:val="(%1)"/>
      <w:numFmt w:val="lowerRoman"/>
      <w:start w:val="5"/>
    </w:lvl>
  </w:abstractNum>
  <w:abstractNum w:abstractNumId="271">
    <w:nsid w:val="76C44E4E"/>
    <w:multiLevelType w:val="hybridMultilevel"/>
    <w:lvl w:ilvl="0">
      <w:lvlJc w:val="left"/>
      <w:lvlText w:val="(%1)"/>
      <w:numFmt w:val="decimal"/>
      <w:start w:val="1"/>
    </w:lvl>
  </w:abstractNum>
  <w:abstractNum w:abstractNumId="272">
    <w:nsid w:val="E04E6CE"/>
    <w:multiLevelType w:val="hybridMultilevel"/>
    <w:lvl w:ilvl="0">
      <w:lvlJc w:val="left"/>
      <w:lvlText w:val="•"/>
      <w:numFmt w:val="bullet"/>
      <w:start w:val="1"/>
    </w:lvl>
  </w:abstractNum>
  <w:abstractNum w:abstractNumId="273">
    <w:nsid w:val="31A9DB76"/>
    <w:multiLevelType w:val="hybridMultilevel"/>
    <w:lvl w:ilvl="0">
      <w:lvlJc w:val="left"/>
      <w:lvlText w:val="•"/>
      <w:numFmt w:val="bullet"/>
      <w:start w:val="1"/>
    </w:lvl>
  </w:abstractNum>
  <w:abstractNum w:abstractNumId="274">
    <w:nsid w:val="4C4FFF5B"/>
    <w:multiLevelType w:val="hybridMultilevel"/>
    <w:lvl w:ilvl="0">
      <w:lvlJc w:val="left"/>
      <w:lvlText w:val="•"/>
      <w:numFmt w:val="bullet"/>
      <w:start w:val="1"/>
    </w:lvl>
  </w:abstractNum>
  <w:abstractNum w:abstractNumId="275">
    <w:nsid w:val="51B76675"/>
    <w:multiLevelType w:val="hybridMultilevel"/>
    <w:lvl w:ilvl="0">
      <w:lvlJc w:val="left"/>
      <w:lvlText w:val="(%1)"/>
      <w:numFmt w:val="lowerRoman"/>
      <w:start w:val="2"/>
    </w:lvl>
  </w:abstractNum>
  <w:abstractNum w:abstractNumId="276">
    <w:nsid w:val="59A4BA71"/>
    <w:multiLevelType w:val="hybridMultilevel"/>
    <w:lvl w:ilvl="0">
      <w:lvlJc w:val="left"/>
      <w:lvlText w:val="(%1)"/>
      <w:numFmt w:val="lowerRoman"/>
      <w:start w:val="3"/>
    </w:lvl>
  </w:abstractNum>
  <w:abstractNum w:abstractNumId="277">
    <w:nsid w:val="450B7FB6"/>
    <w:multiLevelType w:val="hybridMultilevel"/>
    <w:lvl w:ilvl="0">
      <w:lvlJc w:val="left"/>
      <w:lvlText w:val="(%1)"/>
      <w:numFmt w:val="lowerRoman"/>
      <w:start w:val="1"/>
    </w:lvl>
  </w:abstractNum>
  <w:abstractNum w:abstractNumId="278">
    <w:nsid w:val="340BF64D"/>
    <w:multiLevelType w:val="hybridMultilevel"/>
    <w:lvl w:ilvl="0">
      <w:lvlJc w:val="left"/>
      <w:lvlText w:val="(%1)"/>
      <w:numFmt w:val="lowerRoman"/>
      <w:start w:val="2"/>
    </w:lvl>
  </w:abstractNum>
  <w:abstractNum w:abstractNumId="279">
    <w:nsid w:val="69454021"/>
    <w:multiLevelType w:val="hybridMultilevel"/>
    <w:lvl w:ilvl="0">
      <w:lvlJc w:val="left"/>
      <w:lvlText w:val="•"/>
      <w:numFmt w:val="bullet"/>
      <w:start w:val="1"/>
    </w:lvl>
  </w:abstractNum>
  <w:abstractNum w:abstractNumId="280">
    <w:nsid w:val="49F15C6B"/>
    <w:multiLevelType w:val="hybridMultilevel"/>
    <w:lvl w:ilvl="0">
      <w:lvlJc w:val="left"/>
      <w:lvlText w:val="•"/>
      <w:numFmt w:val="bullet"/>
      <w:start w:val="1"/>
    </w:lvl>
  </w:abstractNum>
  <w:abstractNum w:abstractNumId="281">
    <w:nsid w:val="75F56228"/>
    <w:multiLevelType w:val="hybridMultilevel"/>
    <w:lvl w:ilvl="0">
      <w:lvlJc w:val="left"/>
      <w:lvlText w:val="•"/>
      <w:numFmt w:val="bullet"/>
      <w:start w:val="1"/>
    </w:lvl>
  </w:abstractNum>
  <w:abstractNum w:abstractNumId="282">
    <w:nsid w:val="1C618271"/>
    <w:multiLevelType w:val="hybridMultilevel"/>
    <w:lvl w:ilvl="0">
      <w:lvlJc w:val="left"/>
      <w:lvlText w:val="•"/>
      <w:numFmt w:val="bullet"/>
      <w:start w:val="1"/>
    </w:lvl>
  </w:abstractNum>
  <w:abstractNum w:abstractNumId="283">
    <w:nsid w:val="6505F02E"/>
    <w:multiLevelType w:val="hybridMultilevel"/>
    <w:lvl w:ilvl="0">
      <w:lvlJc w:val="left"/>
      <w:lvlText w:val="•"/>
      <w:numFmt w:val="bullet"/>
      <w:start w:val="1"/>
    </w:lvl>
  </w:abstractNum>
  <w:abstractNum w:abstractNumId="284">
    <w:nsid w:val="2FE5D025"/>
    <w:multiLevelType w:val="hybridMultilevel"/>
    <w:lvl w:ilvl="0">
      <w:lvlJc w:val="left"/>
      <w:lvlText w:val="*"/>
      <w:numFmt w:val="bullet"/>
      <w:start w:val="1"/>
    </w:lvl>
  </w:abstractNum>
  <w:abstractNum w:abstractNumId="285">
    <w:nsid w:val="30E1B1CF"/>
    <w:multiLevelType w:val="hybridMultilevel"/>
    <w:lvl w:ilvl="0">
      <w:lvlJc w:val="left"/>
      <w:lvlText w:val="(%1)"/>
      <w:numFmt w:val="decimal"/>
      <w:start w:val="1"/>
    </w:lvl>
  </w:abstractNum>
  <w:abstractNum w:abstractNumId="286">
    <w:nsid w:val="C7A9237"/>
    <w:multiLevelType w:val="hybridMultilevel"/>
    <w:lvl w:ilvl="0">
      <w:lvlJc w:val="left"/>
      <w:lvlText w:val="•"/>
      <w:numFmt w:val="bullet"/>
      <w:start w:val="1"/>
    </w:lvl>
  </w:abstractNum>
  <w:abstractNum w:abstractNumId="287">
    <w:nsid w:val="676B3580"/>
    <w:multiLevelType w:val="hybridMultilevel"/>
    <w:lvl w:ilvl="0">
      <w:lvlJc w:val="left"/>
      <w:lvlText w:val="•"/>
      <w:numFmt w:val="bullet"/>
      <w:start w:val="1"/>
    </w:lvl>
  </w:abstractNum>
  <w:abstractNum w:abstractNumId="288">
    <w:nsid w:val="3193C8F9"/>
    <w:multiLevelType w:val="hybridMultilevel"/>
    <w:lvl w:ilvl="0">
      <w:lvlJc w:val="left"/>
      <w:lvlText w:val="(%1)"/>
      <w:numFmt w:val="decimal"/>
      <w:start w:val="1"/>
    </w:lvl>
  </w:abstractNum>
  <w:abstractNum w:abstractNumId="289">
    <w:nsid w:val="5FA6C6DC"/>
    <w:multiLevelType w:val="hybridMultilevel"/>
    <w:lvl w:ilvl="0">
      <w:lvlJc w:val="left"/>
      <w:lvlText w:val="(%1)"/>
      <w:numFmt w:val="decimal"/>
      <w:start w:val="1"/>
    </w:lvl>
  </w:abstractNum>
  <w:abstractNum w:abstractNumId="290">
    <w:nsid w:val="77933F62"/>
    <w:multiLevelType w:val="hybridMultilevel"/>
    <w:lvl w:ilvl="0">
      <w:lvlJc w:val="left"/>
      <w:lvlText w:val="•"/>
      <w:numFmt w:val="bullet"/>
      <w:start w:val="1"/>
    </w:lvl>
  </w:abstractNum>
  <w:abstractNum w:abstractNumId="291">
    <w:nsid w:val="6CB4EE9C"/>
    <w:multiLevelType w:val="hybridMultilevel"/>
    <w:lvl w:ilvl="0">
      <w:lvlJc w:val="left"/>
      <w:lvlText w:val="•"/>
      <w:numFmt w:val="bullet"/>
      <w:start w:val="1"/>
    </w:lvl>
  </w:abstractNum>
  <w:abstractNum w:abstractNumId="292">
    <w:nsid w:val="6A6D56D7"/>
    <w:multiLevelType w:val="hybridMultilevel"/>
    <w:lvl w:ilvl="0">
      <w:lvlJc w:val="left"/>
      <w:lvlText w:val="$"/>
      <w:numFmt w:val="bullet"/>
      <w:start w:val="1"/>
    </w:lvl>
  </w:abstractNum>
  <w:abstractNum w:abstractNumId="293">
    <w:nsid w:val="5B727F19"/>
    <w:multiLevelType w:val="hybridMultilevel"/>
    <w:lvl w:ilvl="0">
      <w:lvlJc w:val="left"/>
      <w:lvlText w:val="•"/>
      <w:numFmt w:val="bullet"/>
      <w:start w:val="1"/>
    </w:lvl>
  </w:abstractNum>
  <w:abstractNum w:abstractNumId="294">
    <w:nsid w:val="514E5CB0"/>
    <w:multiLevelType w:val="hybridMultilevel"/>
    <w:lvl w:ilvl="0">
      <w:lvlJc w:val="left"/>
      <w:lvlText w:val="%1."/>
      <w:numFmt w:val="decimal"/>
      <w:start w:val="1"/>
    </w:lvl>
  </w:abstractNum>
  <w:abstractNum w:abstractNumId="295">
    <w:nsid w:val="4210D41E"/>
    <w:multiLevelType w:val="hybridMultilevel"/>
    <w:lvl w:ilvl="0">
      <w:lvlJc w:val="left"/>
      <w:lvlText w:val="%1."/>
      <w:numFmt w:val="decimal"/>
      <w:start w:val="1"/>
    </w:lvl>
  </w:abstractNum>
  <w:abstractNum w:abstractNumId="296">
    <w:nsid w:val="4FF4CC6D"/>
    <w:multiLevelType w:val="hybridMultilevel"/>
    <w:lvl w:ilvl="0">
      <w:lvlJc w:val="left"/>
      <w:lvlText w:val="%1."/>
      <w:numFmt w:val="decimal"/>
      <w:start w:val="1"/>
    </w:lvl>
  </w:abstractNum>
  <w:abstractNum w:abstractNumId="297">
    <w:nsid w:val="404EAF4A"/>
    <w:multiLevelType w:val="hybridMultilevel"/>
    <w:lvl w:ilvl="0">
      <w:lvlJc w:val="left"/>
      <w:lvlText w:val="%1."/>
      <w:numFmt w:val="decimal"/>
      <w:start w:val="2"/>
    </w:lvl>
  </w:abstractNum>
  <w:abstractNum w:abstractNumId="298">
    <w:nsid w:val="4A16874F"/>
    <w:multiLevelType w:val="hybridMultilevel"/>
    <w:lvl w:ilvl="0">
      <w:lvlJc w:val="left"/>
      <w:lvlText w:val="%1."/>
      <w:numFmt w:val="decimal"/>
      <w:start w:val="2"/>
    </w:lvl>
  </w:abstractNum>
  <w:abstractNum w:abstractNumId="299">
    <w:nsid w:val="55FEE0D1"/>
    <w:multiLevelType w:val="hybridMultilevel"/>
    <w:lvl w:ilvl="0">
      <w:lvlJc w:val="left"/>
      <w:lvlText w:val="•"/>
      <w:numFmt w:val="bullet"/>
      <w:start w:val="1"/>
    </w:lvl>
  </w:abstractNum>
  <w:abstractNum w:abstractNumId="300">
    <w:nsid w:val="3C5E07C"/>
    <w:multiLevelType w:val="hybridMultilevel"/>
    <w:lvl w:ilvl="0">
      <w:lvlJc w:val="left"/>
      <w:lvlText w:val="%1."/>
      <w:numFmt w:val="decimal"/>
      <w:start w:val="2"/>
    </w:lvl>
  </w:abstractNum>
  <w:abstractNum w:abstractNumId="301">
    <w:nsid w:val="60C2D273"/>
    <w:multiLevelType w:val="hybridMultilevel"/>
    <w:lvl w:ilvl="0">
      <w:lvlJc w:val="left"/>
      <w:lvlText w:val="%1."/>
      <w:numFmt w:val="decimal"/>
      <w:start w:val="2"/>
    </w:lvl>
  </w:abstractNum>
  <w:abstractNum w:abstractNumId="302">
    <w:nsid w:val="4CC32F1F"/>
    <w:multiLevelType w:val="hybridMultilevel"/>
    <w:lvl w:ilvl="0">
      <w:lvlJc w:val="left"/>
      <w:lvlText w:val="%1."/>
      <w:numFmt w:val="decimal"/>
      <w:start w:val="2"/>
    </w:lvl>
  </w:abstractNum>
  <w:abstractNum w:abstractNumId="303">
    <w:nsid w:val="11CAC74A"/>
    <w:multiLevelType w:val="hybridMultilevel"/>
    <w:lvl w:ilvl="0">
      <w:lvlJc w:val="left"/>
      <w:lvlText w:val="(%1)"/>
      <w:numFmt w:val="lowerLetter"/>
      <w:start w:val="3"/>
    </w:lvl>
  </w:abstractNum>
  <w:abstractNum w:abstractNumId="304">
    <w:nsid w:val="126CADE9"/>
    <w:multiLevelType w:val="hybridMultilevel"/>
    <w:lvl w:ilvl="0">
      <w:lvlJc w:val="left"/>
      <w:lvlText w:val="%1."/>
      <w:numFmt w:val="decimal"/>
      <w:start w:val="2"/>
    </w:lvl>
  </w:abstractNum>
  <w:abstractNum w:abstractNumId="305">
    <w:nsid w:val="19132E7B"/>
    <w:multiLevelType w:val="hybridMultilevel"/>
    <w:lvl w:ilvl="0">
      <w:lvlJc w:val="left"/>
      <w:lvlText w:val="%1."/>
      <w:numFmt w:val="decimal"/>
      <w:start w:val="2"/>
    </w:lvl>
  </w:abstractNum>
  <w:abstractNum w:abstractNumId="306">
    <w:nsid w:val="63822DC0"/>
    <w:multiLevelType w:val="hybridMultilevel"/>
    <w:lvl w:ilvl="0">
      <w:lvlJc w:val="left"/>
      <w:lvlText w:val="%1."/>
      <w:numFmt w:val="decimal"/>
      <w:start w:val="2"/>
    </w:lvl>
  </w:abstractNum>
  <w:abstractNum w:abstractNumId="307">
    <w:nsid w:val="6C11685A"/>
    <w:multiLevelType w:val="hybridMultilevel"/>
    <w:lvl w:ilvl="0">
      <w:lvlJc w:val="left"/>
      <w:lvlText w:val="%1."/>
      <w:numFmt w:val="decimal"/>
      <w:start w:val="2"/>
    </w:lvl>
  </w:abstractNum>
  <w:abstractNum w:abstractNumId="308">
    <w:nsid w:val="5E1EAE31"/>
    <w:multiLevelType w:val="hybridMultilevel"/>
    <w:lvl w:ilvl="0">
      <w:lvlJc w:val="left"/>
      <w:lvlText w:val="%1."/>
      <w:numFmt w:val="decimal"/>
      <w:start w:val="2"/>
    </w:lvl>
  </w:abstractNum>
  <w:abstractNum w:abstractNumId="309">
    <w:nsid w:val="178E240D"/>
    <w:multiLevelType w:val="hybridMultilevel"/>
    <w:lvl w:ilvl="0">
      <w:lvlJc w:val="left"/>
      <w:lvlText w:val="%1."/>
      <w:numFmt w:val="decimal"/>
      <w:start w:val="2"/>
    </w:lvl>
  </w:abstractNum>
  <w:abstractNum w:abstractNumId="310">
    <w:nsid w:val="5556A87B"/>
    <w:multiLevelType w:val="hybridMultilevel"/>
    <w:lvl w:ilvl="0">
      <w:lvlJc w:val="left"/>
      <w:lvlText w:val="%1."/>
      <w:numFmt w:val="decimal"/>
      <w:start w:val="3"/>
    </w:lvl>
  </w:abstractNum>
  <w:abstractNum w:abstractNumId="311">
    <w:nsid w:val="28100A9C"/>
    <w:multiLevelType w:val="hybridMultilevel"/>
    <w:lvl w:ilvl="0">
      <w:lvlJc w:val="left"/>
      <w:lvlText w:val="%1."/>
      <w:numFmt w:val="decimal"/>
      <w:start w:val="3"/>
    </w:lvl>
  </w:abstractNum>
  <w:abstractNum w:abstractNumId="312">
    <w:nsid w:val="D838636"/>
    <w:multiLevelType w:val="hybridMultilevel"/>
    <w:lvl w:ilvl="0">
      <w:lvlJc w:val="left"/>
      <w:lvlText w:val="•"/>
      <w:numFmt w:val="bullet"/>
      <w:start w:val="1"/>
    </w:lvl>
  </w:abstractNum>
  <w:abstractNum w:abstractNumId="313">
    <w:nsid w:val="71B82AED"/>
    <w:multiLevelType w:val="hybridMultilevel"/>
    <w:lvl w:ilvl="0">
      <w:lvlJc w:val="left"/>
      <w:lvlText w:val="%1."/>
      <w:numFmt w:val="decimal"/>
      <w:start w:val="3"/>
    </w:lvl>
    <w:lvl w:ilvl="1">
      <w:lvlJc w:val="left"/>
      <w:lvlText w:val="•"/>
      <w:numFmt w:val="bullet"/>
      <w:start w:val="1"/>
    </w:lvl>
  </w:abstractNum>
  <w:abstractNum w:abstractNumId="314">
    <w:nsid w:val="D15FACA"/>
    <w:multiLevelType w:val="hybridMultilevel"/>
    <w:lvl w:ilvl="0">
      <w:lvlJc w:val="left"/>
      <w:lvlText w:val="%1."/>
      <w:numFmt w:val="decimal"/>
      <w:start w:val="3"/>
    </w:lvl>
  </w:abstractNum>
  <w:abstractNum w:abstractNumId="315">
    <w:nsid w:val="3D69565B"/>
    <w:multiLevelType w:val="hybridMultilevel"/>
    <w:lvl w:ilvl="0">
      <w:lvlJc w:val="left"/>
      <w:lvlText w:val="%1."/>
      <w:numFmt w:val="decimal"/>
      <w:start w:val="4"/>
    </w:lvl>
  </w:abstractNum>
  <w:abstractNum w:abstractNumId="316">
    <w:nsid w:val="2299DCBC"/>
    <w:multiLevelType w:val="hybridMultilevel"/>
    <w:lvl w:ilvl="0">
      <w:lvlJc w:val="left"/>
      <w:lvlText w:val="%1."/>
      <w:numFmt w:val="decimal"/>
      <w:start w:val="5"/>
    </w:lvl>
  </w:abstractNum>
  <w:abstractNum w:abstractNumId="317">
    <w:nsid w:val="19908D02"/>
    <w:multiLevelType w:val="hybridMultilevel"/>
    <w:lvl w:ilvl="0">
      <w:lvlJc w:val="left"/>
      <w:lvlText w:val="%1."/>
      <w:numFmt w:val="decimal"/>
      <w:start w:val="6"/>
    </w:lvl>
  </w:abstractNum>
  <w:abstractNum w:abstractNumId="318">
    <w:nsid w:val="24D48BDB"/>
    <w:multiLevelType w:val="hybridMultilevel"/>
    <w:lvl w:ilvl="0">
      <w:lvlJc w:val="left"/>
      <w:lvlText w:val="%1."/>
      <w:numFmt w:val="decimal"/>
      <w:start w:val="6"/>
    </w:lvl>
  </w:abstractNum>
  <w:abstractNum w:abstractNumId="319">
    <w:nsid w:val="542DA5B5"/>
    <w:multiLevelType w:val="hybridMultilevel"/>
    <w:lvl w:ilvl="0">
      <w:lvlJc w:val="left"/>
      <w:lvlText w:val="%1."/>
      <w:numFmt w:val="decimal"/>
      <w:start w:val="7"/>
    </w:lvl>
  </w:abstractNum>
  <w:abstractNum w:abstractNumId="320">
    <w:nsid w:val="793753DE"/>
    <w:multiLevelType w:val="hybridMultilevel"/>
    <w:lvl w:ilvl="0">
      <w:lvlJc w:val="left"/>
      <w:lvlText w:val="%1."/>
      <w:numFmt w:val="decimal"/>
      <w:start w:val="7"/>
    </w:lvl>
  </w:abstractNum>
  <w:abstractNum w:abstractNumId="321">
    <w:nsid w:val="1C67CB3D"/>
    <w:multiLevelType w:val="hybridMultilevel"/>
    <w:lvl w:ilvl="0">
      <w:lvlJc w:val="left"/>
      <w:lvlText w:val="%1."/>
      <w:numFmt w:val="decimal"/>
      <w:start w:val="8"/>
    </w:lvl>
  </w:abstractNum>
  <w:abstractNum w:abstractNumId="322">
    <w:nsid w:val="40E29452"/>
    <w:multiLevelType w:val="hybridMultilevel"/>
    <w:lvl w:ilvl="0">
      <w:lvlJc w:val="left"/>
      <w:lvlText w:val="%1."/>
      <w:numFmt w:val="decimal"/>
      <w:start w:val="8"/>
    </w:lvl>
  </w:abstractNum>
  <w:abstractNum w:abstractNumId="323">
    <w:nsid w:val="63A4AAB6"/>
    <w:multiLevelType w:val="hybridMultilevel"/>
    <w:lvl w:ilvl="0">
      <w:lvlJc w:val="left"/>
      <w:lvlText w:val="%1."/>
      <w:numFmt w:val="decimal"/>
      <w:start w:val="9"/>
    </w:lvl>
  </w:abstractNum>
  <w:abstractNum w:abstractNumId="324">
    <w:nsid w:val="77DA4A57"/>
    <w:multiLevelType w:val="hybridMultilevel"/>
    <w:lvl w:ilvl="0">
      <w:lvlJc w:val="left"/>
      <w:lvlText w:val="%1."/>
      <w:numFmt w:val="decimal"/>
      <w:start w:val="9"/>
    </w:lvl>
  </w:abstractNum>
  <w:abstractNum w:abstractNumId="325">
    <w:nsid w:val="1230F102"/>
    <w:multiLevelType w:val="hybridMultilevel"/>
    <w:lvl w:ilvl="0">
      <w:lvlJc w:val="left"/>
      <w:lvlText w:val="%1."/>
      <w:numFmt w:val="decimal"/>
      <w:start w:val="9"/>
    </w:lvl>
  </w:abstractNum>
  <w:abstractNum w:abstractNumId="326">
    <w:nsid w:val="25B57ED4"/>
    <w:multiLevelType w:val="hybridMultilevel"/>
    <w:lvl w:ilvl="0">
      <w:lvlJc w:val="left"/>
      <w:lvlText w:val="%1."/>
      <w:numFmt w:val="decimal"/>
      <w:start w:val="9"/>
    </w:lvl>
  </w:abstractNum>
  <w:abstractNum w:abstractNumId="327">
    <w:nsid w:val="47CF16C4"/>
    <w:multiLevelType w:val="hybridMultilevel"/>
    <w:lvl w:ilvl="0">
      <w:lvlJc w:val="left"/>
      <w:lvlText w:val="%1."/>
      <w:numFmt w:val="decimal"/>
      <w:start w:val="10"/>
    </w:lvl>
  </w:abstractNum>
  <w:abstractNum w:abstractNumId="328">
    <w:nsid w:val="527FA04C"/>
    <w:multiLevelType w:val="hybridMultilevel"/>
    <w:lvl w:ilvl="0">
      <w:lvlJc w:val="left"/>
      <w:lvlText w:val="%1."/>
      <w:numFmt w:val="decimal"/>
      <w:start w:val="11"/>
    </w:lvl>
  </w:abstractNum>
  <w:abstractNum w:abstractNumId="329">
    <w:nsid w:val="6FCC0624"/>
    <w:multiLevelType w:val="hybridMultilevel"/>
    <w:lvl w:ilvl="0">
      <w:lvlJc w:val="left"/>
      <w:lvlText w:val="%1."/>
      <w:numFmt w:val="decimal"/>
      <w:start w:val="11"/>
    </w:lvl>
  </w:abstractNum>
  <w:abstractNum w:abstractNumId="330">
    <w:nsid w:val="1DCDF795"/>
    <w:multiLevelType w:val="hybridMultilevel"/>
    <w:lvl w:ilvl="0">
      <w:lvlJc w:val="left"/>
      <w:lvlText w:val="%1."/>
      <w:numFmt w:val="decimal"/>
      <w:start w:val="11"/>
    </w:lvl>
  </w:abstractNum>
  <w:abstractNum w:abstractNumId="331">
    <w:nsid w:val="564580C8"/>
    <w:multiLevelType w:val="hybridMultilevel"/>
    <w:lvl w:ilvl="0">
      <w:lvlJc w:val="left"/>
      <w:lvlText w:val="%1."/>
      <w:numFmt w:val="decimal"/>
      <w:start w:val="11"/>
    </w:lvl>
  </w:abstractNum>
  <w:abstractNum w:abstractNumId="332">
    <w:nsid w:val="508ED897"/>
    <w:multiLevelType w:val="hybridMultilevel"/>
    <w:lvl w:ilvl="0">
      <w:lvlJc w:val="left"/>
      <w:lvlText w:val="%1."/>
      <w:numFmt w:val="decimal"/>
      <w:start w:val="12"/>
    </w:lvl>
  </w:abstractNum>
  <w:abstractNum w:abstractNumId="333">
    <w:nsid w:val="6A9126B5"/>
    <w:multiLevelType w:val="hybridMultilevel"/>
    <w:lvl w:ilvl="0">
      <w:lvlJc w:val="left"/>
      <w:lvlText w:val="%1."/>
      <w:numFmt w:val="decimal"/>
      <w:start w:val="12"/>
    </w:lvl>
  </w:abstractNum>
  <w:abstractNum w:abstractNumId="334">
    <w:nsid w:val="68104812"/>
    <w:multiLevelType w:val="hybridMultilevel"/>
    <w:lvl w:ilvl="0">
      <w:lvlJc w:val="left"/>
      <w:lvlText w:val="%1."/>
      <w:numFmt w:val="decimal"/>
      <w:start w:val="12"/>
    </w:lvl>
  </w:abstractNum>
  <w:abstractNum w:abstractNumId="335">
    <w:nsid w:val="62FB8680"/>
    <w:multiLevelType w:val="hybridMultilevel"/>
    <w:lvl w:ilvl="0">
      <w:lvlJc w:val="left"/>
      <w:lvlText w:val="%1."/>
      <w:numFmt w:val="decimal"/>
      <w:start w:val="13"/>
    </w:lvl>
  </w:abstractNum>
  <w:abstractNum w:abstractNumId="336">
    <w:nsid w:val="3A45530"/>
    <w:multiLevelType w:val="hybridMultilevel"/>
    <w:lvl w:ilvl="0">
      <w:lvlJc w:val="left"/>
      <w:lvlText w:val="%1."/>
      <w:numFmt w:val="decimal"/>
      <w:start w:val="13"/>
    </w:lvl>
  </w:abstractNum>
  <w:abstractNum w:abstractNumId="337">
    <w:nsid w:val="4B9275D2"/>
    <w:multiLevelType w:val="hybridMultilevel"/>
    <w:lvl w:ilvl="0">
      <w:lvlJc w:val="left"/>
      <w:lvlText w:val="%1."/>
      <w:numFmt w:val="decimal"/>
      <w:start w:val="14"/>
    </w:lvl>
  </w:abstractNum>
  <w:abstractNum w:abstractNumId="338">
    <w:nsid w:val="4F0CEEDB"/>
    <w:multiLevelType w:val="hybridMultilevel"/>
    <w:lvl w:ilvl="0">
      <w:lvlJc w:val="left"/>
      <w:lvlText w:val="%1."/>
      <w:numFmt w:val="decimal"/>
      <w:start w:val="14"/>
    </w:lvl>
  </w:abstractNum>
  <w:abstractNum w:abstractNumId="339">
    <w:nsid w:val="61C30361"/>
    <w:multiLevelType w:val="hybridMultilevel"/>
    <w:lvl w:ilvl="0">
      <w:lvlJc w:val="left"/>
      <w:lvlText w:val="(%1)"/>
      <w:numFmt w:val="lowerLetter"/>
      <w:start w:val="2"/>
    </w:lvl>
  </w:abstractNum>
  <w:abstractNum w:abstractNumId="340">
    <w:nsid w:val="632099E0"/>
    <w:multiLevelType w:val="hybridMultilevel"/>
    <w:lvl w:ilvl="0">
      <w:lvlJc w:val="left"/>
      <w:lvlText w:val="(%1)"/>
      <w:numFmt w:val="lowerLetter"/>
      <w:start w:val="1"/>
    </w:lvl>
  </w:abstractNum>
  <w:abstractNum w:abstractNumId="341">
    <w:nsid w:val="24639756"/>
    <w:multiLevelType w:val="hybridMultilevel"/>
    <w:lvl w:ilvl="0">
      <w:lvlJc w:val="left"/>
      <w:lvlText w:val="(%1)"/>
      <w:numFmt w:val="lowerLetter"/>
      <w:start w:val="1"/>
    </w:lvl>
  </w:abstractNum>
  <w:abstractNum w:abstractNumId="342">
    <w:nsid w:val="9D30DFD"/>
    <w:multiLevelType w:val="hybridMultilevel"/>
    <w:lvl w:ilvl="0">
      <w:lvlJc w:val="left"/>
      <w:lvlText w:val="(%1)"/>
      <w:numFmt w:val="lowerLetter"/>
      <w:start w:val="1"/>
    </w:lvl>
  </w:abstractNum>
  <w:abstractNum w:abstractNumId="343">
    <w:nsid w:val="70A42016"/>
    <w:multiLevelType w:val="hybridMultilevel"/>
    <w:lvl w:ilvl="0">
      <w:lvlJc w:val="left"/>
      <w:lvlText w:val="(%1)"/>
      <w:numFmt w:val="lowerLetter"/>
      <w:start w:val="1"/>
    </w:lvl>
  </w:abstractNum>
  <w:abstractNum w:abstractNumId="344">
    <w:nsid w:val="161BC243"/>
    <w:multiLevelType w:val="hybridMultilevel"/>
    <w:lvl w:ilvl="0">
      <w:lvlJc w:val="left"/>
      <w:lvlText w:val="(%1)"/>
      <w:numFmt w:val="lowerLetter"/>
      <w:start w:val="1"/>
    </w:lvl>
  </w:abstractNum>
  <w:abstractNum w:abstractNumId="345">
    <w:nsid w:val="16E908C8"/>
    <w:multiLevelType w:val="hybridMultilevel"/>
    <w:lvl w:ilvl="0">
      <w:lvlJc w:val="left"/>
      <w:lvlText w:val="(%1)"/>
      <w:numFmt w:val="lowerLetter"/>
      <w:start w:val="1"/>
    </w:lvl>
  </w:abstractNum>
  <w:abstractNum w:abstractNumId="346">
    <w:nsid w:val="2E0D7671"/>
    <w:multiLevelType w:val="hybridMultilevel"/>
    <w:lvl w:ilvl="0">
      <w:lvlJc w:val="left"/>
      <w:lvlText w:val="(%1)"/>
      <w:numFmt w:val="lowerLetter"/>
      <w:start w:val="4"/>
    </w:lvl>
  </w:abstractNum>
  <w:abstractNum w:abstractNumId="347">
    <w:nsid w:val="38B59EFF"/>
    <w:multiLevelType w:val="hybridMultilevel"/>
    <w:lvl w:ilvl="0">
      <w:lvlJc w:val="left"/>
      <w:lvlText w:val="(%1)"/>
      <w:numFmt w:val="lowerLetter"/>
      <w:start w:val="1"/>
    </w:lvl>
  </w:abstractNum>
  <w:abstractNum w:abstractNumId="348">
    <w:nsid w:val="307995CA"/>
    <w:multiLevelType w:val="hybridMultilevel"/>
    <w:lvl w:ilvl="0">
      <w:lvlJc w:val="left"/>
      <w:lvlText w:val="(%1)"/>
      <w:numFmt w:val="lowerLetter"/>
      <w:start w:val="1"/>
    </w:lvl>
  </w:abstractNum>
  <w:abstractNum w:abstractNumId="349">
    <w:nsid w:val="52E2024D"/>
    <w:multiLevelType w:val="hybridMultilevel"/>
    <w:lvl w:ilvl="0">
      <w:lvlJc w:val="left"/>
      <w:lvlText w:val="%1"/>
      <w:numFmt w:val="lowerLetter"/>
      <w:start w:val="1"/>
    </w:lvl>
    <w:lvl w:ilvl="1">
      <w:lvlJc w:val="left"/>
      <w:lvlText w:val="(%2)"/>
      <w:numFmt w:val="lowerLetter"/>
      <w:start w:val="2"/>
    </w:lvl>
  </w:abstractNum>
  <w:abstractNum w:abstractNumId="350">
    <w:nsid w:val="CE344B5"/>
    <w:multiLevelType w:val="hybridMultilevel"/>
    <w:lvl w:ilvl="0">
      <w:lvlJc w:val="left"/>
      <w:lvlText w:val="(%1)"/>
      <w:numFmt w:val="lowerLetter"/>
      <w:start w:val="61"/>
    </w:lvl>
    <w:lvl w:ilvl="1">
      <w:lvlJc w:val="left"/>
      <w:lvlText w:val="(%2)"/>
      <w:numFmt w:val="lowerLetter"/>
      <w:start w:val="3"/>
    </w:lvl>
  </w:abstractNum>
  <w:abstractNum w:abstractNumId="351">
    <w:nsid w:val="29B0E9A8"/>
    <w:multiLevelType w:val="hybridMultilevel"/>
    <w:lvl w:ilvl="0">
      <w:lvlJc w:val="left"/>
      <w:lvlText w:val="(%1)"/>
      <w:numFmt w:val="lowerLetter"/>
      <w:start w:val="35"/>
    </w:lvl>
    <w:lvl w:ilvl="1">
      <w:lvlJc w:val="left"/>
      <w:lvlText w:val="(%2)"/>
      <w:numFmt w:val="lowerLetter"/>
      <w:start w:val="4"/>
    </w:lvl>
  </w:abstractNum>
  <w:abstractNum w:abstractNumId="352">
    <w:nsid w:val="6F49CD8A"/>
    <w:multiLevelType w:val="hybridMultilevel"/>
    <w:lvl w:ilvl="0">
      <w:lvlJc w:val="left"/>
      <w:lvlText w:val="(%1)"/>
      <w:numFmt w:val="lowerLetter"/>
      <w:start w:val="1"/>
    </w:lvl>
  </w:abstractNum>
  <w:abstractNum w:abstractNumId="353">
    <w:nsid w:val="4DC5D907"/>
    <w:multiLevelType w:val="hybridMultilevel"/>
    <w:lvl w:ilvl="0">
      <w:lvlJc w:val="left"/>
      <w:lvlText w:val="(%1)"/>
      <w:numFmt w:val="lowerLetter"/>
      <w:start w:val="1"/>
    </w:lvl>
  </w:abstractNum>
  <w:abstractNum w:abstractNumId="354">
    <w:nsid w:val="D55945E"/>
    <w:multiLevelType w:val="hybridMultilevel"/>
    <w:lvl w:ilvl="0">
      <w:lvlJc w:val="left"/>
      <w:lvlText w:val="(%1)"/>
      <w:numFmt w:val="lowerLetter"/>
      <w:start w:val="1"/>
    </w:lvl>
  </w:abstractNum>
  <w:abstractNum w:abstractNumId="355">
    <w:nsid w:val="672417E1"/>
    <w:multiLevelType w:val="hybridMultilevel"/>
    <w:lvl w:ilvl="0">
      <w:lvlJc w:val="left"/>
      <w:lvlText w:val="(%1)"/>
      <w:numFmt w:val="lowerLetter"/>
      <w:start w:val="1"/>
    </w:lvl>
  </w:abstractNum>
  <w:abstractNum w:abstractNumId="356">
    <w:nsid w:val="5FF6CA09"/>
    <w:multiLevelType w:val="hybridMultilevel"/>
    <w:lvl w:ilvl="0">
      <w:lvlJc w:val="left"/>
      <w:lvlText w:val="%1"/>
      <w:numFmt w:val="lowerRoman"/>
      <w:start w:val="1"/>
    </w:lvl>
    <w:lvl w:ilvl="1">
      <w:lvlJc w:val="left"/>
      <w:lvlText w:val="(%2)"/>
      <w:numFmt w:val="lowerLetter"/>
      <w:start w:val="1"/>
    </w:lvl>
  </w:abstractNum>
  <w:abstractNum w:abstractNumId="357">
    <w:nsid w:val="330B1333"/>
    <w:multiLevelType w:val="hybridMultilevel"/>
    <w:lvl w:ilvl="0">
      <w:lvlJc w:val="left"/>
      <w:lvlText w:val="(%1)"/>
      <w:numFmt w:val="lowerRoman"/>
      <w:start w:val="6"/>
    </w:lvl>
    <w:lvl w:ilvl="1">
      <w:lvlJc w:val="left"/>
      <w:lvlText w:val="(%2)"/>
      <w:numFmt w:val="lowerLetter"/>
      <w:start w:val="2"/>
    </w:lvl>
  </w:abstractNum>
  <w:abstractNum w:abstractNumId="358">
    <w:nsid w:val="2EF32EA6"/>
    <w:multiLevelType w:val="hybridMultilevel"/>
    <w:lvl w:ilvl="0">
      <w:lvlJc w:val="left"/>
      <w:lvlText w:val="(%1)"/>
      <w:numFmt w:val="lowerLetter"/>
      <w:start w:val="3"/>
    </w:lvl>
  </w:abstractNum>
  <w:abstractNum w:abstractNumId="359">
    <w:nsid w:val="32766A55"/>
    <w:multiLevelType w:val="hybridMultilevel"/>
    <w:lvl w:ilvl="0">
      <w:lvlJc w:val="left"/>
      <w:lvlText w:val="(%1)"/>
      <w:numFmt w:val="lowerLetter"/>
      <w:start w:val="1"/>
    </w:lvl>
  </w:abstractNum>
  <w:abstractNum w:abstractNumId="360">
    <w:nsid w:val="22D71957"/>
    <w:multiLevelType w:val="hybridMultilevel"/>
    <w:lvl w:ilvl="0">
      <w:lvlJc w:val="left"/>
      <w:lvlText w:val="(%1)"/>
      <w:numFmt w:val="lowerLetter"/>
      <w:start w:val="6"/>
    </w:lvl>
  </w:abstractNum>
  <w:abstractNum w:abstractNumId="361">
    <w:nsid w:val="4CC1263B"/>
    <w:multiLevelType w:val="hybridMultilevel"/>
    <w:lvl w:ilvl="0">
      <w:lvlJc w:val="left"/>
      <w:lvlText w:val="(%1)"/>
      <w:numFmt w:val="lowerLetter"/>
      <w:start w:val="1"/>
    </w:lvl>
  </w:abstractNum>
  <w:abstractNum w:abstractNumId="362">
    <w:nsid w:val="8BBEB1D"/>
    <w:multiLevelType w:val="hybridMultilevel"/>
    <w:lvl w:ilvl="0">
      <w:lvlJc w:val="left"/>
      <w:lvlText w:val="(%1)"/>
      <w:numFmt w:val="lowerLetter"/>
      <w:start w:val="2"/>
    </w:lvl>
  </w:abstractNum>
  <w:abstractNum w:abstractNumId="363">
    <w:nsid w:val="7365F1EE"/>
    <w:multiLevelType w:val="hybridMultilevel"/>
    <w:lvl w:ilvl="0">
      <w:lvlJc w:val="left"/>
      <w:lvlText w:val="(%1)"/>
      <w:numFmt w:val="lowerLetter"/>
      <w:start w:val="7"/>
    </w:lvl>
  </w:abstractNum>
  <w:abstractNum w:abstractNumId="364">
    <w:nsid w:val="37524CF0"/>
    <w:multiLevelType w:val="hybridMultilevel"/>
    <w:lvl w:ilvl="0">
      <w:lvlJc w:val="left"/>
      <w:lvlText w:val="(%1)"/>
      <w:numFmt w:val="lowerLetter"/>
      <w:start w:val="12"/>
    </w:lvl>
  </w:abstractNum>
  <w:abstractNum w:abstractNumId="365">
    <w:nsid w:val="70CC332F"/>
    <w:multiLevelType w:val="hybridMultilevel"/>
    <w:lvl w:ilvl="0">
      <w:lvlJc w:val="left"/>
      <w:lvlText w:val="%1"/>
      <w:numFmt w:val="lowerLetter"/>
      <w:start w:val="1"/>
    </w:lvl>
    <w:lvl w:ilvl="1">
      <w:lvlJc w:val="left"/>
      <w:lvlText w:val="(%2)"/>
      <w:numFmt w:val="lowerLetter"/>
      <w:start w:val="1"/>
    </w:lvl>
  </w:abstractNum>
  <w:abstractNum w:abstractNumId="366">
    <w:nsid w:val="5661786E"/>
    <w:multiLevelType w:val="hybridMultilevel"/>
    <w:lvl w:ilvl="0">
      <w:lvlJc w:val="left"/>
      <w:lvlText w:val="(%1)"/>
      <w:numFmt w:val="lowerLetter"/>
      <w:start w:val="35"/>
    </w:lvl>
    <w:lvl w:ilvl="1">
      <w:lvlJc w:val="left"/>
      <w:lvlText w:val="%2"/>
      <w:numFmt w:val="lowerLetter"/>
      <w:start w:val="1"/>
    </w:lvl>
  </w:abstractNum>
  <w:abstractNum w:abstractNumId="367">
    <w:nsid w:val="3AF6A220"/>
    <w:multiLevelType w:val="hybridMultilevel"/>
    <w:lvl w:ilvl="0">
      <w:lvlJc w:val="left"/>
      <w:lvlText w:val="(%1)"/>
      <w:numFmt w:val="lowerLetter"/>
      <w:start w:val="1"/>
    </w:lvl>
  </w:abstractNum>
  <w:abstractNum w:abstractNumId="368">
    <w:nsid w:val="3C5EA902"/>
    <w:multiLevelType w:val="hybridMultilevel"/>
    <w:lvl w:ilvl="0">
      <w:lvlJc w:val="left"/>
      <w:lvlText w:val="(%1)"/>
      <w:numFmt w:val="lowerLetter"/>
      <w:start w:val="4"/>
    </w:lvl>
  </w:abstractNum>
  <w:abstractNum w:abstractNumId="369">
    <w:nsid w:val="256E6749"/>
    <w:multiLevelType w:val="hybridMultilevel"/>
    <w:lvl w:ilvl="0">
      <w:lvlJc w:val="left"/>
      <w:lvlText w:val="(%1)"/>
      <w:numFmt w:val="lowerLetter"/>
      <w:start w:val="1"/>
    </w:lvl>
  </w:abstractNum>
  <w:abstractNum w:abstractNumId="370">
    <w:nsid w:val="1CB9A581"/>
    <w:multiLevelType w:val="hybridMultilevel"/>
    <w:lvl w:ilvl="0">
      <w:lvlJc w:val="left"/>
      <w:lvlText w:val="%1"/>
      <w:numFmt w:val="lowerRoman"/>
      <w:start w:val="1"/>
    </w:lvl>
    <w:lvl w:ilvl="1">
      <w:lvlJc w:val="left"/>
      <w:lvlText w:val="(%2)"/>
      <w:numFmt w:val="lowerLetter"/>
      <w:start w:val="2"/>
    </w:lvl>
  </w:abstractNum>
  <w:abstractNum w:abstractNumId="371">
    <w:nsid w:val="1F7F42E2"/>
    <w:multiLevelType w:val="hybridMultilevel"/>
    <w:lvl w:ilvl="0">
      <w:lvlJc w:val="left"/>
      <w:lvlText w:val="(%1)"/>
      <w:numFmt w:val="lowerRoman"/>
      <w:start w:val="6"/>
    </w:lvl>
    <w:lvl w:ilvl="1">
      <w:lvlJc w:val="left"/>
      <w:lvlText w:val="(%2)"/>
      <w:numFmt w:val="lowerLetter"/>
      <w:start w:val="3"/>
    </w:lvl>
  </w:abstractNum>
  <w:abstractNum w:abstractNumId="372">
    <w:nsid w:val="49D1FEA0"/>
    <w:multiLevelType w:val="hybridMultilevel"/>
    <w:lvl w:ilvl="0">
      <w:lvlJc w:val="left"/>
      <w:lvlText w:val="(%1)"/>
      <w:numFmt w:val="lowerLetter"/>
      <w:start w:val="61"/>
    </w:lvl>
    <w:lvl w:ilvl="1">
      <w:lvlJc w:val="left"/>
      <w:lvlText w:val="(%2)"/>
      <w:numFmt w:val="lowerLetter"/>
      <w:start w:val="6"/>
    </w:lvl>
  </w:abstractNum>
  <w:abstractNum w:abstractNumId="373">
    <w:nsid w:val="268CB37F"/>
    <w:multiLevelType w:val="hybridMultilevel"/>
    <w:lvl w:ilvl="0">
      <w:lvlJc w:val="left"/>
      <w:lvlText w:val="(%1)"/>
      <w:numFmt w:val="lowerLetter"/>
      <w:start w:val="1"/>
    </w:lvl>
  </w:abstractNum>
  <w:abstractNum w:abstractNumId="374">
    <w:nsid w:val="102362F8"/>
    <w:multiLevelType w:val="hybridMultilevel"/>
    <w:lvl w:ilvl="0">
      <w:lvlJc w:val="left"/>
      <w:lvlText w:val="(%1)"/>
      <w:numFmt w:val="lowerLetter"/>
      <w:start w:val="1"/>
    </w:lvl>
  </w:abstractNum>
  <w:abstractNum w:abstractNumId="375">
    <w:nsid w:val="5FEDC0E3"/>
    <w:multiLevelType w:val="hybridMultilevel"/>
    <w:lvl w:ilvl="0">
      <w:lvlJc w:val="left"/>
      <w:lvlText w:val="(%1)"/>
      <w:numFmt w:val="lowerLetter"/>
      <w:start w:val="5"/>
    </w:lvl>
  </w:abstractNum>
  <w:abstractNum w:abstractNumId="376">
    <w:nsid w:val="3D75BC47"/>
    <w:multiLevelType w:val="hybridMultilevel"/>
    <w:lvl w:ilvl="0">
      <w:lvlJc w:val="left"/>
      <w:lvlText w:val="(%1)"/>
      <w:numFmt w:val="lowerLetter"/>
      <w:start w:val="25"/>
    </w:lvl>
  </w:abstractNum>
  <w:abstractNum w:abstractNumId="377">
    <w:nsid w:val="3E30D969"/>
    <w:multiLevelType w:val="hybridMultilevel"/>
    <w:lvl w:ilvl="0">
      <w:lvlJc w:val="left"/>
      <w:lvlText w:val="(%1)"/>
      <w:numFmt w:val="lowerLetter"/>
      <w:start w:val="1"/>
    </w:lvl>
    <w:lvl w:ilvl="1">
      <w:lvlJc w:val="left"/>
      <w:lvlText w:val="(%2)"/>
      <w:numFmt w:val="lowerRoman"/>
      <w:start w:val="1"/>
    </w:lvl>
  </w:abstractNum>
  <w:abstractNum w:abstractNumId="378">
    <w:nsid w:val="18A35FE3"/>
    <w:multiLevelType w:val="hybridMultilevel"/>
    <w:lvl w:ilvl="0">
      <w:lvlJc w:val="left"/>
      <w:lvlText w:val="%1"/>
      <w:numFmt w:val="lowerLetter"/>
      <w:start w:val="1"/>
    </w:lvl>
    <w:lvl w:ilvl="1">
      <w:lvlJc w:val="left"/>
      <w:lvlText w:val="(%2)"/>
      <w:numFmt w:val="lowerLetter"/>
      <w:start w:val="22"/>
    </w:lvl>
  </w:abstractNum>
  <w:abstractNum w:abstractNumId="379">
    <w:nsid w:val="6DEF5211"/>
    <w:multiLevelType w:val="hybridMultilevel"/>
    <w:lvl w:ilvl="0">
      <w:lvlJc w:val="left"/>
      <w:lvlText w:val="(%1)"/>
      <w:numFmt w:val="lowerLetter"/>
      <w:start w:val="2"/>
    </w:lvl>
    <w:lvl w:ilvl="1">
      <w:lvlJc w:val="left"/>
      <w:lvlText w:val="%2"/>
      <w:numFmt w:val="lowerLetter"/>
      <w:start w:val="1"/>
    </w:lvl>
  </w:abstractNum>
  <w:abstractNum w:abstractNumId="380">
    <w:nsid w:val="1112DBB6"/>
    <w:multiLevelType w:val="hybridMultilevel"/>
    <w:lvl w:ilvl="0">
      <w:lvlJc w:val="left"/>
      <w:lvlText w:val="(%1)"/>
      <w:numFmt w:val="lowerLetter"/>
      <w:start w:val="1"/>
    </w:lvl>
  </w:abstractNum>
  <w:abstractNum w:abstractNumId="381">
    <w:nsid w:val="2586A498"/>
    <w:multiLevelType w:val="hybridMultilevel"/>
    <w:lvl w:ilvl="0">
      <w:lvlJc w:val="left"/>
      <w:lvlText w:val="(%1)"/>
      <w:numFmt w:val="lowerLetter"/>
      <w:start w:val="1"/>
    </w:lvl>
  </w:abstractNum>
  <w:abstractNum w:abstractNumId="382">
    <w:nsid w:val="17A03BB9"/>
    <w:multiLevelType w:val="hybridMultilevel"/>
    <w:lvl w:ilvl="0">
      <w:lvlJc w:val="left"/>
      <w:lvlText w:val="(%1)"/>
      <w:numFmt w:val="lowerLetter"/>
      <w:start w:val="1"/>
    </w:lvl>
  </w:abstractNum>
  <w:abstractNum w:abstractNumId="383">
    <w:nsid w:val="5CA941"/>
    <w:multiLevelType w:val="hybridMultilevel"/>
    <w:lvl w:ilvl="0">
      <w:lvlJc w:val="left"/>
      <w:lvlText w:val="(%1)"/>
      <w:numFmt w:val="lowerLetter"/>
      <w:start w:val="1"/>
    </w:lvl>
  </w:abstractNum>
  <w:abstractNum w:abstractNumId="384">
    <w:nsid w:val="734C7D9F"/>
    <w:multiLevelType w:val="hybridMultilevel"/>
    <w:lvl w:ilvl="0">
      <w:lvlJc w:val="left"/>
      <w:lvlText w:val="(%1)"/>
      <w:numFmt w:val="lowerLetter"/>
      <w:start w:val="6"/>
    </w:lvl>
  </w:abstractNum>
  <w:abstractNum w:abstractNumId="385">
    <w:nsid w:val="24F5D018"/>
    <w:multiLevelType w:val="hybridMultilevel"/>
    <w:lvl w:ilvl="0">
      <w:lvlJc w:val="left"/>
      <w:lvlText w:val="%1"/>
      <w:numFmt w:val="lowerLetter"/>
      <w:start w:val="1"/>
    </w:lvl>
    <w:lvl w:ilvl="1">
      <w:lvlJc w:val="left"/>
      <w:lvlText w:val="(%2)"/>
      <w:numFmt w:val="lowerLetter"/>
      <w:start w:val="1"/>
    </w:lvl>
  </w:abstractNum>
  <w:abstractNum w:abstractNumId="386">
    <w:nsid w:val="6780C122"/>
    <w:multiLevelType w:val="hybridMultilevel"/>
    <w:lvl w:ilvl="0">
      <w:lvlJc w:val="left"/>
      <w:lvlText w:val="(%1)"/>
      <w:numFmt w:val="lowerLetter"/>
      <w:start w:val="35"/>
    </w:lvl>
    <w:lvl w:ilvl="1">
      <w:lvlJc w:val="left"/>
      <w:lvlText w:val="(%2)"/>
      <w:numFmt w:val="lowerLetter"/>
      <w:start w:val="6"/>
    </w:lvl>
  </w:abstractNum>
  <w:abstractNum w:abstractNumId="387">
    <w:nsid w:val="534347A8"/>
    <w:multiLevelType w:val="hybridMultilevel"/>
    <w:lvl w:ilvl="0">
      <w:lvlJc w:val="left"/>
      <w:lvlText w:val="(%1)"/>
      <w:numFmt w:val="lowerLetter"/>
      <w:start w:val="7"/>
    </w:lvl>
  </w:abstractNum>
  <w:abstractNum w:abstractNumId="388">
    <w:nsid w:val="5800E34B"/>
    <w:multiLevelType w:val="hybridMultilevel"/>
    <w:lvl w:ilvl="0">
      <w:lvlJc w:val="left"/>
      <w:lvlText w:val="(%1)"/>
      <w:numFmt w:val="lowerRoman"/>
      <w:start w:val="1"/>
    </w:lvl>
  </w:abstractNum>
  <w:abstractNum w:abstractNumId="389">
    <w:nsid w:val="1673EFC8"/>
    <w:multiLevelType w:val="hybridMultilevel"/>
    <w:lvl w:ilvl="0">
      <w:lvlJc w:val="left"/>
      <w:lvlText w:val="(%1)"/>
      <w:numFmt w:val="lowerRoman"/>
      <w:start w:val="1"/>
    </w:lvl>
  </w:abstractNum>
  <w:abstractNum w:abstractNumId="390">
    <w:nsid w:val="5B9B1FD"/>
    <w:multiLevelType w:val="hybridMultilevel"/>
    <w:lvl w:ilvl="0">
      <w:lvlJc w:val="left"/>
      <w:lvlText w:val="%1"/>
      <w:numFmt w:val="upperLetter"/>
      <w:start w:val="1"/>
    </w:lvl>
    <w:lvl w:ilvl="1">
      <w:lvlJc w:val="left"/>
      <w:lvlText w:val="(%2)"/>
      <w:numFmt w:val="lowerRoman"/>
      <w:start w:val="6"/>
    </w:lvl>
  </w:abstractNum>
  <w:abstractNum w:abstractNumId="391">
    <w:nsid w:val="7AD7FCA2"/>
    <w:multiLevelType w:val="hybridMultilevel"/>
    <w:lvl w:ilvl="0">
      <w:lvlJc w:val="left"/>
      <w:lvlText w:val="(%1)"/>
      <w:numFmt w:val="upperLetter"/>
      <w:start w:val="1"/>
    </w:lvl>
    <w:lvl w:ilvl="1">
      <w:lvlJc w:val="left"/>
      <w:lvlText w:val="(%2)"/>
      <w:numFmt w:val="lowerRoman"/>
      <w:start w:val="7"/>
    </w:lvl>
  </w:abstractNum>
  <w:abstractNum w:abstractNumId="392">
    <w:nsid w:val="63351604"/>
    <w:multiLevelType w:val="hybridMultilevel"/>
    <w:lvl w:ilvl="0">
      <w:lvlJc w:val="left"/>
      <w:lvlText w:val="(%1)"/>
      <w:numFmt w:val="lowerRoman"/>
      <w:start w:val="9"/>
    </w:lvl>
  </w:abstractNum>
  <w:abstractNum w:abstractNumId="393">
    <w:nsid w:val="E759D1A"/>
    <w:multiLevelType w:val="hybridMultilevel"/>
    <w:lvl w:ilvl="0">
      <w:lvlJc w:val="left"/>
      <w:lvlText w:val="(%1)"/>
      <w:numFmt w:val="lowerLetter"/>
      <w:start w:val="1"/>
    </w:lvl>
  </w:abstractNum>
  <w:abstractNum w:abstractNumId="394">
    <w:nsid w:val="6E3DEE90"/>
    <w:multiLevelType w:val="hybridMultilevel"/>
    <w:lvl w:ilvl="0">
      <w:lvlJc w:val="left"/>
      <w:lvlText w:val="(%1)"/>
      <w:numFmt w:val="lowerRoman"/>
      <w:start w:val="1"/>
    </w:lvl>
  </w:abstractNum>
  <w:abstractNum w:abstractNumId="395">
    <w:nsid w:val="1A8762F4"/>
    <w:multiLevelType w:val="hybridMultilevel"/>
    <w:lvl w:ilvl="0">
      <w:lvlJc w:val="left"/>
      <w:lvlText w:val="(%1)"/>
      <w:numFmt w:val="lowerRoman"/>
      <w:start w:val="5"/>
    </w:lvl>
  </w:abstractNum>
  <w:abstractNum w:abstractNumId="396">
    <w:nsid w:val="7F41D049"/>
    <w:multiLevelType w:val="hybridMultilevel"/>
    <w:lvl w:ilvl="0">
      <w:lvlJc w:val="left"/>
      <w:lvlText w:val="(%1)"/>
      <w:numFmt w:val="lowerLetter"/>
      <w:start w:val="25"/>
    </w:lvl>
  </w:abstractNum>
  <w:abstractNum w:abstractNumId="397">
    <w:nsid w:val="449F66FE"/>
    <w:multiLevelType w:val="hybridMultilevel"/>
    <w:lvl w:ilvl="0">
      <w:lvlJc w:val="left"/>
      <w:lvlText w:val="(%1)"/>
      <w:numFmt w:val="lowerRoman"/>
      <w:start w:val="3"/>
    </w:lvl>
  </w:abstractNum>
  <w:abstractNum w:abstractNumId="398">
    <w:nsid w:val="557E0515"/>
    <w:multiLevelType w:val="hybridMultilevel"/>
    <w:lvl w:ilvl="0">
      <w:lvlJc w:val="left"/>
      <w:lvlText w:val="%1"/>
      <w:numFmt w:val="decimal"/>
      <w:start w:val="1"/>
    </w:lvl>
    <w:lvl w:ilvl="1">
      <w:lvlJc w:val="left"/>
      <w:lvlText w:val="(%2)"/>
      <w:numFmt w:val="lowerLetter"/>
      <w:start w:val="1"/>
    </w:lvl>
  </w:abstractNum>
  <w:abstractNum w:abstractNumId="399">
    <w:nsid w:val="3BA0794B"/>
    <w:multiLevelType w:val="hybridMultilevel"/>
    <w:lvl w:ilvl="0">
      <w:lvlJc w:val="left"/>
      <w:lvlText w:val="(%1)"/>
      <w:numFmt w:val="decimal"/>
      <w:start w:val="10"/>
    </w:lvl>
    <w:lvl w:ilvl="1">
      <w:lvlJc w:val="left"/>
      <w:lvlText w:val="(%2)"/>
      <w:numFmt w:val="lowerLetter"/>
      <w:start w:val="2"/>
    </w:lvl>
  </w:abstractNum>
  <w:abstractNum w:abstractNumId="400">
    <w:nsid w:val="6A0DCE48"/>
    <w:multiLevelType w:val="hybridMultilevel"/>
    <w:lvl w:ilvl="0">
      <w:lvlJc w:val="left"/>
      <w:lvlText w:val="(%1)"/>
      <w:numFmt w:val="lowerLetter"/>
      <w:start w:val="3"/>
    </w:lvl>
  </w:abstractNum>
  <w:abstractNum w:abstractNumId="401">
    <w:nsid w:val="7237AA96"/>
    <w:multiLevelType w:val="hybridMultilevel"/>
    <w:lvl w:ilvl="0">
      <w:lvlJc w:val="left"/>
      <w:lvlText w:val="(%1)"/>
      <w:numFmt w:val="lowerLetter"/>
      <w:start w:val="1"/>
    </w:lvl>
  </w:abstractNum>
  <w:abstractNum w:abstractNumId="402">
    <w:nsid w:val="5B1FBC2D"/>
    <w:multiLevelType w:val="hybridMultilevel"/>
    <w:lvl w:ilvl="0">
      <w:lvlJc w:val="left"/>
      <w:lvlText w:val="%1"/>
      <w:numFmt w:val="lowerRoman"/>
      <w:start w:val="1"/>
    </w:lvl>
    <w:lvl w:ilvl="1">
      <w:lvlJc w:val="left"/>
      <w:lvlText w:val="(%2)"/>
      <w:numFmt w:val="lowerLetter"/>
      <w:start w:val="3"/>
    </w:lvl>
  </w:abstractNum>
  <w:abstractNum w:abstractNumId="403">
    <w:nsid w:val="33DFCCE8"/>
    <w:multiLevelType w:val="hybridMultilevel"/>
    <w:lvl w:ilvl="0">
      <w:lvlJc w:val="left"/>
      <w:lvlText w:val="(%1)"/>
      <w:numFmt w:val="lowerRoman"/>
      <w:start w:val="4"/>
    </w:lvl>
    <w:lvl w:ilvl="1">
      <w:lvlJc w:val="left"/>
      <w:lvlText w:val="%2"/>
      <w:numFmt w:val="lowerLetter"/>
      <w:start w:val="1"/>
    </w:lvl>
  </w:abstractNum>
  <w:abstractNum w:abstractNumId="404">
    <w:nsid w:val="18C45E15"/>
    <w:multiLevelType w:val="hybridMultilevel"/>
    <w:lvl w:ilvl="0">
      <w:lvlJc w:val="left"/>
      <w:lvlText w:val="(%1)"/>
      <w:numFmt w:val="lowerRoman"/>
      <w:start w:val="6"/>
    </w:lvl>
    <w:lvl w:ilvl="1">
      <w:lvlJc w:val="left"/>
      <w:lvlText w:val="(%2)"/>
      <w:numFmt w:val="lowerLetter"/>
      <w:start w:val="6"/>
    </w:lvl>
  </w:abstractNum>
  <w:abstractNum w:abstractNumId="405">
    <w:nsid w:val="6B431F25"/>
    <w:multiLevelType w:val="hybridMultilevel"/>
    <w:lvl w:ilvl="0">
      <w:lvlJc w:val="left"/>
      <w:lvlText w:val="(%1)"/>
      <w:numFmt w:val="lowerLetter"/>
      <w:start w:val="7"/>
    </w:lvl>
  </w:abstractNum>
  <w:abstractNum w:abstractNumId="406">
    <w:nsid w:val="13CD8DCB"/>
    <w:multiLevelType w:val="hybridMultilevel"/>
    <w:lvl w:ilvl="0">
      <w:lvlJc w:val="left"/>
      <w:lvlText w:val="(%1)"/>
      <w:numFmt w:val="lowerLetter"/>
      <w:start w:val="1"/>
    </w:lvl>
  </w:abstractNum>
  <w:abstractNum w:abstractNumId="407">
    <w:nsid w:val="563A1A5C"/>
    <w:multiLevelType w:val="hybridMultilevel"/>
    <w:lvl w:ilvl="0">
      <w:lvlJc w:val="left"/>
      <w:lvlText w:val="(%1)"/>
      <w:numFmt w:val="lowerLetter"/>
      <w:start w:val="1"/>
    </w:lvl>
  </w:abstractNum>
  <w:abstractNum w:abstractNumId="408">
    <w:nsid w:val="2973F88F"/>
    <w:multiLevelType w:val="hybridMultilevel"/>
    <w:lvl w:ilvl="0">
      <w:lvlJc w:val="left"/>
      <w:lvlText w:val="(%1)"/>
      <w:numFmt w:val="lowerLetter"/>
      <w:start w:val="1"/>
    </w:lvl>
  </w:abstractNum>
  <w:abstractNum w:abstractNumId="409">
    <w:nsid w:val="2C70EDAE"/>
    <w:multiLevelType w:val="hybridMultilevel"/>
    <w:lvl w:ilvl="0">
      <w:lvlJc w:val="left"/>
      <w:lvlText w:val="(%1)"/>
      <w:numFmt w:val="lowerLetter"/>
      <w:start w:val="1"/>
    </w:lvl>
  </w:abstractNum>
  <w:abstractNum w:abstractNumId="410">
    <w:nsid w:val="44296C6D"/>
    <w:multiLevelType w:val="hybridMultilevel"/>
    <w:lvl w:ilvl="0">
      <w:lvlJc w:val="left"/>
      <w:lvlText w:val="(%1)"/>
      <w:numFmt w:val="lowerLetter"/>
      <w:start w:val="2"/>
    </w:lvl>
  </w:abstractNum>
  <w:abstractNum w:abstractNumId="411">
    <w:nsid w:val="3A86D445"/>
    <w:multiLevelType w:val="hybridMultilevel"/>
    <w:lvl w:ilvl="0">
      <w:lvlJc w:val="left"/>
      <w:lvlText w:val="%1"/>
      <w:numFmt w:val="lowerLetter"/>
      <w:start w:val="1"/>
    </w:lvl>
    <w:lvl w:ilvl="1">
      <w:lvlJc w:val="left"/>
      <w:lvlText w:val="(%2)"/>
      <w:numFmt w:val="lowerLetter"/>
      <w:start w:val="1"/>
    </w:lvl>
  </w:abstractNum>
  <w:abstractNum w:abstractNumId="412">
    <w:nsid w:val="51F79246"/>
    <w:multiLevelType w:val="hybridMultilevel"/>
    <w:lvl w:ilvl="0">
      <w:lvlJc w:val="left"/>
      <w:lvlText w:val="(%1)"/>
      <w:numFmt w:val="lowerLetter"/>
      <w:start w:val="35"/>
    </w:lvl>
    <w:lvl w:ilvl="1">
      <w:lvlJc w:val="left"/>
      <w:lvlText w:val="(%2)"/>
      <w:numFmt w:val="lowerLetter"/>
      <w:start w:val="2"/>
    </w:lvl>
  </w:abstractNum>
  <w:abstractNum w:abstractNumId="413">
    <w:nsid w:val="5BC9A827"/>
    <w:multiLevelType w:val="hybridMultilevel"/>
    <w:lvl w:ilvl="0">
      <w:lvlJc w:val="left"/>
      <w:lvlText w:val="%1"/>
      <w:numFmt w:val="lowerLetter"/>
      <w:start w:val="1"/>
    </w:lvl>
    <w:lvl w:ilvl="1">
      <w:lvlJc w:val="left"/>
      <w:lvlText w:val="(%2)"/>
      <w:numFmt w:val="lowerLetter"/>
      <w:start w:val="5"/>
    </w:lvl>
  </w:abstractNum>
  <w:abstractNum w:abstractNumId="414">
    <w:nsid w:val="3AE37D86"/>
    <w:multiLevelType w:val="hybridMultilevel"/>
    <w:lvl w:ilvl="0">
      <w:lvlJc w:val="left"/>
      <w:lvlText w:val="(%1)"/>
      <w:numFmt w:val="lowerLetter"/>
      <w:start w:val="35"/>
    </w:lvl>
    <w:lvl w:ilvl="1">
      <w:lvlJc w:val="left"/>
      <w:lvlText w:val="(%2)"/>
      <w:numFmt w:val="lowerLetter"/>
      <w:start w:val="6"/>
    </w:lvl>
  </w:abstractNum>
  <w:abstractNum w:abstractNumId="415">
    <w:nsid w:val="45440FE5"/>
    <w:multiLevelType w:val="hybridMultilevel"/>
    <w:lvl w:ilvl="0">
      <w:lvlJc w:val="left"/>
      <w:lvlText w:val="(%1)"/>
      <w:numFmt w:val="lowerLetter"/>
      <w:start w:val="1"/>
    </w:lvl>
  </w:abstractNum>
  <w:abstractNum w:abstractNumId="416">
    <w:nsid w:val="BF783F"/>
    <w:multiLevelType w:val="hybridMultilevel"/>
    <w:lvl w:ilvl="0">
      <w:lvlJc w:val="left"/>
      <w:lvlText w:val="(%1)"/>
      <w:numFmt w:val="lowerLetter"/>
      <w:start w:val="3"/>
    </w:lvl>
    <w:lvl w:ilvl="1">
      <w:lvlJc w:val="left"/>
      <w:lvlText w:val="(%2)"/>
      <w:numFmt w:val="lowerRoman"/>
      <w:start w:val="1"/>
    </w:lvl>
  </w:abstractNum>
  <w:abstractNum w:abstractNumId="417">
    <w:nsid w:val="22643EA9"/>
    <w:multiLevelType w:val="hybridMultilevel"/>
    <w:lvl w:ilvl="0">
      <w:lvlJc w:val="left"/>
      <w:lvlText w:val="(%1)"/>
      <w:numFmt w:val="lowerLetter"/>
      <w:start w:val="3"/>
    </w:lvl>
  </w:abstractNum>
  <w:abstractNum w:abstractNumId="418">
    <w:nsid w:val="1887578D"/>
    <w:multiLevelType w:val="hybridMultilevel"/>
    <w:lvl w:ilvl="0">
      <w:lvlJc w:val="left"/>
      <w:lvlText w:val="(%1)"/>
      <w:numFmt w:val="lowerLetter"/>
      <w:start w:val="1"/>
    </w:lvl>
  </w:abstractNum>
  <w:abstractNum w:abstractNumId="419">
    <w:nsid w:val="58C05B8A"/>
    <w:multiLevelType w:val="hybridMultilevel"/>
    <w:lvl w:ilvl="0">
      <w:lvlJc w:val="left"/>
      <w:lvlText w:val="(%1)"/>
      <w:numFmt w:val="lowerRoman"/>
      <w:start w:val="1"/>
    </w:lvl>
  </w:abstractNum>
  <w:abstractNum w:abstractNumId="420">
    <w:nsid w:val="38D82E71"/>
    <w:multiLevelType w:val="hybridMultilevel"/>
    <w:lvl w:ilvl="0">
      <w:lvlJc w:val="left"/>
      <w:lvlText w:val="(%1)"/>
      <w:numFmt w:val="lowerRoman"/>
      <w:start w:val="9"/>
    </w:lvl>
  </w:abstractNum>
  <w:abstractNum w:abstractNumId="421">
    <w:nsid w:val="1E41098A"/>
    <w:multiLevelType w:val="hybridMultilevel"/>
    <w:lvl w:ilvl="0">
      <w:lvlJc w:val="left"/>
      <w:lvlText w:val="(%1)"/>
      <w:numFmt w:val="lowerRoman"/>
      <w:start w:val="4"/>
    </w:lvl>
  </w:abstractNum>
  <w:abstractNum w:abstractNumId="422">
    <w:nsid w:val="5398582C"/>
    <w:multiLevelType w:val="hybridMultilevel"/>
    <w:lvl w:ilvl="0">
      <w:lvlJc w:val="left"/>
      <w:lvlText w:val="(%1)"/>
      <w:numFmt w:val="lowerLetter"/>
      <w:start w:val="4"/>
    </w:lvl>
  </w:abstractNum>
  <w:abstractNum w:abstractNumId="423">
    <w:nsid w:val="1C0D4475"/>
    <w:multiLevelType w:val="hybridMultilevel"/>
    <w:lvl w:ilvl="0">
      <w:lvlJc w:val="left"/>
      <w:lvlText w:val="(%1)"/>
      <w:numFmt w:val="lowerLetter"/>
      <w:start w:val="3"/>
    </w:lvl>
  </w:abstractNum>
  <w:abstractNum w:abstractNumId="424">
    <w:nsid w:val="2CB6A6A4"/>
    <w:multiLevelType w:val="hybridMultilevel"/>
    <w:lvl w:ilvl="0">
      <w:lvlJc w:val="left"/>
      <w:lvlText w:val="(%1)"/>
      <w:numFmt w:val="lowerLetter"/>
      <w:start w:val="4"/>
    </w:lvl>
  </w:abstractNum>
  <w:abstractNum w:abstractNumId="425">
    <w:nsid w:val="41D646BC"/>
    <w:multiLevelType w:val="hybridMultilevel"/>
    <w:lvl w:ilvl="0">
      <w:lvlJc w:val="left"/>
      <w:lvlText w:val="(%1)"/>
      <w:numFmt w:val="lowerLetter"/>
      <w:start w:val="1"/>
    </w:lvl>
  </w:abstractNum>
  <w:abstractNum w:abstractNumId="426">
    <w:nsid w:val="3694A76A"/>
    <w:multiLevelType w:val="hybridMultilevel"/>
    <w:lvl w:ilvl="0">
      <w:lvlJc w:val="left"/>
      <w:lvlText w:val="(%1)"/>
      <w:numFmt w:val="lowerLetter"/>
      <w:start w:val="2"/>
    </w:lvl>
  </w:abstractNum>
  <w:abstractNum w:abstractNumId="427">
    <w:nsid w:val="2BF876EE"/>
    <w:multiLevelType w:val="hybridMultilevel"/>
    <w:lvl w:ilvl="0">
      <w:lvlJc w:val="left"/>
      <w:lvlText w:val="(%1)"/>
      <w:numFmt w:val="lowerLetter"/>
      <w:start w:val="1"/>
    </w:lvl>
  </w:abstractNum>
  <w:abstractNum w:abstractNumId="428">
    <w:nsid w:val="675ADBA"/>
    <w:multiLevelType w:val="hybridMultilevel"/>
    <w:lvl w:ilvl="0">
      <w:lvlJc w:val="left"/>
      <w:lvlText w:val="%1."/>
      <w:numFmt w:val="decimal"/>
      <w:start w:val="1"/>
    </w:lvl>
    <w:lvl w:ilvl="1">
      <w:lvlJc w:val="left"/>
      <w:lvlText w:val="%2."/>
      <w:numFmt w:val="lowerLetter"/>
      <w:start w:val="1"/>
    </w:lvl>
  </w:abstractNum>
  <w:abstractNum w:abstractNumId="429">
    <w:nsid w:val="C12AC7F"/>
    <w:multiLevelType w:val="hybridMultilevel"/>
    <w:lvl w:ilvl="0">
      <w:lvlJc w:val="left"/>
      <w:lvlText w:val="%1"/>
      <w:numFmt w:val="decimal"/>
      <w:start w:val="1"/>
    </w:lvl>
    <w:lvl w:ilvl="1">
      <w:lvlJc w:val="left"/>
      <w:lvlText w:val="%2."/>
      <w:numFmt w:val="lowerLetter"/>
      <w:start w:val="7"/>
    </w:lvl>
  </w:abstractNum>
  <w:abstractNum w:abstractNumId="430">
    <w:nsid w:val="6798F039"/>
    <w:multiLevelType w:val="hybridMultilevel"/>
    <w:lvl w:ilvl="0">
      <w:lvlJc w:val="left"/>
      <w:lvlText w:val="%1."/>
      <w:numFmt w:val="decimal"/>
      <w:start w:val="2"/>
    </w:lvl>
    <w:lvl w:ilvl="1">
      <w:lvlJc w:val="left"/>
      <w:lvlText w:val="%2."/>
      <w:numFmt w:val="lowerLetter"/>
      <w:start w:val="1"/>
    </w:lvl>
  </w:abstractNum>
  <w:abstractNum w:abstractNumId="431">
    <w:nsid w:val="70837C02"/>
    <w:multiLevelType w:val="hybridMultilevel"/>
    <w:lvl w:ilvl="0">
      <w:lvlJc w:val="left"/>
      <w:lvlText w:val="%1."/>
      <w:numFmt w:val="decimal"/>
      <w:start w:val="6"/>
    </w:lvl>
  </w:abstractNum>
  <w:abstractNum w:abstractNumId="432">
    <w:nsid w:val="7E4A5715"/>
    <w:multiLevelType w:val="hybridMultilevel"/>
    <w:lvl w:ilvl="0">
      <w:lvlJc w:val="left"/>
      <w:lvlText w:val="%1."/>
      <w:numFmt w:val="decimal"/>
      <w:start w:val="13"/>
    </w:lvl>
    <w:lvl w:ilvl="1">
      <w:lvlJc w:val="left"/>
      <w:lvlText w:val="%2."/>
      <w:numFmt w:val="lowerLetter"/>
      <w:start w:val="1"/>
    </w:lvl>
  </w:abstractNum>
  <w:abstractNum w:abstractNumId="433">
    <w:nsid w:val="42B8AC67"/>
    <w:multiLevelType w:val="hybridMultilevel"/>
    <w:lvl w:ilvl="0">
      <w:lvlJc w:val="left"/>
      <w:lvlText w:val="%1"/>
      <w:numFmt w:val="decimal"/>
      <w:start w:val="1"/>
    </w:lvl>
    <w:lvl w:ilvl="1">
      <w:lvlJc w:val="left"/>
      <w:lvlText w:val="%2."/>
      <w:numFmt w:val="lowerLetter"/>
      <w:start w:val="4"/>
    </w:lvl>
  </w:abstractNum>
  <w:abstractNum w:abstractNumId="434">
    <w:nsid w:val="246348EA"/>
    <w:multiLevelType w:val="hybridMultilevel"/>
    <w:lvl w:ilvl="0">
      <w:lvlJc w:val="left"/>
      <w:lvlText w:val="%1."/>
      <w:numFmt w:val="decimal"/>
      <w:start w:val="19"/>
    </w:lvl>
    <w:lvl w:ilvl="1">
      <w:lvlJc w:val="left"/>
      <w:lvlText w:val="%2"/>
      <w:numFmt w:val="lowerLetter"/>
      <w:start w:val="1"/>
    </w:lvl>
  </w:abstractNum>
  <w:abstractNum w:abstractNumId="435">
    <w:nsid w:val="170EB52B"/>
    <w:multiLevelType w:val="hybridMultilevel"/>
    <w:lvl w:ilvl="0">
      <w:lvlJc w:val="left"/>
      <w:lvlText w:val="%1."/>
      <w:numFmt w:val="decimal"/>
      <w:start w:val="1"/>
    </w:lvl>
  </w:abstractNum>
  <w:abstractNum w:abstractNumId="436">
    <w:nsid w:val="2DFBCB8C"/>
    <w:multiLevelType w:val="hybridMultilevel"/>
    <w:lvl w:ilvl="0">
      <w:lvlJc w:val="left"/>
      <w:lvlText w:val="%1."/>
      <w:numFmt w:val="decimal"/>
      <w:start w:val="1"/>
    </w:lvl>
    <w:lvl w:ilvl="1">
      <w:lvlJc w:val="left"/>
      <w:lvlText w:val="%2."/>
      <w:numFmt w:val="lowerLetter"/>
      <w:start w:val="1"/>
    </w:lvl>
  </w:abstractNum>
  <w:abstractNum w:abstractNumId="437">
    <w:nsid w:val="3830D6B6"/>
    <w:multiLevelType w:val="hybridMultilevel"/>
    <w:lvl w:ilvl="0">
      <w:lvlJc w:val="left"/>
      <w:lvlText w:val="%1."/>
      <w:numFmt w:val="decimal"/>
      <w:start w:val="3"/>
    </w:lvl>
  </w:abstractNum>
  <w:abstractNum w:abstractNumId="438">
    <w:nsid w:val="6D48CF87"/>
    <w:multiLevelType w:val="hybridMultilevel"/>
    <w:lvl w:ilvl="0">
      <w:lvlJc w:val="left"/>
      <w:lvlText w:val="%1."/>
      <w:numFmt w:val="decimal"/>
      <w:start w:val="11"/>
    </w:lvl>
    <w:lvl w:ilvl="1">
      <w:lvlJc w:val="left"/>
      <w:lvlText w:val="%2."/>
      <w:numFmt w:val="lowerLetter"/>
      <w:start w:val="1"/>
    </w:lvl>
  </w:abstractNum>
  <w:abstractNum w:abstractNumId="439">
    <w:nsid w:val="576FC41B"/>
    <w:multiLevelType w:val="hybridMultilevel"/>
    <w:lvl w:ilvl="0">
      <w:lvlJc w:val="left"/>
      <w:lvlText w:val="%1"/>
      <w:numFmt w:val="decimal"/>
      <w:start w:val="1"/>
    </w:lvl>
    <w:lvl w:ilvl="1">
      <w:lvlJc w:val="left"/>
      <w:lvlText w:val="%2."/>
      <w:numFmt w:val="lowerLetter"/>
      <w:start w:val="5"/>
    </w:lvl>
  </w:abstractNum>
  <w:abstractNum w:abstractNumId="440">
    <w:nsid w:val="64A1C464"/>
    <w:multiLevelType w:val="hybridMultilevel"/>
    <w:lvl w:ilvl="0">
      <w:lvlJc w:val="left"/>
      <w:lvlText w:val="%1."/>
      <w:numFmt w:val="decimal"/>
      <w:start w:val="14"/>
    </w:lvl>
    <w:lvl w:ilvl="1">
      <w:lvlJc w:val="left"/>
      <w:lvlText w:val="%2"/>
      <w:numFmt w:val="lowerLetter"/>
      <w:start w:val="1"/>
    </w:lvl>
  </w:abstractNum>
  <w:abstractNum w:abstractNumId="441">
    <w:nsid w:val="31723BF5"/>
    <w:multiLevelType w:val="hybridMultilevel"/>
    <w:lvl w:ilvl="0">
      <w:lvlJc w:val="left"/>
      <w:lvlText w:val="%1."/>
      <w:numFmt w:val="decimal"/>
      <w:start w:val="1"/>
    </w:lvl>
    <w:lvl w:ilvl="1">
      <w:lvlJc w:val="left"/>
      <w:lvlText w:val="(%2)"/>
      <w:numFmt w:val="lowerLetter"/>
      <w:start w:val="1"/>
    </w:lvl>
  </w:abstractNum>
  <w:abstractNum w:abstractNumId="442">
    <w:nsid w:val="11F69861"/>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443">
    <w:nsid w:val="369956A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444">
    <w:nsid w:val="D3BE41C"/>
    <w:multiLevelType w:val="hybridMultilevel"/>
    <w:lvl w:ilvl="0">
      <w:lvlJc w:val="left"/>
      <w:lvlText w:val="%1"/>
      <w:numFmt w:val="decimal"/>
      <w:start w:val="1"/>
    </w:lvl>
    <w:lvl w:ilvl="1">
      <w:lvlJc w:val="left"/>
      <w:lvlText w:val="(%2)"/>
      <w:numFmt w:val="lowerLetter"/>
      <w:start w:val="2"/>
    </w:lvl>
  </w:abstractNum>
  <w:abstractNum w:abstractNumId="445">
    <w:nsid w:val="4CDA15E7"/>
    <w:multiLevelType w:val="hybridMultilevel"/>
    <w:lvl w:ilvl="0">
      <w:lvlJc w:val="left"/>
      <w:lvlText w:val="%1."/>
      <w:numFmt w:val="decimal"/>
      <w:start w:val="6"/>
    </w:lvl>
    <w:lvl w:ilvl="1">
      <w:lvlJc w:val="left"/>
      <w:lvlText w:val="%2"/>
      <w:numFmt w:val="lowerLetter"/>
      <w:start w:val="1"/>
    </w:lvl>
  </w:abstractNum>
  <w:abstractNum w:abstractNumId="446">
    <w:nsid w:val="7BDD6690"/>
    <w:multiLevelType w:val="hybridMultilevel"/>
    <w:lvl w:ilvl="0">
      <w:lvlJc w:val="left"/>
      <w:lvlText w:val="%1."/>
      <w:numFmt w:val="decimal"/>
      <w:start w:val="1"/>
    </w:lvl>
  </w:abstractNum>
  <w:abstractNum w:abstractNumId="447">
    <w:nsid w:val="DFB5C5B"/>
    <w:multiLevelType w:val="hybridMultilevel"/>
    <w:lvl w:ilvl="0">
      <w:lvlJc w:val="left"/>
      <w:lvlText w:val="(%1)"/>
      <w:numFmt w:val="lowerLetter"/>
      <w:start w:val="1"/>
    </w:lvl>
    <w:lvl w:ilvl="1">
      <w:lvlJc w:val="left"/>
      <w:lvlText w:val="%2."/>
      <w:numFmt w:val="upperLetter"/>
      <w:start w:val="2"/>
    </w:lvl>
  </w:abstractNum>
  <w:abstractNum w:abstractNumId="448">
    <w:nsid w:val="6F3E5490"/>
    <w:multiLevelType w:val="hybridMultilevel"/>
    <w:lvl w:ilvl="0">
      <w:lvlJc w:val="left"/>
      <w:lvlText w:val="%1."/>
      <w:numFmt w:val="decimal"/>
      <w:start w:val="1"/>
    </w:lvl>
  </w:abstractNum>
  <w:abstractNum w:abstractNumId="449">
    <w:nsid w:val="1464BE1E"/>
    <w:multiLevelType w:val="hybridMultilevel"/>
    <w:lvl w:ilvl="0">
      <w:lvlJc w:val="left"/>
      <w:lvlText w:val="%1."/>
      <w:numFmt w:val="decimal"/>
      <w:start w:val="2"/>
    </w:lvl>
  </w:abstractNum>
  <w:abstractNum w:abstractNumId="450">
    <w:nsid w:val="66BBB7E5"/>
    <w:multiLevelType w:val="hybridMultilevel"/>
    <w:lvl w:ilvl="0">
      <w:lvlJc w:val="left"/>
      <w:lvlText w:val="%1."/>
      <w:numFmt w:val="decimal"/>
      <w:start w:val="1"/>
    </w:lvl>
  </w:abstractNum>
  <w:abstractNum w:abstractNumId="451">
    <w:nsid w:val="28168302"/>
    <w:multiLevelType w:val="hybridMultilevel"/>
    <w:lvl w:ilvl="0">
      <w:lvlJc w:val="left"/>
      <w:lvlText w:val="%1."/>
      <w:numFmt w:val="decimal"/>
      <w:start w:val="4"/>
    </w:lvl>
  </w:abstractNum>
  <w:abstractNum w:abstractNumId="452">
    <w:nsid w:val="32A5C7A8"/>
    <w:multiLevelType w:val="hybridMultilevel"/>
    <w:lvl w:ilvl="0">
      <w:lvlJc w:val="left"/>
      <w:lvlText w:val="%1"/>
      <w:numFmt w:val="lowerRoman"/>
      <w:start w:val="1"/>
    </w:lvl>
    <w:lvl w:ilvl="1">
      <w:lvlJc w:val="left"/>
      <w:lvlText w:val="%2."/>
      <w:numFmt w:val="decimal"/>
      <w:start w:val="5"/>
    </w:lvl>
  </w:abstractNum>
  <w:abstractNum w:abstractNumId="453">
    <w:nsid w:val="3A541011"/>
    <w:multiLevelType w:val="hybridMultilevel"/>
    <w:lvl w:ilvl="0">
      <w:lvlJc w:val="left"/>
      <w:lvlText w:val="(%1)"/>
      <w:numFmt w:val="lowerRoman"/>
      <w:start w:val="1"/>
    </w:lvl>
    <w:lvl w:ilvl="1">
      <w:lvlJc w:val="left"/>
      <w:lvlText w:val="%2"/>
      <w:numFmt w:val="decimal"/>
      <w:start w:val="1"/>
    </w:lvl>
  </w:abstractNum>
  <w:abstractNum w:abstractNumId="454">
    <w:nsid w:val="4423C777"/>
    <w:multiLevelType w:val="hybridMultilevel"/>
    <w:lvl w:ilvl="0">
      <w:lvlJc w:val="left"/>
      <w:lvlText w:val="%1"/>
      <w:numFmt w:val="lowerLetter"/>
      <w:start w:val="1"/>
    </w:lvl>
    <w:lvl w:ilvl="1">
      <w:lvlJc w:val="left"/>
      <w:lvlText w:val="%2."/>
      <w:numFmt w:val="decimal"/>
      <w:start w:val="1"/>
    </w:lvl>
  </w:abstractNum>
  <w:abstractNum w:abstractNumId="455">
    <w:nsid w:val="5F5C6E4D"/>
    <w:multiLevelType w:val="hybridMultilevel"/>
    <w:lvl w:ilvl="0">
      <w:lvlJc w:val="left"/>
      <w:lvlText w:val="(%1)"/>
      <w:numFmt w:val="lowerLetter"/>
      <w:start w:val="4"/>
    </w:lvl>
    <w:lvl w:ilvl="1">
      <w:lvlJc w:val="left"/>
      <w:lvlText w:val="%2."/>
      <w:numFmt w:val="decimal"/>
      <w:start w:val="2"/>
    </w:lvl>
  </w:abstractNum>
  <w:abstractNum w:abstractNumId="456">
    <w:nsid w:val="7C2A56CD"/>
    <w:multiLevelType w:val="hybridMultilevel"/>
    <w:lvl w:ilvl="0">
      <w:lvlJc w:val="left"/>
      <w:lvlText w:val="%1."/>
      <w:numFmt w:val="decimal"/>
      <w:start w:val="1"/>
    </w:lvl>
  </w:abstractNum>
  <w:abstractNum w:abstractNumId="457">
    <w:nsid w:val="7AB86EE1"/>
    <w:multiLevelType w:val="hybridMultilevel"/>
    <w:lvl w:ilvl="0">
      <w:lvlJc w:val="left"/>
      <w:lvlText w:val="%1."/>
      <w:numFmt w:val="decimal"/>
      <w:start w:val="1"/>
    </w:lvl>
    <w:lvl w:ilvl="1">
      <w:lvlJc w:val="left"/>
      <w:lvlText w:val="*"/>
      <w:numFmt w:val="bullet"/>
      <w:start w:val="1"/>
    </w:lvl>
  </w:abstractNum>
  <w:abstractNum w:abstractNumId="458">
    <w:nsid w:val="B54E53B"/>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459">
    <w:nsid w:val="2A00487"/>
    <w:multiLevelType w:val="hybridMultilevel"/>
    <w:lvl w:ilvl="0">
      <w:lvlJc w:val="left"/>
      <w:lvlText w:val="(%1)"/>
      <w:numFmt w:val="lowerLetter"/>
      <w:start w:val="9"/>
    </w:lvl>
    <w:lvl w:ilvl="1">
      <w:lvlJc w:val="left"/>
      <w:lvlText w:val="(%2)"/>
      <w:numFmt w:val="decimal"/>
      <w:start w:val="2"/>
    </w:lvl>
    <w:lvl w:ilvl="2">
      <w:lvlJc w:val="left"/>
      <w:lvlText w:val="%3"/>
      <w:numFmt w:val="upperLetter"/>
      <w:start w:val="1"/>
    </w:lvl>
  </w:abstractNum>
  <w:abstractNum w:abstractNumId="460">
    <w:nsid w:val="6CB1B60"/>
    <w:multiLevelType w:val="hybridMultilevel"/>
    <w:lvl w:ilvl="0">
      <w:lvlJc w:val="left"/>
      <w:lvlText w:val="(%1)"/>
      <w:numFmt w:val="lowerLetter"/>
      <w:start w:val="9"/>
    </w:lvl>
    <w:lvl w:ilvl="1">
      <w:lvlJc w:val="left"/>
      <w:lvlText w:val="%2"/>
      <w:numFmt w:val="decimal"/>
      <w:start w:val="1"/>
    </w:lvl>
    <w:lvl w:ilvl="2">
      <w:lvlJc w:val="left"/>
      <w:lvlText w:val="%3"/>
      <w:numFmt w:val="upperLetter"/>
      <w:start w:val="1"/>
    </w:lvl>
  </w:abstractNum>
  <w:abstractNum w:abstractNumId="461">
    <w:nsid w:val="72EDD574"/>
    <w:multiLevelType w:val="hybridMultilevel"/>
    <w:lvl w:ilvl="0">
      <w:lvlJc w:val="left"/>
      <w:lvlText w:val="(%1)"/>
      <w:numFmt w:val="lowerLetter"/>
      <w:start w:val="35"/>
    </w:lvl>
    <w:lvl w:ilvl="1">
      <w:lvlJc w:val="left"/>
      <w:lvlText w:val="%2"/>
      <w:numFmt w:val="decimal"/>
      <w:start w:val="1"/>
    </w:lvl>
    <w:lvl w:ilvl="2">
      <w:lvlJc w:val="left"/>
      <w:lvlText w:val="(%3)"/>
      <w:numFmt w:val="upperLetter"/>
      <w:start w:val="1"/>
    </w:lvl>
  </w:abstractNum>
  <w:abstractNum w:abstractNumId="462">
    <w:nsid w:val="7323808A"/>
    <w:multiLevelType w:val="hybridMultilevel"/>
    <w:lvl w:ilvl="0">
      <w:lvlJc w:val="left"/>
      <w:lvlText w:val="%1"/>
      <w:numFmt w:val="lowerLetter"/>
      <w:start w:val="1"/>
    </w:lvl>
    <w:lvl w:ilvl="1">
      <w:lvlJc w:val="left"/>
      <w:lvlText w:val="(%2)"/>
      <w:numFmt w:val="upperLetter"/>
      <w:start w:val="2"/>
    </w:lvl>
  </w:abstractNum>
  <w:abstractNum w:abstractNumId="463">
    <w:nsid w:val="5157276"/>
    <w:multiLevelType w:val="hybridMultilevel"/>
    <w:lvl w:ilvl="0">
      <w:lvlJc w:val="left"/>
      <w:lvlText w:val="(%1)"/>
      <w:numFmt w:val="lowerLetter"/>
      <w:start w:val="24"/>
    </w:lvl>
    <w:lvl w:ilvl="1">
      <w:lvlJc w:val="left"/>
      <w:lvlText w:val="%2"/>
      <w:numFmt w:val="upperLetter"/>
      <w:start w:val="1"/>
    </w:lvl>
  </w:abstractNum>
  <w:abstractNum w:abstractNumId="464">
    <w:nsid w:val="35A681DB"/>
    <w:multiLevelType w:val="hybridMultilevel"/>
    <w:lvl w:ilvl="0">
      <w:lvlJc w:val="left"/>
      <w:lvlText w:val="(%1)"/>
      <w:numFmt w:val="lowerLetter"/>
      <w:start w:val="4"/>
    </w:lvl>
    <w:lvl w:ilvl="1">
      <w:lvlJc w:val="left"/>
      <w:lvlText w:val="(%2)"/>
      <w:numFmt w:val="upperLetter"/>
      <w:start w:val="4"/>
    </w:lvl>
  </w:abstractNum>
  <w:abstractNum w:abstractNumId="465">
    <w:nsid w:val="1786C974"/>
    <w:multiLevelType w:val="hybridMultilevel"/>
    <w:lvl w:ilvl="0">
      <w:lvlJc w:val="left"/>
      <w:lvlText w:val="%1"/>
      <w:numFmt w:val="lowerLetter"/>
      <w:start w:val="1"/>
    </w:lvl>
    <w:lvl w:ilvl="1">
      <w:lvlJc w:val="left"/>
      <w:lvlText w:val="(%2)"/>
      <w:numFmt w:val="decimal"/>
      <w:start w:val="3"/>
    </w:lvl>
  </w:abstractNum>
  <w:abstractNum w:abstractNumId="466">
    <w:nsid w:val="1C2427A1"/>
    <w:multiLevelType w:val="hybridMultilevel"/>
    <w:lvl w:ilvl="0">
      <w:lvlJc w:val="left"/>
      <w:lvlText w:val="(%1)"/>
      <w:numFmt w:val="lowerLetter"/>
      <w:start w:val="2"/>
    </w:lvl>
    <w:lvl w:ilvl="1">
      <w:lvlJc w:val="left"/>
      <w:lvlText w:val="(%2)"/>
      <w:numFmt w:val="decimal"/>
      <w:start w:val="1"/>
    </w:lvl>
  </w:abstractNum>
  <w:abstractNum w:abstractNumId="467">
    <w:nsid w:val="63A24D68"/>
    <w:multiLevelType w:val="hybridMultilevel"/>
    <w:lvl w:ilvl="0">
      <w:lvlJc w:val="left"/>
      <w:lvlText w:val="%1"/>
      <w:numFmt w:val="lowerRoman"/>
      <w:start w:val="1"/>
    </w:lvl>
    <w:lvl w:ilvl="1">
      <w:lvlJc w:val="left"/>
      <w:lvlText w:val="(%2)"/>
      <w:numFmt w:val="decimal"/>
      <w:start w:val="3"/>
    </w:lvl>
  </w:abstractNum>
  <w:abstractNum w:abstractNumId="468">
    <w:nsid w:val="4FB7A02A"/>
    <w:multiLevelType w:val="hybridMultilevel"/>
    <w:lvl w:ilvl="0">
      <w:lvlJc w:val="left"/>
      <w:lvlText w:val="(%1)"/>
      <w:numFmt w:val="lowerRoman"/>
      <w:start w:val="1"/>
    </w:lvl>
    <w:lvl w:ilvl="1">
      <w:lvlJc w:val="left"/>
      <w:lvlText w:val="%2"/>
      <w:numFmt w:val="decimal"/>
      <w:start w:val="1"/>
    </w:lvl>
  </w:abstractNum>
  <w:abstractNum w:abstractNumId="469">
    <w:nsid w:val="96CF728"/>
    <w:multiLevelType w:val="hybridMultilevel"/>
    <w:lvl w:ilvl="0">
      <w:lvlJc w:val="left"/>
      <w:lvlText w:val="(%1)"/>
      <w:numFmt w:val="lowerLetter"/>
      <w:start w:val="1"/>
    </w:lvl>
  </w:abstractNum>
  <w:abstractNum w:abstractNumId="470">
    <w:nsid w:val="3B121183"/>
    <w:multiLevelType w:val="hybridMultilevel"/>
    <w:lvl w:ilvl="0">
      <w:lvlJc w:val="left"/>
      <w:lvlText w:val="(%1)"/>
      <w:numFmt w:val="lowerLetter"/>
      <w:start w:val="4"/>
    </w:lvl>
  </w:abstractNum>
  <w:abstractNum w:abstractNumId="471">
    <w:nsid w:val="3459648F"/>
    <w:multiLevelType w:val="hybridMultilevel"/>
    <w:lvl w:ilvl="0">
      <w:lvlJc w:val="left"/>
      <w:lvlText w:val="(%1)"/>
      <w:numFmt w:val="decimal"/>
      <w:start w:val="60"/>
    </w:lvl>
  </w:abstractNum>
  <w:abstractNum w:abstractNumId="472">
    <w:nsid w:val="3ADF331D"/>
    <w:multiLevelType w:val="hybridMultilevel"/>
    <w:lvl w:ilvl="0">
      <w:lvlJc w:val="left"/>
      <w:lvlText w:val="(%1)"/>
      <w:numFmt w:val="lowerLetter"/>
      <w:start w:val="1"/>
    </w:lvl>
  </w:abstractNum>
  <w:abstractNum w:abstractNumId="473">
    <w:nsid w:val="4D08A9E4"/>
    <w:multiLevelType w:val="hybridMultilevel"/>
    <w:lvl w:ilvl="0">
      <w:lvlJc w:val="left"/>
      <w:lvlText w:val="(%1)"/>
      <w:numFmt w:val="lowerRoman"/>
      <w:start w:val="1"/>
    </w:lvl>
  </w:abstractNum>
  <w:abstractNum w:abstractNumId="474">
    <w:nsid w:val="6AF2BB3A"/>
    <w:multiLevelType w:val="hybridMultilevel"/>
    <w:lvl w:ilvl="0">
      <w:lvlJc w:val="left"/>
      <w:lvlText w:val="(%1)"/>
      <w:numFmt w:val="lowerLetter"/>
      <w:start w:val="1"/>
    </w:lvl>
    <w:lvl w:ilvl="1">
      <w:lvlJc w:val="left"/>
      <w:lvlText w:val="(%2)"/>
      <w:numFmt w:val="decimal"/>
      <w:start w:val="1"/>
    </w:lvl>
  </w:abstractNum>
  <w:abstractNum w:abstractNumId="475">
    <w:nsid w:val="481B1739"/>
    <w:multiLevelType w:val="hybridMultilevel"/>
    <w:lvl w:ilvl="0">
      <w:lvlJc w:val="left"/>
      <w:lvlText w:val="%1"/>
      <w:numFmt w:val="lowerLetter"/>
      <w:start w:val="1"/>
    </w:lvl>
    <w:lvl w:ilvl="1">
      <w:lvlJc w:val="left"/>
      <w:lvlText w:val="(%2)"/>
      <w:numFmt w:val="lowerLetter"/>
      <w:start w:val="1"/>
    </w:lvl>
  </w:abstractNum>
  <w:abstractNum w:abstractNumId="476">
    <w:nsid w:val="19E2BFCC"/>
    <w:multiLevelType w:val="hybridMultilevel"/>
    <w:lvl w:ilvl="0">
      <w:lvlJc w:val="left"/>
      <w:lvlText w:val="(%1)"/>
      <w:numFmt w:val="lowerLetter"/>
      <w:start w:val="9"/>
    </w:lvl>
    <w:lvl w:ilvl="1">
      <w:lvlJc w:val="left"/>
      <w:lvlText w:val="(%2)"/>
      <w:numFmt w:val="lowerLetter"/>
      <w:start w:val="2"/>
    </w:lvl>
  </w:abstractNum>
  <w:abstractNum w:abstractNumId="477">
    <w:nsid w:val="66D021CA"/>
    <w:multiLevelType w:val="hybridMultilevel"/>
    <w:lvl w:ilvl="0">
      <w:lvlJc w:val="left"/>
      <w:lvlText w:val="(%1)"/>
      <w:numFmt w:val="lowerLetter"/>
      <w:start w:val="1"/>
    </w:lvl>
  </w:abstractNum>
  <w:abstractNum w:abstractNumId="478">
    <w:nsid w:val="56167394"/>
    <w:multiLevelType w:val="hybridMultilevel"/>
    <w:lvl w:ilvl="0">
      <w:lvlJc w:val="left"/>
      <w:lvlText w:val="(%1)"/>
      <w:numFmt w:val="lowerLetter"/>
      <w:start w:val="2"/>
    </w:lvl>
  </w:abstractNum>
  <w:abstractNum w:abstractNumId="479">
    <w:nsid w:val="921145C"/>
    <w:multiLevelType w:val="hybridMultilevel"/>
    <w:lvl w:ilvl="0">
      <w:lvlJc w:val="left"/>
      <w:lvlText w:val="(%1)"/>
      <w:numFmt w:val="lowerLetter"/>
      <w:start w:val="1"/>
    </w:lvl>
  </w:abstractNum>
  <w:abstractNum w:abstractNumId="480">
    <w:nsid w:val="7B34DFE8"/>
    <w:multiLevelType w:val="hybridMultilevel"/>
    <w:lvl w:ilvl="0">
      <w:lvlJc w:val="left"/>
      <w:lvlText w:val="(%1)"/>
      <w:numFmt w:val="lowerLetter"/>
      <w:start w:val="1"/>
    </w:lvl>
  </w:abstractNum>
  <w:abstractNum w:abstractNumId="481">
    <w:nsid w:val="3CD22B79"/>
    <w:multiLevelType w:val="hybridMultilevel"/>
    <w:lvl w:ilvl="0">
      <w:lvlJc w:val="left"/>
      <w:lvlText w:val="1"/>
      <w:numFmt w:val="bullet"/>
      <w:start w:val="1"/>
    </w:lvl>
  </w:abstractNum>
  <w:abstractNum w:abstractNumId="482">
    <w:nsid w:val="3137975E"/>
    <w:multiLevelType w:val="hybridMultilevel"/>
    <w:lvl w:ilvl="0">
      <w:lvlJc w:val="left"/>
      <w:lvlText w:val="(%1)"/>
      <w:numFmt w:val="upperLetter"/>
      <w:start w:val="1"/>
    </w:lvl>
  </w:abstractNum>
  <w:abstractNum w:abstractNumId="483">
    <w:nsid w:val="2DDAA791"/>
    <w:multiLevelType w:val="hybridMultilevel"/>
    <w:lvl w:ilvl="0">
      <w:lvlJc w:val="left"/>
      <w:lvlText w:val="(%1)"/>
      <w:numFmt w:val="lowerRoman"/>
      <w:start w:val="4"/>
    </w:lvl>
  </w:abstractNum>
  <w:abstractNum w:abstractNumId="484">
    <w:nsid w:val="77263B8A"/>
    <w:multiLevelType w:val="hybridMultilevel"/>
    <w:lvl w:ilvl="0">
      <w:lvlJc w:val="left"/>
      <w:lvlText w:val="%1."/>
      <w:numFmt w:val="decimal"/>
      <w:start w:val="2"/>
    </w:lvl>
  </w:abstractNum>
  <w:abstractNum w:abstractNumId="485">
    <w:nsid w:val="755B5ED6"/>
    <w:multiLevelType w:val="hybridMultilevel"/>
    <w:lvl w:ilvl="0">
      <w:lvlJc w:val="left"/>
      <w:lvlText w:val="(%1)"/>
      <w:numFmt w:val="lowerRoman"/>
      <w:start w:val="2"/>
    </w:lvl>
  </w:abstractNum>
  <w:abstractNum w:abstractNumId="486">
    <w:nsid w:val="D3715DE"/>
    <w:multiLevelType w:val="hybridMultilevel"/>
    <w:lvl w:ilvl="0">
      <w:lvlJc w:val="left"/>
      <w:lvlText w:val="(%1)"/>
      <w:numFmt w:val="lowerRoman"/>
      <w:start w:val="1"/>
    </w:lvl>
  </w:abstractNum>
  <w:abstractNum w:abstractNumId="487">
    <w:nsid w:val="73509257"/>
    <w:multiLevelType w:val="hybridMultilevel"/>
    <w:lvl w:ilvl="0">
      <w:lvlJc w:val="left"/>
      <w:lvlText w:val="(%1)"/>
      <w:numFmt w:val="lowerLetter"/>
      <w:start w:val="1"/>
    </w:lvl>
  </w:abstractNum>
  <w:abstractNum w:abstractNumId="488">
    <w:nsid w:val="7013CDB7"/>
    <w:multiLevelType w:val="hybridMultilevel"/>
    <w:lvl w:ilvl="0">
      <w:lvlJc w:val="left"/>
      <w:lvlText w:val="(%1)"/>
      <w:numFmt w:val="lowerLetter"/>
      <w:start w:val="2"/>
    </w:lvl>
  </w:abstractNum>
  <w:abstractNum w:abstractNumId="489">
    <w:nsid w:val="188BFB19"/>
    <w:multiLevelType w:val="hybridMultilevel"/>
    <w:lvl w:ilvl="0">
      <w:lvlJc w:val="left"/>
      <w:lvlText w:val="(%1)"/>
      <w:numFmt w:val="decimal"/>
      <w:start w:val="120"/>
    </w:lvl>
  </w:abstractNum>
  <w:abstractNum w:abstractNumId="490">
    <w:nsid w:val="75F096DF"/>
    <w:multiLevelType w:val="hybridMultilevel"/>
    <w:lvl w:ilvl="0">
      <w:lvlJc w:val="left"/>
      <w:lvlText w:val="%1."/>
      <w:numFmt w:val="decimal"/>
      <w:start w:val="4"/>
    </w:lvl>
  </w:abstractNum>
  <w:abstractNum w:abstractNumId="491">
    <w:nsid w:val="76DEE918"/>
    <w:multiLevelType w:val="hybridMultilevel"/>
    <w:lvl w:ilvl="0">
      <w:lvlJc w:val="left"/>
      <w:lvlText w:val="%1."/>
      <w:numFmt w:val="decimal"/>
      <w:start w:val="5"/>
    </w:lvl>
  </w:abstractNum>
  <w:abstractNum w:abstractNumId="492">
    <w:nsid w:val="B79D08D"/>
    <w:multiLevelType w:val="hybridMultilevel"/>
    <w:lvl w:ilvl="0">
      <w:lvlJc w:val="left"/>
      <w:lvlText w:val="1"/>
      <w:numFmt w:val="bullet"/>
      <w:start w:val="1"/>
    </w:lvl>
  </w:abstractNum>
  <w:abstractNum w:abstractNumId="493">
    <w:nsid w:val="69141769"/>
    <w:multiLevelType w:val="hybridMultilevel"/>
    <w:lvl w:ilvl="0">
      <w:lvlJc w:val="left"/>
      <w:lvlText w:val="(%1)"/>
      <w:numFmt w:val="lowerLetter"/>
      <w:start w:val="1"/>
    </w:lvl>
    <w:lvl w:ilvl="1">
      <w:lvlJc w:val="left"/>
      <w:lvlText w:val="(%2)"/>
      <w:numFmt w:val="lowerRoman"/>
      <w:start w:val="1"/>
    </w:lvl>
  </w:abstractNum>
  <w:abstractNum w:abstractNumId="494">
    <w:nsid w:val="7BF45B8E"/>
    <w:multiLevelType w:val="hybridMultilevel"/>
    <w:lvl w:ilvl="0">
      <w:lvlJc w:val="left"/>
      <w:lvlText w:val="(%1)"/>
      <w:numFmt w:val="lowerLetter"/>
      <w:start w:val="3"/>
    </w:lvl>
  </w:abstractNum>
  <w:abstractNum w:abstractNumId="495">
    <w:nsid w:val="41205269"/>
    <w:multiLevelType w:val="hybridMultilevel"/>
    <w:lvl w:ilvl="0">
      <w:lvlJc w:val="left"/>
      <w:lvlText w:val="(%1)"/>
      <w:numFmt w:val="lowerLetter"/>
      <w:start w:val="6"/>
    </w:lvl>
  </w:abstractNum>
  <w:abstractNum w:abstractNumId="496">
    <w:nsid w:val="9AE0DD"/>
    <w:multiLevelType w:val="hybridMultilevel"/>
    <w:lvl w:ilvl="0">
      <w:lvlJc w:val="left"/>
      <w:lvlText w:val="(%1)"/>
      <w:numFmt w:val="lowerLetter"/>
      <w:start w:val="1"/>
    </w:lvl>
  </w:abstractNum>
  <w:abstractNum w:abstractNumId="497">
    <w:nsid w:val="1818832F"/>
    <w:multiLevelType w:val="hybridMultilevel"/>
    <w:lvl w:ilvl="0">
      <w:lvlJc w:val="left"/>
      <w:lvlText w:val="(%1)"/>
      <w:numFmt w:val="lowerLetter"/>
      <w:start w:val="3"/>
    </w:lvl>
  </w:abstractNum>
  <w:abstractNum w:abstractNumId="498">
    <w:nsid w:val="24C29FD1"/>
    <w:multiLevelType w:val="hybridMultilevel"/>
    <w:lvl w:ilvl="0">
      <w:lvlJc w:val="left"/>
      <w:lvlText w:val="(%1)"/>
      <w:numFmt w:val="lowerLetter"/>
      <w:start w:val="1"/>
    </w:lvl>
  </w:abstractNum>
  <w:abstractNum w:abstractNumId="499">
    <w:nsid w:val="50528108"/>
    <w:multiLevelType w:val="hybridMultilevel"/>
    <w:lvl w:ilvl="0">
      <w:lvlJc w:val="left"/>
      <w:lvlText w:val="(%1)"/>
      <w:numFmt w:val="lowerLetter"/>
      <w:start w:val="2"/>
    </w:lvl>
    <w:lvl w:ilvl="1">
      <w:lvlJc w:val="left"/>
      <w:lvlText w:val="(%2)"/>
      <w:numFmt w:val="lowerRoman"/>
      <w:start w:val="1"/>
    </w:lvl>
  </w:abstractNum>
  <w:abstractNum w:abstractNumId="500">
    <w:nsid w:val="21857A57"/>
    <w:multiLevelType w:val="hybridMultilevel"/>
    <w:lvl w:ilvl="0">
      <w:lvlJc w:val="left"/>
      <w:lvlText w:val="(%1)"/>
      <w:numFmt w:val="lowerLetter"/>
      <w:start w:val="6"/>
    </w:lvl>
  </w:abstractNum>
  <w:abstractNum w:abstractNumId="501">
    <w:nsid w:val="5FD4B154"/>
    <w:multiLevelType w:val="hybridMultilevel"/>
    <w:lvl w:ilvl="0">
      <w:lvlJc w:val="left"/>
      <w:lvlText w:val="(%1)"/>
      <w:numFmt w:val="lowerLetter"/>
      <w:start w:val="1"/>
    </w:lvl>
  </w:abstractNum>
  <w:abstractNum w:abstractNumId="502">
    <w:nsid w:val="4ABE597"/>
    <w:multiLevelType w:val="hybridMultilevel"/>
    <w:lvl w:ilvl="0">
      <w:lvlJc w:val="left"/>
      <w:lvlText w:val="%1"/>
      <w:numFmt w:val="lowerLetter"/>
      <w:start w:val="1"/>
    </w:lvl>
    <w:lvl w:ilvl="1">
      <w:lvlJc w:val="left"/>
      <w:lvlText w:val="(%2)"/>
      <w:numFmt w:val="lowerLetter"/>
      <w:start w:val="1"/>
    </w:lvl>
  </w:abstractNum>
  <w:abstractNum w:abstractNumId="503">
    <w:nsid w:val="5C64AD75"/>
    <w:multiLevelType w:val="hybridMultilevel"/>
    <w:lvl w:ilvl="0">
      <w:lvlJc w:val="left"/>
      <w:lvlText w:val="(%1)"/>
      <w:numFmt w:val="lowerLetter"/>
      <w:start w:val="9"/>
    </w:lvl>
    <w:lvl w:ilvl="1">
      <w:lvlJc w:val="left"/>
      <w:lvlText w:val="(%2)"/>
      <w:numFmt w:val="lowerLetter"/>
      <w:start w:val="3"/>
    </w:lvl>
  </w:abstractNum>
  <w:abstractNum w:abstractNumId="504">
    <w:nsid w:val="2CDD5B39"/>
    <w:multiLevelType w:val="hybridMultilevel"/>
    <w:lvl w:ilvl="0">
      <w:lvlJc w:val="left"/>
      <w:lvlText w:val="(%1)"/>
      <w:numFmt w:val="lowerLetter"/>
      <w:start w:val="4"/>
    </w:lvl>
  </w:abstractNum>
  <w:abstractNum w:abstractNumId="505">
    <w:nsid w:val="6F9EA0D1"/>
    <w:multiLevelType w:val="hybridMultilevel"/>
    <w:lvl w:ilvl="0">
      <w:lvlJc w:val="left"/>
      <w:lvlText w:val="(%1)"/>
      <w:numFmt w:val="lowerLetter"/>
      <w:start w:val="1"/>
    </w:lvl>
  </w:abstractNum>
  <w:abstractNum w:abstractNumId="506">
    <w:nsid w:val="247FC4AE"/>
    <w:multiLevelType w:val="hybridMultilevel"/>
    <w:lvl w:ilvl="0">
      <w:lvlJc w:val="left"/>
      <w:lvlText w:val="(%1)"/>
      <w:numFmt w:val="lowerLetter"/>
      <w:start w:val="1"/>
    </w:lvl>
  </w:abstractNum>
  <w:abstractNum w:abstractNumId="507">
    <w:nsid w:val="46C01B05"/>
    <w:multiLevelType w:val="hybridMultilevel"/>
    <w:lvl w:ilvl="0">
      <w:lvlJc w:val="left"/>
      <w:lvlText w:val="(%1)"/>
      <w:numFmt w:val="lowerLetter"/>
      <w:start w:val="1"/>
    </w:lvl>
  </w:abstractNum>
  <w:abstractNum w:abstractNumId="508">
    <w:nsid w:val="566EC29B"/>
    <w:multiLevelType w:val="hybridMultilevel"/>
    <w:lvl w:ilvl="0">
      <w:lvlJc w:val="left"/>
      <w:lvlText w:val="(%1)"/>
      <w:numFmt w:val="lowerLetter"/>
      <w:start w:val="1"/>
    </w:lvl>
  </w:abstractNum>
  <w:abstractNum w:abstractNumId="509">
    <w:nsid w:val="7A963843"/>
    <w:multiLevelType w:val="hybridMultilevel"/>
    <w:lvl w:ilvl="0">
      <w:lvlJc w:val="left"/>
      <w:lvlText w:val="(%1)"/>
      <w:numFmt w:val="lowerLetter"/>
      <w:start w:val="1"/>
    </w:lvl>
    <w:lvl w:ilvl="1">
      <w:lvlJc w:val="left"/>
      <w:lvlText w:val="(%2)"/>
      <w:numFmt w:val="lowerRoman"/>
      <w:start w:val="1"/>
    </w:lvl>
  </w:abstractNum>
  <w:abstractNum w:abstractNumId="510">
    <w:nsid w:val="4FE12F61"/>
    <w:multiLevelType w:val="hybridMultilevel"/>
    <w:lvl w:ilvl="0">
      <w:lvlJc w:val="left"/>
      <w:lvlText w:val="(%1)"/>
      <w:numFmt w:val="lowerLetter"/>
      <w:start w:val="1"/>
    </w:lvl>
  </w:abstractNum>
  <w:abstractNum w:abstractNumId="511">
    <w:nsid w:val="51A3A284"/>
    <w:multiLevelType w:val="hybridMultilevel"/>
    <w:lvl w:ilvl="0">
      <w:lvlJc w:val="left"/>
      <w:lvlText w:val="(%1)"/>
      <w:numFmt w:val="lowerLetter"/>
      <w:start w:val="5"/>
    </w:lvl>
  </w:abstractNum>
  <w:abstractNum w:abstractNumId="512">
    <w:nsid w:val="376863BC"/>
    <w:multiLevelType w:val="hybridMultilevel"/>
    <w:lvl w:ilvl="0">
      <w:lvlJc w:val="left"/>
      <w:lvlText w:val="%1."/>
      <w:numFmt w:val="decimal"/>
      <w:start w:val="1"/>
    </w:lvl>
  </w:abstractNum>
  <w:abstractNum w:abstractNumId="513">
    <w:nsid w:val="118C6C0"/>
    <w:multiLevelType w:val="hybridMultilevel"/>
    <w:lvl w:ilvl="0">
      <w:lvlJc w:val="left"/>
      <w:lvlText w:val="%1."/>
      <w:numFmt w:val="decimal"/>
      <w:start w:val="4"/>
    </w:lvl>
    <w:lvl w:ilvl="1">
      <w:lvlJc w:val="left"/>
      <w:lvlText w:val="(%2)"/>
      <w:numFmt w:val="lowerLetter"/>
      <w:start w:val="1"/>
    </w:lvl>
  </w:abstractNum>
  <w:abstractNum w:abstractNumId="514">
    <w:nsid w:val="7F7E4A15"/>
    <w:multiLevelType w:val="hybridMultilevel"/>
    <w:lvl w:ilvl="0">
      <w:lvlJc w:val="left"/>
      <w:lvlText w:val="4"/>
      <w:numFmt w:val="bullet"/>
      <w:start w:val="1"/>
    </w:lvl>
  </w:abstractNum>
  <w:abstractNum w:abstractNumId="515">
    <w:nsid w:val="2E8E9F47"/>
    <w:multiLevelType w:val="hybridMultilevel"/>
    <w:lvl w:ilvl="0">
      <w:lvlJc w:val="left"/>
      <w:lvlText w:val="%1."/>
      <w:numFmt w:val="decimal"/>
      <w:start w:val="9"/>
    </w:lvl>
  </w:abstractNum>
  <w:abstractNum w:abstractNumId="516">
    <w:nsid w:val="76742596"/>
    <w:multiLevelType w:val="hybridMultilevel"/>
    <w:lvl w:ilvl="0">
      <w:lvlJc w:val="left"/>
      <w:lvlText w:val="%1."/>
      <w:numFmt w:val="decimal"/>
      <w:start w:val="12"/>
    </w:lvl>
  </w:abstractNum>
  <w:abstractNum w:abstractNumId="517">
    <w:nsid w:val="CB55FF3"/>
    <w:multiLevelType w:val="hybridMultilevel"/>
    <w:lvl w:ilvl="0">
      <w:lvlJc w:val="left"/>
      <w:lvlText w:val="%1."/>
      <w:numFmt w:val="decimal"/>
      <w:start w:val="13"/>
    </w:lvl>
  </w:abstractNum>
  <w:abstractNum w:abstractNumId="518">
    <w:nsid w:val="21DF319E"/>
    <w:multiLevelType w:val="hybridMultilevel"/>
    <w:lvl w:ilvl="0">
      <w:lvlJc w:val="left"/>
      <w:lvlText w:val="%1."/>
      <w:numFmt w:val="decimal"/>
      <w:start w:val="26"/>
    </w:lvl>
  </w:abstractNum>
  <w:abstractNum w:abstractNumId="519">
    <w:nsid w:val="6687F34D"/>
    <w:multiLevelType w:val="hybridMultilevel"/>
    <w:lvl w:ilvl="0">
      <w:lvlJc w:val="left"/>
      <w:lvlText w:val="(%1)"/>
      <w:numFmt w:val="lowerLetter"/>
      <w:start w:val="1"/>
    </w:lvl>
    <w:lvl w:ilvl="1">
      <w:lvlJc w:val="left"/>
      <w:lvlText w:val="(%2)"/>
      <w:numFmt w:val="lowerRoman"/>
      <w:start w:val="1"/>
    </w:lvl>
  </w:abstractNum>
  <w:abstractNum w:abstractNumId="520">
    <w:nsid w:val="25415B0C"/>
    <w:multiLevelType w:val="hybridMultilevel"/>
    <w:lvl w:ilvl="0">
      <w:lvlJc w:val="left"/>
      <w:lvlText w:val="(%1)"/>
      <w:numFmt w:val="lowerLetter"/>
      <w:start w:val="3"/>
    </w:lvl>
  </w:abstractNum>
  <w:abstractNum w:abstractNumId="521">
    <w:nsid w:val="17CFC87D"/>
    <w:multiLevelType w:val="hybridMultilevel"/>
    <w:lvl w:ilvl="0">
      <w:lvlJc w:val="left"/>
      <w:lvlText w:val="(%1)"/>
      <w:numFmt w:val="lowerLetter"/>
      <w:start w:val="6"/>
    </w:lvl>
  </w:abstractNum>
  <w:abstractNum w:abstractNumId="522">
    <w:nsid w:val="5D66DC65"/>
    <w:multiLevelType w:val="hybridMultilevel"/>
    <w:lvl w:ilvl="0">
      <w:lvlJc w:val="left"/>
      <w:lvlText w:val="(%1)"/>
      <w:numFmt w:val="lowerLetter"/>
      <w:start w:val="1"/>
    </w:lvl>
  </w:abstractNum>
  <w:abstractNum w:abstractNumId="523">
    <w:nsid w:val="30BB2B99"/>
    <w:multiLevelType w:val="hybridMultilevel"/>
    <w:lvl w:ilvl="0">
      <w:lvlJc w:val="left"/>
      <w:lvlText w:val="(%1)"/>
      <w:numFmt w:val="lowerLetter"/>
      <w:start w:val="3"/>
    </w:lvl>
  </w:abstractNum>
  <w:abstractNum w:abstractNumId="524">
    <w:nsid w:val="E3DFE6"/>
    <w:multiLevelType w:val="hybridMultilevel"/>
    <w:lvl w:ilvl="0">
      <w:lvlJc w:val="left"/>
      <w:lvlText w:val="(%1)"/>
      <w:numFmt w:val="lowerLetter"/>
      <w:start w:val="1"/>
    </w:lvl>
  </w:abstractNum>
  <w:abstractNum w:abstractNumId="525">
    <w:nsid w:val="595B37F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526">
    <w:nsid w:val="71DB7E02"/>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527">
    <w:nsid w:val="17EC0C4"/>
    <w:multiLevelType w:val="hybridMultilevel"/>
    <w:lvl w:ilvl="0">
      <w:lvlJc w:val="left"/>
      <w:lvlText w:val="(%1)"/>
      <w:numFmt w:val="lowerLetter"/>
      <w:start w:val="6"/>
    </w:lvl>
  </w:abstractNum>
  <w:abstractNum w:abstractNumId="528">
    <w:nsid w:val="7173BB22"/>
    <w:multiLevelType w:val="hybridMultilevel"/>
    <w:lvl w:ilvl="0">
      <w:lvlJc w:val="left"/>
      <w:lvlText w:val="(%1)"/>
      <w:numFmt w:val="lowerLetter"/>
      <w:start w:val="1"/>
    </w:lvl>
  </w:abstractNum>
  <w:abstractNum w:abstractNumId="529">
    <w:nsid w:val="169E1DD3"/>
    <w:multiLevelType w:val="hybridMultilevel"/>
    <w:lvl w:ilvl="0">
      <w:lvlJc w:val="left"/>
      <w:lvlText w:val="%1"/>
      <w:numFmt w:val="lowerLetter"/>
      <w:start w:val="1"/>
    </w:lvl>
    <w:lvl w:ilvl="1">
      <w:lvlJc w:val="left"/>
      <w:lvlText w:val="(%2)"/>
      <w:numFmt w:val="lowerLetter"/>
      <w:start w:val="1"/>
    </w:lvl>
  </w:abstractNum>
  <w:abstractNum w:abstractNumId="530">
    <w:nsid w:val="51D141CC"/>
    <w:multiLevelType w:val="hybridMultilevel"/>
    <w:lvl w:ilvl="0">
      <w:lvlJc w:val="left"/>
      <w:lvlText w:val="(%1)"/>
      <w:numFmt w:val="lowerLetter"/>
      <w:start w:val="9"/>
    </w:lvl>
    <w:lvl w:ilvl="1">
      <w:lvlJc w:val="left"/>
      <w:lvlText w:val="(%2)"/>
      <w:numFmt w:val="lowerLetter"/>
      <w:start w:val="3"/>
    </w:lvl>
  </w:abstractNum>
  <w:abstractNum w:abstractNumId="531">
    <w:nsid w:val="12F9357A"/>
    <w:multiLevelType w:val="hybridMultilevel"/>
    <w:lvl w:ilvl="0">
      <w:lvlJc w:val="left"/>
      <w:lvlText w:val="(%1)"/>
      <w:numFmt w:val="lowerLetter"/>
      <w:start w:val="4"/>
    </w:lvl>
  </w:abstractNum>
  <w:abstractNum w:abstractNumId="532">
    <w:nsid w:val="7672CF28"/>
    <w:multiLevelType w:val="hybridMultilevel"/>
    <w:lvl w:ilvl="0">
      <w:lvlJc w:val="left"/>
      <w:lvlText w:val="(%1)"/>
      <w:numFmt w:val="lowerLetter"/>
      <w:start w:val="1"/>
    </w:lvl>
  </w:abstractNum>
  <w:abstractNum w:abstractNumId="533">
    <w:nsid w:val="567D2763"/>
    <w:multiLevelType w:val="hybridMultilevel"/>
    <w:lvl w:ilvl="0">
      <w:lvlJc w:val="left"/>
      <w:lvlText w:val="(%1)"/>
      <w:numFmt w:val="lowerLetter"/>
      <w:start w:val="1"/>
    </w:lvl>
  </w:abstractNum>
  <w:abstractNum w:abstractNumId="534">
    <w:nsid w:val="6F5DE2EF"/>
    <w:multiLevelType w:val="hybridMultilevel"/>
    <w:lvl w:ilvl="0">
      <w:lvlJc w:val="left"/>
      <w:lvlText w:val="(%1)"/>
      <w:numFmt w:val="lowerLetter"/>
      <w:start w:val="1"/>
    </w:lvl>
  </w:abstractNum>
  <w:abstractNum w:abstractNumId="535">
    <w:nsid w:val="23502A61"/>
    <w:multiLevelType w:val="hybridMultilevel"/>
    <w:lvl w:ilvl="0">
      <w:lvlJc w:val="left"/>
      <w:lvlText w:val="(%1)"/>
      <w:numFmt w:val="lowerLetter"/>
      <w:start w:val="1"/>
    </w:lvl>
  </w:abstractNum>
  <w:abstractNum w:abstractNumId="536">
    <w:nsid w:val="461BC834"/>
    <w:multiLevelType w:val="hybridMultilevel"/>
    <w:lvl w:ilvl="0">
      <w:lvlJc w:val="left"/>
      <w:lvlText w:val="(%1)"/>
      <w:numFmt w:val="lowerLetter"/>
      <w:start w:val="1"/>
    </w:lvl>
    <w:lvl w:ilvl="1">
      <w:lvlJc w:val="left"/>
      <w:lvlText w:val="(%2)"/>
      <w:numFmt w:val="lowerLetter"/>
      <w:start w:val="9"/>
    </w:lvl>
  </w:abstractNum>
  <w:abstractNum w:abstractNumId="537">
    <w:nsid w:val="13DDA79D"/>
    <w:multiLevelType w:val="hybridMultilevel"/>
    <w:lvl w:ilvl="0">
      <w:lvlJc w:val="left"/>
      <w:lvlText w:val="(%1)"/>
      <w:numFmt w:val="lowerRoman"/>
      <w:start w:val="2"/>
    </w:lvl>
  </w:abstractNum>
  <w:abstractNum w:abstractNumId="538">
    <w:nsid w:val="6A104566"/>
    <w:multiLevelType w:val="hybridMultilevel"/>
    <w:lvl w:ilvl="0">
      <w:lvlJc w:val="left"/>
      <w:lvlText w:val="(%1)"/>
      <w:numFmt w:val="lowerLetter"/>
      <w:start w:val="1"/>
    </w:lvl>
  </w:abstractNum>
  <w:abstractNum w:abstractNumId="539">
    <w:nsid w:val="1C8A8ACF"/>
    <w:multiLevelType w:val="hybridMultilevel"/>
    <w:lvl w:ilvl="0">
      <w:lvlJc w:val="left"/>
      <w:lvlText w:val="(%1)"/>
      <w:numFmt w:val="lowerLetter"/>
      <w:start w:val="4"/>
    </w:lvl>
  </w:abstractNum>
  <w:abstractNum w:abstractNumId="540">
    <w:nsid w:val="E73DFE0"/>
    <w:multiLevelType w:val="hybridMultilevel"/>
    <w:lvl w:ilvl="0">
      <w:lvlJc w:val="left"/>
      <w:lvlText w:val="%1."/>
      <w:numFmt w:val="decimal"/>
      <w:start w:val="1"/>
    </w:lvl>
    <w:lvl w:ilvl="1">
      <w:lvlJc w:val="left"/>
      <w:lvlText w:val="(%2)"/>
      <w:numFmt w:val="lowerLetter"/>
      <w:start w:val="1"/>
    </w:lvl>
  </w:abstractNum>
  <w:abstractNum w:abstractNumId="541">
    <w:nsid w:val="39F174C7"/>
    <w:multiLevelType w:val="hybridMultilevel"/>
    <w:lvl w:ilvl="0">
      <w:lvlJc w:val="left"/>
      <w:lvlText w:val="%1"/>
      <w:numFmt w:val="decimal"/>
      <w:start w:val="1"/>
    </w:lvl>
    <w:lvl w:ilvl="1">
      <w:lvlJc w:val="left"/>
      <w:lvlText w:val="(%2)"/>
      <w:numFmt w:val="lowerLetter"/>
      <w:start w:val="2"/>
    </w:lvl>
  </w:abstractNum>
  <w:abstractNum w:abstractNumId="542">
    <w:nsid w:val="6E2E2D53"/>
    <w:multiLevelType w:val="hybridMultilevel"/>
    <w:lvl w:ilvl="0">
      <w:lvlJc w:val="left"/>
      <w:lvlText w:val="%1."/>
      <w:numFmt w:val="decimal"/>
      <w:start w:val="5"/>
    </w:lvl>
    <w:lvl w:ilvl="1">
      <w:lvlJc w:val="left"/>
      <w:lvlText w:val="%2"/>
      <w:numFmt w:val="lowerLetter"/>
      <w:start w:val="1"/>
    </w:lvl>
  </w:abstractNum>
  <w:abstractNum w:abstractNumId="543">
    <w:nsid w:val="45DC439D"/>
    <w:multiLevelType w:val="hybridMultilevel"/>
    <w:lvl w:ilvl="0">
      <w:lvlJc w:val="left"/>
      <w:lvlText w:val="%1."/>
      <w:numFmt w:val="decimal"/>
      <w:start w:val="9"/>
    </w:lvl>
  </w:abstractNum>
  <w:abstractNum w:abstractNumId="544">
    <w:nsid w:val="3B0A3B87"/>
    <w:multiLevelType w:val="hybridMultilevel"/>
    <w:lvl w:ilvl="0">
      <w:lvlJc w:val="left"/>
      <w:lvlText w:val="%1."/>
      <w:numFmt w:val="decimal"/>
      <w:start w:val="10"/>
    </w:lvl>
  </w:abstractNum>
  <w:abstractNum w:abstractNumId="545">
    <w:nsid w:val="6DAC7768"/>
    <w:multiLevelType w:val="hybridMultilevel"/>
    <w:lvl w:ilvl="0">
      <w:lvlJc w:val="left"/>
      <w:lvlText w:val="%1."/>
      <w:numFmt w:val="decimal"/>
      <w:start w:val="12"/>
    </w:lvl>
  </w:abstractNum>
  <w:abstractNum w:abstractNumId="546">
    <w:nsid w:val="746AE2E4"/>
    <w:multiLevelType w:val="hybridMultilevel"/>
    <w:lvl w:ilvl="0">
      <w:lvlJc w:val="left"/>
      <w:lvlText w:val="%1."/>
      <w:numFmt w:val="decimal"/>
      <w:start w:val="15"/>
    </w:lvl>
  </w:abstractNum>
  <w:abstractNum w:abstractNumId="547">
    <w:nsid w:val="317E611D"/>
    <w:multiLevelType w:val="hybridMultilevel"/>
    <w:lvl w:ilvl="0">
      <w:lvlJc w:val="left"/>
      <w:lvlText w:val="%1)"/>
      <w:numFmt w:val="lowerLetter"/>
      <w:start w:val="1"/>
    </w:lvl>
  </w:abstractNum>
  <w:abstractNum w:abstractNumId="548">
    <w:nsid w:val="7A61D75B"/>
    <w:multiLevelType w:val="hybridMultilevel"/>
    <w:lvl w:ilvl="0">
      <w:lvlJc w:val="left"/>
      <w:lvlText w:val="(%1)"/>
      <w:numFmt w:val="lowerRoman"/>
      <w:start w:val="1"/>
    </w:lvl>
  </w:abstractNum>
  <w:abstractNum w:abstractNumId="549">
    <w:nsid w:val="164A1482"/>
    <w:multiLevelType w:val="hybridMultilevel"/>
    <w:lvl w:ilvl="0">
      <w:lvlJc w:val="left"/>
      <w:lvlText w:val="(%1)"/>
      <w:numFmt w:val="lowerRoman"/>
      <w:start w:val="2"/>
    </w:lvl>
  </w:abstractNum>
  <w:abstractNum w:abstractNumId="550">
    <w:nsid w:val="1806546B"/>
    <w:multiLevelType w:val="hybridMultilevel"/>
    <w:lvl w:ilvl="0">
      <w:lvlJc w:val="left"/>
      <w:lvlText w:val="(%1)"/>
      <w:numFmt w:val="lowerLetter"/>
      <w:start w:val="1"/>
    </w:lvl>
    <w:lvl w:ilvl="1">
      <w:lvlJc w:val="left"/>
      <w:lvlText w:val="(%2)"/>
      <w:numFmt w:val="lowerLetter"/>
      <w:start w:val="2"/>
    </w:lvl>
  </w:abstractNum>
  <w:abstractNum w:abstractNumId="551">
    <w:nsid w:val="1FA33267"/>
    <w:multiLevelType w:val="hybridMultilevel"/>
    <w:lvl w:ilvl="0">
      <w:lvlJc w:val="left"/>
      <w:lvlText w:val="%1"/>
      <w:numFmt w:val="lowerLetter"/>
      <w:start w:val="1"/>
    </w:lvl>
    <w:lvl w:ilvl="1">
      <w:lvlJc w:val="left"/>
      <w:lvlText w:val="(%2)"/>
      <w:numFmt w:val="lowerLetter"/>
      <w:start w:val="1"/>
    </w:lvl>
  </w:abstractNum>
  <w:abstractNum w:abstractNumId="552">
    <w:nsid w:val="2E19DD00"/>
    <w:multiLevelType w:val="hybridMultilevel"/>
    <w:lvl w:ilvl="0">
      <w:lvlJc w:val="left"/>
      <w:lvlText w:val="(%1)"/>
      <w:numFmt w:val="lowerLetter"/>
      <w:start w:val="5"/>
    </w:lvl>
  </w:abstractNum>
  <w:abstractNum w:abstractNumId="553">
    <w:nsid w:val="756D30D0"/>
    <w:multiLevelType w:val="hybridMultilevel"/>
    <w:lvl w:ilvl="0">
      <w:lvlJc w:val="left"/>
      <w:lvlText w:val="(%1)"/>
      <w:numFmt w:val="lowerLetter"/>
      <w:start w:val="1"/>
    </w:lvl>
  </w:abstractNum>
  <w:abstractNum w:abstractNumId="554">
    <w:nsid w:val="505E5E01"/>
    <w:multiLevelType w:val="hybridMultilevel"/>
    <w:lvl w:ilvl="0">
      <w:lvlJc w:val="left"/>
      <w:lvlText w:val="**"/>
      <w:numFmt w:val="bullet"/>
      <w:start w:val="1"/>
    </w:lvl>
  </w:abstractNum>
  <w:abstractNum w:abstractNumId="555">
    <w:nsid w:val="2EFDBCE6"/>
    <w:multiLevelType w:val="hybridMultilevel"/>
    <w:lvl w:ilvl="0">
      <w:lvlJc w:val="left"/>
      <w:lvlText w:val="†"/>
      <w:numFmt w:val="bullet"/>
      <w:start w:val="1"/>
    </w:lvl>
  </w:abstractNum>
  <w:abstractNum w:abstractNumId="556">
    <w:nsid w:val="4EC868C4"/>
    <w:multiLevelType w:val="hybridMultilevel"/>
    <w:lvl w:ilvl="0">
      <w:lvlJc w:val="left"/>
      <w:lvlText w:val="(%1)"/>
      <w:numFmt w:val="lowerLetter"/>
      <w:start w:val="1"/>
    </w:lvl>
    <w:lvl w:ilvl="1">
      <w:lvlJc w:val="left"/>
      <w:lvlText w:val="(%2)"/>
      <w:numFmt w:val="decimal"/>
      <w:start w:val="1"/>
    </w:lvl>
  </w:abstractNum>
  <w:abstractNum w:abstractNumId="557">
    <w:nsid w:val="4239DC03"/>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558">
    <w:nsid w:val="307C7DAA"/>
    <w:multiLevelType w:val="hybridMultilevel"/>
    <w:lvl w:ilvl="0">
      <w:lvlJc w:val="left"/>
      <w:lvlText w:val="(%1)"/>
      <w:numFmt w:val="decimal"/>
      <w:start w:val="2"/>
    </w:lvl>
    <w:lvl w:ilvl="1">
      <w:lvlJc w:val="left"/>
      <w:lvlText w:val="%2."/>
      <w:numFmt w:val="lowerRoman"/>
      <w:start w:val="2"/>
    </w:lvl>
    <w:lvl w:ilvl="2">
      <w:lvlJc w:val="left"/>
      <w:lvlText w:val="%3."/>
      <w:numFmt w:val="lowerRoman"/>
      <w:start w:val="1"/>
    </w:lvl>
  </w:abstractNum>
  <w:abstractNum w:abstractNumId="559">
    <w:nsid w:val="403C23E6"/>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4"/>
    </w:lvl>
  </w:abstractNum>
  <w:abstractNum w:abstractNumId="560">
    <w:nsid w:val="58D7F9D7"/>
    <w:multiLevelType w:val="hybridMultilevel"/>
    <w:lvl w:ilvl="0">
      <w:lvlJc w:val="left"/>
      <w:lvlText w:val="(%1)"/>
      <w:numFmt w:val="decimal"/>
      <w:start w:val="6"/>
    </w:lvl>
    <w:lvl w:ilvl="1">
      <w:lvlJc w:val="left"/>
      <w:lvlText w:val="%2"/>
      <w:numFmt w:val="lowerRoman"/>
      <w:start w:val="1"/>
    </w:lvl>
    <w:lvl w:ilvl="2">
      <w:lvlJc w:val="left"/>
      <w:lvlText w:val="%3"/>
      <w:numFmt w:val="lowerRoman"/>
      <w:start w:val="1"/>
    </w:lvl>
  </w:abstractNum>
  <w:abstractNum w:abstractNumId="561">
    <w:nsid w:val="24DBF76"/>
    <w:multiLevelType w:val="hybridMultilevel"/>
    <w:lvl w:ilvl="0">
      <w:lvlJc w:val="left"/>
      <w:lvlText w:val="%1"/>
      <w:numFmt w:val="lowerLetter"/>
      <w:start w:val="1"/>
    </w:lvl>
    <w:lvl w:ilvl="1">
      <w:lvlJc w:val="left"/>
      <w:lvlText w:val="(%2)"/>
      <w:numFmt w:val="decimal"/>
      <w:start w:val="7"/>
    </w:lvl>
  </w:abstractNum>
  <w:abstractNum w:abstractNumId="562">
    <w:nsid w:val="53355960"/>
    <w:multiLevelType w:val="hybridMultilevel"/>
    <w:lvl w:ilvl="0">
      <w:lvlJc w:val="left"/>
      <w:lvlText w:val="(%1)"/>
      <w:numFmt w:val="lowerLetter"/>
      <w:start w:val="2"/>
    </w:lvl>
    <w:lvl w:ilvl="1">
      <w:lvlJc w:val="left"/>
      <w:lvlText w:val="%2"/>
      <w:numFmt w:val="decimal"/>
      <w:start w:val="1"/>
    </w:lvl>
  </w:abstractNum>
  <w:abstractNum w:abstractNumId="563">
    <w:nsid w:val="4F4AC8FF"/>
    <w:multiLevelType w:val="hybridMultilevel"/>
    <w:lvl w:ilvl="0">
      <w:lvlJc w:val="left"/>
      <w:lvlText w:val="(%1)"/>
      <w:numFmt w:val="lowerLetter"/>
      <w:start w:val="1"/>
    </w:lvl>
  </w:abstractNum>
  <w:abstractNum w:abstractNumId="564">
    <w:nsid w:val="58CAE6D9"/>
    <w:multiLevelType w:val="hybridMultilevel"/>
    <w:lvl w:ilvl="0">
      <w:lvlJc w:val="left"/>
      <w:lvlText w:val="(%1)"/>
      <w:numFmt w:val="lowerLetter"/>
      <w:start w:val="2"/>
    </w:lvl>
    <w:lvl w:ilvl="1">
      <w:lvlJc w:val="left"/>
      <w:lvlText w:val="(%2)"/>
      <w:numFmt w:val="lowerRoman"/>
      <w:start w:val="1"/>
    </w:lvl>
  </w:abstractNum>
  <w:abstractNum w:abstractNumId="565">
    <w:nsid w:val="42933C4F"/>
    <w:multiLevelType w:val="hybridMultilevel"/>
    <w:lvl w:ilvl="0">
      <w:lvlJc w:val="left"/>
      <w:lvlText w:val="(%1)"/>
      <w:numFmt w:val="lowerLetter"/>
      <w:start w:val="3"/>
    </w:lvl>
  </w:abstractNum>
  <w:abstractNum w:abstractNumId="566">
    <w:nsid w:val="729AF360"/>
    <w:multiLevelType w:val="hybridMultilevel"/>
    <w:lvl w:ilvl="0">
      <w:lvlJc w:val="left"/>
      <w:lvlText w:val="(%1)"/>
      <w:numFmt w:val="lowerLetter"/>
      <w:start w:val="5"/>
    </w:lvl>
  </w:abstractNum>
  <w:abstractNum w:abstractNumId="567">
    <w:nsid w:val="1EE6AF0D"/>
    <w:multiLevelType w:val="hybridMultilevel"/>
    <w:lvl w:ilvl="0">
      <w:lvlJc w:val="left"/>
      <w:lvlText w:val="(%1)"/>
      <w:numFmt w:val="lowerLetter"/>
      <w:start w:val="1"/>
    </w:lvl>
  </w:abstractNum>
  <w:abstractNum w:abstractNumId="568">
    <w:nsid w:val="5670E3E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69">
    <w:nsid w:val="5CAB38C6"/>
    <w:multiLevelType w:val="hybridMultilevel"/>
    <w:lvl w:ilvl="0">
      <w:lvlJc w:val="left"/>
      <w:lvlText w:val="%1"/>
      <w:numFmt w:val="lowerRoman"/>
      <w:start w:val="1"/>
    </w:lvl>
    <w:lvl w:ilvl="1">
      <w:lvlJc w:val="left"/>
      <w:lvlText w:val="(%2)"/>
      <w:numFmt w:val="upperLetter"/>
      <w:start w:val="3"/>
    </w:lvl>
  </w:abstractNum>
  <w:abstractNum w:abstractNumId="570">
    <w:nsid w:val="3B7139DD"/>
    <w:multiLevelType w:val="hybridMultilevel"/>
    <w:lvl w:ilvl="0">
      <w:lvlJc w:val="left"/>
      <w:lvlText w:val="(%1)"/>
      <w:numFmt w:val="lowerRoman"/>
      <w:start w:val="2"/>
    </w:lvl>
    <w:lvl w:ilvl="1">
      <w:lvlJc w:val="left"/>
      <w:lvlText w:val="(%2)"/>
      <w:numFmt w:val="upperLetter"/>
      <w:start w:val="1"/>
    </w:lvl>
  </w:abstractNum>
  <w:abstractNum w:abstractNumId="571">
    <w:nsid w:val="64E4C3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72">
    <w:nsid w:val="169CAD8D"/>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573">
    <w:nsid w:val="299F6730"/>
    <w:multiLevelType w:val="hybridMultilevel"/>
    <w:lvl w:ilvl="0">
      <w:lvlJc w:val="left"/>
      <w:lvlText w:val="(%1)"/>
      <w:numFmt w:val="upperLetter"/>
      <w:start w:val="2"/>
    </w:lvl>
  </w:abstractNum>
  <w:abstractNum w:abstractNumId="574">
    <w:nsid w:val="2AC1076A"/>
    <w:multiLevelType w:val="hybridMultilevel"/>
    <w:lvl w:ilvl="0">
      <w:lvlJc w:val="left"/>
      <w:lvlText w:val="(%1)"/>
      <w:numFmt w:val="lowerLetter"/>
      <w:start w:val="2"/>
    </w:lvl>
  </w:abstractNum>
  <w:abstractNum w:abstractNumId="575">
    <w:nsid w:val="51A6E915"/>
    <w:multiLevelType w:val="hybridMultilevel"/>
    <w:lvl w:ilvl="0">
      <w:lvlJc w:val="left"/>
      <w:lvlText w:val="(%1)"/>
      <w:numFmt w:val="lowerLetter"/>
      <w:start w:val="1"/>
    </w:lvl>
  </w:abstractNum>
  <w:abstractNum w:abstractNumId="576">
    <w:nsid w:val="174BDE99"/>
    <w:multiLevelType w:val="hybridMultilevel"/>
    <w:lvl w:ilvl="0">
      <w:lvlJc w:val="left"/>
      <w:lvlText w:val="(%1)"/>
      <w:numFmt w:val="lowerLetter"/>
      <w:start w:val="2"/>
    </w:lvl>
  </w:abstractNum>
  <w:abstractNum w:abstractNumId="577">
    <w:nsid w:val="1F2BEA4E"/>
    <w:multiLevelType w:val="hybridMultilevel"/>
    <w:lvl w:ilvl="0">
      <w:lvlJc w:val="left"/>
      <w:lvlText w:val="(%1)"/>
      <w:numFmt w:val="lowerLetter"/>
      <w:start w:val="1"/>
    </w:lvl>
  </w:abstractNum>
  <w:abstractNum w:abstractNumId="578">
    <w:nsid w:val="3254A32"/>
    <w:multiLevelType w:val="hybridMultilevel"/>
    <w:lvl w:ilvl="0">
      <w:lvlJc w:val="left"/>
      <w:lvlText w:val="(%1)"/>
      <w:numFmt w:val="lowerLetter"/>
      <w:start w:val="2"/>
    </w:lvl>
  </w:abstractNum>
  <w:abstractNum w:abstractNumId="579">
    <w:nsid w:val="11ADB5F4"/>
    <w:multiLevelType w:val="hybridMultilevel"/>
    <w:lvl w:ilvl="0">
      <w:lvlJc w:val="left"/>
      <w:lvlText w:val="(%1)"/>
      <w:numFmt w:val="lowerLetter"/>
      <w:start w:val="1"/>
    </w:lvl>
    <w:lvl w:ilvl="1">
      <w:lvlJc w:val="left"/>
      <w:lvlText w:val="(%2)"/>
      <w:numFmt w:val="lowerLetter"/>
      <w:start w:val="9"/>
    </w:lvl>
  </w:abstractNum>
  <w:abstractNum w:abstractNumId="580">
    <w:nsid w:val="3575FED1"/>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581">
    <w:nsid w:val="1B2B9E9D"/>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582">
    <w:nsid w:val="3150E85C"/>
    <w:multiLevelType w:val="hybridMultilevel"/>
    <w:lvl w:ilvl="0">
      <w:lvlJc w:val="left"/>
      <w:lvlText w:val="(%1)"/>
      <w:numFmt w:val="lowerLetter"/>
      <w:start w:val="3"/>
    </w:lvl>
    <w:lvl w:ilvl="1">
      <w:lvlJc w:val="left"/>
      <w:lvlText w:val="(%2)"/>
      <w:numFmt w:val="lowerRoman"/>
      <w:start w:val="1"/>
    </w:lvl>
  </w:abstractNum>
  <w:abstractNum w:abstractNumId="583">
    <w:nsid w:val="638FDBD1"/>
    <w:multiLevelType w:val="hybridMultilevel"/>
    <w:lvl w:ilvl="0">
      <w:lvlJc w:val="left"/>
      <w:lvlText w:val="(%1)"/>
      <w:numFmt w:val="lowerLetter"/>
      <w:start w:val="4"/>
    </w:lvl>
    <w:lvl w:ilvl="1">
      <w:lvlJc w:val="left"/>
      <w:lvlText w:val="(%2)"/>
      <w:numFmt w:val="lowerRoman"/>
      <w:start w:val="1"/>
    </w:lvl>
  </w:abstractNum>
  <w:abstractNum w:abstractNumId="584">
    <w:nsid w:val="1098CF6E"/>
    <w:multiLevelType w:val="hybridMultilevel"/>
    <w:lvl w:ilvl="0">
      <w:lvlJc w:val="left"/>
      <w:lvlText w:val="(%1)"/>
      <w:numFmt w:val="lowerLetter"/>
      <w:start w:val="6"/>
    </w:lvl>
  </w:abstractNum>
  <w:abstractNum w:abstractNumId="585">
    <w:nsid w:val="1AF465D"/>
    <w:multiLevelType w:val="hybridMultilevel"/>
    <w:lvl w:ilvl="0">
      <w:lvlJc w:val="left"/>
      <w:lvlText w:val="(%1)"/>
      <w:numFmt w:val="lowerLetter"/>
      <w:start w:val="1"/>
    </w:lvl>
  </w:abstractNum>
  <w:abstractNum w:abstractNumId="586">
    <w:nsid w:val="128D98B7"/>
    <w:multiLevelType w:val="hybridMultilevel"/>
    <w:lvl w:ilvl="0">
      <w:lvlJc w:val="left"/>
      <w:lvlText w:val="(%1)"/>
      <w:numFmt w:val="lowerLetter"/>
      <w:start w:val="1"/>
    </w:lvl>
  </w:abstractNum>
  <w:abstractNum w:abstractNumId="587">
    <w:nsid w:val="5F613832"/>
    <w:multiLevelType w:val="hybridMultilevel"/>
    <w:lvl w:ilvl="0">
      <w:lvlJc w:val="left"/>
      <w:lvlText w:val="(%1)"/>
      <w:numFmt w:val="lowerLetter"/>
      <w:start w:val="3"/>
    </w:lvl>
  </w:abstractNum>
  <w:abstractNum w:abstractNumId="588">
    <w:nsid w:val="43E92260"/>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jpe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jpe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9" Type="http://schemas.openxmlformats.org/officeDocument/2006/relationships/image" Target="media/image617.png"/><Relationship Id="rId635" Type="http://schemas.openxmlformats.org/officeDocument/2006/relationships/image" Target="media/image618.png"/><Relationship Id="rId636" Type="http://schemas.openxmlformats.org/officeDocument/2006/relationships/image" Target="media/image619.png"/><Relationship Id="rId637" Type="http://schemas.openxmlformats.org/officeDocument/2006/relationships/image" Target="media/image620.png"/><Relationship Id="rId638" Type="http://schemas.openxmlformats.org/officeDocument/2006/relationships/image" Target="media/image621.png"/><Relationship Id="rId639" Type="http://schemas.openxmlformats.org/officeDocument/2006/relationships/image" Target="media/image622.png"/><Relationship Id="rId640" Type="http://schemas.openxmlformats.org/officeDocument/2006/relationships/image" Target="media/image623.png"/><Relationship Id="rId641" Type="http://schemas.openxmlformats.org/officeDocument/2006/relationships/image" Target="media/image624.png"/><Relationship Id="rId642" Type="http://schemas.openxmlformats.org/officeDocument/2006/relationships/image" Target="media/image625.png"/><Relationship Id="rId643" Type="http://schemas.openxmlformats.org/officeDocument/2006/relationships/image" Target="media/image626.png"/><Relationship Id="rId644" Type="http://schemas.openxmlformats.org/officeDocument/2006/relationships/image" Target="media/image627.png"/><Relationship Id="rId645" Type="http://schemas.openxmlformats.org/officeDocument/2006/relationships/image" Target="media/image628.png"/><Relationship Id="rId646" Type="http://schemas.openxmlformats.org/officeDocument/2006/relationships/image" Target="media/image629.png"/><Relationship Id="rId647" Type="http://schemas.openxmlformats.org/officeDocument/2006/relationships/image" Target="media/image630.png"/><Relationship Id="rId648" Type="http://schemas.openxmlformats.org/officeDocument/2006/relationships/image" Target="media/image631.png"/><Relationship Id="rId649" Type="http://schemas.openxmlformats.org/officeDocument/2006/relationships/image" Target="media/image632.png"/><Relationship Id="rId650" Type="http://schemas.openxmlformats.org/officeDocument/2006/relationships/image" Target="media/image633.png"/><Relationship Id="rId651" Type="http://schemas.openxmlformats.org/officeDocument/2006/relationships/image" Target="media/image634.png"/><Relationship Id="rId652" Type="http://schemas.openxmlformats.org/officeDocument/2006/relationships/image" Target="media/image635.png"/><Relationship Id="rId653" Type="http://schemas.openxmlformats.org/officeDocument/2006/relationships/image" Target="media/image636.png"/><Relationship Id="rId654" Type="http://schemas.openxmlformats.org/officeDocument/2006/relationships/image" Target="media/image637.png"/><Relationship Id="rId655" Type="http://schemas.openxmlformats.org/officeDocument/2006/relationships/image" Target="media/image638.png"/><Relationship Id="rId656" Type="http://schemas.openxmlformats.org/officeDocument/2006/relationships/image" Target="media/image639.png"/><Relationship Id="rId657" Type="http://schemas.openxmlformats.org/officeDocument/2006/relationships/image" Target="media/image640.png"/><Relationship Id="rId658" Type="http://schemas.openxmlformats.org/officeDocument/2006/relationships/image" Target="media/image641.png"/><Relationship Id="rId659" Type="http://schemas.openxmlformats.org/officeDocument/2006/relationships/image" Target="media/image642.jpeg"/><Relationship Id="rId660" Type="http://schemas.openxmlformats.org/officeDocument/2006/relationships/image" Target="media/image643.png"/><Relationship Id="rId624" Type="http://schemas.openxmlformats.org/officeDocument/2006/relationships/hyperlink" Target="http://www.sec.gov/Archives/edgar/data/1819133/000121390021021456/ea139433ex2-1_bctgacq.htm" TargetMode="External"/><Relationship Id="rId625" Type="http://schemas.openxmlformats.org/officeDocument/2006/relationships/hyperlink" Target="http://www.sec.gov/Archives/edgar/data/1819133/000121390020025909/ea126613ex3-2_bctgacq.htm" TargetMode="External"/><Relationship Id="rId626" Type="http://schemas.openxmlformats.org/officeDocument/2006/relationships/hyperlink" Target="http://www.sec.gov/Archives/edgar/data/1819133/000121390020024458/ea126196ex3-3_bctgacq.htm" TargetMode="External"/><Relationship Id="rId627" Type="http://schemas.openxmlformats.org/officeDocument/2006/relationships/hyperlink" Target="http://www.sec.gov/Archives/edgar/data/1819133/000121390020024458/ea126196ex4-1_bctgacq.htm" TargetMode="External"/><Relationship Id="rId628" Type="http://schemas.openxmlformats.org/officeDocument/2006/relationships/hyperlink" Target="http://www.sec.gov/Archives/edgar/data/1819133/000121390020025909/ea126613ex10-1_bctgacq.htm" TargetMode="External"/><Relationship Id="rId630" Type="http://schemas.openxmlformats.org/officeDocument/2006/relationships/hyperlink" Target="http://www.sec.gov/Archives/edgar/data/1819133/000121390020025909/ea126613ex10-2_bctgacq.htm" TargetMode="External"/><Relationship Id="rId631" Type="http://schemas.openxmlformats.org/officeDocument/2006/relationships/hyperlink" Target="http://www.sec.gov/Archives/edgar/data/1819133/000121390020025909/ea126613ex10-4_bctgacq.htm" TargetMode="External"/><Relationship Id="rId632" Type="http://schemas.openxmlformats.org/officeDocument/2006/relationships/hyperlink" Target="http://www.sec.gov/Archives/edgar/data/1819133/000121390020025909/ea126613ex10-7_bctgacq.htm" TargetMode="External"/><Relationship Id="rId633" Type="http://schemas.openxmlformats.org/officeDocument/2006/relationships/hyperlink" Target="http://www.sec.gov/Archives/edgar/data/1819133/000121390020025909/ea126613ex10-5_bctgacq.htm" TargetMode="External"/><Relationship Id="rId634" Type="http://schemas.openxmlformats.org/officeDocument/2006/relationships/hyperlink" Target="http://www.sec.gov/Archives/edgar/data/1819133/000121390021021456/ea139433ex10-1_bctgac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2021-04-20T05:26:34Z</dcterms:created>
  <dcterms:modified xsi:type="dcterms:W3CDTF">2021-04-20T05:26:34Z</dcterms:modified>
</cp:coreProperties>
</file>