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July 15,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7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85-1195036</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7"/>
                <w:szCs w:val="17"/>
                <w:color w:val="auto"/>
              </w:rPr>
            </w:pPr>
          </w:p>
        </w:tc>
        <w:tc>
          <w:tcPr>
            <w:tcW w:w="3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85725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12860 El Camino Real, Suite 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Aaron I. Davis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12860 El Camino Real,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5" w:lineRule="exact"/>
        <w:rPr>
          <w:sz w:val="24"/>
          <w:szCs w:val="24"/>
          <w:color w:val="auto"/>
        </w:rPr>
      </w:pPr>
    </w:p>
    <w:tbl>
      <w:tblPr>
        <w:tblLayout w:type="fixed"/>
        <w:tblInd w:w="168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4840" w:type="dxa"/>
            <w:vAlign w:val="bottom"/>
          </w:tcPr>
          <w:p>
            <w:pPr>
              <w:ind w:left="740"/>
              <w:spacing w:after="0"/>
              <w:rPr>
                <w:sz w:val="20"/>
                <w:szCs w:val="20"/>
                <w:color w:val="auto"/>
              </w:rPr>
            </w:pPr>
            <w:r>
              <w:rPr>
                <w:rFonts w:ascii="Arial" w:cs="Arial" w:eastAsia="Arial" w:hAnsi="Arial"/>
                <w:sz w:val="18"/>
                <w:szCs w:val="18"/>
                <w:i w:val="1"/>
                <w:iCs w:val="1"/>
                <w:color w:val="auto"/>
              </w:rPr>
              <w:t>Copies to:</w:t>
            </w:r>
          </w:p>
        </w:tc>
      </w:tr>
      <w:tr>
        <w:trPr>
          <w:trHeight w:val="333"/>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Mitchell Nussbaum</w:t>
            </w:r>
          </w:p>
        </w:tc>
        <w:tc>
          <w:tcPr>
            <w:tcW w:w="48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Mitchell S. Bloom</w:t>
            </w:r>
          </w:p>
        </w:tc>
      </w:tr>
      <w:tr>
        <w:trPr>
          <w:trHeight w:val="216"/>
        </w:trPr>
        <w:tc>
          <w:tcPr>
            <w:tcW w:w="284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Giovanni Caruso</w:t>
            </w:r>
          </w:p>
        </w:tc>
        <w:tc>
          <w:tcPr>
            <w:tcW w:w="484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William D. Collins</w:t>
            </w:r>
          </w:p>
        </w:tc>
      </w:tr>
      <w:tr>
        <w:trPr>
          <w:trHeight w:val="216"/>
        </w:trPr>
        <w:tc>
          <w:tcPr>
            <w:tcW w:w="2840" w:type="dxa"/>
            <w:vAlign w:val="bottom"/>
          </w:tcPr>
          <w:p>
            <w:pPr>
              <w:jc w:val="center"/>
              <w:ind w:right="590"/>
              <w:spacing w:after="0"/>
              <w:rPr>
                <w:sz w:val="20"/>
                <w:szCs w:val="20"/>
                <w:color w:val="auto"/>
              </w:rPr>
            </w:pPr>
            <w:r>
              <w:rPr>
                <w:rFonts w:ascii="Arial" w:cs="Arial" w:eastAsia="Arial" w:hAnsi="Arial"/>
                <w:sz w:val="18"/>
                <w:szCs w:val="18"/>
                <w:b w:val="1"/>
                <w:bCs w:val="1"/>
                <w:color w:val="auto"/>
                <w:w w:val="94"/>
              </w:rPr>
              <w:t>Loeb &amp; Loeb LLP</w:t>
            </w:r>
          </w:p>
        </w:tc>
        <w:tc>
          <w:tcPr>
            <w:tcW w:w="484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Laurie A. Burlingame</w:t>
            </w:r>
          </w:p>
        </w:tc>
      </w:tr>
      <w:tr>
        <w:trPr>
          <w:trHeight w:val="216"/>
        </w:trPr>
        <w:tc>
          <w:tcPr>
            <w:tcW w:w="284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345 Park Avenue</w:t>
            </w:r>
          </w:p>
        </w:tc>
        <w:tc>
          <w:tcPr>
            <w:tcW w:w="4840" w:type="dxa"/>
            <w:vAlign w:val="bottom"/>
          </w:tcPr>
          <w:p>
            <w:pPr>
              <w:jc w:val="center"/>
              <w:ind w:left="303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284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New York, New York 10154</w:t>
            </w:r>
          </w:p>
        </w:tc>
        <w:tc>
          <w:tcPr>
            <w:tcW w:w="48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100 Northern Avenue</w:t>
            </w:r>
          </w:p>
        </w:tc>
      </w:tr>
      <w:tr>
        <w:trPr>
          <w:trHeight w:val="216"/>
        </w:trPr>
        <w:tc>
          <w:tcPr>
            <w:tcW w:w="28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Tel: (212) 407-4000</w:t>
            </w:r>
          </w:p>
        </w:tc>
        <w:tc>
          <w:tcPr>
            <w:tcW w:w="484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Boston, MA 02110</w:t>
            </w:r>
          </w:p>
        </w:tc>
      </w:tr>
      <w:tr>
        <w:trPr>
          <w:trHeight w:val="234"/>
        </w:trPr>
        <w:tc>
          <w:tcPr>
            <w:tcW w:w="284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Fax: (212) 407-4990</w:t>
            </w:r>
          </w:p>
        </w:tc>
        <w:tc>
          <w:tcPr>
            <w:tcW w:w="48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Tel: (617)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111125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7"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 and after all conditions under the Merger Agreement to consummate the proposed merger are satisfied or waived.</w:t>
      </w:r>
    </w:p>
    <w:p>
      <w:pPr>
        <w:spacing w:after="0" w:line="49" w:lineRule="exact"/>
        <w:rPr>
          <w:sz w:val="24"/>
          <w:szCs w:val="24"/>
          <w:color w:val="auto"/>
        </w:rPr>
      </w:pPr>
    </w:p>
    <w:p>
      <w:pPr>
        <w:ind w:right="260" w:firstLine="648"/>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1"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6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 accelerated filer, a smaller reporting company and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218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80" w:type="dxa"/>
            <w:vAlign w:val="bottom"/>
          </w:tcPr>
          <w:p>
            <w:pPr>
              <w:ind w:left="218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6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ind w:left="660"/>
              <w:spacing w:after="0"/>
              <w:rPr>
                <w:sz w:val="20"/>
                <w:szCs w:val="20"/>
                <w:color w:val="auto"/>
              </w:rPr>
            </w:pPr>
            <w:r>
              <w:rPr>
                <w:rFonts w:ascii="Arial" w:cs="Arial" w:eastAsia="Arial" w:hAnsi="Arial"/>
                <w:sz w:val="18"/>
                <w:szCs w:val="18"/>
                <w:color w:val="auto"/>
              </w:rPr>
              <w:t>Exchange Act Rule 13e-4(i) (Cross-Border Issuer Tender Offer)</w:t>
            </w:r>
          </w:p>
        </w:tc>
        <w:tc>
          <w:tcPr>
            <w:tcW w:w="5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6240" w:type="dxa"/>
            <w:vAlign w:val="bottom"/>
          </w:tcPr>
          <w:p>
            <w:pPr>
              <w:ind w:left="660"/>
              <w:spacing w:after="0"/>
              <w:rPr>
                <w:sz w:val="20"/>
                <w:szCs w:val="20"/>
                <w:color w:val="auto"/>
              </w:rPr>
            </w:pPr>
            <w:r>
              <w:rPr>
                <w:rFonts w:ascii="Arial" w:cs="Arial" w:eastAsia="Arial" w:hAnsi="Arial"/>
                <w:sz w:val="18"/>
                <w:szCs w:val="18"/>
                <w:color w:val="auto"/>
              </w:rPr>
              <w:t>Exchange Act Rule 14d-1(d) (Cross-Border Third-Party Tender Offer)</w:t>
            </w:r>
          </w:p>
        </w:tc>
        <w:tc>
          <w:tcPr>
            <w:tcW w:w="5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r>
      <w:tr>
        <w:trPr>
          <w:trHeight w:val="446"/>
        </w:trPr>
        <w:tc>
          <w:tcPr>
            <w:tcW w:w="62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771"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640" w:type="dxa"/>
            <w:vAlign w:val="bottom"/>
            <w:gridSpan w:val="5"/>
          </w:tcPr>
          <w:p>
            <w:pPr>
              <w:ind w:left="100"/>
              <w:spacing w:after="0"/>
              <w:rPr>
                <w:sz w:val="20"/>
                <w:szCs w:val="20"/>
                <w:color w:val="auto"/>
              </w:rPr>
            </w:pPr>
            <w:r>
              <w:rPr>
                <w:rFonts w:ascii="Arial" w:cs="Arial" w:eastAsia="Arial" w:hAnsi="Arial"/>
                <w:sz w:val="18"/>
                <w:szCs w:val="18"/>
                <w:b w:val="1"/>
                <w:bCs w:val="1"/>
                <w:color w:val="auto"/>
              </w:rPr>
              <w:t>CALCULATION OF REGISTRATION FEE</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20"/>
        </w:trPr>
        <w:tc>
          <w:tcPr>
            <w:tcW w:w="38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3"/>
              </w:rPr>
              <w:t>to be</w:t>
            </w: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Price Per</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7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Title of Each Class of Securities to be Registered</w:t>
            </w: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29"/>
                <w:szCs w:val="29"/>
                <w:b w:val="1"/>
                <w:bCs w:val="1"/>
                <w:color w:val="auto"/>
                <w:w w:val="85"/>
                <w:vertAlign w:val="superscript"/>
              </w:rPr>
              <w:t>(1)</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Security</w:t>
            </w:r>
            <w:r>
              <w:rPr>
                <w:rFonts w:ascii="Arial" w:cs="Arial" w:eastAsia="Arial" w:hAnsi="Arial"/>
                <w:sz w:val="29"/>
                <w:szCs w:val="29"/>
                <w:b w:val="1"/>
                <w:bCs w:val="1"/>
                <w:color w:val="auto"/>
                <w:w w:val="84"/>
                <w:vertAlign w:val="superscript"/>
              </w:rPr>
              <w:t>(2)</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0"/>
              <w:spacing w:after="0" w:line="271" w:lineRule="exact"/>
              <w:rPr>
                <w:sz w:val="20"/>
                <w:szCs w:val="20"/>
                <w:color w:val="auto"/>
              </w:rPr>
            </w:pPr>
            <w:r>
              <w:rPr>
                <w:rFonts w:ascii="Arial" w:cs="Arial" w:eastAsia="Arial" w:hAnsi="Arial"/>
                <w:sz w:val="18"/>
                <w:szCs w:val="18"/>
                <w:b w:val="1"/>
                <w:bCs w:val="1"/>
                <w:color w:val="auto"/>
                <w:w w:val="85"/>
              </w:rPr>
              <w:t>Price</w:t>
            </w:r>
            <w:r>
              <w:rPr>
                <w:rFonts w:ascii="Arial" w:cs="Arial" w:eastAsia="Arial" w:hAnsi="Arial"/>
                <w:sz w:val="29"/>
                <w:szCs w:val="29"/>
                <w:b w:val="1"/>
                <w:bCs w:val="1"/>
                <w:color w:val="auto"/>
                <w:w w:val="85"/>
                <w:vertAlign w:val="superscript"/>
              </w:rPr>
              <w:t>(2)</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5"/>
              <w:spacing w:after="0" w:line="271" w:lineRule="exact"/>
              <w:rPr>
                <w:sz w:val="20"/>
                <w:szCs w:val="20"/>
                <w:color w:val="auto"/>
              </w:rPr>
            </w:pPr>
            <w:r>
              <w:rPr>
                <w:rFonts w:ascii="Arial" w:cs="Arial" w:eastAsia="Arial" w:hAnsi="Arial"/>
                <w:sz w:val="31"/>
                <w:szCs w:val="31"/>
                <w:b w:val="1"/>
                <w:bCs w:val="1"/>
                <w:color w:val="auto"/>
                <w:w w:val="88"/>
                <w:vertAlign w:val="subscript"/>
              </w:rPr>
              <w:t>Fee</w:t>
            </w:r>
            <w:r>
              <w:rPr>
                <w:rFonts w:ascii="Arial" w:cs="Arial" w:eastAsia="Arial" w:hAnsi="Arial"/>
                <w:sz w:val="14"/>
                <w:szCs w:val="14"/>
                <w:b w:val="1"/>
                <w:bCs w:val="1"/>
                <w:color w:val="auto"/>
                <w:w w:val="88"/>
              </w:rPr>
              <w:t>(3)(4)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spacing w:after="0" w:line="270" w:lineRule="exact"/>
              <w:rPr>
                <w:sz w:val="20"/>
                <w:szCs w:val="20"/>
                <w:color w:val="auto"/>
              </w:rPr>
            </w:pPr>
            <w:r>
              <w:rPr>
                <w:rFonts w:ascii="Arial" w:cs="Arial" w:eastAsia="Arial" w:hAnsi="Arial"/>
                <w:sz w:val="18"/>
                <w:szCs w:val="18"/>
                <w:b w:val="1"/>
                <w:bCs w:val="1"/>
                <w:color w:val="auto"/>
              </w:rPr>
              <w:t>Common Stock</w:t>
            </w:r>
            <w:r>
              <w:rPr>
                <w:rFonts w:ascii="Arial" w:cs="Arial" w:eastAsia="Arial" w:hAnsi="Arial"/>
                <w:sz w:val="29"/>
                <w:szCs w:val="29"/>
                <w:b w:val="1"/>
                <w:bCs w:val="1"/>
                <w:color w:val="auto"/>
                <w:vertAlign w:val="superscript"/>
              </w:rPr>
              <w:t>(1)</w:t>
            </w:r>
          </w:p>
        </w:tc>
        <w:tc>
          <w:tcPr>
            <w:tcW w:w="2180" w:type="dxa"/>
            <w:vAlign w:val="bottom"/>
            <w:gridSpan w:val="2"/>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55,000,000</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53,726.23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ind w:left="740"/>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2180" w:type="dxa"/>
            <w:vAlign w:val="bottom"/>
            <w:gridSpan w:val="2"/>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55,000,000</w:t>
            </w:r>
          </w:p>
        </w:tc>
        <w:tc>
          <w:tcPr>
            <w:tcW w:w="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53,726.23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45" w:lineRule="exact"/>
        <w:rPr>
          <w:sz w:val="20"/>
          <w:szCs w:val="20"/>
          <w:color w:val="auto"/>
        </w:rPr>
      </w:pPr>
    </w:p>
    <w:p>
      <w:pPr>
        <w:ind w:left="340" w:right="20" w:hanging="332"/>
        <w:spacing w:after="0" w:line="26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Based on the maximum number of shares of 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of the registrant issuable upon a business combination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involving BCTG Acquisition Corp. (“</w:t>
      </w:r>
      <w:r>
        <w:rPr>
          <w:rFonts w:ascii="Arial" w:cs="Arial" w:eastAsia="Arial" w:hAnsi="Arial"/>
          <w:sz w:val="17"/>
          <w:szCs w:val="17"/>
          <w:b w:val="1"/>
          <w:bCs w:val="1"/>
          <w:color w:val="auto"/>
        </w:rPr>
        <w:t>BCTG</w:t>
      </w:r>
      <w:r>
        <w:rPr>
          <w:rFonts w:ascii="Arial" w:cs="Arial" w:eastAsia="Arial" w:hAnsi="Arial"/>
          <w:sz w:val="17"/>
          <w:szCs w:val="17"/>
          <w:color w:val="auto"/>
        </w:rPr>
        <w:t>”) and Tango Therapeutics, Inc. (“</w:t>
      </w:r>
      <w:r>
        <w:rPr>
          <w:rFonts w:ascii="Arial" w:cs="Arial" w:eastAsia="Arial" w:hAnsi="Arial"/>
          <w:sz w:val="17"/>
          <w:szCs w:val="17"/>
          <w:b w:val="1"/>
          <w:bCs w:val="1"/>
          <w:color w:val="auto"/>
        </w:rPr>
        <w:t>Tango</w:t>
      </w:r>
      <w:r>
        <w:rPr>
          <w:rFonts w:ascii="Arial" w:cs="Arial" w:eastAsia="Arial" w:hAnsi="Arial"/>
          <w:sz w:val="17"/>
          <w:szCs w:val="17"/>
          <w:color w:val="auto"/>
        </w:rPr>
        <w:t>”). This number is based on the 55,000,000 shares of Common Stock issuable as consideration in connection with the Business Combination to holders of common stock of Tango and the holders of rights to acquire common stock of Tango under any Tango equity incentive plan. Pursuant to Rule 416(a) of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there are also being registered an indeterminable number of additional securities as may be issued to prevent dilution resulting from stock splits, stock dividends or similar transactions.</w:t>
      </w:r>
    </w:p>
    <w:p>
      <w:pPr>
        <w:spacing w:after="0" w:line="4" w:lineRule="exact"/>
        <w:rPr>
          <w:rFonts w:ascii="Arial" w:cs="Arial" w:eastAsia="Arial" w:hAnsi="Arial"/>
          <w:sz w:val="17"/>
          <w:szCs w:val="17"/>
          <w:color w:val="auto"/>
        </w:rPr>
      </w:pPr>
    </w:p>
    <w:p>
      <w:pPr>
        <w:ind w:left="340" w:right="6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 457(f)(2) of the Securities Act. Tango, a Delaware corporation, is a private company, no market exists for its securities, and Tango has an accumulated deficit. Therefore, the proposed maximum aggregate offering price is one-third of the aggregate par value of the Tango securities expected to be exchanged in the Business Combination, including Tango securities issuable upon the exercise of options.</w:t>
      </w:r>
    </w:p>
    <w:p>
      <w:pPr>
        <w:spacing w:after="0" w:line="1" w:lineRule="exact"/>
        <w:rPr>
          <w:rFonts w:ascii="Arial" w:cs="Arial" w:eastAsia="Arial" w:hAnsi="Arial"/>
          <w:sz w:val="18"/>
          <w:szCs w:val="18"/>
          <w:color w:val="auto"/>
        </w:rPr>
      </w:pPr>
    </w:p>
    <w:p>
      <w:pPr>
        <w:ind w:left="340" w:right="6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 of the Securities Act by calculating the product of (i) the proposed maximum aggregate offering price and (ii) 0.0001091.</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b w:val="1"/>
          <w:bCs w:val="1"/>
          <w:i w:val="1"/>
          <w:i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amendment No. 3 to the Registration Statement on Form S-4 is being filed solely to include certain exhibits to the Registration Statement as indicated in the Exhibit Index contained in Part II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ind w:left="980" w:right="40" w:hanging="324"/>
        <w:spacing w:after="0" w:line="287"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98" w:lineRule="exact"/>
        <w:rPr>
          <w:rFonts w:ascii="Arial" w:cs="Arial" w:eastAsia="Arial" w:hAnsi="Arial"/>
          <w:sz w:val="16"/>
          <w:szCs w:val="16"/>
          <w:color w:val="auto"/>
        </w:rPr>
      </w:pPr>
    </w:p>
    <w:p>
      <w:pPr>
        <w:ind w:left="980" w:right="40" w:hanging="324"/>
        <w:spacing w:after="0" w:line="288"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rFonts w:ascii="Arial" w:cs="Arial" w:eastAsia="Arial" w:hAnsi="Arial"/>
          <w:sz w:val="16"/>
          <w:szCs w:val="16"/>
          <w:color w:val="auto"/>
        </w:rPr>
      </w:pPr>
    </w:p>
    <w:p>
      <w:pPr>
        <w:ind w:left="980" w:right="100" w:hanging="324"/>
        <w:spacing w:after="0" w:line="31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ind w:left="980" w:hanging="324"/>
        <w:spacing w:after="0" w:line="272"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left="980" w:hanging="324"/>
        <w:spacing w:after="0" w:line="296"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ind w:left="980" w:right="80" w:hanging="324"/>
        <w:spacing w:after="0" w:line="271"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ind w:left="980" w:right="20" w:hanging="324"/>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87" w:lineRule="exact"/>
        <w:rPr>
          <w:rFonts w:ascii="Arial" w:cs="Arial" w:eastAsia="Arial" w:hAnsi="Arial"/>
          <w:sz w:val="18"/>
          <w:szCs w:val="18"/>
          <w:color w:val="auto"/>
        </w:rPr>
      </w:pPr>
    </w:p>
    <w:p>
      <w:pPr>
        <w:ind w:left="980" w:right="60" w:hanging="324"/>
        <w:spacing w:after="0" w:line="25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94"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ind w:left="980" w:right="16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ind w:left="980" w:right="140" w:hanging="324"/>
        <w:spacing w:after="0" w:line="31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4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ind w:right="60" w:firstLine="648"/>
        <w:spacing w:after="0" w:line="254" w:lineRule="auto"/>
        <w:rPr>
          <w:sz w:val="20"/>
          <w:szCs w:val="20"/>
          <w:color w:val="auto"/>
        </w:rPr>
      </w:pPr>
      <w:r>
        <w:rPr>
          <w:rFonts w:ascii="Arial" w:cs="Arial" w:eastAsia="Arial" w:hAnsi="Arial"/>
          <w:sz w:val="18"/>
          <w:szCs w:val="18"/>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 monetary relief, such as an injunction or rescission, in the event of a breach of a director’s duty of care.</w:t>
      </w:r>
    </w:p>
    <w:p>
      <w:pPr>
        <w:spacing w:after="0" w:line="19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7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9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Notwithstanding the foregoing, a person eligible for indemnification pursuant to our Current Charter will be indemnified by us in connection with a proceeding initiated by such person only if such proceeding was authorized by our board of directors, except for proceedings to enforce rights to indemnification.</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17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Current Charter may have or hereafter acquire under law, our Current Charter, our bylaws, an agreement, vote of stockholders or disinterested directors, or otherwise.</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ind w:right="20" w:firstLine="648"/>
        <w:spacing w:after="0" w:line="275" w:lineRule="auto"/>
        <w:rPr>
          <w:sz w:val="20"/>
          <w:szCs w:val="20"/>
          <w:color w:val="auto"/>
        </w:rPr>
      </w:pPr>
      <w:r>
        <w:rPr>
          <w:rFonts w:ascii="Arial" w:cs="Arial" w:eastAsia="Arial" w:hAnsi="Arial"/>
          <w:sz w:val="17"/>
          <w:szCs w:val="17"/>
          <w:color w:val="auto"/>
        </w:rPr>
        <w:t>Our current bylaws include the provisions relating to advancement of expenses and indemnification rights consistent with those which are set forth in our Current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7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entered into indemnification agreements with each of our officers and directors a form that was filed as Exhibit 10.7 of our Registration Statement on Form S-1, filed with the SEC on August 31, 2020.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Incorporated by Reference</w:t>
            </w:r>
          </w:p>
        </w:tc>
      </w:tr>
      <w:tr>
        <w:trPr>
          <w:trHeight w:val="198"/>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6"/>
              </w:rPr>
              <w:t>Schedule/</w:t>
            </w:r>
          </w:p>
        </w:tc>
        <w:tc>
          <w:tcPr>
            <w:tcW w:w="11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File</w:t>
            </w:r>
          </w:p>
        </w:tc>
        <w:tc>
          <w:tcPr>
            <w:tcW w:w="11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6"/>
              </w:rPr>
              <w:t>Exhibit</w:t>
            </w:r>
          </w:p>
        </w:tc>
        <w:tc>
          <w:tcPr>
            <w:tcW w:w="1560" w:type="dxa"/>
            <w:vAlign w:val="bottom"/>
          </w:tcPr>
          <w:p>
            <w:pPr>
              <w:spacing w:after="0"/>
              <w:rPr>
                <w:sz w:val="17"/>
                <w:szCs w:val="17"/>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19"/>
          </w:tcPr>
          <w:p>
            <w:pPr>
              <w:ind w:left="26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File Date</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800" w:type="dxa"/>
            <w:vAlign w:val="bottom"/>
            <w:tcBorders>
              <w:top w:val="single" w:sz="8" w:color="auto"/>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Agreement and Plan of Merger, dated as of April 13, 2021, by and</w:t>
              </w:r>
            </w:hyperlink>
          </w:p>
        </w:tc>
        <w:tc>
          <w:tcPr>
            <w:tcW w:w="260" w:type="dxa"/>
            <w:vAlign w:val="bottom"/>
            <w:tcBorders>
              <w:top w:val="single" w:sz="8" w:color="auto"/>
              <w:bottom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April 14, 2021</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among BCTG Acquisition Corp., BCTG Merger Sub Inc. and Tango</w:t>
              </w:r>
            </w:hyperlink>
          </w:p>
        </w:tc>
        <w:tc>
          <w:tcPr>
            <w:tcW w:w="240" w:type="dxa"/>
            <w:vAlign w:val="bottom"/>
            <w:tcBorders>
              <w:bottom w:val="single" w:sz="8" w:color="CCEEFF"/>
            </w:tcBorders>
            <w:gridSpan w:val="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89"/>
              </w:rPr>
            </w:pPr>
            <w:hyperlink r:id="rId25">
              <w:r>
                <w:rPr>
                  <w:rFonts w:ascii="Arial" w:cs="Arial" w:eastAsia="Arial" w:hAnsi="Arial"/>
                  <w:sz w:val="18"/>
                  <w:szCs w:val="18"/>
                  <w:color w:val="0000EE"/>
                  <w:w w:val="89"/>
                </w:rPr>
                <w:t xml:space="preserve">Therapeutics, Inc. (Included as </w:t>
              </w:r>
              <w:r>
                <w:rPr>
                  <w:rFonts w:ascii="Arial" w:cs="Arial" w:eastAsia="Arial" w:hAnsi="Arial"/>
                  <w:sz w:val="18"/>
                  <w:szCs w:val="18"/>
                  <w:i w:val="1"/>
                  <w:iCs w:val="1"/>
                  <w:color w:val="0000EE"/>
                  <w:w w:val="89"/>
                </w:rPr>
                <w:t>Annex A</w:t>
              </w:r>
              <w:r>
                <w:rPr>
                  <w:rFonts w:ascii="Arial" w:cs="Arial" w:eastAsia="Arial" w:hAnsi="Arial"/>
                  <w:sz w:val="18"/>
                  <w:szCs w:val="18"/>
                  <w:color w:val="0000EE"/>
                  <w:w w:val="89"/>
                </w:rPr>
                <w:t xml:space="preserve"> to the proxy statement/</w:t>
              </w:r>
            </w:hyperlink>
          </w:p>
        </w:tc>
        <w:tc>
          <w:tcPr>
            <w:tcW w:w="600" w:type="dxa"/>
            <w:vAlign w:val="bottom"/>
            <w:tcBorders>
              <w:bottom w:val="single" w:sz="8" w:color="CCEEFF"/>
            </w:tcBorders>
            <w:gridSpan w:val="9"/>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prospectus forming a part of this Registration Statement).</w:t>
              </w:r>
            </w:hyperlink>
          </w:p>
        </w:tc>
        <w:tc>
          <w:tcPr>
            <w:tcW w:w="1040" w:type="dxa"/>
            <w:vAlign w:val="bottom"/>
            <w:tcBorders>
              <w:bottom w:val="single" w:sz="8" w:color="CCEEFF"/>
            </w:tcBorders>
            <w:gridSpan w:val="14"/>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442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Amended and Restated Certificate of Incorporation of BCTG</w:t>
              </w:r>
            </w:hyperlink>
          </w:p>
        </w:tc>
        <w:tc>
          <w:tcPr>
            <w:tcW w:w="760" w:type="dxa"/>
            <w:vAlign w:val="bottom"/>
            <w:gridSpan w:val="12"/>
          </w:tcPr>
          <w:p>
            <w:pPr>
              <w:spacing w:after="0"/>
              <w:rPr>
                <w:sz w:val="15"/>
                <w:szCs w:val="15"/>
                <w:color w:val="auto"/>
              </w:rPr>
            </w:pPr>
          </w:p>
        </w:tc>
        <w:tc>
          <w:tcPr>
            <w:tcW w:w="11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1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2"/>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Acquisition Corp.</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4"/>
              </w:rPr>
            </w:pPr>
            <w:hyperlink r:id="rId27">
              <w:r>
                <w:rPr>
                  <w:rFonts w:ascii="Arial" w:cs="Arial" w:eastAsia="Arial" w:hAnsi="Arial"/>
                  <w:sz w:val="18"/>
                  <w:szCs w:val="18"/>
                  <w:color w:val="0000EE"/>
                  <w:w w:val="94"/>
                </w:rPr>
                <w:t>Bylaws of BCTG Acquisition Corp.</w:t>
              </w:r>
            </w:hyperlink>
          </w:p>
        </w:tc>
        <w:tc>
          <w:tcPr>
            <w:tcW w:w="2580" w:type="dxa"/>
            <w:vAlign w:val="bottom"/>
            <w:tcBorders>
              <w:bottom w:val="single" w:sz="8" w:color="CCEEFF"/>
            </w:tcBorders>
            <w:gridSpan w:val="17"/>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S-1/A</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333-240237</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3.3</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August 31, 2020</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4900" w:type="dxa"/>
            <w:vAlign w:val="bottom"/>
            <w:tcBorders>
              <w:bottom w:val="single" w:sz="8" w:color="0000EE"/>
            </w:tcBorders>
            <w:gridSpan w:val="18"/>
          </w:tcPr>
          <w:p>
            <w:pPr>
              <w:spacing w:after="0" w:line="17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Form of Second Amended and Restated Certificate of Incorporation</w:t>
              </w:r>
            </w:hyperlink>
          </w:p>
        </w:tc>
        <w:tc>
          <w:tcPr>
            <w:tcW w:w="28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(Included as Annex B to the proxy statement/prospectus forming a</w:t>
              </w:r>
            </w:hyperlink>
          </w:p>
        </w:tc>
        <w:tc>
          <w:tcPr>
            <w:tcW w:w="38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2"/>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part of this Registration Statement).</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5"/>
                <w:szCs w:val="15"/>
                <w:color w:val="auto"/>
              </w:rPr>
            </w:pPr>
          </w:p>
        </w:tc>
        <w:tc>
          <w:tcPr>
            <w:tcW w:w="5180" w:type="dxa"/>
            <w:vAlign w:val="bottom"/>
            <w:gridSpan w:val="22"/>
            <w:shd w:val="clear" w:color="auto" w:fill="CCEEFF"/>
          </w:tcPr>
          <w:p>
            <w:pPr>
              <w:spacing w:after="0" w:line="176" w:lineRule="exact"/>
              <w:rPr>
                <w:rFonts w:ascii="Arial" w:cs="Arial" w:eastAsia="Arial" w:hAnsi="Arial"/>
                <w:sz w:val="18"/>
                <w:szCs w:val="18"/>
                <w:color w:val="0000EE"/>
                <w:w w:val="99"/>
              </w:rPr>
            </w:pPr>
            <w:hyperlink r:id="rId29">
              <w:r>
                <w:rPr>
                  <w:rFonts w:ascii="Arial" w:cs="Arial" w:eastAsia="Arial" w:hAnsi="Arial"/>
                  <w:sz w:val="18"/>
                  <w:szCs w:val="18"/>
                  <w:color w:val="0000EE"/>
                  <w:w w:val="99"/>
                </w:rPr>
                <w:t>Form of Amended and Restated Bylaws (Included as Exhibit F of</w:t>
              </w:r>
            </w:hyperlink>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700" w:type="dxa"/>
            <w:vAlign w:val="bottom"/>
            <w:tcBorders>
              <w:top w:val="single" w:sz="8" w:color="0000EE"/>
              <w:bottom w:val="single" w:sz="8" w:color="0000EE"/>
            </w:tcBorders>
            <w:gridSpan w:val="14"/>
            <w:shd w:val="clear" w:color="auto" w:fill="CCEEFF"/>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Annex A to the proxy statement/prospectus forming a part of this</w:t>
              </w:r>
            </w:hyperlink>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Registration Statement)</w:t>
              </w:r>
            </w:hyperlink>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5180" w:type="dxa"/>
            <w:vAlign w:val="bottom"/>
            <w:gridSpan w:val="22"/>
          </w:tcPr>
          <w:p>
            <w:pPr>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Specimen Common Stock Certificate.</w:t>
              </w:r>
            </w:hyperlink>
          </w:p>
        </w:tc>
        <w:tc>
          <w:tcPr>
            <w:tcW w:w="11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S-1/A</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333-240237</w:t>
            </w:r>
          </w:p>
        </w:tc>
        <w:tc>
          <w:tcPr>
            <w:tcW w:w="1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1"/>
              </w:rPr>
              <w:t>August 31, 2020</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44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Specimen Common Stock Certificate of the Combined Entity.</w:t>
              </w:r>
            </w:hyperlink>
          </w:p>
        </w:tc>
        <w:tc>
          <w:tcPr>
            <w:tcW w:w="720" w:type="dxa"/>
            <w:vAlign w:val="bottom"/>
            <w:tcBorders>
              <w:bottom w:val="single" w:sz="8" w:color="CCEEFF"/>
            </w:tcBorders>
            <w:gridSpan w:val="11"/>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4560" w:type="dxa"/>
            <w:vAlign w:val="bottom"/>
            <w:tcBorders>
              <w:bottom w:val="single" w:sz="8" w:color="0000EE"/>
            </w:tcBorders>
            <w:gridSpan w:val="12"/>
          </w:tcPr>
          <w:p>
            <w:pPr>
              <w:spacing w:after="0" w:line="17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Opinion of Loeb &amp; Loeb LLP as to the validity of the shares of</w:t>
              </w:r>
            </w:hyperlink>
          </w:p>
        </w:tc>
        <w:tc>
          <w:tcPr>
            <w:tcW w:w="620" w:type="dxa"/>
            <w:vAlign w:val="bottom"/>
            <w:gridSpan w:val="10"/>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Common Stock of BCTG Acquisition Corp.</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42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r:id="rId31">
              <w:r>
                <w:rPr>
                  <w:rFonts w:ascii="Arial" w:cs="Arial" w:eastAsia="Arial" w:hAnsi="Arial"/>
                  <w:sz w:val="18"/>
                  <w:szCs w:val="18"/>
                  <w:color w:val="0000EE"/>
                  <w:w w:val="89"/>
                </w:rPr>
                <w:t>Letter Agreement, dated September 2, 2020, among BCTG</w:t>
              </w:r>
            </w:hyperlink>
          </w:p>
        </w:tc>
        <w:tc>
          <w:tcPr>
            <w:tcW w:w="920" w:type="dxa"/>
            <w:vAlign w:val="bottom"/>
            <w:tcBorders>
              <w:bottom w:val="single" w:sz="8" w:color="CCEEFF"/>
            </w:tcBorders>
            <w:gridSpan w:val="13"/>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Acquisition Corp. and its officers, directors and Initial Stockholders.</w:t>
              </w:r>
            </w:hyperlink>
          </w:p>
        </w:tc>
        <w:tc>
          <w:tcPr>
            <w:tcW w:w="240" w:type="dxa"/>
            <w:vAlign w:val="bottom"/>
            <w:tcBorders>
              <w:bottom w:val="single" w:sz="8" w:color="CCEEFF"/>
            </w:tcBorders>
            <w:gridSpan w:val="3"/>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4980" w:type="dxa"/>
            <w:vAlign w:val="bottom"/>
            <w:tcBorders>
              <w:bottom w:val="single" w:sz="8" w:color="0000EE"/>
            </w:tcBorders>
            <w:gridSpan w:val="20"/>
          </w:tcPr>
          <w:p>
            <w:pPr>
              <w:spacing w:after="0" w:line="176" w:lineRule="exact"/>
              <w:rPr>
                <w:rFonts w:ascii="Arial" w:cs="Arial" w:eastAsia="Arial" w:hAnsi="Arial"/>
                <w:sz w:val="18"/>
                <w:szCs w:val="18"/>
                <w:color w:val="0000EE"/>
                <w:w w:val="89"/>
              </w:rPr>
            </w:pPr>
            <w:hyperlink r:id="rId32">
              <w:r>
                <w:rPr>
                  <w:rFonts w:ascii="Arial" w:cs="Arial" w:eastAsia="Arial" w:hAnsi="Arial"/>
                  <w:sz w:val="18"/>
                  <w:szCs w:val="18"/>
                  <w:color w:val="0000EE"/>
                  <w:w w:val="89"/>
                </w:rPr>
                <w:t>Investment Management Trust Agreement, dated September 2, 2020,</w:t>
              </w:r>
            </w:hyperlink>
          </w:p>
        </w:tc>
        <w:tc>
          <w:tcPr>
            <w:tcW w:w="200" w:type="dxa"/>
            <w:vAlign w:val="bottom"/>
            <w:gridSpan w:val="2"/>
          </w:tcPr>
          <w:p>
            <w:pPr>
              <w:spacing w:after="0"/>
              <w:rPr>
                <w:sz w:val="15"/>
                <w:szCs w:val="15"/>
                <w:color w:val="auto"/>
              </w:rPr>
            </w:pPr>
          </w:p>
        </w:tc>
        <w:tc>
          <w:tcPr>
            <w:tcW w:w="11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1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32">
              <w:r>
                <w:rPr>
                  <w:rFonts w:ascii="Arial" w:cs="Arial" w:eastAsia="Arial" w:hAnsi="Arial"/>
                  <w:sz w:val="18"/>
                  <w:szCs w:val="18"/>
                  <w:color w:val="0000EE"/>
                  <w:w w:val="90"/>
                </w:rPr>
                <w:t>by and between Continental Stock Transfer &amp; Trust Company and</w:t>
              </w:r>
            </w:hyperlink>
          </w:p>
        </w:tc>
        <w:tc>
          <w:tcPr>
            <w:tcW w:w="40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32">
              <w:r>
                <w:rPr>
                  <w:rFonts w:ascii="Arial" w:cs="Arial" w:eastAsia="Arial" w:hAnsi="Arial"/>
                  <w:sz w:val="18"/>
                  <w:szCs w:val="18"/>
                  <w:color w:val="0000EE"/>
                  <w:w w:val="94"/>
                </w:rPr>
                <w:t>BCTG Acquisition Corp.</w:t>
              </w:r>
            </w:hyperlink>
          </w:p>
        </w:tc>
        <w:tc>
          <w:tcPr>
            <w:tcW w:w="3360" w:type="dxa"/>
            <w:vAlign w:val="bottom"/>
            <w:gridSpan w:val="19"/>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5"/>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Incorporated by Reference</w:t>
            </w:r>
          </w:p>
        </w:tc>
      </w:tr>
      <w:tr>
        <w:trPr>
          <w:trHeight w:val="198"/>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6"/>
              </w:rPr>
              <w:t>Schedule/</w:t>
            </w:r>
          </w:p>
        </w:tc>
        <w:tc>
          <w:tcPr>
            <w:tcW w:w="11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File</w:t>
            </w:r>
          </w:p>
        </w:tc>
        <w:tc>
          <w:tcPr>
            <w:tcW w:w="11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6"/>
              </w:rPr>
              <w:t>Exhibit</w:t>
            </w:r>
          </w:p>
        </w:tc>
        <w:tc>
          <w:tcPr>
            <w:tcW w:w="1560" w:type="dxa"/>
            <w:vAlign w:val="bottom"/>
          </w:tcPr>
          <w:p>
            <w:pPr>
              <w:spacing w:after="0"/>
              <w:rPr>
                <w:sz w:val="17"/>
                <w:szCs w:val="17"/>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gridSpan w:val="27"/>
          </w:tcPr>
          <w:p>
            <w:pPr>
              <w:ind w:left="8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File Date</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700" w:type="dxa"/>
            <w:vAlign w:val="bottom"/>
            <w:tcBorders>
              <w:top w:val="single" w:sz="8" w:color="auto"/>
              <w:bottom w:val="single" w:sz="8" w:color="0000EE"/>
            </w:tcBorders>
            <w:gridSpan w:val="24"/>
            <w:shd w:val="clear" w:color="auto" w:fill="CCEEFF"/>
          </w:tcPr>
          <w:p>
            <w:pPr>
              <w:spacing w:after="0" w:line="176" w:lineRule="exact"/>
              <w:rPr>
                <w:rFonts w:ascii="Arial" w:cs="Arial" w:eastAsia="Arial" w:hAnsi="Arial"/>
                <w:sz w:val="18"/>
                <w:szCs w:val="18"/>
                <w:color w:val="0000EE"/>
                <w:w w:val="89"/>
              </w:rPr>
            </w:pPr>
            <w:hyperlink r:id="rId34">
              <w:r>
                <w:rPr>
                  <w:rFonts w:ascii="Arial" w:cs="Arial" w:eastAsia="Arial" w:hAnsi="Arial"/>
                  <w:sz w:val="18"/>
                  <w:szCs w:val="18"/>
                  <w:color w:val="0000EE"/>
                  <w:w w:val="89"/>
                </w:rPr>
                <w:t>Registration Rights Agreement, dated September 2, 2020, by and</w:t>
              </w:r>
            </w:hyperlink>
          </w:p>
        </w:tc>
        <w:tc>
          <w:tcPr>
            <w:tcW w:w="360" w:type="dxa"/>
            <w:vAlign w:val="bottom"/>
            <w:tcBorders>
              <w:top w:val="single" w:sz="8" w:color="auto"/>
              <w:bottom w:val="single" w:sz="8" w:color="CCEEFF"/>
            </w:tcBorders>
            <w:gridSpan w:val="10"/>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35"/>
            <w:shd w:val="clear" w:color="auto" w:fill="CCEEFF"/>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between BCTG Acquisition Corp. and Initial Stockholders.</w:t>
              </w:r>
            </w:hyperlink>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5180" w:type="dxa"/>
            <w:vAlign w:val="bottom"/>
            <w:gridSpan w:val="35"/>
          </w:tcPr>
          <w:p>
            <w:pPr>
              <w:spacing w:after="0" w:line="176" w:lineRule="exact"/>
              <w:rPr>
                <w:rFonts w:ascii="Arial" w:cs="Arial" w:eastAsia="Arial" w:hAnsi="Arial"/>
                <w:sz w:val="18"/>
                <w:szCs w:val="18"/>
                <w:color w:val="0000EE"/>
                <w:w w:val="99"/>
              </w:rPr>
            </w:pPr>
            <w:hyperlink r:id="rId35">
              <w:r>
                <w:rPr>
                  <w:rFonts w:ascii="Arial" w:cs="Arial" w:eastAsia="Arial" w:hAnsi="Arial"/>
                  <w:sz w:val="18"/>
                  <w:szCs w:val="18"/>
                  <w:color w:val="0000EE"/>
                  <w:w w:val="99"/>
                </w:rPr>
                <w:t>Indemnity Agreements, dated September 2, 2020, by and among</w:t>
              </w:r>
            </w:hyperlink>
          </w:p>
        </w:tc>
        <w:tc>
          <w:tcPr>
            <w:tcW w:w="11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1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BCTG Acquisition Corp. and the directors and officers of the</w:t>
              </w:r>
            </w:hyperlink>
          </w:p>
        </w:tc>
        <w:tc>
          <w:tcPr>
            <w:tcW w:w="220" w:type="dxa"/>
            <w:vAlign w:val="bottom"/>
            <w:tcBorders>
              <w:top w:val="single" w:sz="8" w:color="0000EE"/>
            </w:tcBorders>
            <w:gridSpan w:val="5"/>
          </w:tcPr>
          <w:p>
            <w:pPr>
              <w:spacing w:after="0"/>
              <w:rPr>
                <w:sz w:val="17"/>
                <w:szCs w:val="17"/>
                <w:color w:val="auto"/>
              </w:rPr>
            </w:pPr>
          </w:p>
        </w:tc>
        <w:tc>
          <w:tcPr>
            <w:tcW w:w="54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5"/>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Registrant</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5"/>
                <w:szCs w:val="15"/>
                <w:color w:val="auto"/>
              </w:rPr>
            </w:pPr>
          </w:p>
        </w:tc>
        <w:tc>
          <w:tcPr>
            <w:tcW w:w="5180" w:type="dxa"/>
            <w:vAlign w:val="bottom"/>
            <w:gridSpan w:val="35"/>
            <w:shd w:val="clear" w:color="auto" w:fill="CCEEFF"/>
          </w:tcPr>
          <w:p>
            <w:pPr>
              <w:spacing w:after="0" w:line="176" w:lineRule="exact"/>
              <w:rPr>
                <w:rFonts w:ascii="Arial" w:cs="Arial" w:eastAsia="Arial" w:hAnsi="Arial"/>
                <w:sz w:val="18"/>
                <w:szCs w:val="18"/>
                <w:color w:val="0000EE"/>
                <w:w w:val="93"/>
              </w:rPr>
            </w:pPr>
            <w:hyperlink r:id="rId36">
              <w:r>
                <w:rPr>
                  <w:rFonts w:ascii="Arial" w:cs="Arial" w:eastAsia="Arial" w:hAnsi="Arial"/>
                  <w:sz w:val="18"/>
                  <w:szCs w:val="18"/>
                  <w:color w:val="0000EE"/>
                  <w:w w:val="93"/>
                </w:rPr>
                <w:t>Subscription Agreement, dated September 2, 20202, by and between</w:t>
              </w:r>
            </w:hyperlink>
          </w:p>
        </w:tc>
        <w:tc>
          <w:tcPr>
            <w:tcW w:w="114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0000EE"/>
            </w:tcBorders>
            <w:gridSpan w:val="32"/>
            <w:shd w:val="clear" w:color="auto" w:fill="CCEEFF"/>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BCTG Acquisition Corp. and BCTG Holdings, LLC</w:t>
              </w:r>
            </w:hyperlink>
          </w:p>
        </w:tc>
        <w:tc>
          <w:tcPr>
            <w:tcW w:w="24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10.6†+</w:t>
            </w:r>
          </w:p>
        </w:tc>
        <w:tc>
          <w:tcPr>
            <w:tcW w:w="4560" w:type="dxa"/>
            <w:vAlign w:val="bottom"/>
            <w:tcBorders>
              <w:bottom w:val="single" w:sz="8" w:color="0000EE"/>
            </w:tcBorders>
            <w:gridSpan w:val="20"/>
          </w:tcPr>
          <w:p>
            <w:pPr>
              <w:spacing w:after="0" w:line="176" w:lineRule="exact"/>
              <w:rPr>
                <w:rFonts w:ascii="Arial" w:cs="Arial" w:eastAsia="Arial" w:hAnsi="Arial"/>
                <w:sz w:val="18"/>
                <w:szCs w:val="18"/>
                <w:color w:val="0000EE"/>
                <w:w w:val="89"/>
              </w:rPr>
            </w:pPr>
            <w:hyperlink r:id="rId37">
              <w:r>
                <w:rPr>
                  <w:rFonts w:ascii="Arial" w:cs="Arial" w:eastAsia="Arial" w:hAnsi="Arial"/>
                  <w:sz w:val="18"/>
                  <w:szCs w:val="18"/>
                  <w:color w:val="0000EE"/>
                  <w:w w:val="89"/>
                </w:rPr>
                <w:t>Tango Therapeutics, Inc. 2017 Stock Option and Grant Plan, as</w:t>
              </w:r>
            </w:hyperlink>
          </w:p>
        </w:tc>
        <w:tc>
          <w:tcPr>
            <w:tcW w:w="620" w:type="dxa"/>
            <w:vAlign w:val="bottom"/>
            <w:gridSpan w:val="15"/>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5"/>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amended, and forms of award agreements thereunder.</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5180" w:type="dxa"/>
            <w:vAlign w:val="bottom"/>
            <w:gridSpan w:val="35"/>
            <w:shd w:val="clear" w:color="auto" w:fill="CCEEFF"/>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Form of 2021 Equity Incentive Plan (Included as Annex C to the</w:t>
              </w:r>
            </w:hyperlink>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80" w:type="dxa"/>
            <w:vAlign w:val="bottom"/>
            <w:tcBorders>
              <w:top w:val="single" w:sz="8" w:color="0000EE"/>
              <w:bottom w:val="single" w:sz="8" w:color="0000EE"/>
            </w:tcBorders>
            <w:gridSpan w:val="19"/>
            <w:shd w:val="clear" w:color="auto" w:fill="CCEEFF"/>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proxy statement/prospectus forming a part of this Registration</w:t>
              </w:r>
            </w:hyperlink>
          </w:p>
        </w:tc>
        <w:tc>
          <w:tcPr>
            <w:tcW w:w="180" w:type="dxa"/>
            <w:vAlign w:val="bottom"/>
            <w:tcBorders>
              <w:top w:val="single" w:sz="8" w:color="0000EE"/>
              <w:bottom w:val="single" w:sz="8" w:color="CCEEFF"/>
            </w:tcBorders>
            <w:gridSpan w:val="4"/>
            <w:shd w:val="clear" w:color="auto" w:fill="CCEEFF"/>
          </w:tcPr>
          <w:p>
            <w:pPr>
              <w:spacing w:after="0"/>
              <w:rPr>
                <w:sz w:val="17"/>
                <w:szCs w:val="17"/>
                <w:color w:val="auto"/>
              </w:rPr>
            </w:pPr>
          </w:p>
        </w:tc>
        <w:tc>
          <w:tcPr>
            <w:tcW w:w="520" w:type="dxa"/>
            <w:vAlign w:val="bottom"/>
            <w:tcBorders>
              <w:top w:val="single" w:sz="8" w:color="CCEEFF"/>
              <w:bottom w:val="single" w:sz="8" w:color="CCEEFF"/>
            </w:tcBorders>
            <w:gridSpan w:val="12"/>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35"/>
            <w:shd w:val="clear" w:color="auto" w:fill="CCEEFF"/>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Statement).</w:t>
              </w:r>
            </w:hyperlink>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10.13†</w:t>
            </w:r>
          </w:p>
        </w:tc>
        <w:tc>
          <w:tcPr>
            <w:tcW w:w="4920" w:type="dxa"/>
            <w:vAlign w:val="bottom"/>
            <w:tcBorders>
              <w:bottom w:val="single" w:sz="8" w:color="0000EE"/>
            </w:tcBorders>
            <w:gridSpan w:val="31"/>
          </w:tcPr>
          <w:p>
            <w:pPr>
              <w:spacing w:after="0" w:line="176"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Form of 2021 Employee Stock Purchase Plan (Included as Annex D</w:t>
              </w:r>
            </w:hyperlink>
          </w:p>
        </w:tc>
        <w:tc>
          <w:tcPr>
            <w:tcW w:w="26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5"/>
          </w:tcPr>
          <w:p>
            <w:pPr>
              <w:spacing w:after="0" w:line="196" w:lineRule="exact"/>
              <w:rPr>
                <w:rFonts w:ascii="Arial" w:cs="Arial" w:eastAsia="Arial" w:hAnsi="Arial"/>
                <w:sz w:val="18"/>
                <w:szCs w:val="18"/>
                <w:color w:val="0000EE"/>
                <w:w w:val="95"/>
              </w:rPr>
            </w:pPr>
            <w:hyperlink r:id="rId39">
              <w:r>
                <w:rPr>
                  <w:rFonts w:ascii="Arial" w:cs="Arial" w:eastAsia="Arial" w:hAnsi="Arial"/>
                  <w:sz w:val="18"/>
                  <w:szCs w:val="18"/>
                  <w:color w:val="0000EE"/>
                  <w:w w:val="95"/>
                </w:rPr>
                <w:t>to the proxy statement/prospectus forming a part of this Registration</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Statement).</w:t>
              </w:r>
            </w:hyperlink>
          </w:p>
        </w:tc>
        <w:tc>
          <w:tcPr>
            <w:tcW w:w="26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5"/>
                <w:szCs w:val="15"/>
                <w:color w:val="auto"/>
              </w:rPr>
            </w:pPr>
          </w:p>
        </w:tc>
        <w:tc>
          <w:tcPr>
            <w:tcW w:w="5180" w:type="dxa"/>
            <w:vAlign w:val="bottom"/>
            <w:gridSpan w:val="35"/>
            <w:shd w:val="clear" w:color="auto" w:fill="CCEEFF"/>
          </w:tcPr>
          <w:p>
            <w:pPr>
              <w:spacing w:after="0" w:line="176" w:lineRule="exact"/>
              <w:rPr>
                <w:rFonts w:ascii="Arial" w:cs="Arial" w:eastAsia="Arial" w:hAnsi="Arial"/>
                <w:sz w:val="18"/>
                <w:szCs w:val="18"/>
                <w:color w:val="0000EE"/>
                <w:w w:val="96"/>
              </w:rPr>
            </w:pPr>
            <w:hyperlink r:id="rId40">
              <w:r>
                <w:rPr>
                  <w:rFonts w:ascii="Arial" w:cs="Arial" w:eastAsia="Arial" w:hAnsi="Arial"/>
                  <w:sz w:val="18"/>
                  <w:szCs w:val="18"/>
                  <w:color w:val="0000EE"/>
                  <w:w w:val="96"/>
                </w:rPr>
                <w:t>Form of Subscription Agreement, dated as of April 13, 2021 by and</w:t>
              </w:r>
            </w:hyperlink>
          </w:p>
        </w:tc>
        <w:tc>
          <w:tcPr>
            <w:tcW w:w="114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April 14, 2021</w:t>
            </w:r>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among BCTG Acquisition Corp. and certain institutional and</w:t>
              </w:r>
            </w:hyperlink>
          </w:p>
        </w:tc>
        <w:tc>
          <w:tcPr>
            <w:tcW w:w="480" w:type="dxa"/>
            <w:vAlign w:val="bottom"/>
            <w:tcBorders>
              <w:top w:val="single" w:sz="8" w:color="0000EE"/>
              <w:bottom w:val="single" w:sz="8" w:color="CCEEFF"/>
            </w:tcBorders>
            <w:gridSpan w:val="13"/>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35"/>
            <w:shd w:val="clear" w:color="auto" w:fill="CCEEFF"/>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accredited investors.</w:t>
              </w:r>
            </w:hyperlink>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438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Form of Company Support Agreement by and among BCTG</w:t>
              </w:r>
            </w:hyperlink>
          </w:p>
        </w:tc>
        <w:tc>
          <w:tcPr>
            <w:tcW w:w="800" w:type="dxa"/>
            <w:vAlign w:val="bottom"/>
            <w:gridSpan w:val="20"/>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Acquisition Corp., certain stockholders of Tango Therapeutics, Inc.</w:t>
              </w:r>
            </w:hyperlink>
          </w:p>
        </w:tc>
        <w:tc>
          <w:tcPr>
            <w:tcW w:w="32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5"/>
          </w:tcPr>
          <w:p>
            <w:pPr>
              <w:spacing w:after="0" w:line="196" w:lineRule="exact"/>
              <w:rPr>
                <w:rFonts w:ascii="Arial" w:cs="Arial" w:eastAsia="Arial" w:hAnsi="Arial"/>
                <w:sz w:val="18"/>
                <w:szCs w:val="18"/>
                <w:color w:val="0000EE"/>
                <w:w w:val="97"/>
              </w:rPr>
            </w:pPr>
            <w:hyperlink r:id="rId25">
              <w:r>
                <w:rPr>
                  <w:rFonts w:ascii="Arial" w:cs="Arial" w:eastAsia="Arial" w:hAnsi="Arial"/>
                  <w:sz w:val="18"/>
                  <w:szCs w:val="18"/>
                  <w:color w:val="0000EE"/>
                  <w:w w:val="97"/>
                </w:rPr>
                <w:t>and Tango Therapeutics, Inc. (Included as Exhibit A to exhibit 2.1).</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5"/>
                <w:szCs w:val="15"/>
                <w:color w:val="auto"/>
              </w:rPr>
            </w:pPr>
          </w:p>
        </w:tc>
        <w:tc>
          <w:tcPr>
            <w:tcW w:w="5180" w:type="dxa"/>
            <w:vAlign w:val="bottom"/>
            <w:gridSpan w:val="35"/>
            <w:shd w:val="clear" w:color="auto" w:fill="CCEEFF"/>
          </w:tcPr>
          <w:p>
            <w:pPr>
              <w:spacing w:after="0" w:line="176" w:lineRule="exact"/>
              <w:rPr>
                <w:rFonts w:ascii="Arial" w:cs="Arial" w:eastAsia="Arial" w:hAnsi="Arial"/>
                <w:sz w:val="18"/>
                <w:szCs w:val="18"/>
                <w:color w:val="0000EE"/>
                <w:w w:val="96"/>
              </w:rPr>
            </w:pPr>
            <w:hyperlink r:id="rId25">
              <w:r>
                <w:rPr>
                  <w:rFonts w:ascii="Arial" w:cs="Arial" w:eastAsia="Arial" w:hAnsi="Arial"/>
                  <w:sz w:val="18"/>
                  <w:szCs w:val="18"/>
                  <w:color w:val="0000EE"/>
                  <w:w w:val="96"/>
                </w:rPr>
                <w:t>Form of Parent Support Agreement (Included as Exhibit B to exhibit</w:t>
              </w:r>
            </w:hyperlink>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8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5"/>
                <w:szCs w:val="15"/>
                <w:color w:val="auto"/>
              </w:rPr>
            </w:pPr>
          </w:p>
        </w:tc>
        <w:tc>
          <w:tcPr>
            <w:tcW w:w="5180" w:type="dxa"/>
            <w:vAlign w:val="bottom"/>
            <w:gridSpan w:val="35"/>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Form of Amended and Restated Registration Rights Agreement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(included as Exhibit G to exhibit 2.1)</w:t>
              </w:r>
            </w:hyperlink>
          </w:p>
        </w:tc>
        <w:tc>
          <w:tcPr>
            <w:tcW w:w="600" w:type="dxa"/>
            <w:vAlign w:val="bottom"/>
            <w:gridSpan w:val="14"/>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5"/>
                <w:szCs w:val="15"/>
                <w:color w:val="auto"/>
              </w:rPr>
            </w:pPr>
          </w:p>
        </w:tc>
        <w:tc>
          <w:tcPr>
            <w:tcW w:w="5180" w:type="dxa"/>
            <w:vAlign w:val="bottom"/>
            <w:gridSpan w:val="35"/>
            <w:shd w:val="clear" w:color="auto" w:fill="CCEEFF"/>
          </w:tcPr>
          <w:p>
            <w:pPr>
              <w:spacing w:after="0" w:line="176" w:lineRule="exact"/>
              <w:rPr>
                <w:rFonts w:ascii="Arial" w:cs="Arial" w:eastAsia="Arial" w:hAnsi="Arial"/>
                <w:sz w:val="18"/>
                <w:szCs w:val="18"/>
                <w:color w:val="0000EE"/>
                <w:w w:val="97"/>
              </w:rPr>
            </w:pPr>
            <w:hyperlink r:id="rId25">
              <w:r>
                <w:rPr>
                  <w:rFonts w:ascii="Arial" w:cs="Arial" w:eastAsia="Arial" w:hAnsi="Arial"/>
                  <w:sz w:val="18"/>
                  <w:szCs w:val="18"/>
                  <w:color w:val="0000EE"/>
                  <w:w w:val="97"/>
                </w:rPr>
                <w:t>Form of Stockholder Lock-Up Agreement (Included as Exhibit D to</w:t>
              </w:r>
            </w:hyperlink>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3"/>
              </w:rPr>
            </w:pPr>
            <w:hyperlink r:id="rId25">
              <w:r>
                <w:rPr>
                  <w:rFonts w:ascii="Arial" w:cs="Arial" w:eastAsia="Arial" w:hAnsi="Arial"/>
                  <w:sz w:val="18"/>
                  <w:szCs w:val="18"/>
                  <w:color w:val="0000EE"/>
                  <w:w w:val="93"/>
                </w:rPr>
                <w:t>exhibit 2.1)</w:t>
              </w:r>
            </w:hyperlink>
          </w:p>
        </w:tc>
        <w:tc>
          <w:tcPr>
            <w:tcW w:w="4060" w:type="dxa"/>
            <w:vAlign w:val="bottom"/>
            <w:tcBorders>
              <w:top w:val="single" w:sz="8" w:color="0000EE"/>
              <w:bottom w:val="single" w:sz="8" w:color="CCEEFF"/>
            </w:tcBorders>
            <w:gridSpan w:val="26"/>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10.19#+</w:t>
            </w:r>
          </w:p>
        </w:tc>
        <w:tc>
          <w:tcPr>
            <w:tcW w:w="120" w:type="dxa"/>
            <w:vAlign w:val="bottom"/>
          </w:tcPr>
          <w:p>
            <w:pPr>
              <w:spacing w:after="0"/>
              <w:rPr>
                <w:sz w:val="15"/>
                <w:szCs w:val="15"/>
                <w:color w:val="auto"/>
              </w:rPr>
            </w:pPr>
          </w:p>
        </w:tc>
        <w:tc>
          <w:tcPr>
            <w:tcW w:w="4320" w:type="dxa"/>
            <w:vAlign w:val="bottom"/>
            <w:tcBorders>
              <w:bottom w:val="single" w:sz="8" w:color="0000EE"/>
            </w:tcBorders>
            <w:gridSpan w:val="14"/>
          </w:tcPr>
          <w:p>
            <w:pPr>
              <w:spacing w:after="0" w:line="176" w:lineRule="exact"/>
              <w:rPr>
                <w:rFonts w:ascii="Arial" w:cs="Arial" w:eastAsia="Arial" w:hAnsi="Arial"/>
                <w:sz w:val="18"/>
                <w:szCs w:val="18"/>
                <w:color w:val="0000EE"/>
                <w:w w:val="88"/>
              </w:rPr>
            </w:pPr>
            <w:hyperlink r:id="rId41">
              <w:r>
                <w:rPr>
                  <w:rFonts w:ascii="Arial" w:cs="Arial" w:eastAsia="Arial" w:hAnsi="Arial"/>
                  <w:sz w:val="18"/>
                  <w:szCs w:val="18"/>
                  <w:color w:val="0000EE"/>
                  <w:w w:val="88"/>
                </w:rPr>
                <w:t>Amended and Restated Research Collaboration and License</w:t>
              </w:r>
            </w:hyperlink>
          </w:p>
        </w:tc>
        <w:tc>
          <w:tcPr>
            <w:tcW w:w="860" w:type="dxa"/>
            <w:vAlign w:val="bottom"/>
            <w:gridSpan w:val="21"/>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Agreement between Tango Therapeutics, Inc. and Gilead Sciences,</w:t>
              </w:r>
            </w:hyperlink>
          </w:p>
        </w:tc>
        <w:tc>
          <w:tcPr>
            <w:tcW w:w="34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5"/>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Inc., dated August 17, 2020</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15"/>
                <w:szCs w:val="15"/>
                <w:color w:val="auto"/>
              </w:rPr>
            </w:pPr>
          </w:p>
        </w:tc>
        <w:tc>
          <w:tcPr>
            <w:tcW w:w="482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License Agreement between Tango Therapeutics, Inc. and Medivir</w:t>
              </w:r>
            </w:hyperlink>
          </w:p>
        </w:tc>
        <w:tc>
          <w:tcPr>
            <w:tcW w:w="360" w:type="dxa"/>
            <w:vAlign w:val="bottom"/>
            <w:tcBorders>
              <w:bottom w:val="single" w:sz="8" w:color="CCEEFF"/>
            </w:tcBorders>
            <w:gridSpan w:val="9"/>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35"/>
            <w:shd w:val="clear" w:color="auto" w:fill="CCEEFF"/>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AB, dated March 12, 2020</w:t>
              </w:r>
            </w:hyperlink>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5"/>
                <w:szCs w:val="15"/>
                <w:color w:val="auto"/>
              </w:rPr>
            </w:pPr>
          </w:p>
        </w:tc>
        <w:tc>
          <w:tcPr>
            <w:tcW w:w="5180" w:type="dxa"/>
            <w:vAlign w:val="bottom"/>
            <w:gridSpan w:val="35"/>
          </w:tcPr>
          <w:p>
            <w:pPr>
              <w:spacing w:after="0" w:line="176" w:lineRule="exact"/>
              <w:rPr>
                <w:rFonts w:ascii="Arial" w:cs="Arial" w:eastAsia="Arial" w:hAnsi="Arial"/>
                <w:sz w:val="18"/>
                <w:szCs w:val="18"/>
                <w:color w:val="0000EE"/>
                <w:w w:val="98"/>
              </w:rPr>
            </w:pPr>
            <w:hyperlink r:id="rId29">
              <w:r>
                <w:rPr>
                  <w:rFonts w:ascii="Arial" w:cs="Arial" w:eastAsia="Arial" w:hAnsi="Arial"/>
                  <w:sz w:val="18"/>
                  <w:szCs w:val="18"/>
                  <w:color w:val="0000EE"/>
                  <w:w w:val="98"/>
                </w:rPr>
                <w:t>Side Letter dated April 13, 2021, by and among by and among the</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Borders>
              <w:top w:val="single" w:sz="8" w:color="0000EE"/>
            </w:tcBorders>
            <w:gridSpan w:val="25"/>
          </w:tcPr>
          <w:p>
            <w:pPr>
              <w:spacing w:after="0" w:line="196" w:lineRule="exact"/>
              <w:rPr>
                <w:rFonts w:ascii="Arial" w:cs="Arial" w:eastAsia="Arial" w:hAnsi="Arial"/>
                <w:sz w:val="18"/>
                <w:szCs w:val="18"/>
                <w:color w:val="0000EE"/>
                <w:w w:val="96"/>
              </w:rPr>
            </w:pPr>
            <w:hyperlink r:id="rId29">
              <w:r>
                <w:rPr>
                  <w:rFonts w:ascii="Arial" w:cs="Arial" w:eastAsia="Arial" w:hAnsi="Arial"/>
                  <w:sz w:val="18"/>
                  <w:szCs w:val="18"/>
                  <w:color w:val="0000EE"/>
                  <w:w w:val="96"/>
                </w:rPr>
                <w:t>Sponsor, BCTG and Tango (Included as Annex F to the proxy</w:t>
              </w:r>
            </w:hyperlink>
          </w:p>
        </w:tc>
        <w:tc>
          <w:tcPr>
            <w:tcW w:w="42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5"/>
          </w:tcPr>
          <w:p>
            <w:pPr>
              <w:spacing w:after="0" w:line="196" w:lineRule="exact"/>
              <w:rPr>
                <w:rFonts w:ascii="Arial" w:cs="Arial" w:eastAsia="Arial" w:hAnsi="Arial"/>
                <w:sz w:val="18"/>
                <w:szCs w:val="18"/>
                <w:color w:val="0000EE"/>
                <w:w w:val="95"/>
              </w:rPr>
            </w:pPr>
            <w:hyperlink r:id="rId29">
              <w:r>
                <w:rPr>
                  <w:rFonts w:ascii="Arial" w:cs="Arial" w:eastAsia="Arial" w:hAnsi="Arial"/>
                  <w:sz w:val="18"/>
                  <w:szCs w:val="18"/>
                  <w:color w:val="0000EE"/>
                  <w:w w:val="95"/>
                </w:rPr>
                <w:t>statement/prospectus forming a part of this Registration Statement).</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5"/>
                <w:szCs w:val="15"/>
                <w:color w:val="auto"/>
              </w:rPr>
            </w:pPr>
          </w:p>
        </w:tc>
        <w:tc>
          <w:tcPr>
            <w:tcW w:w="5180" w:type="dxa"/>
            <w:vAlign w:val="bottom"/>
            <w:gridSpan w:val="3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List of Subsidiaries.</w:t>
              </w:r>
            </w:hyperlink>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5"/>
                <w:szCs w:val="15"/>
                <w:color w:val="auto"/>
              </w:rPr>
            </w:pPr>
          </w:p>
        </w:tc>
        <w:tc>
          <w:tcPr>
            <w:tcW w:w="5180" w:type="dxa"/>
            <w:vAlign w:val="bottom"/>
            <w:gridSpan w:val="35"/>
          </w:tcPr>
          <w:p>
            <w:pPr>
              <w:spacing w:after="0" w:line="176" w:lineRule="exact"/>
              <w:rPr>
                <w:rFonts w:ascii="Arial" w:cs="Arial" w:eastAsia="Arial" w:hAnsi="Arial"/>
                <w:sz w:val="18"/>
                <w:szCs w:val="18"/>
                <w:color w:val="0000EE"/>
                <w:w w:val="95"/>
              </w:rPr>
            </w:pPr>
            <w:hyperlink r:id="rId43">
              <w:r>
                <w:rPr>
                  <w:rFonts w:ascii="Arial" w:cs="Arial" w:eastAsia="Arial" w:hAnsi="Arial"/>
                  <w:sz w:val="18"/>
                  <w:szCs w:val="18"/>
                  <w:color w:val="0000EE"/>
                  <w:w w:val="95"/>
                </w:rPr>
                <w:t>Consent of WithumSmith+Brown, PC, independent registered public</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accounting firm of BCTG Acquisition Corp.</w:t>
              </w:r>
            </w:hyperlink>
          </w:p>
        </w:tc>
        <w:tc>
          <w:tcPr>
            <w:tcW w:w="22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5"/>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w w:val="95"/>
              </w:rPr>
              <w:t>Incorporated by Reference</w:t>
            </w:r>
          </w:p>
        </w:tc>
        <w:tc>
          <w:tcPr>
            <w:tcW w:w="1280" w:type="dxa"/>
            <w:vAlign w:val="bottom"/>
            <w:tcBorders>
              <w:bottom w:val="single" w:sz="8" w:color="auto"/>
            </w:tcBorders>
          </w:tcPr>
          <w:p>
            <w:pPr>
              <w:spacing w:after="0"/>
              <w:rPr>
                <w:sz w:val="22"/>
                <w:szCs w:val="22"/>
                <w:color w:val="auto"/>
              </w:rPr>
            </w:pPr>
          </w:p>
        </w:tc>
      </w:tr>
      <w:tr>
        <w:trPr>
          <w:trHeight w:val="198"/>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6"/>
              </w:rPr>
              <w:t>Schedule/</w:t>
            </w:r>
          </w:p>
        </w:tc>
        <w:tc>
          <w:tcPr>
            <w:tcW w:w="11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File</w:t>
            </w:r>
          </w:p>
        </w:tc>
        <w:tc>
          <w:tcPr>
            <w:tcW w:w="1400" w:type="dxa"/>
            <w:vAlign w:val="bottom"/>
            <w:gridSpan w:val="3"/>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Exhibit</w:t>
            </w:r>
          </w:p>
        </w:tc>
        <w:tc>
          <w:tcPr>
            <w:tcW w:w="1280" w:type="dxa"/>
            <w:vAlign w:val="bottom"/>
          </w:tcPr>
          <w:p>
            <w:pPr>
              <w:spacing w:after="0"/>
              <w:rPr>
                <w:sz w:val="17"/>
                <w:szCs w:val="17"/>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80" w:type="dxa"/>
            <w:vAlign w:val="bottom"/>
            <w:gridSpan w:val="16"/>
          </w:tcPr>
          <w:p>
            <w:pPr>
              <w:ind w:left="58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4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tcPr>
          <w:p>
            <w:pPr>
              <w:ind w:left="140"/>
              <w:spacing w:after="0"/>
              <w:rPr>
                <w:sz w:val="20"/>
                <w:szCs w:val="20"/>
                <w:color w:val="auto"/>
              </w:rPr>
            </w:pPr>
            <w:r>
              <w:rPr>
                <w:rFonts w:ascii="Arial" w:cs="Arial" w:eastAsia="Arial" w:hAnsi="Arial"/>
                <w:sz w:val="18"/>
                <w:szCs w:val="18"/>
                <w:b w:val="1"/>
                <w:bCs w:val="1"/>
                <w:color w:val="auto"/>
              </w:rPr>
              <w:t>File Date</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Borders>
              <w:top w:val="single" w:sz="8" w:color="CCEEFF"/>
            </w:tcBorders>
            <w:shd w:val="clear" w:color="auto" w:fill="CCEEFF"/>
          </w:tcPr>
          <w:p>
            <w:pPr>
              <w:spacing w:after="0"/>
              <w:rPr>
                <w:sz w:val="15"/>
                <w:szCs w:val="15"/>
                <w:color w:val="auto"/>
              </w:rPr>
            </w:pPr>
          </w:p>
        </w:tc>
        <w:tc>
          <w:tcPr>
            <w:tcW w:w="5060" w:type="dxa"/>
            <w:vAlign w:val="bottom"/>
            <w:tcBorders>
              <w:top w:val="single" w:sz="8" w:color="auto"/>
            </w:tcBorders>
            <w:gridSpan w:val="18"/>
            <w:shd w:val="clear" w:color="auto" w:fill="CCEEFF"/>
          </w:tcPr>
          <w:p>
            <w:pPr>
              <w:spacing w:after="0" w:line="176" w:lineRule="exact"/>
              <w:rPr>
                <w:rFonts w:ascii="Arial" w:cs="Arial" w:eastAsia="Arial" w:hAnsi="Arial"/>
                <w:sz w:val="18"/>
                <w:szCs w:val="18"/>
                <w:color w:val="0000EE"/>
                <w:w w:val="95"/>
              </w:rPr>
            </w:pPr>
            <w:hyperlink r:id="rId45">
              <w:r>
                <w:rPr>
                  <w:rFonts w:ascii="Arial" w:cs="Arial" w:eastAsia="Arial" w:hAnsi="Arial"/>
                  <w:sz w:val="18"/>
                  <w:szCs w:val="18"/>
                  <w:color w:val="0000EE"/>
                  <w:w w:val="95"/>
                </w:rPr>
                <w:t>Consent of PricewaterhouseCoopers LLP, independent registered</w:t>
              </w:r>
            </w:hyperlink>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public accounting firm of Tango Therapeutics, Inc.</w:t>
              </w:r>
            </w:hyperlink>
          </w:p>
        </w:tc>
        <w:tc>
          <w:tcPr>
            <w:tcW w:w="500" w:type="dxa"/>
            <w:vAlign w:val="bottom"/>
            <w:tcBorders>
              <w:top w:val="single" w:sz="8" w:color="CCEEFF"/>
            </w:tcBorders>
            <w:gridSpan w:val="4"/>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23.3</w:t>
            </w:r>
          </w:p>
        </w:tc>
        <w:tc>
          <w:tcPr>
            <w:tcW w:w="120" w:type="dxa"/>
            <w:vAlign w:val="bottom"/>
          </w:tcPr>
          <w:p>
            <w:pPr>
              <w:spacing w:after="0"/>
              <w:rPr>
                <w:sz w:val="15"/>
                <w:szCs w:val="15"/>
                <w:color w:val="auto"/>
              </w:rPr>
            </w:pPr>
          </w:p>
        </w:tc>
        <w:tc>
          <w:tcPr>
            <w:tcW w:w="5040" w:type="dxa"/>
            <w:vAlign w:val="bottom"/>
            <w:tcBorders>
              <w:bottom w:val="single" w:sz="8" w:color="0000EE"/>
            </w:tcBorders>
            <w:gridSpan w:val="17"/>
          </w:tcPr>
          <w:p>
            <w:pPr>
              <w:spacing w:after="0" w:line="17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Consent of Loeb &amp; Loeb LLP (included as part of the opinion filed as</w:t>
              </w:r>
            </w:hyperlink>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Exhibit 5.1 hereto and incorporated herein by reference).</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Power of Attorney (contained on signature page to the registration</w:t>
              </w:r>
            </w:hyperlink>
          </w:p>
        </w:tc>
        <w:tc>
          <w:tcPr>
            <w:tcW w:w="400" w:type="dxa"/>
            <w:vAlign w:val="bottom"/>
            <w:tcBorders>
              <w:bottom w:val="single" w:sz="8" w:color="CCEEFF"/>
            </w:tcBorders>
            <w:gridSpan w:val="3"/>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statement).</w:t>
              </w:r>
            </w:hyperlink>
          </w:p>
        </w:tc>
        <w:tc>
          <w:tcPr>
            <w:tcW w:w="4380" w:type="dxa"/>
            <w:vAlign w:val="bottom"/>
            <w:tcBorders>
              <w:bottom w:val="single" w:sz="8" w:color="CCEEFF"/>
            </w:tcBorders>
            <w:gridSpan w:val="18"/>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5180" w:type="dxa"/>
            <w:vAlign w:val="bottom"/>
            <w:gridSpan w:val="19"/>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Form of Proxy Card.</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Consent of Barbara Weber to be named as a director.</w:t>
              </w:r>
            </w:hyperlink>
          </w:p>
        </w:tc>
        <w:tc>
          <w:tcPr>
            <w:tcW w:w="138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tcPr>
          <w:p>
            <w:pPr>
              <w:spacing w:after="0"/>
              <w:rPr>
                <w:sz w:val="15"/>
                <w:szCs w:val="15"/>
                <w:color w:val="auto"/>
              </w:rPr>
            </w:pPr>
          </w:p>
        </w:tc>
        <w:tc>
          <w:tcPr>
            <w:tcW w:w="5180" w:type="dxa"/>
            <w:vAlign w:val="bottom"/>
            <w:gridSpan w:val="19"/>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Consent of Alexis Borisy to be named as a director.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7"/>
                <w:szCs w:val="17"/>
                <w:color w:val="auto"/>
              </w:rPr>
            </w:pPr>
          </w:p>
        </w:tc>
        <w:tc>
          <w:tcPr>
            <w:tcW w:w="5180" w:type="dxa"/>
            <w:vAlign w:val="bottom"/>
            <w:gridSpan w:val="19"/>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Consent of Aaron Davis to be named as a director.</w:t>
              </w:r>
            </w:hyperlink>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99.5</w:t>
            </w:r>
          </w:p>
        </w:tc>
        <w:tc>
          <w:tcPr>
            <w:tcW w:w="120" w:type="dxa"/>
            <w:vAlign w:val="bottom"/>
            <w:tcBorders>
              <w:top w:val="single" w:sz="8" w:color="CCEEFF"/>
            </w:tcBorders>
          </w:tcPr>
          <w:p>
            <w:pPr>
              <w:spacing w:after="0"/>
              <w:rPr>
                <w:sz w:val="15"/>
                <w:szCs w:val="15"/>
                <w:color w:val="auto"/>
              </w:rPr>
            </w:pPr>
          </w:p>
        </w:tc>
        <w:tc>
          <w:tcPr>
            <w:tcW w:w="3620" w:type="dxa"/>
            <w:vAlign w:val="bottom"/>
            <w:tcBorders>
              <w:top w:val="single" w:sz="8" w:color="0000EE"/>
            </w:tcBorders>
            <w:gridSpan w:val="6"/>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Consent of Reid Huber to be named as a director.</w:t>
              </w:r>
            </w:hyperlink>
          </w:p>
        </w:tc>
        <w:tc>
          <w:tcPr>
            <w:tcW w:w="1560" w:type="dxa"/>
            <w:vAlign w:val="bottom"/>
            <w:tcBorders>
              <w:top w:val="single" w:sz="8" w:color="CCEEFF"/>
            </w:tcBorders>
            <w:gridSpan w:val="13"/>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Consent of Malte Peters to be named as a director.</w:t>
              </w:r>
            </w:hyperlink>
          </w:p>
        </w:tc>
        <w:tc>
          <w:tcPr>
            <w:tcW w:w="1560" w:type="dxa"/>
            <w:vAlign w:val="bottom"/>
            <w:tcBorders>
              <w:bottom w:val="single" w:sz="8" w:color="CCEEFF"/>
            </w:tcBorders>
            <w:gridSpan w:val="1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99.7</w:t>
            </w:r>
          </w:p>
        </w:tc>
        <w:tc>
          <w:tcPr>
            <w:tcW w:w="120" w:type="dxa"/>
            <w:vAlign w:val="bottom"/>
          </w:tcPr>
          <w:p>
            <w:pPr>
              <w:spacing w:after="0"/>
              <w:rPr>
                <w:sz w:val="15"/>
                <w:szCs w:val="15"/>
                <w:color w:val="auto"/>
              </w:rPr>
            </w:pPr>
          </w:p>
        </w:tc>
        <w:tc>
          <w:tcPr>
            <w:tcW w:w="5180" w:type="dxa"/>
            <w:vAlign w:val="bottom"/>
            <w:gridSpan w:val="19"/>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Consent of Lesley Calhoun to be named as a director.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Consent of Mace Rothenberg to be named as a director.</w:t>
              </w:r>
            </w:hyperlink>
          </w:p>
        </w:tc>
        <w:tc>
          <w:tcPr>
            <w:tcW w:w="118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99.9+</w:t>
            </w:r>
          </w:p>
        </w:tc>
        <w:tc>
          <w:tcPr>
            <w:tcW w:w="120" w:type="dxa"/>
            <w:vAlign w:val="bottom"/>
          </w:tcPr>
          <w:p>
            <w:pPr>
              <w:spacing w:after="0"/>
              <w:rPr>
                <w:sz w:val="15"/>
                <w:szCs w:val="15"/>
                <w:color w:val="auto"/>
              </w:rPr>
            </w:pPr>
          </w:p>
        </w:tc>
        <w:tc>
          <w:tcPr>
            <w:tcW w:w="5180" w:type="dxa"/>
            <w:vAlign w:val="bottom"/>
            <w:gridSpan w:val="19"/>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Consent of Canaccord Genuity LLC.</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99.10</w:t>
            </w:r>
          </w:p>
        </w:tc>
        <w:tc>
          <w:tcPr>
            <w:tcW w:w="120" w:type="dxa"/>
            <w:vAlign w:val="bottom"/>
            <w:shd w:val="clear" w:color="auto" w:fill="CCEEFF"/>
          </w:tcPr>
          <w:p>
            <w:pPr>
              <w:spacing w:after="0"/>
              <w:rPr>
                <w:sz w:val="15"/>
                <w:szCs w:val="15"/>
                <w:color w:val="auto"/>
              </w:rPr>
            </w:pPr>
          </w:p>
        </w:tc>
        <w:tc>
          <w:tcPr>
            <w:tcW w:w="5180" w:type="dxa"/>
            <w:vAlign w:val="bottom"/>
            <w:gridSpan w:val="19"/>
            <w:shd w:val="clear" w:color="auto" w:fill="CCEEFF"/>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Opinion of Canaccord Genuity LLC (Included as Annex E to the</w:t>
              </w:r>
            </w:hyperlink>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80" w:type="dxa"/>
            <w:vAlign w:val="bottom"/>
            <w:tcBorders>
              <w:top w:val="single" w:sz="8" w:color="0000EE"/>
              <w:bottom w:val="single" w:sz="8" w:color="0000EE"/>
            </w:tcBorders>
            <w:gridSpan w:val="13"/>
            <w:shd w:val="clear" w:color="auto" w:fill="CCEEFF"/>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proxy statement/prospectus forming a part of this Registration</w:t>
              </w:r>
            </w:hyperlink>
          </w:p>
        </w:tc>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19"/>
            <w:shd w:val="clear" w:color="auto" w:fill="CCEEFF"/>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Statement).</w:t>
              </w:r>
            </w:hyperlink>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8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51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8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51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80" w:type="dxa"/>
            <w:vAlign w:val="bottom"/>
            <w:gridSpan w:val="19"/>
          </w:tcPr>
          <w:p>
            <w:pPr>
              <w:spacing w:after="0"/>
              <w:rPr>
                <w:sz w:val="20"/>
                <w:szCs w:val="20"/>
                <w:color w:val="auto"/>
              </w:rPr>
            </w:pPr>
            <w:r>
              <w:rPr>
                <w:rFonts w:ascii="Arial" w:cs="Arial" w:eastAsia="Arial" w:hAnsi="Arial"/>
                <w:sz w:val="18"/>
                <w:szCs w:val="18"/>
                <w:color w:val="auto"/>
              </w:rPr>
              <w:t>XBRL Taxonomy Extension Labels Linkbase Document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51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annexes, schedules, and certain exhibits to the Agreement and Plan of Merger have been omitted pursuant to Item 601(b)(2) of Regulation S-K. BCTG hereby agrees to furnish supplementally a copy of any omitted annex,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712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by amendment.</w:t>
      </w:r>
    </w:p>
    <w:p>
      <w:pPr>
        <w:spacing w:after="0" w:line="23" w:lineRule="exact"/>
        <w:rPr>
          <w:sz w:val="20"/>
          <w:szCs w:val="20"/>
          <w:color w:val="auto"/>
        </w:rPr>
      </w:pPr>
    </w:p>
    <w:p>
      <w:pPr>
        <w:ind w:right="6900" w:firstLine="8"/>
        <w:spacing w:after="0" w:line="250"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 Previously filed.</w:t>
      </w:r>
    </w:p>
    <w:p>
      <w:pPr>
        <w:spacing w:after="0"/>
        <w:rPr>
          <w:rFonts w:ascii="Arial" w:cs="Arial" w:eastAsia="Arial" w:hAnsi="Arial"/>
          <w:sz w:val="18"/>
          <w:szCs w:val="18"/>
          <w:color w:val="auto"/>
        </w:rPr>
      </w:pPr>
      <w:r>
        <w:rPr>
          <w:rFonts w:ascii="Arial" w:cs="Arial" w:eastAsia="Arial" w:hAnsi="Arial"/>
          <w:sz w:val="17"/>
          <w:szCs w:val="17"/>
          <w:color w:val="auto"/>
        </w:rPr>
        <w:t>#   Portions of this exhibit (indicated by asterisks) have been omitted in accordance with the rules of the Securities and Exchange Commission.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22. Undertakings.</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00" w:right="40" w:hanging="320"/>
        <w:spacing w:after="0" w:line="272" w:lineRule="auto"/>
        <w:tabs>
          <w:tab w:leader="none" w:pos="1300"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7" w:lineRule="exact"/>
        <w:rPr>
          <w:rFonts w:ascii="Arial" w:cs="Arial" w:eastAsia="Arial" w:hAnsi="Arial"/>
          <w:sz w:val="17"/>
          <w:szCs w:val="17"/>
          <w:color w:val="auto"/>
        </w:rPr>
      </w:pPr>
    </w:p>
    <w:p>
      <w:pPr>
        <w:ind w:left="1300" w:right="180" w:hanging="320"/>
        <w:spacing w:after="0" w:line="277"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980" w:right="140" w:hanging="324"/>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980" w:right="56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80" w:hanging="324"/>
        <w:spacing w:after="0" w:line="25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1" w:lineRule="exact"/>
        <w:rPr>
          <w:rFonts w:ascii="Arial" w:cs="Arial" w:eastAsia="Arial" w:hAnsi="Arial"/>
          <w:sz w:val="18"/>
          <w:szCs w:val="18"/>
          <w:color w:val="auto"/>
        </w:rPr>
      </w:pPr>
    </w:p>
    <w:p>
      <w:pPr>
        <w:ind w:left="980" w:right="80" w:hanging="324"/>
        <w:spacing w:after="0" w:line="25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1300" w:hanging="320"/>
        <w:spacing w:after="0"/>
        <w:tabs>
          <w:tab w:leader="none" w:pos="1300" w:val="left"/>
        </w:tabs>
        <w:numPr>
          <w:ilvl w:val="2"/>
          <w:numId w:val="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300" w:right="260" w:hanging="320"/>
        <w:spacing w:after="0" w:line="277"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ind w:left="968" w:right="100" w:hanging="320"/>
        <w:spacing w:after="0" w:line="277" w:lineRule="auto"/>
        <w:tabs>
          <w:tab w:leader="none" w:pos="968"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rFonts w:ascii="Arial" w:cs="Arial" w:eastAsia="Arial" w:hAnsi="Arial"/>
          <w:sz w:val="18"/>
          <w:szCs w:val="18"/>
          <w:color w:val="auto"/>
        </w:rPr>
      </w:pPr>
    </w:p>
    <w:p>
      <w:pPr>
        <w:ind w:left="648" w:hanging="324"/>
        <w:spacing w:after="0" w:line="257" w:lineRule="auto"/>
        <w:tabs>
          <w:tab w:leader="none" w:pos="64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7" w:lineRule="exact"/>
        <w:rPr>
          <w:rFonts w:ascii="Arial" w:cs="Arial" w:eastAsia="Arial" w:hAnsi="Arial"/>
          <w:sz w:val="18"/>
          <w:szCs w:val="18"/>
          <w:color w:val="auto"/>
        </w:rPr>
      </w:pPr>
    </w:p>
    <w:p>
      <w:pPr>
        <w:ind w:left="648" w:right="120" w:hanging="324"/>
        <w:spacing w:after="0" w:line="255" w:lineRule="auto"/>
        <w:tabs>
          <w:tab w:leader="none" w:pos="64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2" w:lineRule="exact"/>
        <w:rPr>
          <w:rFonts w:ascii="Arial" w:cs="Arial" w:eastAsia="Arial" w:hAnsi="Arial"/>
          <w:sz w:val="18"/>
          <w:szCs w:val="18"/>
          <w:color w:val="auto"/>
        </w:rPr>
      </w:pPr>
    </w:p>
    <w:p>
      <w:pPr>
        <w:ind w:left="648" w:right="40" w:hanging="324"/>
        <w:spacing w:after="0" w:line="271" w:lineRule="auto"/>
        <w:tabs>
          <w:tab w:leader="none" w:pos="648" w:val="left"/>
        </w:tabs>
        <w:numPr>
          <w:ilvl w:val="1"/>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328" w:right="60" w:hanging="328"/>
        <w:spacing w:after="0" w:line="259"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328" w:right="60" w:hanging="328"/>
        <w:spacing w:after="0" w:line="342" w:lineRule="auto"/>
        <w:tabs>
          <w:tab w:leader="none" w:pos="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360" w:lineRule="exact"/>
        <w:rPr>
          <w:sz w:val="20"/>
          <w:szCs w:val="20"/>
          <w:color w:val="auto"/>
        </w:rPr>
      </w:pPr>
    </w:p>
    <w:p>
      <w:pPr>
        <w:jc w:val="center"/>
        <w:ind w:right="292"/>
        <w:spacing w:after="0"/>
        <w:rPr>
          <w:sz w:val="20"/>
          <w:szCs w:val="20"/>
          <w:color w:val="auto"/>
        </w:rPr>
      </w:pPr>
      <w:r>
        <w:rPr>
          <w:rFonts w:ascii="Arial" w:cs="Arial" w:eastAsia="Arial" w:hAnsi="Arial"/>
          <w:sz w:val="22"/>
          <w:szCs w:val="2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caused this Amendment No. 3 to Registration Statement to be signed on its behalf by the undersigned, thereunto duly authorized, in the City of San Diego, State of California, on July 15, 2021.</w:t>
      </w:r>
    </w:p>
    <w:p>
      <w:pPr>
        <w:spacing w:after="0" w:line="14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BCTG ACQUISITION CORP.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931" w:right="339" w:bottom="1440" w:gutter="0" w:footer="0" w:header="0"/>
        </w:sectPr>
      </w:pPr>
    </w:p>
    <w:p>
      <w:pPr>
        <w:spacing w:after="0" w:line="180"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Beauchamp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Fuglesang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Carole L. Nuechterlein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Heyman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M. 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Jamie G. Christensen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B. Avery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By: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Aaron I. Davis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Attorney-in-Fact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4600" w:type="dxa"/>
            <w:vAlign w:val="bottom"/>
            <w:gridSpan w:val="2"/>
          </w:tcPr>
          <w:p>
            <w:pPr>
              <w:spacing w:after="0"/>
              <w:rPr>
                <w:sz w:val="20"/>
                <w:szCs w:val="20"/>
                <w:color w:val="auto"/>
              </w:rPr>
            </w:pPr>
            <w:r>
              <w:rPr>
                <w:rFonts w:ascii="Arial" w:cs="Arial" w:eastAsia="Arial" w:hAnsi="Arial"/>
                <w:sz w:val="18"/>
                <w:szCs w:val="18"/>
                <w:color w:val="auto"/>
              </w:rPr>
              <w:t>Chief Executive Officer and Chairman</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r>
      <w:tr>
        <w:trPr>
          <w:trHeight w:val="445"/>
        </w:trPr>
        <w:tc>
          <w:tcPr>
            <w:tcW w:w="460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020" w:type="dxa"/>
            <w:vAlign w:val="bottom"/>
          </w:tcPr>
          <w:p>
            <w:pPr>
              <w:spacing w:after="0"/>
              <w:rPr>
                <w:sz w:val="20"/>
                <w:szCs w:val="20"/>
                <w:color w:val="auto"/>
              </w:rPr>
            </w:pPr>
          </w:p>
        </w:tc>
      </w:tr>
      <w:tr>
        <w:trPr>
          <w:trHeight w:val="446"/>
        </w:trPr>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675"/>
        </w:trPr>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675"/>
        </w:trPr>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675"/>
        </w:trPr>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675"/>
        </w:trPr>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675"/>
        </w:trPr>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bl>
    <w:p>
      <w:pPr>
        <w:spacing w:after="0" w:line="1756" w:lineRule="exact"/>
        <w:rPr>
          <w:sz w:val="20"/>
          <w:szCs w:val="20"/>
          <w:color w:val="auto"/>
        </w:rPr>
      </w:pPr>
    </w:p>
    <w:p>
      <w:pPr>
        <w:sectPr>
          <w:pgSz w:w="11900" w:h="16838" w:orient="portrait"/>
          <w:cols w:equalWidth="0" w:num="2">
            <w:col w:w="3900" w:space="720"/>
            <w:col w:w="6620"/>
          </w:cols>
          <w:pgMar w:left="320" w:top="931"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2" w:name="page13"/>
    <w:bookmarkEnd w:id="12"/>
    <w:p>
      <w:pPr>
        <w:ind w:left="10400"/>
        <w:spacing w:after="0"/>
        <w:rPr>
          <w:sz w:val="20"/>
          <w:szCs w:val="20"/>
          <w:color w:val="auto"/>
        </w:rPr>
      </w:pPr>
      <w:r>
        <w:rPr>
          <w:rFonts w:ascii="Arial" w:cs="Arial" w:eastAsia="Arial" w:hAnsi="Arial"/>
          <w:sz w:val="16"/>
          <w:szCs w:val="16"/>
          <w:b w:val="1"/>
          <w:bCs w:val="1"/>
          <w:color w:val="auto"/>
        </w:rPr>
        <w:t>Exhibit 4.5</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w:t>
      </w:r>
    </w:p>
    <w:p>
      <w:pPr>
        <w:spacing w:after="0" w:line="445" w:lineRule="exact"/>
        <w:rPr>
          <w:sz w:val="20"/>
          <w:szCs w:val="20"/>
          <w:color w:val="auto"/>
        </w:rPr>
      </w:pPr>
    </w:p>
    <w:p>
      <w:pPr>
        <w:sectPr>
          <w:pgSz w:w="11900" w:h="16838" w:orient="portrait"/>
          <w:cols w:equalWidth="0" w:num="2">
            <w:col w:w="9800" w:space="720"/>
            <w:col w:w="720"/>
          </w:cols>
          <w:pgMar w:left="320" w:top="121" w:right="339" w:bottom="1440" w:gutter="0" w:footer="0" w:header="0"/>
          <w:type w:val="continuous"/>
        </w:sectPr>
      </w:pP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REVERSE FOR CERTAIN DEFINITIONS</w:t>
      </w:r>
    </w:p>
    <w:p>
      <w:pPr>
        <w:spacing w:after="0" w:line="275" w:lineRule="exact"/>
        <w:rPr>
          <w:sz w:val="20"/>
          <w:szCs w:val="20"/>
          <w:color w:val="auto"/>
        </w:rPr>
      </w:pPr>
    </w:p>
    <w:p>
      <w:pPr>
        <w:ind w:left="10200"/>
        <w:spacing w:after="0"/>
        <w:rPr>
          <w:sz w:val="20"/>
          <w:szCs w:val="20"/>
          <w:color w:val="auto"/>
        </w:rPr>
      </w:pPr>
      <w:r>
        <w:rPr>
          <w:rFonts w:ascii="Arial" w:cs="Arial" w:eastAsia="Arial" w:hAnsi="Arial"/>
          <w:sz w:val="17"/>
          <w:szCs w:val="17"/>
          <w:b w:val="1"/>
          <w:bCs w:val="1"/>
          <w:color w:val="auto"/>
        </w:rPr>
        <w:t>CUSIP _____</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tabs>
          <w:tab w:leader="none" w:pos="3320" w:val="left"/>
          <w:tab w:leader="none" w:pos="528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8"/>
          <w:szCs w:val="18"/>
          <w:color w:val="auto"/>
        </w:rPr>
        <w:t>is the owner of</w:t>
      </w:r>
      <w:r>
        <w:rPr>
          <w:sz w:val="20"/>
          <w:szCs w:val="20"/>
          <w:color w:val="auto"/>
        </w:rPr>
        <w:tab/>
      </w:r>
      <w:r>
        <w:rPr>
          <w:rFonts w:ascii="Arial" w:cs="Arial" w:eastAsia="Arial" w:hAnsi="Arial"/>
          <w:sz w:val="16"/>
          <w:szCs w:val="16"/>
          <w:color w:val="auto"/>
        </w:rPr>
        <w:t>fully paid and non-assessable shares of common stock, par value $0.001 per share</w:t>
      </w:r>
    </w:p>
    <w:p>
      <w:pPr>
        <w:sectPr>
          <w:pgSz w:w="11900" w:h="16838" w:orient="portrait"/>
          <w:cols w:equalWidth="0" w:num="1">
            <w:col w:w="11240"/>
          </w:cols>
          <w:pgMar w:left="320" w:top="121" w:right="339" w:bottom="1440" w:gutter="0" w:footer="0" w:header="0"/>
          <w:type w:val="continuous"/>
        </w:sectPr>
      </w:pP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Tango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transferable on the books of the Company in person or by duly authorized attorney upon surrender of this certificate properly endorsed.</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signature of a duly authorized signatory of the Company.</w:t>
      </w:r>
    </w:p>
    <w:p>
      <w:pPr>
        <w:spacing w:after="0" w:line="200" w:lineRule="exact"/>
        <w:rPr>
          <w:sz w:val="20"/>
          <w:szCs w:val="20"/>
          <w:color w:val="auto"/>
        </w:rPr>
      </w:pPr>
    </w:p>
    <w:p>
      <w:pPr>
        <w:spacing w:after="0" w:line="268"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6"/>
          <w:szCs w:val="16"/>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Second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6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TEN COM</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380" w:type="dxa"/>
            <w:vAlign w:val="bottom"/>
          </w:tcPr>
          <w:p>
            <w:pPr>
              <w:ind w:left="80"/>
              <w:spacing w:after="0"/>
              <w:rPr>
                <w:sz w:val="20"/>
                <w:szCs w:val="20"/>
                <w:color w:val="auto"/>
              </w:rPr>
            </w:pPr>
            <w:r>
              <w:rPr>
                <w:rFonts w:ascii="Arial" w:cs="Arial" w:eastAsia="Arial" w:hAnsi="Arial"/>
                <w:sz w:val="18"/>
                <w:szCs w:val="18"/>
                <w:color w:val="auto"/>
              </w:rPr>
              <w:t>as tenants in common</w:t>
            </w:r>
          </w:p>
        </w:tc>
        <w:tc>
          <w:tcPr>
            <w:tcW w:w="2360" w:type="dxa"/>
            <w:vAlign w:val="bottom"/>
          </w:tcPr>
          <w:p>
            <w:pPr>
              <w:ind w:left="400"/>
              <w:spacing w:after="0"/>
              <w:rPr>
                <w:sz w:val="20"/>
                <w:szCs w:val="20"/>
                <w:color w:val="auto"/>
              </w:rPr>
            </w:pPr>
            <w:r>
              <w:rPr>
                <w:rFonts w:ascii="Arial" w:cs="Arial" w:eastAsia="Arial" w:hAnsi="Arial"/>
                <w:sz w:val="18"/>
                <w:szCs w:val="18"/>
                <w:color w:val="auto"/>
              </w:rPr>
              <w:t>UNIF GIFT MIN ACT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260" w:type="dxa"/>
            <w:vAlign w:val="bottom"/>
          </w:tcPr>
          <w:p>
            <w:pPr>
              <w:ind w:left="1800"/>
              <w:spacing w:after="0"/>
              <w:rPr>
                <w:sz w:val="20"/>
                <w:szCs w:val="20"/>
                <w:color w:val="auto"/>
              </w:rPr>
            </w:pPr>
            <w:r>
              <w:rPr>
                <w:rFonts w:ascii="Arial" w:cs="Arial" w:eastAsia="Arial" w:hAnsi="Arial"/>
                <w:sz w:val="18"/>
                <w:szCs w:val="18"/>
                <w:color w:val="auto"/>
              </w:rPr>
              <w:t>Custodian</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TEN ENT</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  as tenants by the entireties</w:t>
            </w:r>
          </w:p>
        </w:tc>
        <w:tc>
          <w:tcPr>
            <w:tcW w:w="2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60" w:type="dxa"/>
            <w:vAlign w:val="bottom"/>
          </w:tcPr>
          <w:p>
            <w:pPr>
              <w:ind w:left="700"/>
              <w:spacing w:after="0"/>
              <w:rPr>
                <w:sz w:val="20"/>
                <w:szCs w:val="20"/>
                <w:color w:val="auto"/>
              </w:rPr>
            </w:pPr>
            <w:r>
              <w:rPr>
                <w:rFonts w:ascii="Arial" w:cs="Arial" w:eastAsia="Arial" w:hAnsi="Arial"/>
                <w:sz w:val="18"/>
                <w:szCs w:val="18"/>
                <w:color w:val="auto"/>
              </w:rPr>
              <w:t>(Cust)</w:t>
            </w:r>
          </w:p>
        </w:tc>
        <w:tc>
          <w:tcPr>
            <w:tcW w:w="840" w:type="dxa"/>
            <w:vAlign w:val="bottom"/>
          </w:tcPr>
          <w:p>
            <w:pPr>
              <w:ind w:left="280"/>
              <w:spacing w:after="0"/>
              <w:rPr>
                <w:sz w:val="20"/>
                <w:szCs w:val="20"/>
                <w:color w:val="auto"/>
              </w:rPr>
            </w:pPr>
            <w:r>
              <w:rPr>
                <w:rFonts w:ascii="Arial" w:cs="Arial" w:eastAsia="Arial" w:hAnsi="Arial"/>
                <w:sz w:val="18"/>
                <w:szCs w:val="18"/>
                <w:color w:val="auto"/>
                <w:w w:val="94"/>
              </w:rPr>
              <w:t>(Minor)</w:t>
            </w:r>
          </w:p>
        </w:tc>
        <w:tc>
          <w:tcPr>
            <w:tcW w:w="0" w:type="dxa"/>
            <w:vAlign w:val="bottom"/>
          </w:tcPr>
          <w:p>
            <w:pPr>
              <w:spacing w:after="0"/>
              <w:rPr>
                <w:sz w:val="1"/>
                <w:szCs w:val="1"/>
                <w:color w:val="auto"/>
              </w:rPr>
            </w:pPr>
          </w:p>
        </w:tc>
      </w:tr>
      <w:tr>
        <w:trPr>
          <w:trHeight w:val="472"/>
        </w:trPr>
        <w:tc>
          <w:tcPr>
            <w:tcW w:w="980" w:type="dxa"/>
            <w:vAlign w:val="bottom"/>
          </w:tcPr>
          <w:p>
            <w:pPr>
              <w:spacing w:after="0"/>
              <w:rPr>
                <w:sz w:val="20"/>
                <w:szCs w:val="20"/>
                <w:color w:val="auto"/>
              </w:rPr>
            </w:pPr>
            <w:r>
              <w:rPr>
                <w:rFonts w:ascii="Arial" w:cs="Arial" w:eastAsia="Arial" w:hAnsi="Arial"/>
                <w:sz w:val="18"/>
                <w:szCs w:val="18"/>
                <w:color w:val="auto"/>
              </w:rPr>
              <w:t>JT TEN</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740" w:type="dxa"/>
            <w:vAlign w:val="bottom"/>
            <w:gridSpan w:val="2"/>
          </w:tcPr>
          <w:p>
            <w:pPr>
              <w:ind w:left="80"/>
              <w:spacing w:after="0"/>
              <w:rPr>
                <w:sz w:val="20"/>
                <w:szCs w:val="20"/>
                <w:color w:val="auto"/>
              </w:rPr>
            </w:pPr>
            <w:r>
              <w:rPr>
                <w:rFonts w:ascii="Arial" w:cs="Arial" w:eastAsia="Arial" w:hAnsi="Arial"/>
                <w:sz w:val="18"/>
                <w:szCs w:val="18"/>
                <w:color w:val="auto"/>
                <w:w w:val="94"/>
              </w:rPr>
              <w:t>as joint tenants with right of survivorship and not as tenants in</w:t>
            </w:r>
          </w:p>
        </w:tc>
        <w:tc>
          <w:tcPr>
            <w:tcW w:w="440" w:type="dxa"/>
            <w:vAlign w:val="bottom"/>
          </w:tcPr>
          <w:p>
            <w:pPr>
              <w:spacing w:after="0"/>
              <w:rPr>
                <w:sz w:val="24"/>
                <w:szCs w:val="24"/>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under Uniform Gifts to Minors Act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80" w:type="dxa"/>
            <w:vAlign w:val="bottom"/>
          </w:tcPr>
          <w:p>
            <w:pPr>
              <w:ind w:left="80"/>
              <w:spacing w:after="0"/>
              <w:rPr>
                <w:sz w:val="20"/>
                <w:szCs w:val="20"/>
                <w:color w:val="auto"/>
              </w:rPr>
            </w:pPr>
            <w:r>
              <w:rPr>
                <w:rFonts w:ascii="Arial" w:cs="Arial" w:eastAsia="Arial" w:hAnsi="Arial"/>
                <w:sz w:val="18"/>
                <w:szCs w:val="18"/>
                <w:color w:val="auto"/>
              </w:rPr>
              <w:t>common</w:t>
            </w:r>
          </w:p>
        </w:tc>
        <w:tc>
          <w:tcPr>
            <w:tcW w:w="2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60" w:type="dxa"/>
            <w:vAlign w:val="bottom"/>
            <w:vMerge w:val="restart"/>
          </w:tcPr>
          <w:p>
            <w:pPr>
              <w:ind w:left="2500"/>
              <w:spacing w:after="0"/>
              <w:rPr>
                <w:sz w:val="20"/>
                <w:szCs w:val="20"/>
                <w:color w:val="auto"/>
              </w:rPr>
            </w:pPr>
            <w:r>
              <w:rPr>
                <w:rFonts w:ascii="Arial" w:cs="Arial" w:eastAsia="Arial" w:hAnsi="Arial"/>
                <w:sz w:val="18"/>
                <w:szCs w:val="18"/>
                <w:color w:val="auto"/>
              </w:rPr>
              <w:t>(State)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sells, assigns and transfers unto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shares of Common Stock represented by the within Certificate, and hereby irrevocably constitutes and appoints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Attorney to transfer the said shares of Common Stock on the books of the within named Company with full power of substitution in the premises.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signature(s) to this assignment must correspond with the name as</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written upon the face of the certificate in every particular, without alteration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Signature(s) Guaranteed:</w:t>
      </w:r>
    </w:p>
    <w:p>
      <w:pPr>
        <w:spacing w:after="0" w:line="200" w:lineRule="exact"/>
        <w:rPr>
          <w:sz w:val="20"/>
          <w:szCs w:val="20"/>
          <w:color w:val="auto"/>
        </w:rPr>
      </w:pPr>
    </w:p>
    <w:p>
      <w:pPr>
        <w:spacing w:after="0" w:line="326" w:lineRule="exact"/>
        <w:rPr>
          <w:sz w:val="20"/>
          <w:szCs w:val="20"/>
          <w:color w:val="auto"/>
        </w:rPr>
      </w:pPr>
    </w:p>
    <w:p>
      <w:pPr>
        <w:ind w:right="4759"/>
        <w:spacing w:after="0" w:line="268" w:lineRule="auto"/>
        <w:rPr>
          <w:sz w:val="20"/>
          <w:szCs w:val="20"/>
          <w:color w:val="auto"/>
        </w:rPr>
      </w:pPr>
      <w:r>
        <w:rPr>
          <w:rFonts w:ascii="Arial" w:cs="Arial" w:eastAsia="Arial" w:hAnsi="Arial"/>
          <w:sz w:val="17"/>
          <w:szCs w:val="17"/>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 w:lineRule="exact"/>
        <w:rPr>
          <w:sz w:val="20"/>
          <w:szCs w:val="20"/>
          <w:color w:val="auto"/>
        </w:rPr>
      </w:pPr>
    </w:p>
    <w:p>
      <w:pPr>
        <w:ind w:right="4659"/>
        <w:spacing w:after="0" w:line="260" w:lineRule="auto"/>
        <w:rPr>
          <w:sz w:val="20"/>
          <w:szCs w:val="20"/>
          <w:color w:val="auto"/>
        </w:rPr>
      </w:pPr>
      <w:r>
        <w:rPr>
          <w:rFonts w:ascii="Arial" w:cs="Arial" w:eastAsia="Arial" w:hAnsi="Arial"/>
          <w:sz w:val="18"/>
          <w:szCs w:val="18"/>
          <w:color w:val="auto"/>
        </w:rPr>
        <w:t>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91260" cy="1208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119126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rPr>
              <w:t>Main</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212.407.4000</w:t>
            </w:r>
          </w:p>
        </w:tc>
      </w:t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345 Park Avenue New York, NY 10154</w:t>
            </w: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rPr>
              <w:t>Fax</w:t>
            </w:r>
          </w:p>
        </w:tc>
        <w:tc>
          <w:tcPr>
            <w:tcW w:w="1120" w:type="dxa"/>
            <w:vAlign w:val="bottom"/>
          </w:tcPr>
          <w:p>
            <w:pPr>
              <w:jc w:val="right"/>
              <w:spacing w:after="0"/>
              <w:rPr>
                <w:sz w:val="20"/>
                <w:szCs w:val="20"/>
                <w:color w:val="auto"/>
              </w:rPr>
            </w:pPr>
            <w:r>
              <w:rPr>
                <w:rFonts w:ascii="Arial" w:cs="Arial" w:eastAsia="Arial" w:hAnsi="Arial"/>
                <w:sz w:val="18"/>
                <w:szCs w:val="18"/>
                <w:color w:val="auto"/>
                <w:w w:val="94"/>
              </w:rPr>
              <w:t>212.656.1307</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12860 El Camino Real,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have acted as counsel to BCTG Acquisition Corp., a Delaware corporation (“</w:t>
      </w:r>
      <w:r>
        <w:rPr>
          <w:rFonts w:ascii="Arial" w:cs="Arial" w:eastAsia="Arial" w:hAnsi="Arial"/>
          <w:sz w:val="18"/>
          <w:szCs w:val="18"/>
          <w:b w:val="1"/>
          <w:bCs w:val="1"/>
          <w:u w:val="single" w:color="auto"/>
          <w:color w:val="auto"/>
        </w:rPr>
        <w:t>BCTG</w:t>
      </w:r>
      <w:r>
        <w:rPr>
          <w:rFonts w:ascii="Arial" w:cs="Arial" w:eastAsia="Arial" w:hAnsi="Arial"/>
          <w:sz w:val="18"/>
          <w:szCs w:val="18"/>
          <w:color w:val="auto"/>
        </w:rPr>
        <w:t>”), in connection with the preparation of a registration statement on Form S-4, File No. 333-255354, filed by BCTG with the Securities and Exchange Commission under the Securities Act of 1933, as amended, with respect to the issuance to the security holders of Tango Therapeutics, Inc. (“</w:t>
      </w:r>
      <w:r>
        <w:rPr>
          <w:rFonts w:ascii="Arial" w:cs="Arial" w:eastAsia="Arial" w:hAnsi="Arial"/>
          <w:sz w:val="18"/>
          <w:szCs w:val="18"/>
          <w:b w:val="1"/>
          <w:bCs w:val="1"/>
          <w:u w:val="single" w:color="auto"/>
          <w:color w:val="auto"/>
        </w:rPr>
        <w:t>Tango</w:t>
      </w:r>
      <w:r>
        <w:rPr>
          <w:rFonts w:ascii="Arial" w:cs="Arial" w:eastAsia="Arial" w:hAnsi="Arial"/>
          <w:sz w:val="18"/>
          <w:szCs w:val="18"/>
          <w:color w:val="auto"/>
        </w:rPr>
        <w:t>”), in a business combination transaction (the “</w:t>
      </w:r>
      <w:r>
        <w:rPr>
          <w:rFonts w:ascii="Arial" w:cs="Arial" w:eastAsia="Arial" w:hAnsi="Arial"/>
          <w:sz w:val="18"/>
          <w:szCs w:val="18"/>
          <w:b w:val="1"/>
          <w:bCs w:val="1"/>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Combination</w:t>
      </w:r>
      <w:r>
        <w:rPr>
          <w:rFonts w:ascii="Arial" w:cs="Arial" w:eastAsia="Arial" w:hAnsi="Arial"/>
          <w:sz w:val="18"/>
          <w:szCs w:val="18"/>
          <w:color w:val="auto"/>
        </w:rPr>
        <w:t>”), pursuant to that certain Agreement and Plan of Merger, dated as of April 13, 2021 , by and among BCTG, BCTG Merger Sub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and wholly owned subsidiary of BCTG , and Tango of 55,000,000 shares of common stock, par value $0.001 per share, of BCTG (the “</w:t>
      </w:r>
      <w:r>
        <w:rPr>
          <w:rFonts w:ascii="Arial" w:cs="Arial" w:eastAsia="Arial" w:hAnsi="Arial"/>
          <w:sz w:val="18"/>
          <w:szCs w:val="18"/>
          <w:b w:val="1"/>
          <w:bCs w:val="1"/>
          <w:u w:val="single" w:color="auto"/>
          <w:color w:val="auto"/>
        </w:rPr>
        <w:t>BCTG Shares</w:t>
      </w:r>
      <w:r>
        <w:rPr>
          <w:rFonts w:ascii="Arial" w:cs="Arial" w:eastAsia="Arial" w:hAnsi="Arial"/>
          <w:sz w:val="18"/>
          <w:szCs w:val="18"/>
          <w:color w:val="auto"/>
        </w:rPr>
        <w:t>”).</w:t>
      </w:r>
    </w:p>
    <w:p>
      <w:pPr>
        <w:spacing w:after="0" w:line="19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have examined such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of BCTG.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of the opinion that upon issuance in the Business Combination, the BCTG Shares will be validly issued, fully paid and non-assessable.</w:t>
      </w:r>
    </w:p>
    <w:p>
      <w:pPr>
        <w:spacing w:after="0" w:line="248"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In addition, the foregoing opinion is qualified to the extent that (a) no opinion is expressed herein as to compliance with any federal or state consumer protection or antitrust laws, rules, or regulations, or any municipal or local laws and ordinances; and (b) no opinion is expressed herein as to compliance with or the effect of federal or state securities or blue sky laws.</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admitted to practice in the State of New York, and we express no opinion as to any matters governed by any law other than the law of the State of New York and the General Corporation Law of the State of Delaware.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made to us under the caption “Legal Matters” in the proxy statement/prospectus constituting part of the Registration Statement. In giving this consent, we do not thereby admit that we are within the category of persons whose consent is required under Section 7 of the Act, the rules and regulations of the Commission promulgated thereunder or Item 509 of Regulation S-K promulgated under the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Loeb and Loeb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ectPr>
          <w:pgSz w:w="11900" w:h="16838" w:orient="portrait"/>
          <w:cols w:equalWidth="0" w:num="1">
            <w:col w:w="11240"/>
          </w:cols>
          <w:pgMar w:left="320" w:top="121"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BCTG Acquisition Corp.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BCTG Merger Sub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Tango Therapeutics,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Tango Securities Corporation, a Massachusetts corporation</w:t>
      </w:r>
    </w:p>
    <w:p>
      <w:pPr>
        <w:sectPr>
          <w:pgSz w:w="11900" w:h="16838" w:orient="portrait"/>
          <w:cols w:equalWidth="0" w:num="1">
            <w:col w:w="11240"/>
          </w:cols>
          <w:pgMar w:left="320" w:top="121"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to Reference in Proxy Statement/Prospectus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BCTG Acquisition Corp, Inc. (the “Company”)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the Registration Statement and any and all amendments and supplements thereto as a member of the board of directors of the Company following the consummation of the business combination as described in the proxy statement/prospectus.</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Barbara Weber, M.D.</w:t>
      </w:r>
    </w:p>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to Reference in Proxy Statement/Prospectus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BCTG Acquisition Corp, Inc. (the “Company”)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the Registration Statement and any and all amendments and supplements thereto as a member of the board of directors of the Company following the consummation of the business combination as described in the proxy statement/prospectus.</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Alexis Borisy</w:t>
      </w:r>
    </w:p>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to Reference in Proxy Statement/Prospectus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BCTG Acquisition Corp, Inc. (the “Company”)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the Registration Statement and any and all amendments and supplements thereto as a member of the board of directors of the Company following the consummation of the business combination as described in the proxy statement/prospectus.</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Aaron Davis</w:t>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to Reference in Proxy Statement/Prospectus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BCTG Acquisition Corp, Inc. (the “Company”)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the Registration Statement and any and all amendments and supplements thereto as a member of the board of directors of the Company following the consummation of the business combination as described in the proxy statement/prospectus.</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Reid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Reid Huber, Ph.D.</w:t>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to Reference in Proxy Statement/Prospectus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BCTG Acquisition Corp, Inc. (the “Company”)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the Registration Statement and any and all amendments and supplements thereto as a member of the board of directors of the Company following the consummation of the business combination as described in the proxy statement/prospectus.</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Malte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Malte Peters, M.D.</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to Reference in Proxy Statement/Prospectus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BCTG Acquisition Corp, Inc. (the “Company”)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the Registration Statement and any and all amendments and supplements thereto as a member of the board of directors of the Company following the consummation of the business combination as described in the proxy statement/prospectus.</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Lesley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Lesley Calhoun</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to Reference in Proxy Statement/Prospectus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BCTG Acquisition Corp, Inc. (the “Company”)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the Registration Statement and any and all amendments and supplements thereto as a member of the board of directors of the Company following the consummation of the business combination as described in the proxy statement/prospectus.</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Mace Rothenberg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Mace Rothenberg, M.D.</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6">
    <w:nsid w:val="79E2A9E3"/>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7">
    <w:nsid w:val="7545E14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3" Type="http://schemas.openxmlformats.org/officeDocument/2006/relationships/image" Target="media/image18.png"/><Relationship Id="rId44"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jpe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25" Type="http://schemas.openxmlformats.org/officeDocument/2006/relationships/hyperlink" Target="http://www.sec.gov/Archives/edgar/data/1819133/000121390021021456/ea139433ex2-1_bctgacq.htm" TargetMode="External"/><Relationship Id="rId26" Type="http://schemas.openxmlformats.org/officeDocument/2006/relationships/hyperlink" Target="http://www.sec.gov/Archives/edgar/data/1819133/000121390020025909/ea126613ex3-2_bctgacq.htm" TargetMode="External"/><Relationship Id="rId27" Type="http://schemas.openxmlformats.org/officeDocument/2006/relationships/hyperlink" Target="http://www.sec.gov/Archives/edgar/data/1819133/000121390020024458/ea126196ex3-3_bctgacq.htm" TargetMode="External"/><Relationship Id="rId28" Type="http://schemas.openxmlformats.org/officeDocument/2006/relationships/hyperlink" Target="https://www.sec.gov/Archives/edgar/data/1819133/000121390021035641/fs42021a2_bctga.htm#T113" TargetMode="External"/><Relationship Id="rId29" Type="http://schemas.openxmlformats.org/officeDocument/2006/relationships/hyperlink" Target="https://www.sec.gov/Archives/edgar/data/1819133/000121390021035641/fs42021a2_bctga.htm#T117" TargetMode="External"/><Relationship Id="rId30" Type="http://schemas.openxmlformats.org/officeDocument/2006/relationships/hyperlink" Target="http://www.sec.gov/Archives/edgar/data/1819133/000121390020024458/ea126196ex4-1_bctgacq.htm" TargetMode="External"/><Relationship Id="rId31" Type="http://schemas.openxmlformats.org/officeDocument/2006/relationships/hyperlink" Target="http://www.sec.gov/Archives/edgar/data/1819133/000121390020025909/ea126613ex10-1_bctgacq.htm" TargetMode="External"/><Relationship Id="rId32" Type="http://schemas.openxmlformats.org/officeDocument/2006/relationships/hyperlink" Target="http://www.sec.gov/Archives/edgar/data/1819133/000121390020025909/ea126613ex10-2_bctgacq.htm" TargetMode="External"/><Relationship Id="rId34" Type="http://schemas.openxmlformats.org/officeDocument/2006/relationships/hyperlink" Target="http://www.sec.gov/Archives/edgar/data/1819133/000121390020025909/ea126613ex10-4_bctgacq.htm" TargetMode="External"/><Relationship Id="rId35" Type="http://schemas.openxmlformats.org/officeDocument/2006/relationships/hyperlink" Target="http://www.sec.gov/Archives/edgar/data/1819133/000121390020025909/ea126613ex10-7_bctgacq.htm" TargetMode="External"/><Relationship Id="rId36" Type="http://schemas.openxmlformats.org/officeDocument/2006/relationships/hyperlink" Target="http://www.sec.gov/Archives/edgar/data/1819133/000121390020025909/ea126613ex10-5_bctgacq.htm" TargetMode="External"/><Relationship Id="rId37" Type="http://schemas.openxmlformats.org/officeDocument/2006/relationships/hyperlink" Target="http://www.sec.gov/Archives/edgar/data/1819133/000121390021022195/fs42021ex10-6_bctgacqu.htm" TargetMode="External"/><Relationship Id="rId38" Type="http://schemas.openxmlformats.org/officeDocument/2006/relationships/hyperlink" Target="https://www.sec.gov/Archives/edgar/data/1819133/000121390021035641/fs42021a2_bctga.htm#T114" TargetMode="External"/><Relationship Id="rId39" Type="http://schemas.openxmlformats.org/officeDocument/2006/relationships/hyperlink" Target="https://www.sec.gov/Archives/edgar/data/1819133/000121390021035641/fs42021a2_bctga.htm#T115" TargetMode="External"/><Relationship Id="rId40" Type="http://schemas.openxmlformats.org/officeDocument/2006/relationships/hyperlink" Target="http://www.sec.gov/Archives/edgar/data/1819133/000121390021021456/ea139433ex10-1_bctgacq.htm" TargetMode="External"/><Relationship Id="rId41" Type="http://schemas.openxmlformats.org/officeDocument/2006/relationships/hyperlink" Target="http://www.sec.gov/Archives/edgar/data/1819133/000121390021032845/fs42021a1ex10-19_bctgacq.htm" TargetMode="External"/><Relationship Id="rId42" Type="http://schemas.openxmlformats.org/officeDocument/2006/relationships/hyperlink" Target="http://www.sec.gov/Archives/edgar/data/1819133/000121390021032845/fs42021a1ex10-20_bctgacq.htm" TargetMode="External"/><Relationship Id="rId43" Type="http://schemas.openxmlformats.org/officeDocument/2006/relationships/hyperlink" Target="http://www.sec.gov/Archives/edgar/data/1819133/000121390021032845/fs42021a1ex23-1_bctgacq.htm" TargetMode="External"/><Relationship Id="rId45" Type="http://schemas.openxmlformats.org/officeDocument/2006/relationships/hyperlink" Target="http://www.sec.gov/Archives/edgar/data/1819133/000121390021035641/fs42021a2ex23-2_bctga.htm" TargetMode="External"/><Relationship Id="rId46" Type="http://schemas.openxmlformats.org/officeDocument/2006/relationships/hyperlink" Target="http://www.sec.gov/Archives/edgar/data/1819133/000121390021032845/fs42021a1ex99-1_bctgacq.htm" TargetMode="External"/><Relationship Id="rId47" Type="http://schemas.openxmlformats.org/officeDocument/2006/relationships/hyperlink" Target="http://www.sec.gov/Archives/edgar/data/1819133/000121390021035641/fs42021a2ex99-9_bctga.htm" TargetMode="External"/><Relationship Id="rId48" Type="http://schemas.openxmlformats.org/officeDocument/2006/relationships/hyperlink" Target="https://www.sec.gov/Archives/edgar/data/1819133/000121390021035641/fs42021a2_bctga.htm#T1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2021-07-16T05:14:53Z</dcterms:created>
  <dcterms:modified xsi:type="dcterms:W3CDTF">2021-07-16T05:14:53Z</dcterms:modified>
</cp:coreProperties>
</file>