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Pursuant to Rule 424(b)(3)</w:t>
      </w:r>
    </w:p>
    <w:p>
      <w:pPr>
        <w:spacing w:after="0" w:line="7"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333-259448</w:t>
      </w:r>
    </w:p>
    <w:p>
      <w:pPr>
        <w:spacing w:after="0" w:line="234" w:lineRule="auto"/>
        <w:rPr>
          <w:sz w:val="20"/>
          <w:szCs w:val="20"/>
          <w:color w:val="auto"/>
        </w:rPr>
      </w:pPr>
      <w:r>
        <w:rPr>
          <w:rFonts w:ascii="Arial" w:cs="Arial" w:eastAsia="Arial" w:hAnsi="Arial"/>
          <w:sz w:val="18"/>
          <w:szCs w:val="18"/>
          <w:b w:val="1"/>
          <w:bCs w:val="1"/>
          <w:color w:val="auto"/>
        </w:rPr>
        <w:t>Prospectus Supplement No. 2</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March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2011045</wp:posOffset>
            </wp:positionH>
            <wp:positionV relativeFrom="paragraph">
              <wp:posOffset>124460</wp:posOffset>
            </wp:positionV>
            <wp:extent cx="3094355" cy="12433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94355" cy="12433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Up to 68,175,412 Shares of Common Stock</w:t>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spacing w:after="0" w:line="243" w:lineRule="auto"/>
        <w:rPr>
          <w:sz w:val="20"/>
          <w:szCs w:val="20"/>
          <w:color w:val="auto"/>
        </w:rPr>
      </w:pPr>
      <w:r>
        <w:rPr>
          <w:rFonts w:ascii="Arial" w:cs="Arial" w:eastAsia="Arial" w:hAnsi="Arial"/>
          <w:sz w:val="18"/>
          <w:szCs w:val="18"/>
          <w:color w:val="auto"/>
        </w:rPr>
        <w:t>This prospectus supplement updates and supplements the prospectus dated March 28, 2022 (the “Prospectus”), which forms a part of our Registration Statement on Form S-1 (333-259448). This prospectus supplement is being filed to update and supplement the information in the Prospectus with the information contained in our Current Report on Form 8-K, filed with the Securities and Exchange Commission (the “SEC”) on June 10, 2022 (the “Form 8-K”). Accordingly, we have attached the Form 8-K to this prospectus supplement.</w:t>
      </w:r>
    </w:p>
    <w:p>
      <w:pPr>
        <w:spacing w:after="0" w:line="188" w:lineRule="exact"/>
        <w:rPr>
          <w:sz w:val="24"/>
          <w:szCs w:val="24"/>
          <w:color w:val="auto"/>
        </w:rPr>
      </w:pPr>
    </w:p>
    <w:p>
      <w:pPr>
        <w:ind w:right="60"/>
        <w:spacing w:after="0" w:line="259" w:lineRule="auto"/>
        <w:rPr>
          <w:sz w:val="20"/>
          <w:szCs w:val="20"/>
          <w:color w:val="auto"/>
        </w:rPr>
      </w:pPr>
      <w:r>
        <w:rPr>
          <w:rFonts w:ascii="Arial" w:cs="Arial" w:eastAsia="Arial" w:hAnsi="Arial"/>
          <w:sz w:val="17"/>
          <w:szCs w:val="17"/>
          <w:color w:val="auto"/>
        </w:rPr>
        <w:t>The Prospectus and this prospectus supplement relate to the offer and sale, from time to time, by the selling securityholders named in the Prospectus, or the Selling Securityholders, or any of their pledgees, donees, assignees and successors-in-interest, or collectively, the permitted transferees, of (i) up to 18,610,000 shares of our common stock that were issued to certain investors, or collectively, the PIPE Investors, in a private placement in connection with the closing of the Business Combination (as defined in the Prospectus) and (ii) up to 49,565,412 shares of our common stock that were issued to certain former shareholders of Tango Therapeutics Sub, Inc. at the closing of the Business Combination.</w:t>
      </w:r>
    </w:p>
    <w:p>
      <w:pPr>
        <w:spacing w:after="0" w:line="174" w:lineRule="exact"/>
        <w:rPr>
          <w:sz w:val="24"/>
          <w:szCs w:val="24"/>
          <w:color w:val="auto"/>
        </w:rPr>
      </w:pPr>
    </w:p>
    <w:p>
      <w:pPr>
        <w:ind w:right="40"/>
        <w:spacing w:after="0" w:line="243" w:lineRule="auto"/>
        <w:rPr>
          <w:sz w:val="20"/>
          <w:szCs w:val="20"/>
          <w:color w:val="auto"/>
        </w:rPr>
      </w:pPr>
      <w:r>
        <w:rPr>
          <w:rFonts w:ascii="Arial" w:cs="Arial" w:eastAsia="Arial" w:hAnsi="Arial"/>
          <w:sz w:val="18"/>
          <w:szCs w:val="18"/>
          <w:color w:val="auto"/>
        </w:rPr>
        <w:t>This prospectus supplement should be read in conjunction with the Prospectus. This prospectus supplement updates and supplements the information in the Prospectus and is not complete without, and may not be delivered or utilized except in combination with, the Prospectus, including any amendments or supplements thereto. If there is any inconsistency between the information in the Prospectus and this prospectus supplement, you should rely on the information in this prospectus supplement.</w:t>
      </w:r>
    </w:p>
    <w:p>
      <w:pPr>
        <w:spacing w:after="0" w:line="390" w:lineRule="exact"/>
        <w:rPr>
          <w:sz w:val="24"/>
          <w:szCs w:val="24"/>
          <w:color w:val="auto"/>
        </w:rPr>
      </w:pPr>
    </w:p>
    <w:p>
      <w:pPr>
        <w:ind w:right="180"/>
        <w:spacing w:after="0" w:line="261" w:lineRule="auto"/>
        <w:rPr>
          <w:sz w:val="20"/>
          <w:szCs w:val="20"/>
          <w:color w:val="auto"/>
        </w:rPr>
      </w:pPr>
      <w:r>
        <w:rPr>
          <w:rFonts w:ascii="Arial" w:cs="Arial" w:eastAsia="Arial" w:hAnsi="Arial"/>
          <w:sz w:val="18"/>
          <w:szCs w:val="18"/>
          <w:color w:val="auto"/>
        </w:rPr>
        <w:t>Our common stock is listed on the Nasdaq Global Market under the symbol “TNGX”. On June 8, 2022, the closing price of our common stock was $5.90 per share.</w:t>
      </w:r>
    </w:p>
    <w:p>
      <w:pPr>
        <w:spacing w:after="0" w:line="369" w:lineRule="exact"/>
        <w:rPr>
          <w:sz w:val="24"/>
          <w:szCs w:val="24"/>
          <w:color w:val="auto"/>
        </w:rPr>
      </w:pPr>
    </w:p>
    <w:p>
      <w:pPr>
        <w:ind w:right="20"/>
        <w:spacing w:after="0" w:line="266" w:lineRule="auto"/>
        <w:rPr>
          <w:sz w:val="20"/>
          <w:szCs w:val="20"/>
          <w:color w:val="auto"/>
        </w:rPr>
      </w:pPr>
      <w:r>
        <w:rPr>
          <w:rFonts w:ascii="Arial" w:cs="Arial" w:eastAsia="Arial" w:hAnsi="Arial"/>
          <w:sz w:val="18"/>
          <w:szCs w:val="18"/>
          <w:b w:val="1"/>
          <w:bCs w:val="1"/>
          <w:color w:val="auto"/>
        </w:rPr>
        <w:t>Investing in our securities involves risks that are described in the “Risk Factors” section beginning on page 12 of the Prospectus and under similar headings in any further amendments or supplements to the Prospectus.</w:t>
      </w:r>
    </w:p>
    <w:p>
      <w:pPr>
        <w:spacing w:after="0" w:line="365" w:lineRule="exact"/>
        <w:rPr>
          <w:sz w:val="24"/>
          <w:szCs w:val="24"/>
          <w:color w:val="auto"/>
        </w:rPr>
      </w:pPr>
    </w:p>
    <w:p>
      <w:pPr>
        <w:ind w:right="100"/>
        <w:spacing w:after="0" w:line="250"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 securities to be issued under the Prospectus or determined if the Prospectus or this prospectus supplement is truthful or complete. Any representation to the contrary is a criminal offense.</w:t>
      </w:r>
    </w:p>
    <w:p>
      <w:pPr>
        <w:spacing w:after="0" w:line="3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June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9"/>
          <w:szCs w:val="29"/>
          <w:b w:val="1"/>
          <w:bCs w:val="1"/>
          <w:color w:val="auto"/>
        </w:rPr>
        <w:t>UNITED STATES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SECURITIES AND EXCHANGECOMMISSION</w:t>
      </w: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88265</wp:posOffset>
            </wp:positionV>
            <wp:extent cx="15170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108585</wp:posOffset>
            </wp:positionV>
            <wp:extent cx="15170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CURRENT REPORT</w:t>
      </w:r>
    </w:p>
    <w:p>
      <w:pPr>
        <w:jc w:val="center"/>
        <w:spacing w:after="0" w:line="229" w:lineRule="auto"/>
        <w:rPr>
          <w:sz w:val="20"/>
          <w:szCs w:val="20"/>
          <w:color w:val="auto"/>
        </w:rPr>
      </w:pPr>
      <w:r>
        <w:rPr>
          <w:rFonts w:ascii="Arial" w:cs="Arial" w:eastAsia="Arial" w:hAnsi="Arial"/>
          <w:sz w:val="19"/>
          <w:szCs w:val="19"/>
          <w:b w:val="1"/>
          <w:bCs w:val="1"/>
          <w:color w:val="auto"/>
        </w:rPr>
        <w:t>PURSUANT TO SECTION 13 OR 15(d)</w:t>
      </w:r>
    </w:p>
    <w:p>
      <w:pPr>
        <w:jc w:val="center"/>
        <w:spacing w:after="0"/>
        <w:rPr>
          <w:sz w:val="20"/>
          <w:szCs w:val="20"/>
          <w:color w:val="auto"/>
        </w:rPr>
      </w:pPr>
      <w:r>
        <w:rPr>
          <w:rFonts w:ascii="Arial" w:cs="Arial" w:eastAsia="Arial" w:hAnsi="Arial"/>
          <w:sz w:val="19"/>
          <w:szCs w:val="19"/>
          <w:b w:val="1"/>
          <w:bCs w:val="1"/>
          <w:color w:val="auto"/>
        </w:rPr>
        <w:t>OF THE SECURITIES EXCHANGEACT OF 1934</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Date of Report (Date of earliest event reported): June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230505</wp:posOffset>
            </wp:positionV>
            <wp:extent cx="14655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39"/>
          <w:szCs w:val="39"/>
          <w:b w:val="1"/>
          <w:bCs w:val="1"/>
          <w:color w:val="auto"/>
        </w:rPr>
        <w:t>TANGO THERAPEUTICS,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223520</wp:posOffset>
            </wp:positionV>
            <wp:extent cx="15170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tbl>
      <w:tblPr>
        <w:tblLayout w:type="fixed"/>
        <w:tblInd w:w="1160" w:type="dxa"/>
        <w:tblCellMar>
          <w:top w:w="0" w:type="dxa"/>
          <w:left w:w="0" w:type="dxa"/>
          <w:bottom w:w="0" w:type="dxa"/>
          <w:right w:w="0" w:type="dxa"/>
        </w:tblCellMar>
      </w:tblPr>
      <w:tr>
        <w:trPr>
          <w:trHeight w:val="184"/>
        </w:trPr>
        <w:tc>
          <w:tcPr>
            <w:tcW w:w="1800" w:type="dxa"/>
            <w:vAlign w:val="bottom"/>
          </w:tcPr>
          <w:p>
            <w:pPr>
              <w:jc w:val="center"/>
              <w:ind w:right="271"/>
              <w:spacing w:after="0"/>
              <w:rPr>
                <w:sz w:val="20"/>
                <w:szCs w:val="20"/>
                <w:color w:val="auto"/>
              </w:rPr>
            </w:pPr>
            <w:r>
              <w:rPr>
                <w:rFonts w:ascii="Arial" w:cs="Arial" w:eastAsia="Arial" w:hAnsi="Arial"/>
                <w:sz w:val="16"/>
                <w:szCs w:val="16"/>
                <w:b w:val="1"/>
                <w:bCs w:val="1"/>
                <w:color w:val="auto"/>
                <w:w w:val="93"/>
              </w:rPr>
              <w:t>Delaware</w:t>
            </w:r>
          </w:p>
        </w:tc>
        <w:tc>
          <w:tcPr>
            <w:tcW w:w="5440" w:type="dxa"/>
            <w:vAlign w:val="bottom"/>
          </w:tcPr>
          <w:p>
            <w:pPr>
              <w:jc w:val="center"/>
              <w:ind w:right="27"/>
              <w:spacing w:after="0"/>
              <w:rPr>
                <w:sz w:val="20"/>
                <w:szCs w:val="20"/>
                <w:color w:val="auto"/>
              </w:rPr>
            </w:pPr>
            <w:r>
              <w:rPr>
                <w:rFonts w:ascii="Arial" w:cs="Arial" w:eastAsia="Arial" w:hAnsi="Arial"/>
                <w:sz w:val="16"/>
                <w:szCs w:val="16"/>
                <w:b w:val="1"/>
                <w:bCs w:val="1"/>
                <w:color w:val="auto"/>
                <w:w w:val="91"/>
              </w:rPr>
              <w:t>001-39485</w:t>
            </w:r>
          </w:p>
        </w:tc>
        <w:tc>
          <w:tcPr>
            <w:tcW w:w="1460" w:type="dxa"/>
            <w:vAlign w:val="bottom"/>
          </w:tcPr>
          <w:p>
            <w:pPr>
              <w:jc w:val="center"/>
              <w:ind w:left="411"/>
              <w:spacing w:after="0"/>
              <w:rPr>
                <w:sz w:val="20"/>
                <w:szCs w:val="20"/>
                <w:color w:val="auto"/>
              </w:rPr>
            </w:pPr>
            <w:r>
              <w:rPr>
                <w:rFonts w:ascii="Arial" w:cs="Arial" w:eastAsia="Arial" w:hAnsi="Arial"/>
                <w:sz w:val="16"/>
                <w:szCs w:val="16"/>
                <w:b w:val="1"/>
                <w:bCs w:val="1"/>
                <w:color w:val="auto"/>
                <w:w w:val="91"/>
              </w:rPr>
              <w:t>85-1195036</w:t>
            </w:r>
          </w:p>
        </w:tc>
      </w:tr>
      <w:tr>
        <w:trPr>
          <w:trHeight w:val="126"/>
        </w:trPr>
        <w:tc>
          <w:tcPr>
            <w:tcW w:w="1800" w:type="dxa"/>
            <w:vAlign w:val="bottom"/>
          </w:tcPr>
          <w:p>
            <w:pPr>
              <w:jc w:val="center"/>
              <w:ind w:right="311"/>
              <w:spacing w:after="0" w:line="126" w:lineRule="exact"/>
              <w:rPr>
                <w:sz w:val="20"/>
                <w:szCs w:val="20"/>
                <w:color w:val="auto"/>
              </w:rPr>
            </w:pPr>
            <w:r>
              <w:rPr>
                <w:rFonts w:ascii="Arial" w:cs="Arial" w:eastAsia="Arial" w:hAnsi="Arial"/>
                <w:sz w:val="13"/>
                <w:szCs w:val="13"/>
                <w:b w:val="1"/>
                <w:bCs w:val="1"/>
                <w:color w:val="auto"/>
                <w:w w:val="87"/>
              </w:rPr>
              <w:t>(State or other jurisdiction</w:t>
            </w:r>
          </w:p>
        </w:tc>
        <w:tc>
          <w:tcPr>
            <w:tcW w:w="5440" w:type="dxa"/>
            <w:vAlign w:val="bottom"/>
          </w:tcPr>
          <w:p>
            <w:pPr>
              <w:jc w:val="center"/>
              <w:ind w:right="27"/>
              <w:spacing w:after="0" w:line="126" w:lineRule="exact"/>
              <w:rPr>
                <w:sz w:val="20"/>
                <w:szCs w:val="20"/>
                <w:color w:val="auto"/>
              </w:rPr>
            </w:pPr>
            <w:r>
              <w:rPr>
                <w:rFonts w:ascii="Arial" w:cs="Arial" w:eastAsia="Arial" w:hAnsi="Arial"/>
                <w:sz w:val="13"/>
                <w:szCs w:val="13"/>
                <w:b w:val="1"/>
                <w:bCs w:val="1"/>
                <w:color w:val="auto"/>
                <w:w w:val="84"/>
              </w:rPr>
              <w:t>(Commission</w:t>
            </w:r>
          </w:p>
        </w:tc>
        <w:tc>
          <w:tcPr>
            <w:tcW w:w="1460" w:type="dxa"/>
            <w:vAlign w:val="bottom"/>
          </w:tcPr>
          <w:p>
            <w:pPr>
              <w:jc w:val="center"/>
              <w:ind w:left="411"/>
              <w:spacing w:after="0" w:line="126"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1800" w:type="dxa"/>
            <w:vAlign w:val="bottom"/>
          </w:tcPr>
          <w:p>
            <w:pPr>
              <w:jc w:val="center"/>
              <w:ind w:right="291"/>
              <w:spacing w:after="0"/>
              <w:rPr>
                <w:sz w:val="20"/>
                <w:szCs w:val="20"/>
                <w:color w:val="auto"/>
              </w:rPr>
            </w:pPr>
            <w:r>
              <w:rPr>
                <w:rFonts w:ascii="Arial" w:cs="Arial" w:eastAsia="Arial" w:hAnsi="Arial"/>
                <w:sz w:val="13"/>
                <w:szCs w:val="13"/>
                <w:b w:val="1"/>
                <w:bCs w:val="1"/>
                <w:color w:val="auto"/>
                <w:w w:val="88"/>
              </w:rPr>
              <w:t>of incorporation)</w:t>
            </w:r>
          </w:p>
        </w:tc>
        <w:tc>
          <w:tcPr>
            <w:tcW w:w="5440" w:type="dxa"/>
            <w:vAlign w:val="bottom"/>
          </w:tcPr>
          <w:p>
            <w:pPr>
              <w:jc w:val="center"/>
              <w:ind w:right="27"/>
              <w:spacing w:after="0"/>
              <w:rPr>
                <w:sz w:val="20"/>
                <w:szCs w:val="20"/>
                <w:color w:val="auto"/>
              </w:rPr>
            </w:pPr>
            <w:r>
              <w:rPr>
                <w:rFonts w:ascii="Arial" w:cs="Arial" w:eastAsia="Arial" w:hAnsi="Arial"/>
                <w:sz w:val="13"/>
                <w:szCs w:val="13"/>
                <w:b w:val="1"/>
                <w:bCs w:val="1"/>
                <w:color w:val="auto"/>
                <w:w w:val="93"/>
              </w:rPr>
              <w:t>File Number)</w:t>
            </w:r>
          </w:p>
        </w:tc>
        <w:tc>
          <w:tcPr>
            <w:tcW w:w="1460" w:type="dxa"/>
            <w:vAlign w:val="bottom"/>
          </w:tcPr>
          <w:p>
            <w:pPr>
              <w:jc w:val="center"/>
              <w:ind w:left="411"/>
              <w:spacing w:after="0"/>
              <w:rPr>
                <w:sz w:val="20"/>
                <w:szCs w:val="20"/>
                <w:color w:val="auto"/>
              </w:rPr>
            </w:pPr>
            <w:r>
              <w:rPr>
                <w:rFonts w:ascii="Arial" w:cs="Arial" w:eastAsia="Arial" w:hAnsi="Arial"/>
                <w:sz w:val="13"/>
                <w:szCs w:val="13"/>
                <w:b w:val="1"/>
                <w:bCs w:val="1"/>
                <w:color w:val="auto"/>
                <w:w w:val="89"/>
              </w:rPr>
              <w:t>Identification No.)</w:t>
            </w:r>
          </w:p>
        </w:tc>
      </w:tr>
      <w:tr>
        <w:trPr>
          <w:trHeight w:val="348"/>
        </w:trPr>
        <w:tc>
          <w:tcPr>
            <w:tcW w:w="1800" w:type="dxa"/>
            <w:vAlign w:val="bottom"/>
          </w:tcPr>
          <w:p>
            <w:pPr>
              <w:spacing w:after="0"/>
              <w:rPr>
                <w:sz w:val="24"/>
                <w:szCs w:val="24"/>
                <w:color w:val="auto"/>
              </w:rPr>
            </w:pPr>
          </w:p>
        </w:tc>
        <w:tc>
          <w:tcPr>
            <w:tcW w:w="5440" w:type="dxa"/>
            <w:vAlign w:val="bottom"/>
          </w:tcPr>
          <w:p>
            <w:pPr>
              <w:jc w:val="center"/>
              <w:ind w:right="47"/>
              <w:spacing w:after="0"/>
              <w:rPr>
                <w:sz w:val="20"/>
                <w:szCs w:val="20"/>
                <w:color w:val="auto"/>
              </w:rPr>
            </w:pPr>
            <w:r>
              <w:rPr>
                <w:rFonts w:ascii="Arial" w:cs="Arial" w:eastAsia="Arial" w:hAnsi="Arial"/>
                <w:sz w:val="16"/>
                <w:szCs w:val="16"/>
                <w:b w:val="1"/>
                <w:bCs w:val="1"/>
                <w:color w:val="auto"/>
                <w:w w:val="91"/>
              </w:rPr>
              <w:t>100 Binney St, Suite700</w:t>
            </w:r>
          </w:p>
        </w:tc>
        <w:tc>
          <w:tcPr>
            <w:tcW w:w="1460" w:type="dxa"/>
            <w:vAlign w:val="bottom"/>
          </w:tcPr>
          <w:p>
            <w:pPr>
              <w:spacing w:after="0"/>
              <w:rPr>
                <w:sz w:val="24"/>
                <w:szCs w:val="24"/>
                <w:color w:val="auto"/>
              </w:rPr>
            </w:pPr>
          </w:p>
        </w:tc>
      </w:tr>
      <w:tr>
        <w:trPr>
          <w:trHeight w:val="185"/>
        </w:trPr>
        <w:tc>
          <w:tcPr>
            <w:tcW w:w="1800" w:type="dxa"/>
            <w:vAlign w:val="bottom"/>
          </w:tcPr>
          <w:p>
            <w:pPr>
              <w:spacing w:after="0"/>
              <w:rPr>
                <w:sz w:val="16"/>
                <w:szCs w:val="16"/>
                <w:color w:val="auto"/>
              </w:rPr>
            </w:pPr>
          </w:p>
        </w:tc>
        <w:tc>
          <w:tcPr>
            <w:tcW w:w="5440" w:type="dxa"/>
            <w:vAlign w:val="bottom"/>
          </w:tcPr>
          <w:p>
            <w:pPr>
              <w:jc w:val="center"/>
              <w:ind w:right="27"/>
              <w:spacing w:after="0"/>
              <w:rPr>
                <w:sz w:val="20"/>
                <w:szCs w:val="20"/>
                <w:color w:val="auto"/>
              </w:rPr>
            </w:pPr>
            <w:r>
              <w:rPr>
                <w:rFonts w:ascii="Arial" w:cs="Arial" w:eastAsia="Arial" w:hAnsi="Arial"/>
                <w:sz w:val="16"/>
                <w:szCs w:val="16"/>
                <w:b w:val="1"/>
                <w:bCs w:val="1"/>
                <w:color w:val="auto"/>
                <w:w w:val="94"/>
              </w:rPr>
              <w:t>Cambridge, MA 02142</w:t>
            </w:r>
          </w:p>
        </w:tc>
        <w:tc>
          <w:tcPr>
            <w:tcW w:w="1460" w:type="dxa"/>
            <w:vAlign w:val="bottom"/>
          </w:tcPr>
          <w:p>
            <w:pPr>
              <w:spacing w:after="0"/>
              <w:rPr>
                <w:sz w:val="16"/>
                <w:szCs w:val="16"/>
                <w:color w:val="auto"/>
              </w:rPr>
            </w:pPr>
          </w:p>
        </w:tc>
      </w:tr>
      <w:tr>
        <w:trPr>
          <w:trHeight w:val="164"/>
        </w:trPr>
        <w:tc>
          <w:tcPr>
            <w:tcW w:w="1800" w:type="dxa"/>
            <w:vAlign w:val="bottom"/>
          </w:tcPr>
          <w:p>
            <w:pPr>
              <w:spacing w:after="0"/>
              <w:rPr>
                <w:sz w:val="14"/>
                <w:szCs w:val="14"/>
                <w:color w:val="auto"/>
              </w:rPr>
            </w:pPr>
          </w:p>
        </w:tc>
        <w:tc>
          <w:tcPr>
            <w:tcW w:w="5440" w:type="dxa"/>
            <w:vAlign w:val="bottom"/>
          </w:tcPr>
          <w:p>
            <w:pPr>
              <w:jc w:val="center"/>
              <w:ind w:right="47"/>
              <w:spacing w:after="0"/>
              <w:rPr>
                <w:sz w:val="20"/>
                <w:szCs w:val="20"/>
                <w:color w:val="auto"/>
              </w:rPr>
            </w:pPr>
            <w:r>
              <w:rPr>
                <w:rFonts w:ascii="Arial" w:cs="Arial" w:eastAsia="Arial" w:hAnsi="Arial"/>
                <w:sz w:val="13"/>
                <w:szCs w:val="13"/>
                <w:b w:val="1"/>
                <w:bCs w:val="1"/>
                <w:color w:val="auto"/>
                <w:w w:val="85"/>
              </w:rPr>
              <w:t>(Address of principal executive offices, including zip code)</w:t>
            </w:r>
          </w:p>
        </w:tc>
        <w:tc>
          <w:tcPr>
            <w:tcW w:w="1460" w:type="dxa"/>
            <w:vAlign w:val="bottom"/>
          </w:tcPr>
          <w:p>
            <w:pPr>
              <w:spacing w:after="0"/>
              <w:rPr>
                <w:sz w:val="14"/>
                <w:szCs w:val="14"/>
                <w:color w:val="auto"/>
              </w:rPr>
            </w:pPr>
          </w:p>
        </w:tc>
      </w:tr>
      <w:tr>
        <w:trPr>
          <w:trHeight w:val="375"/>
        </w:trPr>
        <w:tc>
          <w:tcPr>
            <w:tcW w:w="1800" w:type="dxa"/>
            <w:vAlign w:val="bottom"/>
          </w:tcPr>
          <w:p>
            <w:pPr>
              <w:spacing w:after="0"/>
              <w:rPr>
                <w:sz w:val="24"/>
                <w:szCs w:val="24"/>
                <w:color w:val="auto"/>
              </w:rPr>
            </w:pPr>
          </w:p>
        </w:tc>
        <w:tc>
          <w:tcPr>
            <w:tcW w:w="5440" w:type="dxa"/>
            <w:vAlign w:val="bottom"/>
          </w:tcPr>
          <w:p>
            <w:pPr>
              <w:jc w:val="center"/>
              <w:ind w:right="47"/>
              <w:spacing w:after="0"/>
              <w:rPr>
                <w:sz w:val="20"/>
                <w:szCs w:val="20"/>
                <w:color w:val="auto"/>
              </w:rPr>
            </w:pPr>
            <w:r>
              <w:rPr>
                <w:rFonts w:ascii="Arial" w:cs="Arial" w:eastAsia="Arial" w:hAnsi="Arial"/>
                <w:sz w:val="16"/>
                <w:szCs w:val="16"/>
                <w:b w:val="1"/>
                <w:bCs w:val="1"/>
                <w:color w:val="auto"/>
                <w:w w:val="90"/>
              </w:rPr>
              <w:t>Registrant’s telephone number, including area code: 857-320-4900</w:t>
            </w:r>
          </w:p>
        </w:tc>
        <w:tc>
          <w:tcPr>
            <w:tcW w:w="14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89535</wp:posOffset>
            </wp:positionV>
            <wp:extent cx="1517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9" w:lineRule="exact"/>
        <w:rPr>
          <w:sz w:val="20"/>
          <w:szCs w:val="20"/>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ind w:left="200" w:hanging="192"/>
        <w:spacing w:after="0" w:line="228" w:lineRule="auto"/>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ind w:left="200" w:hanging="192"/>
        <w:spacing w:after="0" w:line="228" w:lineRule="auto"/>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14d-2(b)under the Exchange Act (17 CFR 240.14d-2(b))</w:t>
      </w: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13e-4(c)under the Exchange Act (17 CFR 240.13e-4(c))</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tbl>
      <w:tblPr>
        <w:tblLayout w:type="fixed"/>
        <w:tblInd w:w="0" w:type="dxa"/>
        <w:tblCellMar>
          <w:top w:w="0" w:type="dxa"/>
          <w:left w:w="0" w:type="dxa"/>
          <w:bottom w:w="0" w:type="dxa"/>
          <w:right w:w="0" w:type="dxa"/>
        </w:tblCellMar>
      </w:tblPr>
      <w:tr>
        <w:trPr>
          <w:trHeight w:val="112"/>
        </w:trPr>
        <w:tc>
          <w:tcPr>
            <w:tcW w:w="37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3"/>
              </w:rPr>
              <w:t>Title of each class</w:t>
            </w:r>
          </w:p>
        </w:tc>
        <w:tc>
          <w:tcPr>
            <w:tcW w:w="120" w:type="dxa"/>
            <w:vAlign w:val="bottom"/>
          </w:tcPr>
          <w:p>
            <w:pPr>
              <w:spacing w:after="0"/>
              <w:rPr>
                <w:sz w:val="9"/>
                <w:szCs w:val="9"/>
                <w:color w:val="auto"/>
              </w:rPr>
            </w:pPr>
          </w:p>
        </w:tc>
        <w:tc>
          <w:tcPr>
            <w:tcW w:w="370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w w:val="88"/>
              </w:rPr>
              <w:t>Trading</w:t>
            </w:r>
          </w:p>
        </w:tc>
        <w:tc>
          <w:tcPr>
            <w:tcW w:w="100" w:type="dxa"/>
            <w:vAlign w:val="bottom"/>
          </w:tcPr>
          <w:p>
            <w:pPr>
              <w:spacing w:after="0"/>
              <w:rPr>
                <w:sz w:val="9"/>
                <w:szCs w:val="9"/>
                <w:color w:val="auto"/>
              </w:rPr>
            </w:pPr>
          </w:p>
        </w:tc>
        <w:tc>
          <w:tcPr>
            <w:tcW w:w="360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w w:val="85"/>
              </w:rPr>
              <w:t>Name of each exchange</w:t>
            </w:r>
          </w:p>
        </w:tc>
        <w:tc>
          <w:tcPr>
            <w:tcW w:w="0" w:type="dxa"/>
            <w:vAlign w:val="bottom"/>
          </w:tcPr>
          <w:p>
            <w:pPr>
              <w:spacing w:after="0"/>
              <w:rPr>
                <w:sz w:val="1"/>
                <w:szCs w:val="1"/>
                <w:color w:val="auto"/>
              </w:rPr>
            </w:pPr>
          </w:p>
        </w:tc>
      </w:tr>
      <w:tr>
        <w:trPr>
          <w:trHeight w:val="162"/>
        </w:trPr>
        <w:tc>
          <w:tcPr>
            <w:tcW w:w="37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Symbol(s)</w:t>
            </w:r>
          </w:p>
        </w:tc>
        <w:tc>
          <w:tcPr>
            <w:tcW w:w="100" w:type="dxa"/>
            <w:vAlign w:val="bottom"/>
          </w:tcPr>
          <w:p>
            <w:pPr>
              <w:spacing w:after="0"/>
              <w:rPr>
                <w:sz w:val="14"/>
                <w:szCs w:val="14"/>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on which registered</w:t>
            </w:r>
          </w:p>
        </w:tc>
        <w:tc>
          <w:tcPr>
            <w:tcW w:w="0" w:type="dxa"/>
            <w:vAlign w:val="bottom"/>
          </w:tcPr>
          <w:p>
            <w:pPr>
              <w:spacing w:after="0"/>
              <w:rPr>
                <w:sz w:val="1"/>
                <w:szCs w:val="1"/>
                <w:color w:val="auto"/>
              </w:rPr>
            </w:pPr>
          </w:p>
        </w:tc>
      </w:tr>
      <w:tr>
        <w:trPr>
          <w:trHeight w:val="196"/>
        </w:trPr>
        <w:tc>
          <w:tcPr>
            <w:tcW w:w="3720" w:type="dxa"/>
            <w:vAlign w:val="bottom"/>
          </w:tcPr>
          <w:p>
            <w:pPr>
              <w:jc w:val="center"/>
              <w:spacing w:after="0"/>
              <w:rPr>
                <w:sz w:val="20"/>
                <w:szCs w:val="20"/>
                <w:color w:val="auto"/>
              </w:rPr>
            </w:pPr>
            <w:r>
              <w:rPr>
                <w:rFonts w:ascii="Arial" w:cs="Arial" w:eastAsia="Arial" w:hAnsi="Arial"/>
                <w:sz w:val="16"/>
                <w:szCs w:val="16"/>
                <w:b w:val="1"/>
                <w:bCs w:val="1"/>
                <w:color w:val="auto"/>
                <w:w w:val="91"/>
              </w:rPr>
              <w:t>Common stock, par value $0.001</w:t>
            </w:r>
          </w:p>
        </w:tc>
        <w:tc>
          <w:tcPr>
            <w:tcW w:w="120" w:type="dxa"/>
            <w:vAlign w:val="bottom"/>
          </w:tcPr>
          <w:p>
            <w:pPr>
              <w:spacing w:after="0"/>
              <w:rPr>
                <w:sz w:val="17"/>
                <w:szCs w:val="17"/>
                <w:color w:val="auto"/>
              </w:rPr>
            </w:pPr>
          </w:p>
        </w:tc>
        <w:tc>
          <w:tcPr>
            <w:tcW w:w="3700" w:type="dxa"/>
            <w:vAlign w:val="bottom"/>
          </w:tcPr>
          <w:p>
            <w:pPr>
              <w:jc w:val="center"/>
              <w:spacing w:after="0"/>
              <w:rPr>
                <w:sz w:val="20"/>
                <w:szCs w:val="20"/>
                <w:color w:val="auto"/>
              </w:rPr>
            </w:pPr>
            <w:r>
              <w:rPr>
                <w:rFonts w:ascii="Arial" w:cs="Arial" w:eastAsia="Arial" w:hAnsi="Arial"/>
                <w:sz w:val="16"/>
                <w:szCs w:val="16"/>
                <w:b w:val="1"/>
                <w:bCs w:val="1"/>
                <w:color w:val="auto"/>
              </w:rPr>
              <w:t>TNGX</w:t>
            </w:r>
          </w:p>
        </w:tc>
        <w:tc>
          <w:tcPr>
            <w:tcW w:w="100" w:type="dxa"/>
            <w:vAlign w:val="bottom"/>
          </w:tcPr>
          <w:p>
            <w:pPr>
              <w:spacing w:after="0"/>
              <w:rPr>
                <w:sz w:val="17"/>
                <w:szCs w:val="17"/>
                <w:color w:val="auto"/>
              </w:rPr>
            </w:pPr>
          </w:p>
        </w:tc>
        <w:tc>
          <w:tcPr>
            <w:tcW w:w="3600" w:type="dxa"/>
            <w:vAlign w:val="bottom"/>
          </w:tcPr>
          <w:p>
            <w:pPr>
              <w:jc w:val="center"/>
              <w:spacing w:after="0"/>
              <w:rPr>
                <w:sz w:val="20"/>
                <w:szCs w:val="20"/>
                <w:color w:val="auto"/>
              </w:rPr>
            </w:pPr>
            <w:r>
              <w:rPr>
                <w:rFonts w:ascii="Arial" w:cs="Arial" w:eastAsia="Arial" w:hAnsi="Arial"/>
                <w:sz w:val="16"/>
                <w:szCs w:val="16"/>
                <w:b w:val="1"/>
                <w:bCs w:val="1"/>
                <w:color w:val="auto"/>
                <w:w w:val="94"/>
              </w:rPr>
              <w:t>The Nasdaq Global Market</w:t>
            </w:r>
          </w:p>
        </w:tc>
        <w:tc>
          <w:tcPr>
            <w:tcW w:w="0" w:type="dxa"/>
            <w:vAlign w:val="bottom"/>
          </w:tcPr>
          <w:p>
            <w:pPr>
              <w:spacing w:after="0"/>
              <w:rPr>
                <w:sz w:val="1"/>
                <w:szCs w:val="1"/>
                <w:color w:val="auto"/>
              </w:rPr>
            </w:pPr>
          </w:p>
        </w:tc>
      </w:tr>
      <w:tr>
        <w:trPr>
          <w:trHeight w:val="210"/>
        </w:trPr>
        <w:tc>
          <w:tcPr>
            <w:tcW w:w="3720" w:type="dxa"/>
            <w:vAlign w:val="bottom"/>
          </w:tcPr>
          <w:p>
            <w:pPr>
              <w:jc w:val="center"/>
              <w:spacing w:after="0"/>
              <w:rPr>
                <w:sz w:val="20"/>
                <w:szCs w:val="20"/>
                <w:color w:val="auto"/>
              </w:rPr>
            </w:pPr>
            <w:r>
              <w:rPr>
                <w:rFonts w:ascii="Arial" w:cs="Arial" w:eastAsia="Arial" w:hAnsi="Arial"/>
                <w:sz w:val="16"/>
                <w:szCs w:val="16"/>
                <w:b w:val="1"/>
                <w:bCs w:val="1"/>
                <w:color w:val="auto"/>
                <w:w w:val="88"/>
              </w:rPr>
              <w:t>per share</w:t>
            </w:r>
          </w:p>
        </w:tc>
        <w:tc>
          <w:tcPr>
            <w:tcW w:w="1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(§230.405of this chapter) or Rule 12b-2 of the Securities Exchange Act of 1934 (§240.12b-2 of this chapter).</w:t>
      </w:r>
    </w:p>
    <w:p>
      <w:pPr>
        <w:spacing w:after="0" w:line="128" w:lineRule="exact"/>
        <w:rPr>
          <w:sz w:val="20"/>
          <w:szCs w:val="20"/>
          <w:color w:val="auto"/>
        </w:rPr>
      </w:pPr>
    </w:p>
    <w:p>
      <w:pPr>
        <w:ind w:left="9320"/>
        <w:spacing w:after="0" w:line="161" w:lineRule="exact"/>
        <w:rPr>
          <w:sz w:val="20"/>
          <w:szCs w:val="20"/>
          <w:color w:val="auto"/>
        </w:rPr>
      </w:pPr>
      <w:r>
        <w:rPr>
          <w:rFonts w:ascii="Arial" w:cs="Arial" w:eastAsia="Arial" w:hAnsi="Arial"/>
          <w:sz w:val="14"/>
          <w:szCs w:val="14"/>
          <w:color w:val="auto"/>
        </w:rPr>
        <w:t>Emerging growth company</w:t>
      </w:r>
      <w:r>
        <w:rPr>
          <w:rFonts w:ascii="MS PGothic" w:cs="MS PGothic" w:eastAsia="MS PGothic" w:hAnsi="MS PGothic"/>
          <w:sz w:val="14"/>
          <w:szCs w:val="14"/>
          <w:color w:val="auto"/>
        </w:rPr>
        <w:t>☒</w:t>
      </w:r>
    </w:p>
    <w:p>
      <w:pPr>
        <w:spacing w:after="0" w:line="247" w:lineRule="exact"/>
        <w:rPr>
          <w:sz w:val="20"/>
          <w:szCs w:val="20"/>
          <w:color w:val="auto"/>
        </w:rPr>
      </w:pPr>
    </w:p>
    <w:p>
      <w:pPr>
        <w:ind w:right="580"/>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color w:val="auto"/>
        </w:rPr>
        <w:t>Item 5.07 Submission of Matters to a Vote of Security Holders.</w:t>
      </w:r>
    </w:p>
    <w:p>
      <w:pPr>
        <w:spacing w:after="0" w:line="19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2022 annual meeting of stockholders (the “Annual Meeting”) of Tango Therapeutics, Inc. (the “Company”) was held in a virtual-only format on June 8, 2022 at 10:00 a.m., Eastern Time via live webcast. Proxies were solicited pursuant to the Company’s proxy statement filed on April 26, 2022 with the Securities and Exchange Commission under Section 14(a) of the Securities Exchange Act of 1934, as amended (the “Proxy Statement”). As of April 11, 2022, the record date for the Annual Meeting, the number of shares of the Company’s common stock, $0.001 par value per share (“Common Stock”), outstanding and entitled to vote at the Annual Meeting was 87,712,630. The number of shares of Common Stock present or represented by valid proxy at the Annual Meeting was 81,740,796, representing 93.19% of the total number of shares of Common Stock entitled to vote at the Annual Meeting, thus establishing a quorum for the Annual Meeting. Shares present virtually during the Annual Meeting were considered shares of Common Stock represented in person at the Annual Meeting. Each share of Common Stock was entitled to one vote with respect to matters submitted to the Company’s stockholders at the Annual Meeting.</w:t>
      </w:r>
    </w:p>
    <w:p>
      <w:pPr>
        <w:spacing w:after="0" w:line="173" w:lineRule="exact"/>
        <w:rPr>
          <w:sz w:val="20"/>
          <w:szCs w:val="20"/>
          <w:color w:val="auto"/>
        </w:rPr>
      </w:pPr>
    </w:p>
    <w:p>
      <w:pPr>
        <w:ind w:right="120"/>
        <w:spacing w:after="0" w:line="232" w:lineRule="auto"/>
        <w:rPr>
          <w:sz w:val="20"/>
          <w:szCs w:val="20"/>
          <w:color w:val="auto"/>
        </w:rPr>
      </w:pPr>
      <w:r>
        <w:rPr>
          <w:rFonts w:ascii="Arial" w:cs="Arial" w:eastAsia="Arial" w:hAnsi="Arial"/>
          <w:sz w:val="20"/>
          <w:szCs w:val="20"/>
          <w:color w:val="auto"/>
        </w:rPr>
        <w:t>At the Annual Meeting, the Company’s stockholders were asked to vote on the following matters, which are described in detail in the Proxy Statement: (i) to elect two Class I director nominees to the Company’s Board of Directors (the “Board”), each to hold office until the 2025 annual meeting of stockholders and until his or her successor is duly elected and qualified, or until his or her earlier resignation or removal (“Proposal 1”), and (ii) to ratify the selection of PricewaterhouseCoopers, LLP as the Company’s independent registered public accounting firm for the fiscal year ending December 31, 2022 (“Proposal 2”).</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The voting results reported below are final.</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 xml:space="preserve">Proposal 1 </w:t>
      </w:r>
      <w:r>
        <w:rPr>
          <w:rFonts w:ascii="Arial" w:cs="Arial" w:eastAsia="Arial" w:hAnsi="Arial"/>
          <w:sz w:val="20"/>
          <w:szCs w:val="20"/>
          <w:b w:val="1"/>
          <w:bCs w:val="1"/>
          <w:u w:val="single" w:color="auto"/>
          <w:color w:val="auto"/>
        </w:rPr>
        <w:t>–</w:t>
      </w:r>
      <w:r>
        <w:rPr>
          <w:rFonts w:ascii="Arial" w:cs="Arial" w:eastAsia="Arial" w:hAnsi="Arial"/>
          <w:sz w:val="20"/>
          <w:szCs w:val="20"/>
          <w:u w:val="single" w:color="auto"/>
          <w:color w:val="auto"/>
        </w:rPr>
        <w:t xml:space="preserve"> Election of Directors</w:t>
      </w:r>
    </w:p>
    <w:p>
      <w:pPr>
        <w:spacing w:after="0" w:line="208" w:lineRule="exact"/>
        <w:rPr>
          <w:sz w:val="20"/>
          <w:szCs w:val="20"/>
          <w:color w:val="auto"/>
        </w:rPr>
      </w:pPr>
    </w:p>
    <w:p>
      <w:pPr>
        <w:ind w:right="480"/>
        <w:spacing w:after="0" w:line="246" w:lineRule="auto"/>
        <w:rPr>
          <w:sz w:val="20"/>
          <w:szCs w:val="20"/>
          <w:color w:val="auto"/>
        </w:rPr>
      </w:pPr>
      <w:r>
        <w:rPr>
          <w:rFonts w:ascii="Arial" w:cs="Arial" w:eastAsia="Arial" w:hAnsi="Arial"/>
          <w:sz w:val="20"/>
          <w:szCs w:val="20"/>
          <w:color w:val="auto"/>
        </w:rPr>
        <w:t>Lesley Ann Calhoun and Reid Huber were duly elected to the Company’s Board as Class I directors. The results of the election were as follows:</w:t>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222"/>
        </w:trPr>
        <w:tc>
          <w:tcPr>
            <w:tcW w:w="3700" w:type="dxa"/>
            <w:vAlign w:val="bottom"/>
          </w:tcPr>
          <w:p>
            <w:pPr>
              <w:spacing w:after="0"/>
              <w:rPr>
                <w:sz w:val="20"/>
                <w:szCs w:val="20"/>
                <w:color w:val="auto"/>
              </w:rPr>
            </w:pPr>
            <w:r>
              <w:rPr>
                <w:rFonts w:ascii="Arial" w:cs="Arial" w:eastAsia="Arial" w:hAnsi="Arial"/>
                <w:sz w:val="19"/>
                <w:szCs w:val="19"/>
                <w:b w:val="1"/>
                <w:bCs w:val="1"/>
                <w:u w:val="single" w:color="auto"/>
                <w:color w:val="auto"/>
              </w:rPr>
              <w:t>CLASS I DIRECTOR NOMINEE</w:t>
            </w:r>
          </w:p>
        </w:tc>
        <w:tc>
          <w:tcPr>
            <w:tcW w:w="2520" w:type="dxa"/>
            <w:vAlign w:val="bottom"/>
          </w:tcPr>
          <w:p>
            <w:pPr>
              <w:jc w:val="center"/>
              <w:ind w:left="106"/>
              <w:spacing w:after="0"/>
              <w:rPr>
                <w:sz w:val="20"/>
                <w:szCs w:val="20"/>
                <w:color w:val="auto"/>
              </w:rPr>
            </w:pPr>
            <w:r>
              <w:rPr>
                <w:rFonts w:ascii="Arial" w:cs="Arial" w:eastAsia="Arial" w:hAnsi="Arial"/>
                <w:sz w:val="19"/>
                <w:szCs w:val="19"/>
                <w:b w:val="1"/>
                <w:bCs w:val="1"/>
                <w:u w:val="single" w:color="auto"/>
                <w:color w:val="auto"/>
                <w:w w:val="99"/>
              </w:rPr>
              <w:t>FOR</w:t>
            </w:r>
          </w:p>
        </w:tc>
        <w:tc>
          <w:tcPr>
            <w:tcW w:w="2240" w:type="dxa"/>
            <w:vAlign w:val="bottom"/>
          </w:tcPr>
          <w:p>
            <w:pPr>
              <w:jc w:val="center"/>
              <w:ind w:left="226"/>
              <w:spacing w:after="0"/>
              <w:rPr>
                <w:sz w:val="20"/>
                <w:szCs w:val="20"/>
                <w:color w:val="auto"/>
              </w:rPr>
            </w:pPr>
            <w:r>
              <w:rPr>
                <w:rFonts w:ascii="Arial" w:cs="Arial" w:eastAsia="Arial" w:hAnsi="Arial"/>
                <w:sz w:val="19"/>
                <w:szCs w:val="19"/>
                <w:b w:val="1"/>
                <w:bCs w:val="1"/>
                <w:u w:val="single" w:color="auto"/>
                <w:color w:val="auto"/>
              </w:rPr>
              <w:t>WITHHELD</w:t>
            </w:r>
          </w:p>
        </w:tc>
        <w:tc>
          <w:tcPr>
            <w:tcW w:w="2400" w:type="dxa"/>
            <w:vAlign w:val="bottom"/>
          </w:tcPr>
          <w:p>
            <w:pPr>
              <w:jc w:val="center"/>
              <w:ind w:left="326"/>
              <w:spacing w:after="0"/>
              <w:rPr>
                <w:sz w:val="20"/>
                <w:szCs w:val="20"/>
                <w:color w:val="auto"/>
              </w:rPr>
            </w:pPr>
            <w:r>
              <w:rPr>
                <w:rFonts w:ascii="Arial" w:cs="Arial" w:eastAsia="Arial" w:hAnsi="Arial"/>
                <w:sz w:val="19"/>
                <w:szCs w:val="19"/>
                <w:b w:val="1"/>
                <w:bCs w:val="1"/>
                <w:u w:val="single" w:color="auto"/>
                <w:color w:val="auto"/>
                <w:w w:val="98"/>
              </w:rPr>
              <w:t>BROKER NON-VOTES</w:t>
            </w:r>
          </w:p>
        </w:tc>
      </w:tr>
      <w:tr>
        <w:trPr>
          <w:trHeight w:val="229"/>
        </w:trPr>
        <w:tc>
          <w:tcPr>
            <w:tcW w:w="3700" w:type="dxa"/>
            <w:vAlign w:val="bottom"/>
          </w:tcPr>
          <w:p>
            <w:pPr>
              <w:spacing w:after="0"/>
              <w:rPr>
                <w:sz w:val="20"/>
                <w:szCs w:val="20"/>
                <w:color w:val="auto"/>
              </w:rPr>
            </w:pPr>
            <w:r>
              <w:rPr>
                <w:rFonts w:ascii="Arial" w:cs="Arial" w:eastAsia="Arial" w:hAnsi="Arial"/>
                <w:sz w:val="19"/>
                <w:szCs w:val="19"/>
                <w:color w:val="auto"/>
              </w:rPr>
              <w:t>Lesley Ann Calhoun</w:t>
            </w:r>
          </w:p>
        </w:tc>
        <w:tc>
          <w:tcPr>
            <w:tcW w:w="2520" w:type="dxa"/>
            <w:vAlign w:val="bottom"/>
          </w:tcPr>
          <w:p>
            <w:pPr>
              <w:jc w:val="center"/>
              <w:ind w:left="86"/>
              <w:spacing w:after="0"/>
              <w:rPr>
                <w:sz w:val="20"/>
                <w:szCs w:val="20"/>
                <w:color w:val="auto"/>
              </w:rPr>
            </w:pPr>
            <w:r>
              <w:rPr>
                <w:rFonts w:ascii="Arial" w:cs="Arial" w:eastAsia="Arial" w:hAnsi="Arial"/>
                <w:sz w:val="19"/>
                <w:szCs w:val="19"/>
                <w:color w:val="auto"/>
                <w:w w:val="90"/>
              </w:rPr>
              <w:t>74,549,730</w:t>
            </w:r>
          </w:p>
        </w:tc>
        <w:tc>
          <w:tcPr>
            <w:tcW w:w="2240" w:type="dxa"/>
            <w:vAlign w:val="bottom"/>
          </w:tcPr>
          <w:p>
            <w:pPr>
              <w:jc w:val="center"/>
              <w:ind w:left="226"/>
              <w:spacing w:after="0"/>
              <w:rPr>
                <w:sz w:val="20"/>
                <w:szCs w:val="20"/>
                <w:color w:val="auto"/>
              </w:rPr>
            </w:pPr>
            <w:r>
              <w:rPr>
                <w:rFonts w:ascii="Arial" w:cs="Arial" w:eastAsia="Arial" w:hAnsi="Arial"/>
                <w:sz w:val="19"/>
                <w:szCs w:val="19"/>
                <w:color w:val="auto"/>
                <w:w w:val="89"/>
              </w:rPr>
              <w:t>2,532,608</w:t>
            </w:r>
          </w:p>
        </w:tc>
        <w:tc>
          <w:tcPr>
            <w:tcW w:w="2400" w:type="dxa"/>
            <w:vAlign w:val="bottom"/>
          </w:tcPr>
          <w:p>
            <w:pPr>
              <w:jc w:val="center"/>
              <w:ind w:left="346"/>
              <w:spacing w:after="0"/>
              <w:rPr>
                <w:sz w:val="20"/>
                <w:szCs w:val="20"/>
                <w:color w:val="auto"/>
              </w:rPr>
            </w:pPr>
            <w:r>
              <w:rPr>
                <w:rFonts w:ascii="Arial" w:cs="Arial" w:eastAsia="Arial" w:hAnsi="Arial"/>
                <w:sz w:val="19"/>
                <w:szCs w:val="19"/>
                <w:color w:val="auto"/>
                <w:w w:val="89"/>
              </w:rPr>
              <w:t>4,658,458</w:t>
            </w:r>
          </w:p>
        </w:tc>
      </w:tr>
      <w:tr>
        <w:trPr>
          <w:trHeight w:val="240"/>
        </w:trPr>
        <w:tc>
          <w:tcPr>
            <w:tcW w:w="3700" w:type="dxa"/>
            <w:vAlign w:val="bottom"/>
          </w:tcPr>
          <w:p>
            <w:pPr>
              <w:spacing w:after="0"/>
              <w:rPr>
                <w:sz w:val="20"/>
                <w:szCs w:val="20"/>
                <w:color w:val="auto"/>
              </w:rPr>
            </w:pPr>
            <w:r>
              <w:rPr>
                <w:rFonts w:ascii="Arial" w:cs="Arial" w:eastAsia="Arial" w:hAnsi="Arial"/>
                <w:sz w:val="19"/>
                <w:szCs w:val="19"/>
                <w:color w:val="auto"/>
              </w:rPr>
              <w:t>Reid Huber</w:t>
            </w:r>
          </w:p>
        </w:tc>
        <w:tc>
          <w:tcPr>
            <w:tcW w:w="2520" w:type="dxa"/>
            <w:vAlign w:val="bottom"/>
          </w:tcPr>
          <w:p>
            <w:pPr>
              <w:jc w:val="center"/>
              <w:ind w:left="86"/>
              <w:spacing w:after="0"/>
              <w:rPr>
                <w:sz w:val="20"/>
                <w:szCs w:val="20"/>
                <w:color w:val="auto"/>
              </w:rPr>
            </w:pPr>
            <w:r>
              <w:rPr>
                <w:rFonts w:ascii="Arial" w:cs="Arial" w:eastAsia="Arial" w:hAnsi="Arial"/>
                <w:sz w:val="19"/>
                <w:szCs w:val="19"/>
                <w:color w:val="auto"/>
                <w:w w:val="90"/>
              </w:rPr>
              <w:t>74,547,606</w:t>
            </w:r>
          </w:p>
        </w:tc>
        <w:tc>
          <w:tcPr>
            <w:tcW w:w="2240" w:type="dxa"/>
            <w:vAlign w:val="bottom"/>
          </w:tcPr>
          <w:p>
            <w:pPr>
              <w:jc w:val="center"/>
              <w:ind w:left="226"/>
              <w:spacing w:after="0"/>
              <w:rPr>
                <w:sz w:val="20"/>
                <w:szCs w:val="20"/>
                <w:color w:val="auto"/>
              </w:rPr>
            </w:pPr>
            <w:r>
              <w:rPr>
                <w:rFonts w:ascii="Arial" w:cs="Arial" w:eastAsia="Arial" w:hAnsi="Arial"/>
                <w:sz w:val="19"/>
                <w:szCs w:val="19"/>
                <w:color w:val="auto"/>
                <w:w w:val="89"/>
              </w:rPr>
              <w:t>2,534,732</w:t>
            </w:r>
          </w:p>
        </w:tc>
        <w:tc>
          <w:tcPr>
            <w:tcW w:w="2400" w:type="dxa"/>
            <w:vAlign w:val="bottom"/>
          </w:tcPr>
          <w:p>
            <w:pPr>
              <w:jc w:val="center"/>
              <w:ind w:left="346"/>
              <w:spacing w:after="0"/>
              <w:rPr>
                <w:sz w:val="20"/>
                <w:szCs w:val="20"/>
                <w:color w:val="auto"/>
              </w:rPr>
            </w:pPr>
            <w:r>
              <w:rPr>
                <w:rFonts w:ascii="Arial" w:cs="Arial" w:eastAsia="Arial" w:hAnsi="Arial"/>
                <w:sz w:val="19"/>
                <w:szCs w:val="19"/>
                <w:color w:val="auto"/>
                <w:w w:val="89"/>
              </w:rPr>
              <w:t>4,658,458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-431165</wp:posOffset>
            </wp:positionV>
            <wp:extent cx="7134225" cy="4394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43942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 xml:space="preserve">Proposal 2 </w:t>
      </w:r>
      <w:r>
        <w:rPr>
          <w:rFonts w:ascii="Arial" w:cs="Arial" w:eastAsia="Arial" w:hAnsi="Arial"/>
          <w:sz w:val="20"/>
          <w:szCs w:val="20"/>
          <w:b w:val="1"/>
          <w:bCs w:val="1"/>
          <w:u w:val="single" w:color="auto"/>
          <w:color w:val="auto"/>
        </w:rPr>
        <w:t>–</w:t>
      </w:r>
      <w:r>
        <w:rPr>
          <w:rFonts w:ascii="Arial" w:cs="Arial" w:eastAsia="Arial" w:hAnsi="Arial"/>
          <w:sz w:val="20"/>
          <w:szCs w:val="20"/>
          <w:u w:val="single" w:color="auto"/>
          <w:color w:val="auto"/>
        </w:rPr>
        <w:t xml:space="preserve"> Ratify the Selection of Independent Registered Public Accounting Firm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selection of PricewaterhouseCoopers, LLP as the Company’s independent registered public accounting firm for the fiscal year ending</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2022 was ratified. The results of the ratification were as follows:</w:t>
      </w:r>
    </w:p>
    <w:p>
      <w:pPr>
        <w:spacing w:after="0" w:line="180"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3720" w:type="dxa"/>
            <w:vAlign w:val="bottom"/>
            <w:tcBorders>
              <w:top w:val="single" w:sz="8" w:color="auto"/>
              <w:left w:val="single" w:sz="8" w:color="auto"/>
              <w:bottom w:val="single" w:sz="8" w:color="auto"/>
              <w:right w:val="single" w:sz="8" w:color="auto"/>
            </w:tcBorders>
          </w:tcPr>
          <w:p>
            <w:pPr>
              <w:jc w:val="center"/>
              <w:spacing w:after="0" w:line="192" w:lineRule="exact"/>
              <w:rPr>
                <w:sz w:val="20"/>
                <w:szCs w:val="20"/>
                <w:color w:val="auto"/>
              </w:rPr>
            </w:pPr>
            <w:r>
              <w:rPr>
                <w:rFonts w:ascii="Arial" w:cs="Arial" w:eastAsia="Arial" w:hAnsi="Arial"/>
                <w:sz w:val="18"/>
                <w:szCs w:val="18"/>
                <w:b w:val="1"/>
                <w:bCs w:val="1"/>
                <w:color w:val="auto"/>
                <w:w w:val="99"/>
              </w:rPr>
              <w:t>FOR</w:t>
            </w:r>
          </w:p>
        </w:tc>
        <w:tc>
          <w:tcPr>
            <w:tcW w:w="3700" w:type="dxa"/>
            <w:vAlign w:val="bottom"/>
            <w:tcBorders>
              <w:top w:val="single" w:sz="8" w:color="auto"/>
              <w:bottom w:val="single" w:sz="8" w:color="auto"/>
              <w:right w:val="single" w:sz="8" w:color="auto"/>
            </w:tcBorders>
          </w:tcPr>
          <w:p>
            <w:pPr>
              <w:jc w:val="center"/>
              <w:spacing w:after="0" w:line="192" w:lineRule="exact"/>
              <w:rPr>
                <w:sz w:val="20"/>
                <w:szCs w:val="20"/>
                <w:color w:val="auto"/>
              </w:rPr>
            </w:pPr>
            <w:r>
              <w:rPr>
                <w:rFonts w:ascii="Arial" w:cs="Arial" w:eastAsia="Arial" w:hAnsi="Arial"/>
                <w:sz w:val="18"/>
                <w:szCs w:val="18"/>
                <w:b w:val="1"/>
                <w:bCs w:val="1"/>
                <w:color w:val="auto"/>
              </w:rPr>
              <w:t>AGAINST</w:t>
            </w:r>
          </w:p>
        </w:tc>
        <w:tc>
          <w:tcPr>
            <w:tcW w:w="3700" w:type="dxa"/>
            <w:vAlign w:val="bottom"/>
            <w:tcBorders>
              <w:top w:val="single" w:sz="8" w:color="auto"/>
              <w:bottom w:val="single" w:sz="8" w:color="auto"/>
              <w:right w:val="single" w:sz="8" w:color="auto"/>
            </w:tcBorders>
          </w:tcPr>
          <w:p>
            <w:pPr>
              <w:jc w:val="center"/>
              <w:spacing w:after="0" w:line="192" w:lineRule="exact"/>
              <w:rPr>
                <w:sz w:val="20"/>
                <w:szCs w:val="20"/>
                <w:color w:val="auto"/>
              </w:rPr>
            </w:pPr>
            <w:r>
              <w:rPr>
                <w:rFonts w:ascii="Arial" w:cs="Arial" w:eastAsia="Arial" w:hAnsi="Arial"/>
                <w:sz w:val="18"/>
                <w:szCs w:val="18"/>
                <w:b w:val="1"/>
                <w:bCs w:val="1"/>
                <w:color w:val="auto"/>
                <w:w w:val="97"/>
              </w:rPr>
              <w:t>ABSTAIN</w:t>
            </w:r>
          </w:p>
        </w:tc>
      </w:tr>
      <w:tr>
        <w:trPr>
          <w:trHeight w:val="183"/>
        </w:trPr>
        <w:tc>
          <w:tcPr>
            <w:tcW w:w="3720" w:type="dxa"/>
            <w:vAlign w:val="bottom"/>
            <w:tcBorders>
              <w:bottom w:val="single" w:sz="8" w:color="auto"/>
              <w:right w:val="single" w:sz="8" w:color="auto"/>
            </w:tcBorders>
          </w:tcPr>
          <w:p>
            <w:pPr>
              <w:jc w:val="right"/>
              <w:ind w:right="1370"/>
              <w:spacing w:after="0" w:line="182" w:lineRule="exact"/>
              <w:rPr>
                <w:sz w:val="20"/>
                <w:szCs w:val="20"/>
                <w:color w:val="auto"/>
              </w:rPr>
            </w:pPr>
            <w:r>
              <w:rPr>
                <w:rFonts w:ascii="Arial" w:cs="Arial" w:eastAsia="Arial" w:hAnsi="Arial"/>
                <w:sz w:val="18"/>
                <w:szCs w:val="18"/>
                <w:color w:val="auto"/>
              </w:rPr>
              <w:t>81,737,938</w:t>
            </w:r>
          </w:p>
        </w:tc>
        <w:tc>
          <w:tcPr>
            <w:tcW w:w="3700" w:type="dxa"/>
            <w:vAlign w:val="bottom"/>
            <w:tcBorders>
              <w:bottom w:val="single" w:sz="8" w:color="auto"/>
              <w:right w:val="single" w:sz="8" w:color="auto"/>
            </w:tcBorders>
          </w:tcPr>
          <w:p>
            <w:pPr>
              <w:jc w:val="right"/>
              <w:ind w:right="1630"/>
              <w:spacing w:after="0" w:line="182" w:lineRule="exact"/>
              <w:rPr>
                <w:sz w:val="20"/>
                <w:szCs w:val="20"/>
                <w:color w:val="auto"/>
              </w:rPr>
            </w:pPr>
            <w:r>
              <w:rPr>
                <w:rFonts w:ascii="Arial" w:cs="Arial" w:eastAsia="Arial" w:hAnsi="Arial"/>
                <w:sz w:val="18"/>
                <w:szCs w:val="18"/>
                <w:color w:val="auto"/>
              </w:rPr>
              <w:t>400</w:t>
            </w:r>
          </w:p>
        </w:tc>
        <w:tc>
          <w:tcPr>
            <w:tcW w:w="3700" w:type="dxa"/>
            <w:vAlign w:val="bottom"/>
            <w:tcBorders>
              <w:bottom w:val="single" w:sz="8" w:color="auto"/>
              <w:right w:val="single" w:sz="8" w:color="auto"/>
            </w:tcBorders>
          </w:tcPr>
          <w:p>
            <w:pPr>
              <w:jc w:val="right"/>
              <w:ind w:right="1570"/>
              <w:spacing w:after="0" w:line="182" w:lineRule="exact"/>
              <w:rPr>
                <w:sz w:val="20"/>
                <w:szCs w:val="20"/>
                <w:color w:val="auto"/>
              </w:rPr>
            </w:pPr>
            <w:r>
              <w:rPr>
                <w:rFonts w:ascii="Arial" w:cs="Arial" w:eastAsia="Arial" w:hAnsi="Arial"/>
                <w:sz w:val="18"/>
                <w:szCs w:val="18"/>
                <w:color w:val="auto"/>
              </w:rPr>
              <w:t>2,458</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No other matters were submitted to or voted on by the Company’s stockholders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19" w:right="379" w:bottom="1440" w:gutter="0" w:footer="0" w:header="0"/>
        </w:sectPr>
      </w:pPr>
    </w:p>
    <w:bookmarkStart w:id="3" w:name="page4"/>
    <w:bookmarkEnd w:id="3"/>
    <w:p>
      <w:pPr>
        <w:jc w:val="center"/>
        <w:ind w:right="-519"/>
        <w:spacing w:after="0"/>
        <w:rPr>
          <w:sz w:val="20"/>
          <w:szCs w:val="20"/>
          <w:color w:val="auto"/>
        </w:rPr>
      </w:pPr>
      <w:r>
        <w:rPr>
          <w:rFonts w:ascii="Arial" w:cs="Arial" w:eastAsia="Arial" w:hAnsi="Arial"/>
          <w:sz w:val="20"/>
          <w:szCs w:val="20"/>
          <w:b w:val="1"/>
          <w:bCs w:val="1"/>
          <w:color w:val="auto"/>
        </w:rPr>
        <w:t>Signature</w:t>
      </w:r>
    </w:p>
    <w:p>
      <w:pPr>
        <w:spacing w:after="0" w:line="168" w:lineRule="exact"/>
        <w:rPr>
          <w:sz w:val="20"/>
          <w:szCs w:val="20"/>
          <w:color w:val="auto"/>
        </w:rPr>
      </w:pPr>
    </w:p>
    <w:p>
      <w:pPr>
        <w:ind w:firstLine="509"/>
        <w:spacing w:after="0" w:line="246"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22"/>
          <w:szCs w:val="22"/>
          <w:color w:val="auto"/>
        </w:rPr>
        <w:t>TANGO THERAPEUTICS, INC.</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Dated: June 10, 2022 By: </w:t>
      </w:r>
      <w:r>
        <w:rPr>
          <w:rFonts w:ascii="Arial" w:cs="Arial" w:eastAsia="Arial" w:hAnsi="Arial"/>
          <w:sz w:val="22"/>
          <w:szCs w:val="22"/>
          <w:u w:val="single" w:color="auto"/>
          <w:color w:val="auto"/>
        </w:rPr>
        <w:t>/s/ Douglas Barry__________</w:t>
      </w:r>
    </w:p>
    <w:p>
      <w:pPr>
        <w:ind w:left="520"/>
        <w:spacing w:after="0" w:line="238" w:lineRule="auto"/>
        <w:rPr>
          <w:sz w:val="20"/>
          <w:szCs w:val="20"/>
          <w:color w:val="auto"/>
        </w:rPr>
      </w:pPr>
      <w:r>
        <w:rPr>
          <w:rFonts w:ascii="Arial" w:cs="Arial" w:eastAsia="Arial" w:hAnsi="Arial"/>
          <w:sz w:val="22"/>
          <w:szCs w:val="22"/>
          <w:color w:val="auto"/>
        </w:rPr>
        <w:t>Name: Douglas Barry</w:t>
      </w:r>
    </w:p>
    <w:p>
      <w:pPr>
        <w:ind w:left="520"/>
        <w:spacing w:after="0"/>
        <w:rPr>
          <w:sz w:val="20"/>
          <w:szCs w:val="20"/>
          <w:color w:val="auto"/>
        </w:rPr>
      </w:pPr>
      <w:r>
        <w:rPr>
          <w:rFonts w:ascii="Arial" w:cs="Arial" w:eastAsia="Arial" w:hAnsi="Arial"/>
          <w:sz w:val="22"/>
          <w:szCs w:val="22"/>
          <w:color w:val="auto"/>
        </w:rPr>
        <w:t>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346" w:right="83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2022-06-10T15:21:37Z</dcterms:created>
  <dcterms:modified xsi:type="dcterms:W3CDTF">2022-06-10T15:21:37Z</dcterms:modified>
</cp:coreProperties>
</file>