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640" w:right="940" w:hanging="2699"/>
        <w:spacing w:after="0" w:line="500" w:lineRule="auto"/>
        <w:tabs>
          <w:tab w:leader="none" w:pos="114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3"/>
              </w:rPr>
              <w:t>Delaware</w:t>
            </w:r>
          </w:p>
        </w:tc>
        <w:tc>
          <w:tcPr>
            <w:tcW w:w="27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001-39485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85-1195036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3"/>
          </w:tcPr>
          <w:p>
            <w:pPr>
              <w:jc w:val="center"/>
              <w:ind w:right="84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incorporation or organization)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12860 El Camino Real, Suite 300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0"/>
              </w:rPr>
              <w:t>San Diego, CA</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92130</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BCTG</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6, 2021, 21,377,250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60" w:type="dxa"/>
            <w:vAlign w:val="bottom"/>
            <w:gridSpan w:val="11"/>
          </w:tcPr>
          <w:p>
            <w:pPr>
              <w:ind w:left="3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59"/>
        </w:trPr>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90"/>
        </w:trPr>
        <w:tc>
          <w:tcPr>
            <w:tcW w:w="10340" w:type="dxa"/>
            <w:vAlign w:val="bottom"/>
            <w:gridSpan w:val="27"/>
            <w:shd w:val="clear" w:color="auto" w:fill="CCEEFF"/>
          </w:tcPr>
          <w:p>
            <w:pPr>
              <w:ind w:left="20"/>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June 30,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for the Three and Six Months Ended June 30, 2021, and for the</w:t>
              </w:r>
            </w:hyperlink>
          </w:p>
        </w:tc>
        <w:tc>
          <w:tcPr>
            <w:tcW w:w="90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88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Period from May 21, 2020 (inception) through June 30, 2020</w:t>
              </w:r>
            </w:hyperlink>
          </w:p>
        </w:tc>
        <w:tc>
          <w:tcPr>
            <w:tcW w:w="380" w:type="dxa"/>
            <w:vAlign w:val="bottom"/>
            <w:tcBorders>
              <w:top w:val="single" w:sz="8" w:color="CCEEFF"/>
            </w:tcBorders>
            <w:gridSpan w:val="3"/>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560" w:type="dxa"/>
            <w:vAlign w:val="bottom"/>
            <w:gridSpan w:val="23"/>
            <w:shd w:val="clear" w:color="auto" w:fill="CCEEFF"/>
          </w:tcPr>
          <w:p>
            <w:pPr>
              <w:ind w:left="140"/>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Consolidated Statements of Changes in Stockholders’ Equity for the Three and Six months Ended June</w:t>
              </w:r>
            </w:hyperlink>
          </w:p>
        </w:tc>
        <w:tc>
          <w:tcPr>
            <w:tcW w:w="90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60" w:type="dxa"/>
            <w:vAlign w:val="bottom"/>
            <w:tcBorders>
              <w:top w:val="single" w:sz="8" w:color="0000EE"/>
            </w:tcBorders>
            <w:gridSpan w:val="20"/>
            <w:shd w:val="clear" w:color="auto" w:fill="CCEEFF"/>
          </w:tcPr>
          <w:p>
            <w:pPr>
              <w:ind w:left="1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2021, and for the Period from May 21, 2020 (inception) through June 30, 2020</w:t>
              </w:r>
            </w:hyperlink>
          </w:p>
        </w:tc>
        <w:tc>
          <w:tcPr>
            <w:tcW w:w="36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Cash Flows for the Six Months Ended June 30, 2021 and for the Period from</w:t>
              </w:r>
            </w:hyperlink>
          </w:p>
        </w:tc>
        <w:tc>
          <w:tcPr>
            <w:tcW w:w="90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9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May 21, 2020 (inception) through June 30, 2020</w:t>
              </w:r>
            </w:hyperlink>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7"/>
            <w:shd w:val="clear" w:color="auto" w:fill="CCEEFF"/>
          </w:tcPr>
          <w:p>
            <w:pPr>
              <w:ind w:left="20"/>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90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 from Registered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140" w:type="dxa"/>
            <w:vAlign w:val="bottom"/>
            <w:shd w:val="clear" w:color="auto" w:fill="CCEEFF"/>
          </w:tcPr>
          <w:p>
            <w:pPr>
              <w:spacing w:after="0"/>
              <w:rPr>
                <w:sz w:val="17"/>
                <w:szCs w:val="17"/>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140" w:type="dxa"/>
            <w:vAlign w:val="bottom"/>
            <w:shd w:val="clear" w:color="auto" w:fill="CCEEFF"/>
          </w:tcPr>
          <w:p>
            <w:pPr>
              <w:spacing w:after="0"/>
              <w:rPr>
                <w:sz w:val="15"/>
                <w:szCs w:val="15"/>
                <w:color w:val="auto"/>
              </w:rPr>
            </w:pPr>
          </w:p>
        </w:tc>
        <w:tc>
          <w:tcPr>
            <w:tcW w:w="942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980" w:type="dxa"/>
            <w:vAlign w:val="bottom"/>
          </w:tcPr>
          <w:p>
            <w:pPr>
              <w:jc w:val="center"/>
              <w:ind w:left="17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8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Financial Statements (Unaudited)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98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BCTG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980" w:type="dxa"/>
            <w:vAlign w:val="bottom"/>
          </w:tcPr>
          <w:p>
            <w:pPr>
              <w:jc w:val="center"/>
              <w:ind w:left="17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582,938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151,355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166,815,023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166,815,235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167,549,316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168,312,816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292,811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Franchise tax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35,592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5,836,250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6,191,458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5,950,604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15,635,785 and 15,736,221 shares subject to possible redemption at $10.00 per share as of June 30,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156,357,850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157,362,210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0"/>
              </w:rPr>
              <w:t>Preferred stock, $0.0001 par value; 1,000,000 shares authorized; none issued and outstanding as of June 30, 2021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30,000,000 shares authorized; 5,741,465 and 5,641,029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outstanding (excluding 15,635,785 and 15,736,221 shares subject to possible redemption) as of June 30, 2021 and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6,126,835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5,122,484</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(1,127,401)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167,549,316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168,312,816</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6"/>
              </w:rPr>
              <w:t>For The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5"/>
              </w:rPr>
              <w:t>May 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4"/>
              </w:rPr>
              <w:t>For the</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1"/>
              </w:rPr>
              <w:t>Six Months</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27,322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51,486</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(770,235)</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(1,036,130)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32,300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before income tax expense</w:t>
            </w:r>
          </w:p>
        </w:tc>
        <w:tc>
          <w:tcPr>
            <w:tcW w:w="1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(764,601)</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(1,003,830)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7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(1,004,355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16,675,000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16,675,000</w:t>
            </w:r>
          </w:p>
        </w:tc>
        <w:tc>
          <w:tcPr>
            <w:tcW w:w="12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income per share, Public Shares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of Founder Shares (1)(2)</w:t>
            </w: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4,702,250</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4,702,250</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Founder Shares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86" w:lineRule="auto"/>
        <w:tabs>
          <w:tab w:leader="none" w:pos="4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For the period from May 21, 2020 (inception) through June 30, 2020, this number excluded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spacing w:after="0" w:line="165" w:lineRule="exact"/>
        <w:rPr>
          <w:rFonts w:ascii="Arial" w:cs="Arial" w:eastAsia="Arial" w:hAnsi="Arial"/>
          <w:sz w:val="17"/>
          <w:szCs w:val="17"/>
          <w:i w:val="1"/>
          <w:iCs w:val="1"/>
          <w:color w:val="auto"/>
        </w:rPr>
      </w:pPr>
    </w:p>
    <w:p>
      <w:pPr>
        <w:ind w:left="460" w:hanging="452"/>
        <w:spacing w:after="0" w:line="342"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2020</w:t>
      </w:r>
    </w:p>
    <w:p>
      <w:pPr>
        <w:spacing w:after="0" w:line="27"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Common stock subject to possible redemption Net loss</w:t>
      </w:r>
    </w:p>
    <w:p>
      <w:pPr>
        <w:spacing w:after="0" w:line="6"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b w:val="1"/>
          <w:bCs w:val="1"/>
          <w:color w:val="auto"/>
        </w:rPr>
        <w:t xml:space="preserve">Balance - March 31, 2021 (unaudited) </w:t>
      </w:r>
      <w:r>
        <w:rPr>
          <w:rFonts w:ascii="Arial" w:cs="Arial" w:eastAsia="Arial" w:hAnsi="Arial"/>
          <w:sz w:val="18"/>
          <w:szCs w:val="18"/>
          <w:color w:val="auto"/>
        </w:rPr>
        <w:t>Common stock subject to possible redemption Net 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June 30, 2021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10"/>
              <w:spacing w:after="0" w:line="205" w:lineRule="exact"/>
              <w:rPr>
                <w:sz w:val="20"/>
                <w:szCs w:val="20"/>
                <w:color w:val="auto"/>
              </w:rPr>
            </w:pPr>
            <w:r>
              <w:rPr>
                <w:rFonts w:ascii="Arial" w:cs="Arial" w:eastAsia="Arial" w:hAnsi="Arial"/>
                <w:sz w:val="18"/>
                <w:szCs w:val="18"/>
                <w:b w:val="1"/>
                <w:bCs w:val="1"/>
                <w:color w:val="auto"/>
                <w:w w:val="92"/>
              </w:rPr>
              <w:t>Total</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5,641,029</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564</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5,122,484</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(123,046)</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5,000,002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23,976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239,758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239,760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(239,754)</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5,665,005</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566</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5,362,242</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(362,800)</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b w:val="1"/>
                <w:bCs w:val="1"/>
                <w:color w:val="auto"/>
              </w:rPr>
              <w:t>5,000,008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76,460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764,593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764,601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(764,601)</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(764,601)</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5,741,465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574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6,126,835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(1,127,401</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80" w:type="dxa"/>
            <w:vAlign w:val="bottom"/>
            <w:gridSpan w:val="15"/>
          </w:tcPr>
          <w:p>
            <w:pPr>
              <w:ind w:left="580"/>
              <w:spacing w:after="0"/>
              <w:rPr>
                <w:sz w:val="20"/>
                <w:szCs w:val="20"/>
                <w:color w:val="auto"/>
              </w:rPr>
            </w:pPr>
            <w:r>
              <w:rPr>
                <w:rFonts w:ascii="Arial" w:cs="Arial" w:eastAsia="Arial" w:hAnsi="Arial"/>
                <w:sz w:val="18"/>
                <w:szCs w:val="18"/>
                <w:b w:val="1"/>
                <w:bCs w:val="1"/>
                <w:color w:val="auto"/>
              </w:rPr>
              <w:t>For The Period From May 21, 2020 (inception) through June 30, 2020</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0"/>
        </w:trPr>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9"/>
                <w:szCs w:val="19"/>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19"/>
                <w:szCs w:val="19"/>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-1825625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-1542415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-1242695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-950595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00" w:space="720"/>
            <w:col w:w="66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 May 21, 2020 (inception)</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41"/>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 to Sponsor (1)(2)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3,593,750</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24,641</w:t>
            </w:r>
          </w:p>
        </w:tc>
        <w:tc>
          <w:tcPr>
            <w:tcW w:w="44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(472)</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June 30, 2020 (unaudited)</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3,593,750</w:t>
            </w:r>
          </w:p>
        </w:tc>
        <w:tc>
          <w:tcPr>
            <w:tcW w:w="2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24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24,641</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220" w:type="dxa"/>
            <w:vAlign w:val="bottom"/>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63"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spacing w:after="0" w:line="183" w:lineRule="exact"/>
        <w:rPr>
          <w:rFonts w:ascii="Arial" w:cs="Arial" w:eastAsia="Arial" w:hAnsi="Arial"/>
          <w:sz w:val="18"/>
          <w:szCs w:val="18"/>
          <w:i w:val="1"/>
          <w:iCs w:val="1"/>
          <w:color w:val="auto"/>
        </w:rPr>
      </w:pPr>
    </w:p>
    <w:p>
      <w:pPr>
        <w:ind w:left="460" w:hanging="452"/>
        <w:spacing w:after="0" w:line="342" w:lineRule="auto"/>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6"/>
              </w:rPr>
              <w:t>For The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2"/>
              </w:rPr>
              <w:t>Period From</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For the Six</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6"/>
              </w:rPr>
              <w:t>May 21, 2020</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Ended June</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2"/>
              </w:rPr>
              <w:t>through June</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30, 2021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30, 2020</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   (1,004,355)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(32,300)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32,141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244,163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income taxes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(6,338)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Franchise tax payable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released from Trust Account</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Proceeds from issuance of common stock to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340" w:type="dxa"/>
            <w:vAlign w:val="bottom"/>
            <w:gridSpan w:val="2"/>
          </w:tcPr>
          <w:p>
            <w:pPr>
              <w:ind w:left="640"/>
              <w:spacing w:after="0"/>
              <w:rPr>
                <w:sz w:val="20"/>
                <w:szCs w:val="20"/>
                <w:color w:val="auto"/>
              </w:rPr>
            </w:pPr>
            <w:r>
              <w:rPr>
                <w:rFonts w:ascii="Arial" w:cs="Arial" w:eastAsia="Arial" w:hAnsi="Arial"/>
                <w:sz w:val="18"/>
                <w:szCs w:val="18"/>
                <w:color w:val="auto"/>
              </w:rPr>
              <w:t>32,513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32,513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left="1960" w:hanging="936"/>
        <w:spacing w:after="0"/>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25,000</w:t>
      </w:r>
    </w:p>
    <w:p>
      <w:pPr>
        <w:spacing w:after="0" w:line="46" w:lineRule="exact"/>
        <w:rPr>
          <w:rFonts w:ascii="Arial" w:cs="Arial" w:eastAsia="Arial" w:hAnsi="Arial"/>
          <w:sz w:val="16"/>
          <w:szCs w:val="16"/>
          <w:color w:val="auto"/>
        </w:rPr>
      </w:pPr>
    </w:p>
    <w:p>
      <w:pPr>
        <w:ind w:left="2280" w:hanging="1256"/>
        <w:spacing w:after="0"/>
        <w:tabs>
          <w:tab w:leader="none" w:pos="2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25</w:t>
      </w:r>
    </w:p>
    <w:p>
      <w:pPr>
        <w:spacing w:after="0" w:line="58" w:lineRule="exact"/>
        <w:rPr>
          <w:rFonts w:ascii="Arial" w:cs="Arial" w:eastAsia="Arial" w:hAnsi="Arial"/>
          <w:sz w:val="16"/>
          <w:szCs w:val="16"/>
          <w:color w:val="auto"/>
        </w:rPr>
      </w:pPr>
    </w:p>
    <w:p>
      <w:pPr>
        <w:ind w:left="1960" w:hanging="936"/>
        <w:spacing w:after="0"/>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25,025</w:t>
      </w:r>
    </w:p>
    <w:p>
      <w:pPr>
        <w:spacing w:after="0" w:line="275" w:lineRule="exact"/>
        <w:rPr>
          <w:sz w:val="20"/>
          <w:szCs w:val="20"/>
          <w:color w:val="auto"/>
        </w:rPr>
      </w:pPr>
    </w:p>
    <w:p>
      <w:pPr>
        <w:jc w:val="both"/>
        <w:ind w:left="480"/>
        <w:spacing w:after="0"/>
        <w:tabs>
          <w:tab w:leader="none" w:pos="1940" w:val="left"/>
        </w:tabs>
        <w:rPr>
          <w:sz w:val="20"/>
          <w:szCs w:val="20"/>
          <w:color w:val="auto"/>
        </w:rPr>
      </w:pPr>
      <w:r>
        <w:rPr>
          <w:rFonts w:ascii="Arial" w:cs="Arial" w:eastAsia="Arial" w:hAnsi="Arial"/>
          <w:sz w:val="18"/>
          <w:szCs w:val="18"/>
          <w:color w:val="auto"/>
        </w:rPr>
        <w:t>(731,147)</w:t>
      </w:r>
      <w:r>
        <w:rPr>
          <w:sz w:val="20"/>
          <w:szCs w:val="20"/>
          <w:color w:val="auto"/>
        </w:rPr>
        <w:tab/>
      </w:r>
      <w:r>
        <w:rPr>
          <w:rFonts w:ascii="Arial" w:cs="Arial" w:eastAsia="Arial" w:hAnsi="Arial"/>
          <w:sz w:val="18"/>
          <w:szCs w:val="18"/>
          <w:color w:val="auto"/>
        </w:rPr>
        <w:t>24,993</w:t>
      </w:r>
    </w:p>
    <w:p>
      <w:pPr>
        <w:spacing w:after="0" w:line="239" w:lineRule="exact"/>
        <w:rPr>
          <w:sz w:val="20"/>
          <w:szCs w:val="20"/>
          <w:color w:val="auto"/>
        </w:rPr>
      </w:pPr>
    </w:p>
    <w:p>
      <w:pPr>
        <w:ind w:left="400"/>
        <w:spacing w:after="0"/>
        <w:tabs>
          <w:tab w:leader="none" w:pos="2320" w:val="left"/>
        </w:tabs>
        <w:rPr>
          <w:sz w:val="20"/>
          <w:szCs w:val="20"/>
          <w:color w:val="auto"/>
        </w:rPr>
      </w:pPr>
      <w:r>
        <w:rPr>
          <w:rFonts w:ascii="Arial" w:cs="Arial" w:eastAsia="Arial" w:hAnsi="Arial"/>
          <w:sz w:val="18"/>
          <w:szCs w:val="18"/>
          <w:color w:val="auto"/>
        </w:rPr>
        <w:t>1,314,085</w:t>
      </w:r>
      <w:r>
        <w:rPr>
          <w:sz w:val="20"/>
          <w:szCs w:val="20"/>
          <w:color w:val="auto"/>
        </w:rPr>
        <w:tab/>
      </w:r>
      <w:r>
        <w:rPr>
          <w:rFonts w:ascii="Arial" w:cs="Arial" w:eastAsia="Arial" w:hAnsi="Arial"/>
          <w:sz w:val="18"/>
          <w:szCs w:val="18"/>
          <w:color w:val="auto"/>
        </w:rPr>
        <w:t>-</w:t>
      </w:r>
    </w:p>
    <w:p>
      <w:pPr>
        <w:spacing w:after="0" w:line="59" w:lineRule="exact"/>
        <w:rPr>
          <w:sz w:val="20"/>
          <w:szCs w:val="20"/>
          <w:color w:val="auto"/>
        </w:rPr>
      </w:pPr>
    </w:p>
    <w:p>
      <w:pPr>
        <w:spacing w:after="0"/>
        <w:tabs>
          <w:tab w:leader="none" w:pos="520" w:val="left"/>
          <w:tab w:leader="none" w:pos="1320" w:val="left"/>
          <w:tab w:leader="none" w:pos="1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582,938</w:t>
        <w:tab/>
        <w:t>$</w:t>
      </w:r>
      <w:r>
        <w:rPr>
          <w:sz w:val="20"/>
          <w:szCs w:val="20"/>
          <w:color w:val="auto"/>
        </w:rPr>
        <w:tab/>
      </w:r>
      <w:r>
        <w:rPr>
          <w:rFonts w:ascii="Arial" w:cs="Arial" w:eastAsia="Arial" w:hAnsi="Arial"/>
          <w:sz w:val="16"/>
          <w:szCs w:val="16"/>
          <w:b w:val="1"/>
          <w:bCs w:val="1"/>
          <w:color w:val="auto"/>
        </w:rPr>
        <w:t>24,993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880" w:type="dxa"/>
            <w:vAlign w:val="bottom"/>
          </w:tcPr>
          <w:p>
            <w:pPr>
              <w:ind w:left="340"/>
              <w:spacing w:after="0"/>
              <w:rPr>
                <w:sz w:val="20"/>
                <w:szCs w:val="20"/>
                <w:color w:val="auto"/>
              </w:rPr>
            </w:pPr>
            <w:r>
              <w:rPr>
                <w:rFonts w:ascii="Arial" w:cs="Arial" w:eastAsia="Arial" w:hAnsi="Arial"/>
                <w:sz w:val="18"/>
                <w:szCs w:val="18"/>
                <w:color w:val="auto"/>
              </w:rPr>
              <w:t>Deferred offering costs included in note payable - related party</w:t>
            </w: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16"/>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offering costs included in accrued expenses</w:t>
            </w:r>
          </w:p>
        </w:tc>
        <w:tc>
          <w:tcPr>
            <w:tcW w:w="2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r>
      <w:tr>
        <w:trPr>
          <w:trHeight w:val="230"/>
        </w:trPr>
        <w:tc>
          <w:tcPr>
            <w:tcW w:w="6880" w:type="dxa"/>
            <w:vAlign w:val="bottom"/>
          </w:tcPr>
          <w:p>
            <w:pPr>
              <w:ind w:left="340"/>
              <w:spacing w:after="0"/>
              <w:rPr>
                <w:sz w:val="20"/>
                <w:szCs w:val="20"/>
                <w:color w:val="auto"/>
              </w:rPr>
            </w:pPr>
            <w:r>
              <w:rPr>
                <w:rFonts w:ascii="Arial" w:cs="Arial" w:eastAsia="Arial" w:hAnsi="Arial"/>
                <w:sz w:val="18"/>
                <w:szCs w:val="18"/>
                <w:color w:val="auto"/>
              </w:rPr>
              <w:t>Change in value of common stock subject to possible redemption</w:t>
            </w:r>
          </w:p>
        </w:tc>
        <w:tc>
          <w:tcPr>
            <w:tcW w:w="2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(1,004,361)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Company activity for the period from May 21, 2020 (inception) through June 30,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of 1940 (“Investment Company Act”) and which invest solely in U.S. Treasuries, until the earlier of: (i) the completion of a Business Combination and (ii) the distribution of the Trust Account as described below.</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 Business 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(i) stockholder approval;</w:t>
      </w:r>
    </w:p>
    <w:p>
      <w:pPr>
        <w:spacing w:after="0" w:line="46" w:lineRule="exact"/>
        <w:rPr>
          <w:sz w:val="20"/>
          <w:szCs w:val="20"/>
          <w:color w:val="auto"/>
        </w:rPr>
      </w:pPr>
    </w:p>
    <w:p>
      <w:pPr>
        <w:jc w:val="both"/>
        <w:ind w:firstLine="8"/>
        <w:spacing w:after="0" w:line="281" w:lineRule="auto"/>
        <w:tabs>
          <w:tab w:leader="none" w:pos="282"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Material Adverse Effect (as defined in the Merger Agreement) with respect to Tango since the date of the Merger Agreement; (iii) 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w:t>
      </w:r>
    </w:p>
    <w:p>
      <w:pPr>
        <w:spacing w:after="0" w:line="2"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BCTG and certain Tango stockholders having entered into an amended and restated registration rights agreement.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20, 2021, the Company filed with the SEC a Registration Statement on Form S-4, which includes a proxy statement/prospectus, which was declared effective by the SEC on July 16, 2021. The Company filed a definitive proxy statement and final prospectus to hold a special meeting of the holders of BCTG common stock on August 9, 2021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may be terminated by BCTG or Tango under certain circumstances, including (i) by mutual written consent of BCTG and Tango;</w:t>
      </w:r>
    </w:p>
    <w:p>
      <w:pPr>
        <w:spacing w:after="0" w:line="46" w:lineRule="exact"/>
        <w:rPr>
          <w:sz w:val="20"/>
          <w:szCs w:val="20"/>
          <w:color w:val="auto"/>
        </w:rPr>
      </w:pPr>
    </w:p>
    <w:p>
      <w:pPr>
        <w:jc w:val="both"/>
        <w:ind w:firstLine="8"/>
        <w:spacing w:after="0" w:line="255"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2021, the Company had $0.6 million of cash in its operating account and approximately $0.4 million of working capital, not taken into account tax obligations of approximately $36,000 that may be paid using investment income earned from Trust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 June 30,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 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the Company has covenanted not to enter into any such arrangements. Accordingly, as of June 30, 2021 and December 31, 2020, there were no amounts outstanding under any Working Capital Loans.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through December 31, 2021 or for any future interim periods.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accounts and transactions are eliminated.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consolidated condensed financial statements should be read in conjunction with the audited financial statements and notes thereto included in the Company’s Annual Report on Form 10K filed with the SEC on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Corporation coverage limit of $250,000. As of June 30, 2021 and December 31, 2020, the Company has not experienced losses on these accounts and management believes the Company is not exposed to significant risks on such accounts.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held outside of the Trust account as of June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interest earned on investments held in the Trust Account in the accompanying unaudited condensed statement of operations. The estimated fair values of investments held in the Trust Account are determined using available market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Such estimates may be subject to change as more current information becomes available and, accordingly, the actual results could differ significantly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and that were charged to Stockholders’ equity upon the completion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June 30, 2021 and December 31, 2020, 15,635,785 and 15,736,221 shares of common stock subject to possible redemption are presented as temporary equity, outside of the stockholders’ equity section of the Company’s balance sheet,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condensed consolidated statements of operations include a presentation of net income (loss) per share for Public Shares subject to possible redemption in a manner similar to the two-class method of net income (loss) per common stock. Net income (loss) per common stock, basic and diluted, for Public Shares is calculated by dividing the interest income earned on the Trust Account, less interest available to be withdrawn for the payment of taxes, by the weighted average number of Public Shares outstanding for the periods. Net income (loss) per common stock, basic and diluted, for Founder Shares is calculated by dividing the net income (loss), adjusted for income attributable to Public Shares, by the weighted average number of Founder Shares outstanding for the periods. Founder Shares include the Founder Shares as these common stocks do not have any redemption features and do not participate in the income earned on the Trust Account.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June 30,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ectPr>
          <w:pgSz w:w="11900" w:h="16838" w:orient="portrait"/>
          <w:cols w:equalWidth="0" w:num="1">
            <w:col w:w="11240"/>
          </w:cols>
          <w:pgMar w:left="320" w:top="877"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net income (loss)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 Income allocable to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Income from investments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Company’s portion available to be withdrawn to pay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Denominator: Weighted average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 w:lineRule="exact"/>
        <w:rPr>
          <w:sz w:val="20"/>
          <w:szCs w:val="20"/>
          <w:color w:val="auto"/>
        </w:rPr>
      </w:pPr>
    </w:p>
    <w:p>
      <w:pPr>
        <w:ind w:right="2980"/>
        <w:spacing w:after="0" w:line="409" w:lineRule="auto"/>
        <w:rPr>
          <w:sz w:val="20"/>
          <w:szCs w:val="20"/>
          <w:color w:val="auto"/>
        </w:rPr>
      </w:pPr>
      <w:r>
        <w:rPr>
          <w:rFonts w:ascii="Arial" w:cs="Arial" w:eastAsia="Arial" w:hAnsi="Arial"/>
          <w:sz w:val="16"/>
          <w:szCs w:val="16"/>
          <w:color w:val="auto"/>
        </w:rPr>
        <w:t>Basic and diluted weighted average shares outstanding, Public shares Basic and diluted net income (loss) per share, Public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64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32,300</w:t>
            </w:r>
          </w:p>
        </w:tc>
      </w:tr>
      <w:tr>
        <w:trPr>
          <w:trHeight w:val="230"/>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32,300</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80"/>
        </w:trPr>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16,675,000</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16,675,000</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23"/>
        </w:trPr>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bottom w:val="single" w:sz="8" w:color="auto"/>
            </w:tcBorders>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Founder shares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Numerator: Net income (loss) minus net income allocable to Founder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(764,601)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(1,004,355)</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allocable to Public shares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 (loss) attributable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(764,601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(1,004,355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Founder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Founder shares</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4,702,250</w:t>
            </w:r>
          </w:p>
        </w:tc>
        <w:tc>
          <w:tcPr>
            <w:tcW w:w="22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4,702,250</w:t>
            </w: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Founder shares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2020-06, </w:t>
      </w:r>
      <w:r>
        <w:rPr>
          <w:rFonts w:ascii="Arial" w:cs="Arial" w:eastAsia="Arial" w:hAnsi="Arial"/>
          <w:sz w:val="18"/>
          <w:szCs w:val="18"/>
          <w:i w:val="1"/>
          <w:iCs w:val="1"/>
          <w:color w:val="auto"/>
        </w:rPr>
        <w:t>Debt—Debt with Conversion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Options (Subtopic 470-20) and Derivatives and Hedging—Contracts in Entity’s Own Equity (Subtopic 815-40): 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21, 2020 and June 10, 2020, the Company’s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and $60,000 of such expenses during the three and six months ended June 30, 2021, respectively, included as administrative expenses – related party on the accompanying condensed statement of operations. As of June 30, 2021, no amounts were payable related to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65"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these financial statements. The financial statement does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 As of June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are no shares of preferred stock issued or outstanding.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—The Company is authorized to issue 30,000,000 shares of common stock, par value of $0.0001 per share. On September 2, 2020,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declared a dividend of 0.16 shares for each outstanding share of common stock (an aggregate of 575,000 shares). All shares and associated amounts have been retroactively restated to reflect the share dividend. As of June 30, 2021 and December 31, 2020, there were 21,377,250 shares of common stock outstanding, including 15,635,785 shares and 15,736,221 shares of common stock, respectively, subject to possible redemption that were classified outside of permanent equity in the accompanying unaudited condensed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and indicates the fair value hierarchy of the valuation techniques that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Quoted Prices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in Active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Markets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166,815,023</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Quoted Prices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in Active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Markets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 maturing March 4, 2021(1)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166,811,648</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Excludes approximately $4,000 of investments held in cash within the Trust Account.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Transfers to/from Levels 1, 2, and 3 are recognized at the beginning of the reporting period. There were no transfers between levels of the hierarchy for the six months ended June 30, 2021. Level 1 instruments include investments U.S. Treasury securities with an original maturity of 185 days or 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consolidated financial statements were issued. Based upon this review, the Company determined that, except as disclosed in Note 1, there have been no events that have occurred that would require adjustments to the disclosures in the unaudited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to the “Company,” “BCTG Acquisition Corp.,” “BCTG,” “our,” “us” or “we” refer to BCTG Acquisition Corp. The following discussion and analysis of the Company’s financial condition and results of operations should be read in conjunction with the unaudited interim condensed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blank check company incorporated in Delaware on May 21, 2020. We were formed for the purpose of effecting a merger, share exchange, asset acquisition, share purchase, reorganization or similar business combination with one or more businesses (the “Business Combination”). We are an emerging growth company and, as such, we are subject to all of the risks associated with emerging growth companies.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sponsor is BCTG Holdings, LLC, a Delaware limited liability company (the “Sponsor”). The registration statement for our Initial Public Offering was declared effective on September 2, 2020. On September 8, 2020, we consummated our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we will be able to successfully complete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we will</w:t>
      </w:r>
    </w:p>
    <w:p>
      <w:pPr>
        <w:jc w:val="both"/>
        <w:ind w:firstLine="8"/>
        <w:spacing w:after="0" w:line="253" w:lineRule="auto"/>
        <w:tabs>
          <w:tab w:leader="none" w:pos="2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our obligations under Delaware law to provide for claims of creditors and the requirements of other applicable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among other things, (i) stockholder approval; (ii) no Material Adverse Effect (as defined in the Merger Agreement) with respect to Tango since the date of the Merger Agreement;</w:t>
      </w:r>
    </w:p>
    <w:p>
      <w:pPr>
        <w:jc w:val="both"/>
        <w:ind w:firstLine="8"/>
        <w:spacing w:after="0" w:line="273"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execution of the Merger Agreement BCTG also entered into certain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On April 20, 2021, the Company filed with the SEC a Registration Statement on Form S-4, which includes a proxy statement/prospectus, which was declared effective by the SEC on July 16, 2021. The Company filed a definitive proxy statement and final prospectus to hold a special meeting of the holders of BCTG common stock on August 9, 2021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may be terminated by BCTG or Tango under certain circumstances, including (i) by mutual written consent of BCTG and Tango;</w:t>
      </w:r>
    </w:p>
    <w:p>
      <w:pPr>
        <w:spacing w:after="0" w:line="46" w:lineRule="exact"/>
        <w:rPr>
          <w:sz w:val="20"/>
          <w:szCs w:val="20"/>
          <w:color w:val="auto"/>
        </w:rPr>
      </w:pPr>
    </w:p>
    <w:p>
      <w:pPr>
        <w:jc w:val="both"/>
        <w:ind w:firstLine="8"/>
        <w:spacing w:after="0" w:line="255" w:lineRule="auto"/>
        <w:tabs>
          <w:tab w:leader="none" w:pos="2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approximately $0.6 million in our operating bank account, and working capital of approximately $0.4 million, not taken into account tax obligations of approximately $36,000 that may be paid using investment income earned from Trust Account.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June 30, 2021, our liquidity needs were satisfied through a payment of $25,000 from our Sponsor in exchange for the issuance of the Founder Shares (as defined below), the loan under the certain promissory notes we issued to the Sponsor of approximately $127,000 to us to cover for offering costs in connection with the Initial Public Offering, and net proceeds from the consummation of the Private Placement not held in the Trust Account. We fully repaid the promissory notes on September 10, 2020. In addition, in order to finance transaction costs in connection with a Business Combination, our officers, directors and initial stockholders may, but are not obligated to, provide us Working Capital Loans (see Note 4). However, in the Merger Agreement, we have covenanted not to enter into any such arrangements. Accordingly, as of June 30, 2021, there were no amounts outstanding under any Working Capital Loans.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initial Business Combination.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our financial position, results of our operations and/or its efforts with respect to an initial Business Combination, the specific impact is not readily determinable as of the date of the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entire activity since inception up to June 30, 2021 was in preparation for our formation and the Initial Public Offering and, since the closing of our Initial Public Offering, a search for business combination candidates and the negotiation of the transactions related to the Proposed Business Combination. We will not be generating any operating revenues until the closing and completion of our initial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we had net loss of approximately $764,000, which consisted of approximately $713,000 general and administrative expenses including $30,000 general and administrative expenses – related party, approximately $27,000 of franchise tax expense, partially offset by approximately $6,000 of interest earned on investments held in the trust account.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we had net loss of approximately $1.0 million, which consisted of approximately $925,000 general and administrative expenses including $60,000 general and administrative expenses – related party, approximately $52,000 of franchise tax expense, and $525 of income tax expense, offset by approximately $32,000 of interest earned on investments held in the trust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2020, we issued 3,593,750 shares of common stock to our Sponsor in exchange for a payment of $25,000 (the “Founder Shares”).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4,488,450 shares of common stock, and our independent directors and advisors collectively own 213,800 shares of common stock.</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Concurrently with the closing of the Initial Public Offering, our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of our financial statements.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21, 2020 and June 10, 2020, our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“Working Capital Loans”).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Placement Shares. However, in the Merger Agreement, we have covenanted not to enter into any such arrangements. Accordingly, we did not have any borrowings under the Working Capital Loans as of June 30,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September 2, 2020, we agreed to pay an affiliate of the Sponsor a total of $10,000 per month for office space and certain office and secretarial services. Upon completion of the initial Business Combination or our liquidation, we will cease paying these monthly fees. For the three and six months ended June 30, 2021, we incurred $30,000 and $60,000 related to these services, respectively. As of June 30, 2021, no amounts were payable related to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we complete a Business Combination, subject to the terms of the underwriting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shares of common stock are classified as stockholders’ equity. Our common stock features certain redemption rights that are considered to be outside of our control and subject to the occurrence of uncertain future events.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of Common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unaudited condensed consolidated statements of operations include a presentation of net income (loss) per share for Public Shares subject to possible redemption in a manner similar to the two-class method of net income (loss) per common stock. Net income (loss) per common stock, basic and diluted, for Public Shares is calculated by dividing the interest income earned on the Trust Account, less interest available to be withdrawn for the payment of taxes, by the weighted average number of Public Shares outstanding for the periods. Net income (loss) per common stock, basic and diluted, for Founder Shares is calculated by dividing the net income (loss), adjusted for income attributable to Public Shares, by the weighted average number of Founder Shares outstanding for the periods. Founder Shares include the Founder Shares as these common stocks do not have any redemption features and do not participate in the income earned on the Trust Account.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color w:val="auto"/>
        </w:rPr>
        <w:t>At June 30,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2020-06, </w:t>
      </w:r>
      <w:r>
        <w:rPr>
          <w:rFonts w:ascii="Arial" w:cs="Arial" w:eastAsia="Arial" w:hAnsi="Arial"/>
          <w:sz w:val="18"/>
          <w:szCs w:val="18"/>
          <w:i w:val="1"/>
          <w:iCs w:val="1"/>
          <w:color w:val="auto"/>
        </w:rPr>
        <w:t>Debt—Debt with Conversion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Options (Subtopic 470-20) and Derivatives and Hedging—Contracts in Entity’s Own Equity (Subtopic 815-40): 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our annual fiscal year. We are currently evaluating the impact of this standard on our financial statements and related disclosures.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2021,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June 30, 2021 covered by this Quarterly Report on Form 10-Q that has materially affected, or is reasonably likely to materially affect, our internal control over financial reporting.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right"/>
        <w:ind w:right="30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we are not required to make disclosures under this Item.</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1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76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31.1*</w:t>
            </w: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6"/>
            <w:shd w:val="clear" w:color="auto" w:fill="CCEEFF"/>
          </w:tcPr>
          <w:p>
            <w:pPr>
              <w:spacing w:after="0" w:line="169"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Certification of Chief Executive Officer (Principal Executive Officer) Pursuant to Rules 13a-14(a) and 15d-14(a) under the Securities</w:t>
              </w:r>
            </w:hyperlink>
          </w:p>
        </w:tc>
      </w:tr>
      <w:tr>
        <w:trPr>
          <w:trHeight w:val="196"/>
        </w:trPr>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Exchange Act of 1934, as Adopted Pursuant to Section 302 of the Sarbanes-Oxley Act of 2002.</w:t>
              </w:r>
            </w:hyperlink>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7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Chief Financial Officer (Principal Financial and Accounting Officer) Pursuant to Rules 13a-14(a) and 15d-14(a) under the</w:t>
              </w:r>
            </w:hyperlink>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Securities Exchange Act of 1934, as Adopted Pursuant to Section 302 of the Sarbanes-Oxley Act of 2002.</w:t>
              </w:r>
            </w:hyperlink>
          </w:p>
        </w:tc>
        <w:tc>
          <w:tcPr>
            <w:tcW w:w="20" w:type="dxa"/>
            <w:vAlign w:val="bottom"/>
          </w:tcPr>
          <w:p>
            <w:pPr>
              <w:spacing w:after="0"/>
              <w:rPr>
                <w:sz w:val="17"/>
                <w:szCs w:val="17"/>
                <w:color w:val="auto"/>
              </w:rPr>
            </w:pPr>
          </w:p>
        </w:tc>
      </w:tr>
      <w:tr>
        <w:trPr>
          <w:trHeight w:val="21"/>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32.1*</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Executive Officer (Principal Executive Officer) Pursuant to 18 U.S.C. Section 1350, as Adopted Pursuant to Section</w:t>
              </w:r>
            </w:hyperlink>
          </w:p>
        </w:tc>
      </w:tr>
      <w:tr>
        <w:trPr>
          <w:trHeight w:val="216"/>
        </w:trPr>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906 of the Sarbanes-Oxley Act of 2002.</w:t>
              </w:r>
            </w:hyperlink>
          </w:p>
        </w:tc>
        <w:tc>
          <w:tcPr>
            <w:tcW w:w="722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760" w:type="dxa"/>
            <w:vAlign w:val="bottom"/>
          </w:tcPr>
          <w:p>
            <w:pPr>
              <w:ind w:left="20"/>
              <w:spacing w:after="0" w:line="176" w:lineRule="exact"/>
              <w:rPr>
                <w:sz w:val="20"/>
                <w:szCs w:val="20"/>
                <w:color w:val="auto"/>
              </w:rPr>
            </w:pPr>
            <w:r>
              <w:rPr>
                <w:rFonts w:ascii="Arial" w:cs="Arial" w:eastAsia="Arial" w:hAnsi="Arial"/>
                <w:sz w:val="18"/>
                <w:szCs w:val="18"/>
                <w:color w:val="auto"/>
              </w:rPr>
              <w:t>32.2*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Certification of Chief Financial Officer (Principal Financial and Accounting Officer) Pursuant to 18 U.S.C. Section 1350, as Adopted</w:t>
              </w:r>
            </w:hyperlink>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Pursuant to Section 906 of the Sarbanes-Oxley Act of 2002.</w:t>
              </w:r>
            </w:hyperlink>
          </w:p>
        </w:tc>
      </w:tr>
      <w:tr>
        <w:trPr>
          <w:trHeight w:val="21"/>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Dated: August 6, 2021</w:t>
            </w:r>
          </w:p>
        </w:tc>
        <w:tc>
          <w:tcPr>
            <w:tcW w:w="7660" w:type="dxa"/>
            <w:vAlign w:val="bottom"/>
            <w:gridSpan w:val="2"/>
          </w:tcPr>
          <w:p>
            <w:pPr>
              <w:ind w:left="3180"/>
              <w:spacing w:after="0"/>
              <w:rPr>
                <w:sz w:val="20"/>
                <w:szCs w:val="20"/>
                <w:color w:val="auto"/>
              </w:rPr>
            </w:pPr>
            <w:r>
              <w:rPr>
                <w:rFonts w:ascii="Arial" w:cs="Arial" w:eastAsia="Arial" w:hAnsi="Arial"/>
                <w:sz w:val="18"/>
                <w:szCs w:val="18"/>
                <w:b w:val="1"/>
                <w:bCs w:val="1"/>
                <w:color w:val="auto"/>
              </w:rPr>
              <w:t>BCTG ACQUISITION CORP.</w:t>
            </w:r>
          </w:p>
        </w:tc>
      </w:tr>
      <w:tr>
        <w:trPr>
          <w:trHeight w:val="439"/>
        </w:trPr>
        <w:tc>
          <w:tcPr>
            <w:tcW w:w="3580" w:type="dxa"/>
            <w:vAlign w:val="bottom"/>
          </w:tcPr>
          <w:p>
            <w:pPr>
              <w:spacing w:after="0"/>
              <w:rPr>
                <w:sz w:val="24"/>
                <w:szCs w:val="24"/>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2"/>
        </w:trPr>
        <w:tc>
          <w:tcPr>
            <w:tcW w:w="3580" w:type="dxa"/>
            <w:vAlign w:val="bottom"/>
          </w:tcPr>
          <w:p>
            <w:pPr>
              <w:spacing w:after="0"/>
              <w:rPr>
                <w:sz w:val="17"/>
                <w:szCs w:val="17"/>
                <w:color w:val="auto"/>
              </w:rPr>
            </w:pPr>
          </w:p>
        </w:tc>
        <w:tc>
          <w:tcPr>
            <w:tcW w:w="374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Aaron I. Davis</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580" w:type="dxa"/>
            <w:vAlign w:val="bottom"/>
          </w:tcPr>
          <w:p>
            <w:pPr>
              <w:spacing w:after="0"/>
              <w:rPr>
                <w:sz w:val="24"/>
                <w:szCs w:val="24"/>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Beauchamp</w:t>
            </w:r>
          </w:p>
        </w:tc>
      </w:tr>
      <w:tr>
        <w:trPr>
          <w:trHeight w:val="202"/>
        </w:trPr>
        <w:tc>
          <w:tcPr>
            <w:tcW w:w="3580" w:type="dxa"/>
            <w:vAlign w:val="bottom"/>
          </w:tcPr>
          <w:p>
            <w:pPr>
              <w:spacing w:after="0"/>
              <w:rPr>
                <w:sz w:val="17"/>
                <w:szCs w:val="17"/>
                <w:color w:val="auto"/>
              </w:rPr>
            </w:pPr>
          </w:p>
        </w:tc>
        <w:tc>
          <w:tcPr>
            <w:tcW w:w="374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Michael Beauchamp</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24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Aaron I. Davis,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BCTG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Aaron I. Davis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Beauchamp,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BCTG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Beauchamp</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BCTG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quarter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Aaron I. Davis, Chief Executive Officer and Chairman of the Board of Directors of the Company, certify, pursuant to 18 U.S.C. Section 1350, as adopted pursuant to Section 906 of the Sarbanes-Oxley Act of 2002, that, to my knowledge:</w:t>
      </w:r>
    </w:p>
    <w:p>
      <w:pPr>
        <w:spacing w:after="0" w:line="1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Aaron I. Davis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BCTG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Michael Beauchamp, Chief Financial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Beauchamp</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2"/>
    </w:lvl>
  </w:abstractNum>
  <w:abstractNum w:abstractNumId="6">
    <w:nsid w:val="66EF438D"/>
    <w:multiLevelType w:val="hybridMultilevel"/>
    <w:lvl w:ilvl="0">
      <w:lvlJc w:val="left"/>
      <w:lvlText w:val="(%1)"/>
      <w:numFmt w:val="lowerRoman"/>
      <w:start w:val="8"/>
    </w:lvl>
  </w:abstractNum>
  <w:abstractNum w:abstractNumId="7">
    <w:nsid w:val="140E0F76"/>
    <w:multiLevelType w:val="hybridMultilevel"/>
    <w:lvl w:ilvl="0">
      <w:lvlJc w:val="left"/>
      <w:lvlText w:val="(%1)"/>
      <w:numFmt w:val="lowerRoman"/>
      <w:start w:val="2"/>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Roman"/>
      <w:start w:val="3"/>
    </w:lvl>
  </w:abstractNum>
  <w:abstractNum w:abstractNumId="11">
    <w:nsid w:val="7FDCC233"/>
    <w:multiLevelType w:val="hybridMultilevel"/>
    <w:lvl w:ilvl="0">
      <w:lvlJc w:val="left"/>
      <w:lvlText w:val="(%1)"/>
      <w:numFmt w:val="lowerRoman"/>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2021-08-09T05:23:20Z</dcterms:created>
  <dcterms:modified xsi:type="dcterms:W3CDTF">2021-08-09T05:23:20Z</dcterms:modified>
</cp:coreProperties>
</file>