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w:t>
      </w:r>
    </w:p>
    <w:p>
      <w:pPr>
        <w:spacing w:after="0" w:line="40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1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August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1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25" w:lineRule="exact"/>
        <w:rPr>
          <w:sz w:val="24"/>
          <w:szCs w:val="24"/>
          <w:color w:val="auto"/>
        </w:rPr>
      </w:pPr>
    </w:p>
    <w:p>
      <w:pPr>
        <w:jc w:val="both"/>
        <w:ind w:left="1300" w:right="8560" w:firstLine="4"/>
        <w:spacing w:after="0" w:line="571" w:lineRule="auto"/>
        <w:tabs>
          <w:tab w:leader="none" w:pos="15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rPr>
          <w:sz w:val="20"/>
          <w:szCs w:val="20"/>
          <w:color w:val="auto"/>
        </w:rPr>
      </w:pPr>
      <w:r>
        <w:rPr>
          <w:rFonts w:ascii="Courier New" w:cs="Courier New" w:eastAsia="Courier New" w:hAnsi="Courier New"/>
          <w:sz w:val="18"/>
          <w:szCs w:val="18"/>
          <w:color w:val="auto"/>
        </w:rPr>
        <w:t>__________</w:t>
      </w:r>
    </w:p>
    <w:p>
      <w:pPr>
        <w:spacing w:after="0" w:line="263"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CUSIP No</w:t>
            </w:r>
          </w:p>
        </w:tc>
        <w:tc>
          <w:tcPr>
            <w:tcW w:w="2020" w:type="dxa"/>
            <w:vAlign w:val="bottom"/>
          </w:tcPr>
          <w:p>
            <w:pPr>
              <w:ind w:left="580"/>
              <w:spacing w:after="0"/>
              <w:rPr>
                <w:sz w:val="20"/>
                <w:szCs w:val="20"/>
                <w:color w:val="auto"/>
              </w:rPr>
            </w:pPr>
            <w:r>
              <w:rPr>
                <w:rFonts w:ascii="Arial" w:cs="Arial" w:eastAsia="Arial" w:hAnsi="Arial"/>
                <w:sz w:val="18"/>
                <w:szCs w:val="18"/>
                <w:color w:val="auto"/>
              </w:rPr>
              <w:t>87583X109</w:t>
            </w:r>
          </w:p>
        </w:tc>
      </w:tr>
      <w:tr>
        <w:trPr>
          <w:trHeight w:val="27"/>
        </w:trPr>
        <w:tc>
          <w:tcPr>
            <w:tcW w:w="16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1140" w:right="6800" w:hanging="1135"/>
        <w:spacing w:after="0" w:line="563"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 Casdin Capital, LLC</w:t>
      </w:r>
    </w:p>
    <w:p>
      <w:pPr>
        <w:ind w:left="1140" w:hanging="1135"/>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79" w:lineRule="exact"/>
        <w:rPr>
          <w:sz w:val="20"/>
          <w:szCs w:val="20"/>
          <w:color w:val="auto"/>
        </w:rPr>
      </w:pPr>
    </w:p>
    <w:p>
      <w:pPr>
        <w:ind w:left="1140" w:hanging="113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40" w:right="5820" w:hanging="1135"/>
        <w:spacing w:after="0" w:line="59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0" w:lineRule="exact"/>
        <w:rPr>
          <w:sz w:val="20"/>
          <w:szCs w:val="20"/>
          <w:color w:val="auto"/>
        </w:rPr>
      </w:pPr>
    </w:p>
    <w:p>
      <w:pPr>
        <w:spacing w:after="0" w:line="213" w:lineRule="exact"/>
        <w:rPr>
          <w:sz w:val="20"/>
          <w:szCs w:val="20"/>
          <w:color w:val="auto"/>
        </w:rPr>
      </w:pPr>
    </w:p>
    <w:p>
      <w:pPr>
        <w:ind w:left="1140" w:right="7620" w:hanging="1135"/>
        <w:spacing w:after="0" w:line="563"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1140" w:right="7360" w:hanging="1135"/>
        <w:spacing w:after="0" w:line="563"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5,487,910</w:t>
      </w:r>
    </w:p>
    <w:p>
      <w:pPr>
        <w:ind w:left="1140" w:right="7220" w:hanging="1135"/>
        <w:spacing w:after="0" w:line="563"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140" w:right="6960" w:hanging="1135"/>
        <w:spacing w:after="0" w:line="563"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5,487,910</w:t>
      </w:r>
    </w:p>
    <w:p>
      <w:pPr>
        <w:ind w:left="1140" w:right="2920" w:hanging="1135"/>
        <w:spacing w:after="0" w:line="54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5,487,910</w:t>
      </w:r>
    </w:p>
    <w:p>
      <w:pPr>
        <w:spacing w:after="0" w:line="1" w:lineRule="exact"/>
        <w:rPr>
          <w:rFonts w:ascii="Arial" w:cs="Arial" w:eastAsia="Arial" w:hAnsi="Arial"/>
          <w:sz w:val="18"/>
          <w:szCs w:val="18"/>
          <w:color w:val="auto"/>
        </w:rPr>
      </w:pPr>
    </w:p>
    <w:p>
      <w:pPr>
        <w:ind w:left="1140" w:right="1980" w:hanging="1135"/>
        <w:spacing w:after="0" w:line="258"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1"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[_]</w:t>
      </w:r>
    </w:p>
    <w:p>
      <w:pPr>
        <w:spacing w:after="0" w:line="22" w:lineRule="exact"/>
        <w:rPr>
          <w:sz w:val="20"/>
          <w:szCs w:val="20"/>
          <w:color w:val="auto"/>
        </w:rPr>
      </w:pPr>
    </w:p>
    <w:p>
      <w:pPr>
        <w:ind w:left="1140" w:right="4420" w:hanging="1135"/>
        <w:spacing w:after="0" w:line="563"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6.3%</w:t>
      </w:r>
    </w:p>
    <w:p>
      <w:pPr>
        <w:ind w:left="1140" w:right="5140" w:hanging="1135"/>
        <w:spacing w:after="0" w:line="52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151765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620"/>
          </w:cols>
          <w:pgMar w:left="420" w:top="1070"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CUSIP No</w:t>
            </w:r>
          </w:p>
        </w:tc>
        <w:tc>
          <w:tcPr>
            <w:tcW w:w="2020" w:type="dxa"/>
            <w:vAlign w:val="bottom"/>
          </w:tcPr>
          <w:p>
            <w:pPr>
              <w:ind w:left="580"/>
              <w:spacing w:after="0"/>
              <w:rPr>
                <w:sz w:val="20"/>
                <w:szCs w:val="20"/>
                <w:color w:val="auto"/>
              </w:rPr>
            </w:pPr>
            <w:r>
              <w:rPr>
                <w:rFonts w:ascii="Arial" w:cs="Arial" w:eastAsia="Arial" w:hAnsi="Arial"/>
                <w:sz w:val="18"/>
                <w:szCs w:val="18"/>
                <w:color w:val="auto"/>
              </w:rPr>
              <w:t>87583X109</w:t>
            </w:r>
          </w:p>
        </w:tc>
      </w:tr>
      <w:tr>
        <w:trPr>
          <w:trHeight w:val="27"/>
        </w:trPr>
        <w:tc>
          <w:tcPr>
            <w:tcW w:w="16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1140" w:right="6800" w:hanging="1135"/>
        <w:spacing w:after="0" w:line="633"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REPORTING PERSONS Casdin Partners Master Fund, L.P.</w:t>
      </w:r>
    </w:p>
    <w:p>
      <w:pPr>
        <w:spacing w:after="0" w:line="1" w:lineRule="exact"/>
        <w:rPr>
          <w:rFonts w:ascii="Arial" w:cs="Arial" w:eastAsia="Arial" w:hAnsi="Arial"/>
          <w:sz w:val="16"/>
          <w:szCs w:val="16"/>
          <w:color w:val="auto"/>
        </w:rPr>
      </w:pPr>
    </w:p>
    <w:p>
      <w:pPr>
        <w:ind w:left="1140" w:hanging="1135"/>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79" w:lineRule="exact"/>
        <w:rPr>
          <w:sz w:val="20"/>
          <w:szCs w:val="20"/>
          <w:color w:val="auto"/>
        </w:rPr>
      </w:pPr>
    </w:p>
    <w:p>
      <w:pPr>
        <w:ind w:left="1140" w:hanging="113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40" w:right="5820" w:hanging="1135"/>
        <w:spacing w:after="0" w:line="590"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0" w:lineRule="exact"/>
        <w:rPr>
          <w:sz w:val="20"/>
          <w:szCs w:val="20"/>
          <w:color w:val="auto"/>
        </w:rPr>
      </w:pPr>
    </w:p>
    <w:p>
      <w:pPr>
        <w:spacing w:after="0" w:line="213" w:lineRule="exact"/>
        <w:rPr>
          <w:sz w:val="20"/>
          <w:szCs w:val="20"/>
          <w:color w:val="auto"/>
        </w:rPr>
      </w:pPr>
    </w:p>
    <w:p>
      <w:pPr>
        <w:ind w:left="1140" w:right="7620" w:hanging="1135"/>
        <w:spacing w:after="0" w:line="563"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1140" w:right="7360" w:hanging="1135"/>
        <w:spacing w:after="0" w:line="563"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5,487,910</w:t>
      </w:r>
    </w:p>
    <w:p>
      <w:pPr>
        <w:ind w:left="1140" w:right="7220" w:hanging="1135"/>
        <w:spacing w:after="0" w:line="563"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140" w:right="6960" w:hanging="1135"/>
        <w:spacing w:after="0" w:line="563"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5,487,910</w:t>
      </w:r>
    </w:p>
    <w:p>
      <w:pPr>
        <w:ind w:left="1140" w:right="2920" w:hanging="1135"/>
        <w:spacing w:after="0" w:line="54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5,487,910</w:t>
      </w:r>
    </w:p>
    <w:p>
      <w:pPr>
        <w:spacing w:after="0" w:line="1" w:lineRule="exact"/>
        <w:rPr>
          <w:rFonts w:ascii="Arial" w:cs="Arial" w:eastAsia="Arial" w:hAnsi="Arial"/>
          <w:sz w:val="18"/>
          <w:szCs w:val="18"/>
          <w:color w:val="auto"/>
        </w:rPr>
      </w:pPr>
    </w:p>
    <w:p>
      <w:pPr>
        <w:ind w:left="1140" w:right="1980" w:hanging="1135"/>
        <w:spacing w:after="0" w:line="258"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1"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[_]</w:t>
      </w:r>
    </w:p>
    <w:p>
      <w:pPr>
        <w:spacing w:after="0" w:line="265" w:lineRule="exact"/>
        <w:rPr>
          <w:sz w:val="20"/>
          <w:szCs w:val="20"/>
          <w:color w:val="auto"/>
        </w:rPr>
      </w:pPr>
    </w:p>
    <w:p>
      <w:pPr>
        <w:ind w:left="1140" w:right="4420" w:hanging="1135"/>
        <w:spacing w:after="0" w:line="563"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6.3%</w:t>
      </w:r>
    </w:p>
    <w:p>
      <w:pPr>
        <w:ind w:left="1140" w:right="5140" w:hanging="1135"/>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288925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620"/>
          </w:cols>
          <w:pgMar w:left="420" w:top="1070" w:right="8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CUSIP No</w:t>
            </w:r>
          </w:p>
        </w:tc>
        <w:tc>
          <w:tcPr>
            <w:tcW w:w="2020" w:type="dxa"/>
            <w:vAlign w:val="bottom"/>
          </w:tcPr>
          <w:p>
            <w:pPr>
              <w:ind w:left="580"/>
              <w:spacing w:after="0"/>
              <w:rPr>
                <w:sz w:val="20"/>
                <w:szCs w:val="20"/>
                <w:color w:val="auto"/>
              </w:rPr>
            </w:pPr>
            <w:r>
              <w:rPr>
                <w:rFonts w:ascii="Arial" w:cs="Arial" w:eastAsia="Arial" w:hAnsi="Arial"/>
                <w:sz w:val="18"/>
                <w:szCs w:val="18"/>
                <w:color w:val="auto"/>
              </w:rPr>
              <w:t>87583X109</w:t>
            </w:r>
          </w:p>
        </w:tc>
      </w:tr>
      <w:tr>
        <w:trPr>
          <w:trHeight w:val="27"/>
        </w:trPr>
        <w:tc>
          <w:tcPr>
            <w:tcW w:w="16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1140" w:right="6800" w:hanging="1135"/>
        <w:spacing w:after="0" w:line="633" w:lineRule="auto"/>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NAME OF REPORTING PERSONS Casdin Partners GP, LLC</w:t>
      </w:r>
    </w:p>
    <w:p>
      <w:pPr>
        <w:spacing w:after="0" w:line="1" w:lineRule="exact"/>
        <w:rPr>
          <w:rFonts w:ascii="Arial" w:cs="Arial" w:eastAsia="Arial" w:hAnsi="Arial"/>
          <w:sz w:val="16"/>
          <w:szCs w:val="16"/>
          <w:color w:val="auto"/>
        </w:rPr>
      </w:pPr>
    </w:p>
    <w:p>
      <w:pPr>
        <w:ind w:left="1140" w:hanging="113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79" w:lineRule="exact"/>
        <w:rPr>
          <w:sz w:val="20"/>
          <w:szCs w:val="20"/>
          <w:color w:val="auto"/>
        </w:rPr>
      </w:pPr>
    </w:p>
    <w:p>
      <w:pPr>
        <w:ind w:left="1140" w:hanging="113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40" w:right="5820" w:hanging="1135"/>
        <w:spacing w:after="0" w:line="590"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0" w:lineRule="exact"/>
        <w:rPr>
          <w:sz w:val="20"/>
          <w:szCs w:val="20"/>
          <w:color w:val="auto"/>
        </w:rPr>
      </w:pPr>
    </w:p>
    <w:p>
      <w:pPr>
        <w:spacing w:after="0" w:line="213" w:lineRule="exact"/>
        <w:rPr>
          <w:sz w:val="20"/>
          <w:szCs w:val="20"/>
          <w:color w:val="auto"/>
        </w:rPr>
      </w:pPr>
    </w:p>
    <w:p>
      <w:pPr>
        <w:ind w:left="1140" w:right="7620" w:hanging="1135"/>
        <w:spacing w:after="0" w:line="563"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ind w:left="1140" w:right="7360" w:hanging="1135"/>
        <w:spacing w:after="0" w:line="563"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VOTING POWER 5,487,910</w:t>
      </w:r>
    </w:p>
    <w:p>
      <w:pPr>
        <w:ind w:left="1140" w:right="7220" w:hanging="1135"/>
        <w:spacing w:after="0" w:line="563"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140" w:right="6960" w:hanging="1135"/>
        <w:spacing w:after="0" w:line="563"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5,487,910</w:t>
      </w:r>
    </w:p>
    <w:p>
      <w:pPr>
        <w:ind w:left="1140" w:right="2920" w:hanging="1135"/>
        <w:spacing w:after="0" w:line="54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5,487,910</w:t>
      </w:r>
    </w:p>
    <w:p>
      <w:pPr>
        <w:spacing w:after="0" w:line="1" w:lineRule="exact"/>
        <w:rPr>
          <w:rFonts w:ascii="Arial" w:cs="Arial" w:eastAsia="Arial" w:hAnsi="Arial"/>
          <w:sz w:val="18"/>
          <w:szCs w:val="18"/>
          <w:color w:val="auto"/>
        </w:rPr>
      </w:pPr>
    </w:p>
    <w:p>
      <w:pPr>
        <w:ind w:left="1140" w:right="1980" w:hanging="1135"/>
        <w:spacing w:after="0" w:line="258"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1"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[_]</w:t>
      </w:r>
    </w:p>
    <w:p>
      <w:pPr>
        <w:spacing w:after="0" w:line="265" w:lineRule="exact"/>
        <w:rPr>
          <w:sz w:val="20"/>
          <w:szCs w:val="20"/>
          <w:color w:val="auto"/>
        </w:rPr>
      </w:pPr>
    </w:p>
    <w:p>
      <w:pPr>
        <w:ind w:left="1140" w:right="4420" w:hanging="1135"/>
        <w:spacing w:after="0" w:line="563"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6.3%</w:t>
      </w:r>
    </w:p>
    <w:p>
      <w:pPr>
        <w:ind w:left="1140" w:right="5140" w:hanging="1135"/>
        <w:spacing w:after="0" w:line="52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151765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620"/>
          </w:cols>
          <w:pgMar w:left="420" w:top="1070" w:right="8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CUSIP No</w:t>
            </w:r>
          </w:p>
        </w:tc>
        <w:tc>
          <w:tcPr>
            <w:tcW w:w="1900" w:type="dxa"/>
            <w:vAlign w:val="bottom"/>
          </w:tcPr>
          <w:p>
            <w:pPr>
              <w:ind w:left="520"/>
              <w:spacing w:after="0"/>
              <w:rPr>
                <w:sz w:val="20"/>
                <w:szCs w:val="20"/>
                <w:color w:val="auto"/>
              </w:rPr>
            </w:pPr>
            <w:r>
              <w:rPr>
                <w:rFonts w:ascii="Arial" w:cs="Arial" w:eastAsia="Arial" w:hAnsi="Arial"/>
                <w:sz w:val="18"/>
                <w:szCs w:val="18"/>
                <w:color w:val="auto"/>
              </w:rPr>
              <w:t>87583X109</w:t>
            </w:r>
          </w:p>
        </w:tc>
      </w:tr>
      <w:tr>
        <w:trPr>
          <w:trHeight w:val="27"/>
        </w:trPr>
        <w:tc>
          <w:tcPr>
            <w:tcW w:w="17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1140" w:right="6800" w:hanging="1135"/>
        <w:spacing w:after="0" w:line="563"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PERSONS Eli Casdin</w:t>
      </w:r>
    </w:p>
    <w:p>
      <w:pPr>
        <w:ind w:left="1140" w:hanging="113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79" w:lineRule="exact"/>
        <w:rPr>
          <w:sz w:val="20"/>
          <w:szCs w:val="20"/>
          <w:color w:val="auto"/>
        </w:rPr>
      </w:pPr>
    </w:p>
    <w:p>
      <w:pPr>
        <w:ind w:left="1140" w:hanging="113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40" w:right="5820" w:hanging="1135"/>
        <w:spacing w:after="0" w:line="590"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200" w:lineRule="exact"/>
        <w:rPr>
          <w:sz w:val="20"/>
          <w:szCs w:val="20"/>
          <w:color w:val="auto"/>
        </w:rPr>
      </w:pPr>
    </w:p>
    <w:p>
      <w:pPr>
        <w:spacing w:after="0" w:line="213" w:lineRule="exact"/>
        <w:rPr>
          <w:sz w:val="20"/>
          <w:szCs w:val="20"/>
          <w:color w:val="auto"/>
        </w:rPr>
      </w:pPr>
    </w:p>
    <w:p>
      <w:pPr>
        <w:ind w:left="1140" w:right="7620" w:hanging="1135"/>
        <w:spacing w:after="0" w:line="563"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VOTING POWER 0</w:t>
      </w:r>
    </w:p>
    <w:p>
      <w:pPr>
        <w:ind w:left="1140" w:right="7360" w:hanging="1135"/>
        <w:spacing w:after="0" w:line="563"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VOTING POWER 5,487,910</w:t>
      </w:r>
    </w:p>
    <w:p>
      <w:pPr>
        <w:ind w:left="1140" w:right="7220" w:hanging="1135"/>
        <w:spacing w:after="0" w:line="563"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140" w:right="6960" w:hanging="1135"/>
        <w:spacing w:after="0" w:line="563"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DISPOSITIVE POWER 5,487,910</w:t>
      </w:r>
    </w:p>
    <w:p>
      <w:pPr>
        <w:ind w:left="1140" w:right="2920" w:hanging="1135"/>
        <w:spacing w:after="0" w:line="54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5,487,910</w:t>
      </w:r>
    </w:p>
    <w:p>
      <w:pPr>
        <w:spacing w:after="0" w:line="1" w:lineRule="exact"/>
        <w:rPr>
          <w:rFonts w:ascii="Arial" w:cs="Arial" w:eastAsia="Arial" w:hAnsi="Arial"/>
          <w:sz w:val="18"/>
          <w:szCs w:val="18"/>
          <w:color w:val="auto"/>
        </w:rPr>
      </w:pPr>
    </w:p>
    <w:p>
      <w:pPr>
        <w:ind w:left="1140" w:right="1980" w:hanging="1135"/>
        <w:spacing w:after="0" w:line="258"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1"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[_]</w:t>
      </w:r>
    </w:p>
    <w:p>
      <w:pPr>
        <w:spacing w:after="0" w:line="265" w:lineRule="exact"/>
        <w:rPr>
          <w:sz w:val="20"/>
          <w:szCs w:val="20"/>
          <w:color w:val="auto"/>
        </w:rPr>
      </w:pPr>
    </w:p>
    <w:p>
      <w:pPr>
        <w:ind w:left="1140" w:right="4420" w:hanging="1135"/>
        <w:spacing w:after="0" w:line="563"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 6.3%</w:t>
      </w:r>
    </w:p>
    <w:p>
      <w:pPr>
        <w:ind w:left="1140" w:right="5140" w:hanging="1135"/>
        <w:spacing w:after="0" w:line="52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151765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620"/>
          </w:cols>
          <w:pgMar w:left="420" w:top="1070" w:right="8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060" w:type="dxa"/>
            <w:vAlign w:val="bottom"/>
          </w:tcPr>
          <w:p>
            <w:pPr>
              <w:ind w:left="100"/>
              <w:spacing w:after="0"/>
              <w:rPr>
                <w:sz w:val="20"/>
                <w:szCs w:val="20"/>
                <w:color w:val="auto"/>
              </w:rPr>
            </w:pPr>
            <w:r>
              <w:rPr>
                <w:rFonts w:ascii="Arial" w:cs="Arial" w:eastAsia="Arial" w:hAnsi="Arial"/>
                <w:sz w:val="18"/>
                <w:szCs w:val="18"/>
                <w:color w:val="auto"/>
              </w:rPr>
              <w:t>CUSIP No</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80" w:type="dxa"/>
            <w:vAlign w:val="bottom"/>
            <w:gridSpan w:val="2"/>
          </w:tcPr>
          <w:p>
            <w:pPr>
              <w:ind w:left="700"/>
              <w:spacing w:after="0"/>
              <w:rPr>
                <w:sz w:val="20"/>
                <w:szCs w:val="20"/>
                <w:color w:val="auto"/>
              </w:rPr>
            </w:pPr>
            <w:r>
              <w:rPr>
                <w:rFonts w:ascii="Arial" w:cs="Arial" w:eastAsia="Arial" w:hAnsi="Arial"/>
                <w:sz w:val="18"/>
                <w:szCs w:val="18"/>
                <w:color w:val="auto"/>
              </w:rPr>
              <w:t>87583X109</w:t>
            </w:r>
          </w:p>
        </w:tc>
        <w:tc>
          <w:tcPr>
            <w:tcW w:w="112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58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426"/>
        </w:trPr>
        <w:tc>
          <w:tcPr>
            <w:tcW w:w="1060" w:type="dxa"/>
            <w:vAlign w:val="bottom"/>
          </w:tcPr>
          <w:p>
            <w:pPr>
              <w:ind w:left="100"/>
              <w:spacing w:after="0"/>
              <w:rPr>
                <w:sz w:val="20"/>
                <w:szCs w:val="20"/>
                <w:color w:val="auto"/>
              </w:rPr>
            </w:pPr>
            <w:r>
              <w:rPr>
                <w:rFonts w:ascii="Arial" w:cs="Arial" w:eastAsia="Arial" w:hAnsi="Arial"/>
                <w:sz w:val="18"/>
                <w:szCs w:val="18"/>
                <w:color w:val="auto"/>
              </w:rPr>
              <w:t>Item 1.</w:t>
            </w:r>
          </w:p>
        </w:tc>
        <w:tc>
          <w:tcPr>
            <w:tcW w:w="640" w:type="dxa"/>
            <w:vAlign w:val="bottom"/>
          </w:tcPr>
          <w:p>
            <w:pPr>
              <w:ind w:left="180"/>
              <w:spacing w:after="0"/>
              <w:rPr>
                <w:sz w:val="20"/>
                <w:szCs w:val="20"/>
                <w:color w:val="auto"/>
              </w:rPr>
            </w:pPr>
            <w:r>
              <w:rPr>
                <w:rFonts w:ascii="Arial" w:cs="Arial" w:eastAsia="Arial" w:hAnsi="Arial"/>
                <w:sz w:val="18"/>
                <w:szCs w:val="18"/>
                <w:color w:val="auto"/>
              </w:rPr>
              <w:t>(a).</w:t>
            </w: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Name of Issuer:</w:t>
            </w:r>
          </w:p>
        </w:tc>
        <w:tc>
          <w:tcPr>
            <w:tcW w:w="1120" w:type="dxa"/>
            <w:vAlign w:val="bottom"/>
          </w:tcPr>
          <w:p>
            <w:pPr>
              <w:spacing w:after="0"/>
              <w:rPr>
                <w:sz w:val="24"/>
                <w:szCs w:val="24"/>
                <w:color w:val="auto"/>
              </w:rPr>
            </w:pPr>
          </w:p>
        </w:tc>
      </w:tr>
      <w:tr>
        <w:trPr>
          <w:trHeight w:val="486"/>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Tango Therapeutics, Inc.</w:t>
            </w:r>
          </w:p>
        </w:tc>
        <w:tc>
          <w:tcPr>
            <w:tcW w:w="1120" w:type="dxa"/>
            <w:vAlign w:val="bottom"/>
          </w:tcPr>
          <w:p>
            <w:pPr>
              <w:spacing w:after="0"/>
              <w:rPr>
                <w:sz w:val="24"/>
                <w:szCs w:val="24"/>
                <w:color w:val="auto"/>
              </w:rPr>
            </w:pPr>
          </w:p>
        </w:tc>
      </w:tr>
      <w:tr>
        <w:trPr>
          <w:trHeight w:val="27"/>
        </w:trPr>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20" w:type="dxa"/>
            <w:vAlign w:val="bottom"/>
            <w:tcBorders>
              <w:bottom w:val="single" w:sz="8" w:color="auto"/>
            </w:tcBorders>
            <w:gridSpan w:val="3"/>
          </w:tcPr>
          <w:p>
            <w:pPr>
              <w:spacing w:after="0"/>
              <w:rPr>
                <w:sz w:val="2"/>
                <w:szCs w:val="2"/>
                <w:color w:val="auto"/>
              </w:rPr>
            </w:pPr>
          </w:p>
        </w:tc>
        <w:tc>
          <w:tcPr>
            <w:tcW w:w="1120" w:type="dxa"/>
            <w:vAlign w:val="bottom"/>
          </w:tcPr>
          <w:p>
            <w:pPr>
              <w:spacing w:after="0"/>
              <w:rPr>
                <w:sz w:val="2"/>
                <w:szCs w:val="2"/>
                <w:color w:val="auto"/>
              </w:rPr>
            </w:pPr>
          </w:p>
        </w:tc>
      </w:tr>
      <w:tr>
        <w:trPr>
          <w:trHeight w:val="426"/>
        </w:trPr>
        <w:tc>
          <w:tcPr>
            <w:tcW w:w="10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(b).</w:t>
            </w: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Address of Issuer's Principal Executive Offices:</w:t>
            </w:r>
          </w:p>
        </w:tc>
        <w:tc>
          <w:tcPr>
            <w:tcW w:w="1120" w:type="dxa"/>
            <w:vAlign w:val="bottom"/>
          </w:tcPr>
          <w:p>
            <w:pPr>
              <w:spacing w:after="0"/>
              <w:rPr>
                <w:sz w:val="24"/>
                <w:szCs w:val="24"/>
                <w:color w:val="auto"/>
              </w:rPr>
            </w:pPr>
          </w:p>
        </w:tc>
      </w:tr>
      <w:tr>
        <w:trPr>
          <w:trHeight w:val="472"/>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100 Binney St., Suite 700</w:t>
            </w:r>
          </w:p>
        </w:tc>
        <w:tc>
          <w:tcPr>
            <w:tcW w:w="112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Cambridge, Massachusetts 02142</w:t>
            </w:r>
          </w:p>
        </w:tc>
        <w:tc>
          <w:tcPr>
            <w:tcW w:w="1120" w:type="dxa"/>
            <w:vAlign w:val="bottom"/>
          </w:tcPr>
          <w:p>
            <w:pPr>
              <w:spacing w:after="0"/>
              <w:rPr>
                <w:sz w:val="20"/>
                <w:szCs w:val="20"/>
                <w:color w:val="auto"/>
              </w:rPr>
            </w:pPr>
          </w:p>
        </w:tc>
      </w:tr>
      <w:tr>
        <w:trPr>
          <w:trHeight w:val="426"/>
        </w:trPr>
        <w:tc>
          <w:tcPr>
            <w:tcW w:w="1060" w:type="dxa"/>
            <w:vAlign w:val="bottom"/>
          </w:tcPr>
          <w:p>
            <w:pPr>
              <w:ind w:left="100"/>
              <w:spacing w:after="0"/>
              <w:rPr>
                <w:sz w:val="20"/>
                <w:szCs w:val="20"/>
                <w:color w:val="auto"/>
              </w:rPr>
            </w:pPr>
            <w:r>
              <w:rPr>
                <w:rFonts w:ascii="Arial" w:cs="Arial" w:eastAsia="Arial" w:hAnsi="Arial"/>
                <w:sz w:val="18"/>
                <w:szCs w:val="18"/>
                <w:color w:val="auto"/>
              </w:rPr>
              <w:t>Item 2.</w:t>
            </w:r>
          </w:p>
        </w:tc>
        <w:tc>
          <w:tcPr>
            <w:tcW w:w="640" w:type="dxa"/>
            <w:vAlign w:val="bottom"/>
          </w:tcPr>
          <w:p>
            <w:pPr>
              <w:ind w:left="180"/>
              <w:spacing w:after="0"/>
              <w:rPr>
                <w:sz w:val="20"/>
                <w:szCs w:val="20"/>
                <w:color w:val="auto"/>
              </w:rPr>
            </w:pPr>
            <w:r>
              <w:rPr>
                <w:rFonts w:ascii="Arial" w:cs="Arial" w:eastAsia="Arial" w:hAnsi="Arial"/>
                <w:sz w:val="18"/>
                <w:szCs w:val="18"/>
                <w:color w:val="auto"/>
              </w:rPr>
              <w:t>(a).</w:t>
            </w: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Name of Person Filing:</w:t>
            </w:r>
          </w:p>
        </w:tc>
        <w:tc>
          <w:tcPr>
            <w:tcW w:w="1120" w:type="dxa"/>
            <w:vAlign w:val="bottom"/>
          </w:tcPr>
          <w:p>
            <w:pPr>
              <w:spacing w:after="0"/>
              <w:rPr>
                <w:sz w:val="24"/>
                <w:szCs w:val="24"/>
                <w:color w:val="auto"/>
              </w:rPr>
            </w:pPr>
          </w:p>
        </w:tc>
      </w:tr>
      <w:tr>
        <w:trPr>
          <w:trHeight w:val="472"/>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Casdin Capital, LLC</w:t>
            </w:r>
          </w:p>
        </w:tc>
        <w:tc>
          <w:tcPr>
            <w:tcW w:w="112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Casdin Partners Master Fund, L.P.</w:t>
            </w:r>
          </w:p>
        </w:tc>
        <w:tc>
          <w:tcPr>
            <w:tcW w:w="112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Casdin Partners GP, LLC</w:t>
            </w:r>
          </w:p>
        </w:tc>
        <w:tc>
          <w:tcPr>
            <w:tcW w:w="112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Eli Casdin</w:t>
            </w:r>
          </w:p>
        </w:tc>
        <w:tc>
          <w:tcPr>
            <w:tcW w:w="1120" w:type="dxa"/>
            <w:vAlign w:val="bottom"/>
          </w:tcPr>
          <w:p>
            <w:pPr>
              <w:spacing w:after="0"/>
              <w:rPr>
                <w:sz w:val="20"/>
                <w:szCs w:val="20"/>
                <w:color w:val="auto"/>
              </w:rPr>
            </w:pPr>
          </w:p>
        </w:tc>
      </w:tr>
      <w:tr>
        <w:trPr>
          <w:trHeight w:val="426"/>
        </w:trPr>
        <w:tc>
          <w:tcPr>
            <w:tcW w:w="10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(b).</w:t>
            </w: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Address of Principal Business Office, or if None, Residence:</w:t>
            </w:r>
          </w:p>
        </w:tc>
        <w:tc>
          <w:tcPr>
            <w:tcW w:w="1120" w:type="dxa"/>
            <w:vAlign w:val="bottom"/>
          </w:tcPr>
          <w:p>
            <w:pPr>
              <w:spacing w:after="0"/>
              <w:rPr>
                <w:sz w:val="24"/>
                <w:szCs w:val="24"/>
                <w:color w:val="auto"/>
              </w:rPr>
            </w:pPr>
          </w:p>
        </w:tc>
      </w:tr>
      <w:tr>
        <w:trPr>
          <w:trHeight w:val="472"/>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Casdin Capital, LLC</w:t>
            </w:r>
          </w:p>
        </w:tc>
        <w:tc>
          <w:tcPr>
            <w:tcW w:w="112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1350 Avenue of the Americas, Suite 2600</w:t>
            </w:r>
          </w:p>
        </w:tc>
        <w:tc>
          <w:tcPr>
            <w:tcW w:w="112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New York, New York 10019</w:t>
            </w:r>
          </w:p>
        </w:tc>
        <w:tc>
          <w:tcPr>
            <w:tcW w:w="1120" w:type="dxa"/>
            <w:vAlign w:val="bottom"/>
          </w:tcPr>
          <w:p>
            <w:pPr>
              <w:spacing w:after="0"/>
              <w:rPr>
                <w:sz w:val="20"/>
                <w:szCs w:val="20"/>
                <w:color w:val="auto"/>
              </w:rPr>
            </w:pPr>
          </w:p>
        </w:tc>
      </w:tr>
      <w:tr>
        <w:trPr>
          <w:trHeight w:val="418"/>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Casdin Partners Master Fund, L.P.</w:t>
            </w:r>
          </w:p>
        </w:tc>
        <w:tc>
          <w:tcPr>
            <w:tcW w:w="112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1350 Avenue of the Americas, Suite 2600</w:t>
            </w:r>
          </w:p>
        </w:tc>
        <w:tc>
          <w:tcPr>
            <w:tcW w:w="112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New York, New York 10019</w:t>
            </w:r>
          </w:p>
        </w:tc>
        <w:tc>
          <w:tcPr>
            <w:tcW w:w="1120" w:type="dxa"/>
            <w:vAlign w:val="bottom"/>
          </w:tcPr>
          <w:p>
            <w:pPr>
              <w:spacing w:after="0"/>
              <w:rPr>
                <w:sz w:val="20"/>
                <w:szCs w:val="20"/>
                <w:color w:val="auto"/>
              </w:rPr>
            </w:pPr>
          </w:p>
        </w:tc>
      </w:tr>
      <w:tr>
        <w:trPr>
          <w:trHeight w:val="418"/>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Casdin Partners GP, LLC</w:t>
            </w:r>
          </w:p>
        </w:tc>
        <w:tc>
          <w:tcPr>
            <w:tcW w:w="112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1350 Avenue of the Americas, Suite 2600</w:t>
            </w:r>
          </w:p>
        </w:tc>
        <w:tc>
          <w:tcPr>
            <w:tcW w:w="112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New York, New York 10019</w:t>
            </w:r>
          </w:p>
        </w:tc>
        <w:tc>
          <w:tcPr>
            <w:tcW w:w="1120" w:type="dxa"/>
            <w:vAlign w:val="bottom"/>
          </w:tcPr>
          <w:p>
            <w:pPr>
              <w:spacing w:after="0"/>
              <w:rPr>
                <w:sz w:val="20"/>
                <w:szCs w:val="20"/>
                <w:color w:val="auto"/>
              </w:rPr>
            </w:pPr>
          </w:p>
        </w:tc>
      </w:tr>
      <w:tr>
        <w:trPr>
          <w:trHeight w:val="418"/>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Eli Casdin</w:t>
            </w:r>
          </w:p>
        </w:tc>
        <w:tc>
          <w:tcPr>
            <w:tcW w:w="112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1350 Avenue of the Americas, Suite 2600</w:t>
            </w:r>
          </w:p>
        </w:tc>
        <w:tc>
          <w:tcPr>
            <w:tcW w:w="112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New York, New York 10019</w:t>
            </w:r>
          </w:p>
        </w:tc>
        <w:tc>
          <w:tcPr>
            <w:tcW w:w="1120" w:type="dxa"/>
            <w:vAlign w:val="bottom"/>
          </w:tcPr>
          <w:p>
            <w:pPr>
              <w:spacing w:after="0"/>
              <w:rPr>
                <w:sz w:val="20"/>
                <w:szCs w:val="20"/>
                <w:color w:val="auto"/>
              </w:rPr>
            </w:pPr>
          </w:p>
        </w:tc>
      </w:tr>
      <w:tr>
        <w:trPr>
          <w:trHeight w:val="216"/>
        </w:trPr>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20" w:type="dxa"/>
            <w:vAlign w:val="bottom"/>
            <w:tcBorders>
              <w:bottom w:val="single" w:sz="8" w:color="auto"/>
            </w:tcBorders>
            <w:gridSpan w:val="3"/>
          </w:tcPr>
          <w:p>
            <w:pPr>
              <w:spacing w:after="0"/>
              <w:rPr>
                <w:sz w:val="18"/>
                <w:szCs w:val="18"/>
                <w:color w:val="auto"/>
              </w:rPr>
            </w:pPr>
          </w:p>
        </w:tc>
        <w:tc>
          <w:tcPr>
            <w:tcW w:w="1120" w:type="dxa"/>
            <w:vAlign w:val="bottom"/>
          </w:tcPr>
          <w:p>
            <w:pPr>
              <w:spacing w:after="0"/>
              <w:rPr>
                <w:sz w:val="18"/>
                <w:szCs w:val="18"/>
                <w:color w:val="auto"/>
              </w:rPr>
            </w:pPr>
          </w:p>
        </w:tc>
      </w:tr>
      <w:tr>
        <w:trPr>
          <w:trHeight w:val="426"/>
        </w:trPr>
        <w:tc>
          <w:tcPr>
            <w:tcW w:w="10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(c).</w:t>
            </w: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Citizenship:</w:t>
            </w:r>
          </w:p>
        </w:tc>
        <w:tc>
          <w:tcPr>
            <w:tcW w:w="1120" w:type="dxa"/>
            <w:vAlign w:val="bottom"/>
          </w:tcPr>
          <w:p>
            <w:pPr>
              <w:spacing w:after="0"/>
              <w:rPr>
                <w:sz w:val="24"/>
                <w:szCs w:val="24"/>
                <w:color w:val="auto"/>
              </w:rPr>
            </w:pPr>
          </w:p>
        </w:tc>
      </w:tr>
      <w:tr>
        <w:trPr>
          <w:trHeight w:val="472"/>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Casdin Capital, LLC - Delaware</w:t>
            </w:r>
          </w:p>
        </w:tc>
        <w:tc>
          <w:tcPr>
            <w:tcW w:w="112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Casdin Partners Master Fund, L.P. – Cayman Islands</w:t>
            </w:r>
          </w:p>
        </w:tc>
        <w:tc>
          <w:tcPr>
            <w:tcW w:w="112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Casdin Partners GP, LLC - Delaware</w:t>
            </w:r>
          </w:p>
        </w:tc>
        <w:tc>
          <w:tcPr>
            <w:tcW w:w="112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Eli Casdin– United States of America</w:t>
            </w:r>
          </w:p>
        </w:tc>
        <w:tc>
          <w:tcPr>
            <w:tcW w:w="1120" w:type="dxa"/>
            <w:vAlign w:val="bottom"/>
          </w:tcPr>
          <w:p>
            <w:pPr>
              <w:spacing w:after="0"/>
              <w:rPr>
                <w:sz w:val="20"/>
                <w:szCs w:val="20"/>
                <w:color w:val="auto"/>
              </w:rPr>
            </w:pPr>
          </w:p>
        </w:tc>
      </w:tr>
      <w:tr>
        <w:trPr>
          <w:trHeight w:val="425"/>
        </w:trPr>
        <w:tc>
          <w:tcPr>
            <w:tcW w:w="10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(d).</w:t>
            </w: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Title of Class of Securities:</w:t>
            </w:r>
          </w:p>
        </w:tc>
        <w:tc>
          <w:tcPr>
            <w:tcW w:w="1120" w:type="dxa"/>
            <w:vAlign w:val="bottom"/>
          </w:tcPr>
          <w:p>
            <w:pPr>
              <w:spacing w:after="0"/>
              <w:rPr>
                <w:sz w:val="24"/>
                <w:szCs w:val="24"/>
                <w:color w:val="auto"/>
              </w:rPr>
            </w:pPr>
          </w:p>
        </w:tc>
      </w:tr>
      <w:tr>
        <w:trPr>
          <w:trHeight w:val="486"/>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Common Stock, par value $0.001 per share</w:t>
            </w:r>
          </w:p>
        </w:tc>
        <w:tc>
          <w:tcPr>
            <w:tcW w:w="1120" w:type="dxa"/>
            <w:vAlign w:val="bottom"/>
          </w:tcPr>
          <w:p>
            <w:pPr>
              <w:spacing w:after="0"/>
              <w:rPr>
                <w:sz w:val="24"/>
                <w:szCs w:val="24"/>
                <w:color w:val="auto"/>
              </w:rPr>
            </w:pPr>
          </w:p>
        </w:tc>
      </w:tr>
      <w:tr>
        <w:trPr>
          <w:trHeight w:val="27"/>
        </w:trPr>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20" w:type="dxa"/>
            <w:vAlign w:val="bottom"/>
            <w:tcBorders>
              <w:bottom w:val="single" w:sz="8" w:color="auto"/>
            </w:tcBorders>
            <w:gridSpan w:val="3"/>
          </w:tcPr>
          <w:p>
            <w:pPr>
              <w:spacing w:after="0"/>
              <w:rPr>
                <w:sz w:val="2"/>
                <w:szCs w:val="2"/>
                <w:color w:val="auto"/>
              </w:rPr>
            </w:pPr>
          </w:p>
        </w:tc>
        <w:tc>
          <w:tcPr>
            <w:tcW w:w="1120" w:type="dxa"/>
            <w:vAlign w:val="bottom"/>
          </w:tcPr>
          <w:p>
            <w:pPr>
              <w:spacing w:after="0"/>
              <w:rPr>
                <w:sz w:val="2"/>
                <w:szCs w:val="2"/>
                <w:color w:val="auto"/>
              </w:rPr>
            </w:pPr>
          </w:p>
        </w:tc>
      </w:tr>
      <w:tr>
        <w:trPr>
          <w:trHeight w:val="425"/>
        </w:trPr>
        <w:tc>
          <w:tcPr>
            <w:tcW w:w="10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(e).</w:t>
            </w: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CUSIP Number:</w:t>
            </w:r>
          </w:p>
        </w:tc>
        <w:tc>
          <w:tcPr>
            <w:tcW w:w="1120" w:type="dxa"/>
            <w:vAlign w:val="bottom"/>
          </w:tcPr>
          <w:p>
            <w:pPr>
              <w:spacing w:after="0"/>
              <w:rPr>
                <w:sz w:val="24"/>
                <w:szCs w:val="24"/>
                <w:color w:val="auto"/>
              </w:rPr>
            </w:pPr>
          </w:p>
        </w:tc>
      </w:tr>
      <w:tr>
        <w:trPr>
          <w:trHeight w:val="486"/>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87583X109</w:t>
            </w:r>
          </w:p>
        </w:tc>
        <w:tc>
          <w:tcPr>
            <w:tcW w:w="1120" w:type="dxa"/>
            <w:vAlign w:val="bottom"/>
          </w:tcPr>
          <w:p>
            <w:pPr>
              <w:spacing w:after="0"/>
              <w:rPr>
                <w:sz w:val="24"/>
                <w:szCs w:val="24"/>
                <w:color w:val="auto"/>
              </w:rPr>
            </w:pPr>
          </w:p>
        </w:tc>
      </w:tr>
      <w:tr>
        <w:trPr>
          <w:trHeight w:val="27"/>
        </w:trPr>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473"/>
        </w:trPr>
        <w:tc>
          <w:tcPr>
            <w:tcW w:w="10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70" w:right="339" w:bottom="1440" w:gutter="0" w:footer="0" w:header="0"/>
        </w:sectPr>
      </w:pPr>
    </w:p>
    <w:bookmarkStart w:id="6" w:name="page7"/>
    <w:bookmarkEnd w:id="6"/>
    <w:p>
      <w:pPr>
        <w:spacing w:after="0"/>
        <w:tabs>
          <w:tab w:leader="none" w:pos="11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ss.240.13d-1(b) or 240.13d-2(b), or (c), check whether the person filing is a</w:t>
      </w:r>
    </w:p>
    <w:p>
      <w:pPr>
        <w:spacing w:after="0" w:line="225" w:lineRule="exact"/>
        <w:rPr>
          <w:sz w:val="20"/>
          <w:szCs w:val="20"/>
          <w:color w:val="auto"/>
        </w:rPr>
      </w:pPr>
    </w:p>
    <w:p>
      <w:pPr>
        <w:ind w:left="1940" w:hanging="801"/>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Exchange Act (15 U.S.C. 78c).</w:t>
      </w:r>
    </w:p>
    <w:p>
      <w:pPr>
        <w:spacing w:after="0" w:line="279" w:lineRule="exact"/>
        <w:rPr>
          <w:rFonts w:ascii="Arial" w:cs="Arial" w:eastAsia="Arial" w:hAnsi="Arial"/>
          <w:sz w:val="18"/>
          <w:szCs w:val="18"/>
          <w:color w:val="auto"/>
        </w:rPr>
      </w:pPr>
    </w:p>
    <w:p>
      <w:pPr>
        <w:ind w:left="1940" w:hanging="801"/>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Exchange Act (15 U.S.C. 78c).</w:t>
      </w:r>
    </w:p>
    <w:p>
      <w:pPr>
        <w:spacing w:after="0" w:line="279" w:lineRule="exact"/>
        <w:rPr>
          <w:rFonts w:ascii="Arial" w:cs="Arial" w:eastAsia="Arial" w:hAnsi="Arial"/>
          <w:sz w:val="18"/>
          <w:szCs w:val="18"/>
          <w:color w:val="auto"/>
        </w:rPr>
      </w:pPr>
    </w:p>
    <w:p>
      <w:pPr>
        <w:ind w:left="1940" w:hanging="801"/>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Exchange Act (15 U.S.C. 78c).</w:t>
      </w:r>
    </w:p>
    <w:p>
      <w:pPr>
        <w:spacing w:after="0" w:line="279" w:lineRule="exact"/>
        <w:rPr>
          <w:rFonts w:ascii="Arial" w:cs="Arial" w:eastAsia="Arial" w:hAnsi="Arial"/>
          <w:sz w:val="18"/>
          <w:szCs w:val="18"/>
          <w:color w:val="auto"/>
        </w:rPr>
      </w:pPr>
    </w:p>
    <w:p>
      <w:pPr>
        <w:ind w:left="1940" w:hanging="801"/>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 (15 U.S.C. 80a-8).</w:t>
      </w:r>
    </w:p>
    <w:p>
      <w:pPr>
        <w:spacing w:after="0" w:line="279" w:lineRule="exact"/>
        <w:rPr>
          <w:rFonts w:ascii="Arial" w:cs="Arial" w:eastAsia="Arial" w:hAnsi="Arial"/>
          <w:sz w:val="18"/>
          <w:szCs w:val="18"/>
          <w:color w:val="auto"/>
        </w:rPr>
      </w:pPr>
    </w:p>
    <w:p>
      <w:pPr>
        <w:ind w:left="1940" w:hanging="801"/>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 240.13d-1(b)(1)(ii)(E);</w:t>
      </w:r>
    </w:p>
    <w:p>
      <w:pPr>
        <w:spacing w:after="0" w:line="279" w:lineRule="exact"/>
        <w:rPr>
          <w:rFonts w:ascii="Arial" w:cs="Arial" w:eastAsia="Arial" w:hAnsi="Arial"/>
          <w:sz w:val="18"/>
          <w:szCs w:val="18"/>
          <w:color w:val="auto"/>
        </w:rPr>
      </w:pPr>
    </w:p>
    <w:p>
      <w:pPr>
        <w:ind w:left="1940" w:hanging="801"/>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 240.13d-1(b)(1)(ii)(F);</w:t>
      </w:r>
    </w:p>
    <w:p>
      <w:pPr>
        <w:spacing w:after="0" w:line="279" w:lineRule="exact"/>
        <w:rPr>
          <w:rFonts w:ascii="Arial" w:cs="Arial" w:eastAsia="Arial" w:hAnsi="Arial"/>
          <w:sz w:val="18"/>
          <w:szCs w:val="18"/>
          <w:color w:val="auto"/>
        </w:rPr>
      </w:pPr>
    </w:p>
    <w:p>
      <w:pPr>
        <w:ind w:left="1940" w:hanging="801"/>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79" w:lineRule="exact"/>
        <w:rPr>
          <w:rFonts w:ascii="Arial" w:cs="Arial" w:eastAsia="Arial" w:hAnsi="Arial"/>
          <w:sz w:val="18"/>
          <w:szCs w:val="18"/>
          <w:color w:val="auto"/>
        </w:rPr>
      </w:pPr>
    </w:p>
    <w:p>
      <w:pPr>
        <w:ind w:left="1940" w:hanging="801"/>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 as defined in Section 3(b) of the Federal Deposit Insurance Act (12 U.S.C.1813);</w:t>
      </w:r>
    </w:p>
    <w:p>
      <w:pPr>
        <w:spacing w:after="0" w:line="279" w:lineRule="exact"/>
        <w:rPr>
          <w:rFonts w:ascii="Arial" w:cs="Arial" w:eastAsia="Arial" w:hAnsi="Arial"/>
          <w:sz w:val="18"/>
          <w:szCs w:val="18"/>
          <w:color w:val="auto"/>
        </w:rPr>
      </w:pPr>
    </w:p>
    <w:p>
      <w:pPr>
        <w:ind w:left="2480" w:hanging="1341"/>
        <w:spacing w:after="0" w:line="277" w:lineRule="auto"/>
        <w:tabs>
          <w:tab w:leader="none" w:pos="1927" w:val="left"/>
        </w:tabs>
        <w:numPr>
          <w:ilvl w:val="0"/>
          <w:numId w:val="18"/>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940" w:hanging="801"/>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Group, in accordance with s.240.13d-1(b)(1)(ii)(J).</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140" w:right="360"/>
        <w:spacing w:after="0" w:line="277"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920" w:hanging="781"/>
        <w:spacing w:after="0"/>
        <w:tabs>
          <w:tab w:leader="none" w:pos="1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79"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5,487,910 shares deemed beneficially owned by Casdin Capital, LLC</w:t>
      </w:r>
    </w:p>
    <w:p>
      <w:pPr>
        <w:spacing w:after="0" w:line="23" w:lineRule="exact"/>
        <w:rPr>
          <w:rFonts w:ascii="Arial" w:cs="Arial" w:eastAsia="Arial" w:hAnsi="Arial"/>
          <w:sz w:val="18"/>
          <w:szCs w:val="18"/>
          <w:color w:val="auto"/>
        </w:rPr>
      </w:pPr>
    </w:p>
    <w:p>
      <w:pPr>
        <w:ind w:left="1920" w:right="3140"/>
        <w:spacing w:after="0" w:line="277" w:lineRule="auto"/>
        <w:rPr>
          <w:rFonts w:ascii="Arial" w:cs="Arial" w:eastAsia="Arial" w:hAnsi="Arial"/>
          <w:sz w:val="18"/>
          <w:szCs w:val="18"/>
          <w:color w:val="auto"/>
        </w:rPr>
      </w:pPr>
      <w:r>
        <w:rPr>
          <w:rFonts w:ascii="Arial" w:cs="Arial" w:eastAsia="Arial" w:hAnsi="Arial"/>
          <w:sz w:val="17"/>
          <w:szCs w:val="17"/>
          <w:color w:val="auto"/>
        </w:rPr>
        <w:t>5,487,910 shares deemed beneficially owned by Casdin Partners Master Fund, L.P. 5,487,910 shares deemed beneficially owned by Casdin Partners GP, LLC 5,487,910 shares deemed beneficially owned by Eli Casdin</w:t>
      </w:r>
    </w:p>
    <w:p>
      <w:pPr>
        <w:spacing w:after="0" w:line="186" w:lineRule="exact"/>
        <w:rPr>
          <w:rFonts w:ascii="Arial" w:cs="Arial" w:eastAsia="Arial" w:hAnsi="Arial"/>
          <w:sz w:val="18"/>
          <w:szCs w:val="18"/>
          <w:color w:val="auto"/>
        </w:rPr>
      </w:pPr>
    </w:p>
    <w:p>
      <w:pPr>
        <w:ind w:left="1920" w:hanging="781"/>
        <w:spacing w:after="0"/>
        <w:tabs>
          <w:tab w:leader="none" w:pos="1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79"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6.3% deemed beneficially owned by Casdin Capital, LLC</w:t>
      </w:r>
    </w:p>
    <w:p>
      <w:pPr>
        <w:spacing w:after="0" w:line="23"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6.3% deemed beneficially owned by Casdin Partners Master Fund, L.P.</w:t>
      </w:r>
    </w:p>
    <w:p>
      <w:pPr>
        <w:spacing w:after="0" w:line="9"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6.3% deemed beneficially owned by Casdin Partners GP, LLC</w:t>
      </w:r>
    </w:p>
    <w:p>
      <w:pPr>
        <w:spacing w:after="0" w:line="9"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6.3% deemed beneficially owned by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-996315</wp:posOffset>
            </wp:positionV>
            <wp:extent cx="59150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5715</wp:posOffset>
            </wp:positionV>
            <wp:extent cx="59150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306070</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040"/>
          </w:cols>
          <w:pgMar w:left="420" w:top="1286" w:right="439" w:bottom="1440" w:gutter="0" w:footer="0" w:header="0"/>
        </w:sectPr>
      </w:pPr>
    </w:p>
    <w:bookmarkStart w:id="7" w:name="page8"/>
    <w:bookmarkEnd w:id="7"/>
    <w:p>
      <w:pPr>
        <w:ind w:left="2020" w:hanging="781"/>
        <w:spacing w:after="0"/>
        <w:tabs>
          <w:tab w:leader="none" w:pos="2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Number of shares as to which Casdin Capital, LLC has: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(i)</w:t>
            </w:r>
          </w:p>
        </w:tc>
        <w:tc>
          <w:tcPr>
            <w:tcW w:w="6600" w:type="dxa"/>
            <w:vAlign w:val="bottom"/>
          </w:tcPr>
          <w:p>
            <w:pPr>
              <w:ind w:left="200"/>
              <w:spacing w:after="0"/>
              <w:rPr>
                <w:sz w:val="20"/>
                <w:szCs w:val="20"/>
                <w:color w:val="auto"/>
              </w:rPr>
            </w:pPr>
            <w:r>
              <w:rPr>
                <w:rFonts w:ascii="Arial" w:cs="Arial" w:eastAsia="Arial" w:hAnsi="Arial"/>
                <w:sz w:val="18"/>
                <w:szCs w:val="18"/>
                <w:color w:val="auto"/>
              </w:rPr>
              <w:t>Sole power to vote or to direct the vote</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36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(ii)</w:t>
            </w:r>
          </w:p>
        </w:tc>
        <w:tc>
          <w:tcPr>
            <w:tcW w:w="6600" w:type="dxa"/>
            <w:vAlign w:val="bottom"/>
          </w:tcPr>
          <w:p>
            <w:pPr>
              <w:ind w:left="200"/>
              <w:spacing w:after="0"/>
              <w:rPr>
                <w:sz w:val="20"/>
                <w:szCs w:val="20"/>
                <w:color w:val="auto"/>
              </w:rPr>
            </w:pPr>
            <w:r>
              <w:rPr>
                <w:rFonts w:ascii="Arial" w:cs="Arial" w:eastAsia="Arial" w:hAnsi="Arial"/>
                <w:sz w:val="18"/>
                <w:szCs w:val="18"/>
                <w:color w:val="auto"/>
              </w:rPr>
              <w:t>Shared power to vote or to direct the vote</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5,487,910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36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(iii)</w:t>
            </w:r>
          </w:p>
        </w:tc>
        <w:tc>
          <w:tcPr>
            <w:tcW w:w="6600" w:type="dxa"/>
            <w:vAlign w:val="bottom"/>
          </w:tcPr>
          <w:p>
            <w:pPr>
              <w:ind w:left="200"/>
              <w:spacing w:after="0"/>
              <w:rPr>
                <w:sz w:val="20"/>
                <w:szCs w:val="20"/>
                <w:color w:val="auto"/>
              </w:rPr>
            </w:pPr>
            <w:r>
              <w:rPr>
                <w:rFonts w:ascii="Arial" w:cs="Arial" w:eastAsia="Arial" w:hAnsi="Arial"/>
                <w:sz w:val="18"/>
                <w:szCs w:val="18"/>
                <w:color w:val="auto"/>
              </w:rPr>
              <w:t>Sole power to dispose or to direct the disposition of</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36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(iv)</w:t>
            </w:r>
          </w:p>
        </w:tc>
        <w:tc>
          <w:tcPr>
            <w:tcW w:w="6600" w:type="dxa"/>
            <w:vAlign w:val="bottom"/>
          </w:tcPr>
          <w:p>
            <w:pPr>
              <w:ind w:left="200"/>
              <w:spacing w:after="0"/>
              <w:rPr>
                <w:sz w:val="20"/>
                <w:szCs w:val="20"/>
                <w:color w:val="auto"/>
              </w:rPr>
            </w:pPr>
            <w:r>
              <w:rPr>
                <w:rFonts w:ascii="Arial" w:cs="Arial" w:eastAsia="Arial" w:hAnsi="Arial"/>
                <w:sz w:val="18"/>
                <w:szCs w:val="18"/>
                <w:color w:val="auto"/>
              </w:rPr>
              <w:t>Shared power to dispose or to direct the disposition of</w:t>
            </w:r>
          </w:p>
        </w:tc>
        <w:tc>
          <w:tcPr>
            <w:tcW w:w="2040" w:type="dxa"/>
            <w:vAlign w:val="bottom"/>
            <w:gridSpan w:val="2"/>
          </w:tcPr>
          <w:p>
            <w:pPr>
              <w:jc w:val="right"/>
              <w:ind w:right="10"/>
              <w:spacing w:after="0"/>
              <w:rPr>
                <w:sz w:val="20"/>
                <w:szCs w:val="20"/>
                <w:color w:val="auto"/>
              </w:rPr>
            </w:pPr>
            <w:r>
              <w:rPr>
                <w:rFonts w:ascii="Arial" w:cs="Arial" w:eastAsia="Arial" w:hAnsi="Arial"/>
                <w:sz w:val="18"/>
                <w:szCs w:val="18"/>
                <w:color w:val="auto"/>
              </w:rPr>
              <w:t>5,487,910  .</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7840" w:type="dxa"/>
            <w:vAlign w:val="bottom"/>
            <w:gridSpan w:val="2"/>
            <w:vMerge w:val="restart"/>
          </w:tcPr>
          <w:p>
            <w:pPr>
              <w:ind w:left="780"/>
              <w:spacing w:after="0"/>
              <w:rPr>
                <w:sz w:val="20"/>
                <w:szCs w:val="20"/>
                <w:color w:val="auto"/>
              </w:rPr>
            </w:pPr>
            <w:r>
              <w:rPr>
                <w:rFonts w:ascii="Arial" w:cs="Arial" w:eastAsia="Arial" w:hAnsi="Arial"/>
                <w:sz w:val="18"/>
                <w:szCs w:val="18"/>
                <w:color w:val="auto"/>
              </w:rPr>
              <w:t>Number of shares as to which Casdin Partners Master Fund, L.P. has:</w:t>
            </w:r>
          </w:p>
        </w:tc>
        <w:tc>
          <w:tcPr>
            <w:tcW w:w="1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1360" w:type="dxa"/>
            <w:vAlign w:val="bottom"/>
          </w:tcPr>
          <w:p>
            <w:pPr>
              <w:spacing w:after="0"/>
              <w:rPr>
                <w:sz w:val="24"/>
                <w:szCs w:val="24"/>
                <w:color w:val="auto"/>
              </w:rPr>
            </w:pPr>
          </w:p>
        </w:tc>
        <w:tc>
          <w:tcPr>
            <w:tcW w:w="784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6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(i)</w:t>
            </w:r>
          </w:p>
        </w:tc>
        <w:tc>
          <w:tcPr>
            <w:tcW w:w="6600" w:type="dxa"/>
            <w:vAlign w:val="bottom"/>
          </w:tcPr>
          <w:p>
            <w:pPr>
              <w:ind w:left="200"/>
              <w:spacing w:after="0"/>
              <w:rPr>
                <w:sz w:val="20"/>
                <w:szCs w:val="20"/>
                <w:color w:val="auto"/>
              </w:rPr>
            </w:pPr>
            <w:r>
              <w:rPr>
                <w:rFonts w:ascii="Arial" w:cs="Arial" w:eastAsia="Arial" w:hAnsi="Arial"/>
                <w:sz w:val="18"/>
                <w:szCs w:val="18"/>
                <w:color w:val="auto"/>
              </w:rPr>
              <w:t>Sole power to vote or to direct the vote</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36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(ii)</w:t>
            </w:r>
          </w:p>
        </w:tc>
        <w:tc>
          <w:tcPr>
            <w:tcW w:w="6600" w:type="dxa"/>
            <w:vAlign w:val="bottom"/>
          </w:tcPr>
          <w:p>
            <w:pPr>
              <w:ind w:left="200"/>
              <w:spacing w:after="0"/>
              <w:rPr>
                <w:sz w:val="20"/>
                <w:szCs w:val="20"/>
                <w:color w:val="auto"/>
              </w:rPr>
            </w:pPr>
            <w:r>
              <w:rPr>
                <w:rFonts w:ascii="Arial" w:cs="Arial" w:eastAsia="Arial" w:hAnsi="Arial"/>
                <w:sz w:val="18"/>
                <w:szCs w:val="18"/>
                <w:color w:val="auto"/>
              </w:rPr>
              <w:t>Shared power to vote or to direct the vote</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5,487,910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36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(iii)</w:t>
            </w:r>
          </w:p>
        </w:tc>
        <w:tc>
          <w:tcPr>
            <w:tcW w:w="6600" w:type="dxa"/>
            <w:vAlign w:val="bottom"/>
          </w:tcPr>
          <w:p>
            <w:pPr>
              <w:ind w:left="200"/>
              <w:spacing w:after="0"/>
              <w:rPr>
                <w:sz w:val="20"/>
                <w:szCs w:val="20"/>
                <w:color w:val="auto"/>
              </w:rPr>
            </w:pPr>
            <w:r>
              <w:rPr>
                <w:rFonts w:ascii="Arial" w:cs="Arial" w:eastAsia="Arial" w:hAnsi="Arial"/>
                <w:sz w:val="18"/>
                <w:szCs w:val="18"/>
                <w:color w:val="auto"/>
              </w:rPr>
              <w:t>Sole power to dispose or to direct the disposition of</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36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(iv)</w:t>
            </w:r>
          </w:p>
        </w:tc>
        <w:tc>
          <w:tcPr>
            <w:tcW w:w="6600" w:type="dxa"/>
            <w:vAlign w:val="bottom"/>
          </w:tcPr>
          <w:p>
            <w:pPr>
              <w:ind w:left="200"/>
              <w:spacing w:after="0"/>
              <w:rPr>
                <w:sz w:val="20"/>
                <w:szCs w:val="20"/>
                <w:color w:val="auto"/>
              </w:rPr>
            </w:pPr>
            <w:r>
              <w:rPr>
                <w:rFonts w:ascii="Arial" w:cs="Arial" w:eastAsia="Arial" w:hAnsi="Arial"/>
                <w:sz w:val="18"/>
                <w:szCs w:val="18"/>
                <w:color w:val="auto"/>
              </w:rPr>
              <w:t>Shared power to dispose or to direct the disposition of</w:t>
            </w:r>
          </w:p>
        </w:tc>
        <w:tc>
          <w:tcPr>
            <w:tcW w:w="2040" w:type="dxa"/>
            <w:vAlign w:val="bottom"/>
            <w:gridSpan w:val="2"/>
          </w:tcPr>
          <w:p>
            <w:pPr>
              <w:jc w:val="right"/>
              <w:ind w:right="10"/>
              <w:spacing w:after="0"/>
              <w:rPr>
                <w:sz w:val="20"/>
                <w:szCs w:val="20"/>
                <w:color w:val="auto"/>
              </w:rPr>
            </w:pPr>
            <w:r>
              <w:rPr>
                <w:rFonts w:ascii="Arial" w:cs="Arial" w:eastAsia="Arial" w:hAnsi="Arial"/>
                <w:sz w:val="18"/>
                <w:szCs w:val="18"/>
                <w:color w:val="auto"/>
              </w:rPr>
              <w:t>5,487,910  .</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7840" w:type="dxa"/>
            <w:vAlign w:val="bottom"/>
            <w:gridSpan w:val="2"/>
            <w:vMerge w:val="restart"/>
          </w:tcPr>
          <w:p>
            <w:pPr>
              <w:ind w:left="780"/>
              <w:spacing w:after="0"/>
              <w:rPr>
                <w:sz w:val="20"/>
                <w:szCs w:val="20"/>
                <w:color w:val="auto"/>
              </w:rPr>
            </w:pPr>
            <w:r>
              <w:rPr>
                <w:rFonts w:ascii="Arial" w:cs="Arial" w:eastAsia="Arial" w:hAnsi="Arial"/>
                <w:sz w:val="18"/>
                <w:szCs w:val="18"/>
                <w:color w:val="auto"/>
              </w:rPr>
              <w:t>Number of shares as to which Casdin Partners GP, LLC has:</w:t>
            </w:r>
          </w:p>
        </w:tc>
        <w:tc>
          <w:tcPr>
            <w:tcW w:w="1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1360" w:type="dxa"/>
            <w:vAlign w:val="bottom"/>
          </w:tcPr>
          <w:p>
            <w:pPr>
              <w:spacing w:after="0"/>
              <w:rPr>
                <w:sz w:val="24"/>
                <w:szCs w:val="24"/>
                <w:color w:val="auto"/>
              </w:rPr>
            </w:pPr>
          </w:p>
        </w:tc>
        <w:tc>
          <w:tcPr>
            <w:tcW w:w="784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6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(i)</w:t>
            </w:r>
          </w:p>
        </w:tc>
        <w:tc>
          <w:tcPr>
            <w:tcW w:w="6600" w:type="dxa"/>
            <w:vAlign w:val="bottom"/>
          </w:tcPr>
          <w:p>
            <w:pPr>
              <w:ind w:left="200"/>
              <w:spacing w:after="0"/>
              <w:rPr>
                <w:sz w:val="20"/>
                <w:szCs w:val="20"/>
                <w:color w:val="auto"/>
              </w:rPr>
            </w:pPr>
            <w:r>
              <w:rPr>
                <w:rFonts w:ascii="Arial" w:cs="Arial" w:eastAsia="Arial" w:hAnsi="Arial"/>
                <w:sz w:val="18"/>
                <w:szCs w:val="18"/>
                <w:color w:val="auto"/>
              </w:rPr>
              <w:t>Sole power to vote or to direct the vote</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36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(ii)</w:t>
            </w:r>
          </w:p>
        </w:tc>
        <w:tc>
          <w:tcPr>
            <w:tcW w:w="6600" w:type="dxa"/>
            <w:vAlign w:val="bottom"/>
          </w:tcPr>
          <w:p>
            <w:pPr>
              <w:ind w:left="200"/>
              <w:spacing w:after="0"/>
              <w:rPr>
                <w:sz w:val="20"/>
                <w:szCs w:val="20"/>
                <w:color w:val="auto"/>
              </w:rPr>
            </w:pPr>
            <w:r>
              <w:rPr>
                <w:rFonts w:ascii="Arial" w:cs="Arial" w:eastAsia="Arial" w:hAnsi="Arial"/>
                <w:sz w:val="18"/>
                <w:szCs w:val="18"/>
                <w:color w:val="auto"/>
              </w:rPr>
              <w:t>Shared power to vote or to direct the vote</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5,487,910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36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(iii)</w:t>
            </w:r>
          </w:p>
        </w:tc>
        <w:tc>
          <w:tcPr>
            <w:tcW w:w="6600" w:type="dxa"/>
            <w:vAlign w:val="bottom"/>
          </w:tcPr>
          <w:p>
            <w:pPr>
              <w:ind w:left="200"/>
              <w:spacing w:after="0"/>
              <w:rPr>
                <w:sz w:val="20"/>
                <w:szCs w:val="20"/>
                <w:color w:val="auto"/>
              </w:rPr>
            </w:pPr>
            <w:r>
              <w:rPr>
                <w:rFonts w:ascii="Arial" w:cs="Arial" w:eastAsia="Arial" w:hAnsi="Arial"/>
                <w:sz w:val="18"/>
                <w:szCs w:val="18"/>
                <w:color w:val="auto"/>
              </w:rPr>
              <w:t>Sole power to dispose or to direct the disposition of</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36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(iv)</w:t>
            </w:r>
          </w:p>
        </w:tc>
        <w:tc>
          <w:tcPr>
            <w:tcW w:w="6600" w:type="dxa"/>
            <w:vAlign w:val="bottom"/>
          </w:tcPr>
          <w:p>
            <w:pPr>
              <w:ind w:left="200"/>
              <w:spacing w:after="0"/>
              <w:rPr>
                <w:sz w:val="20"/>
                <w:szCs w:val="20"/>
                <w:color w:val="auto"/>
              </w:rPr>
            </w:pPr>
            <w:r>
              <w:rPr>
                <w:rFonts w:ascii="Arial" w:cs="Arial" w:eastAsia="Arial" w:hAnsi="Arial"/>
                <w:sz w:val="18"/>
                <w:szCs w:val="18"/>
                <w:color w:val="auto"/>
              </w:rPr>
              <w:t>Shared power to dispose or to direct the disposition of</w:t>
            </w:r>
          </w:p>
        </w:tc>
        <w:tc>
          <w:tcPr>
            <w:tcW w:w="2040" w:type="dxa"/>
            <w:vAlign w:val="bottom"/>
            <w:gridSpan w:val="2"/>
          </w:tcPr>
          <w:p>
            <w:pPr>
              <w:jc w:val="right"/>
              <w:ind w:right="10"/>
              <w:spacing w:after="0"/>
              <w:rPr>
                <w:sz w:val="20"/>
                <w:szCs w:val="20"/>
                <w:color w:val="auto"/>
              </w:rPr>
            </w:pPr>
            <w:r>
              <w:rPr>
                <w:rFonts w:ascii="Arial" w:cs="Arial" w:eastAsia="Arial" w:hAnsi="Arial"/>
                <w:sz w:val="18"/>
                <w:szCs w:val="18"/>
                <w:color w:val="auto"/>
              </w:rPr>
              <w:t>5,487,910  .</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7840" w:type="dxa"/>
            <w:vAlign w:val="bottom"/>
            <w:gridSpan w:val="2"/>
            <w:vMerge w:val="restart"/>
          </w:tcPr>
          <w:p>
            <w:pPr>
              <w:ind w:left="780"/>
              <w:spacing w:after="0"/>
              <w:rPr>
                <w:sz w:val="20"/>
                <w:szCs w:val="20"/>
                <w:color w:val="auto"/>
              </w:rPr>
            </w:pPr>
            <w:r>
              <w:rPr>
                <w:rFonts w:ascii="Arial" w:cs="Arial" w:eastAsia="Arial" w:hAnsi="Arial"/>
                <w:sz w:val="18"/>
                <w:szCs w:val="18"/>
                <w:color w:val="auto"/>
              </w:rPr>
              <w:t>Number of shares as to which Eli Casdin has:</w:t>
            </w:r>
          </w:p>
        </w:tc>
        <w:tc>
          <w:tcPr>
            <w:tcW w:w="1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1360" w:type="dxa"/>
            <w:vAlign w:val="bottom"/>
          </w:tcPr>
          <w:p>
            <w:pPr>
              <w:spacing w:after="0"/>
              <w:rPr>
                <w:sz w:val="24"/>
                <w:szCs w:val="24"/>
                <w:color w:val="auto"/>
              </w:rPr>
            </w:pPr>
          </w:p>
        </w:tc>
        <w:tc>
          <w:tcPr>
            <w:tcW w:w="784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6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(i)</w:t>
            </w:r>
          </w:p>
        </w:tc>
        <w:tc>
          <w:tcPr>
            <w:tcW w:w="6600" w:type="dxa"/>
            <w:vAlign w:val="bottom"/>
          </w:tcPr>
          <w:p>
            <w:pPr>
              <w:ind w:left="200"/>
              <w:spacing w:after="0"/>
              <w:rPr>
                <w:sz w:val="20"/>
                <w:szCs w:val="20"/>
                <w:color w:val="auto"/>
              </w:rPr>
            </w:pPr>
            <w:r>
              <w:rPr>
                <w:rFonts w:ascii="Arial" w:cs="Arial" w:eastAsia="Arial" w:hAnsi="Arial"/>
                <w:sz w:val="18"/>
                <w:szCs w:val="18"/>
                <w:color w:val="auto"/>
              </w:rPr>
              <w:t>Sole power to vote or to direct the vote</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36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(ii)</w:t>
            </w:r>
          </w:p>
        </w:tc>
        <w:tc>
          <w:tcPr>
            <w:tcW w:w="6600" w:type="dxa"/>
            <w:vAlign w:val="bottom"/>
          </w:tcPr>
          <w:p>
            <w:pPr>
              <w:ind w:left="200"/>
              <w:spacing w:after="0"/>
              <w:rPr>
                <w:sz w:val="20"/>
                <w:szCs w:val="20"/>
                <w:color w:val="auto"/>
              </w:rPr>
            </w:pPr>
            <w:r>
              <w:rPr>
                <w:rFonts w:ascii="Arial" w:cs="Arial" w:eastAsia="Arial" w:hAnsi="Arial"/>
                <w:sz w:val="18"/>
                <w:szCs w:val="18"/>
                <w:color w:val="auto"/>
              </w:rPr>
              <w:t>Shared power to vote or to direct the vote</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5,487,910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36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(iii)</w:t>
            </w:r>
          </w:p>
        </w:tc>
        <w:tc>
          <w:tcPr>
            <w:tcW w:w="6600" w:type="dxa"/>
            <w:vAlign w:val="bottom"/>
          </w:tcPr>
          <w:p>
            <w:pPr>
              <w:ind w:left="200"/>
              <w:spacing w:after="0"/>
              <w:rPr>
                <w:sz w:val="20"/>
                <w:szCs w:val="20"/>
                <w:color w:val="auto"/>
              </w:rPr>
            </w:pPr>
            <w:r>
              <w:rPr>
                <w:rFonts w:ascii="Arial" w:cs="Arial" w:eastAsia="Arial" w:hAnsi="Arial"/>
                <w:sz w:val="18"/>
                <w:szCs w:val="18"/>
                <w:color w:val="auto"/>
              </w:rPr>
              <w:t>Sole power to dispose or to direct the disposition of</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36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(iv)</w:t>
            </w:r>
          </w:p>
        </w:tc>
        <w:tc>
          <w:tcPr>
            <w:tcW w:w="6600" w:type="dxa"/>
            <w:vAlign w:val="bottom"/>
          </w:tcPr>
          <w:p>
            <w:pPr>
              <w:ind w:left="200"/>
              <w:spacing w:after="0"/>
              <w:rPr>
                <w:sz w:val="20"/>
                <w:szCs w:val="20"/>
                <w:color w:val="auto"/>
              </w:rPr>
            </w:pPr>
            <w:r>
              <w:rPr>
                <w:rFonts w:ascii="Arial" w:cs="Arial" w:eastAsia="Arial" w:hAnsi="Arial"/>
                <w:sz w:val="18"/>
                <w:szCs w:val="18"/>
                <w:color w:val="auto"/>
              </w:rPr>
              <w:t>Shared power to dispose or to direct the disposition of</w:t>
            </w:r>
          </w:p>
        </w:tc>
        <w:tc>
          <w:tcPr>
            <w:tcW w:w="2040" w:type="dxa"/>
            <w:vAlign w:val="bottom"/>
            <w:gridSpan w:val="2"/>
          </w:tcPr>
          <w:p>
            <w:pPr>
              <w:jc w:val="right"/>
              <w:ind w:right="10"/>
              <w:spacing w:after="0"/>
              <w:rPr>
                <w:sz w:val="20"/>
                <w:szCs w:val="20"/>
                <w:color w:val="auto"/>
              </w:rPr>
            </w:pPr>
            <w:r>
              <w:rPr>
                <w:rFonts w:ascii="Arial" w:cs="Arial" w:eastAsia="Arial" w:hAnsi="Arial"/>
                <w:sz w:val="18"/>
                <w:szCs w:val="18"/>
                <w:color w:val="auto"/>
              </w:rPr>
              <w:t>5,487,910  .</w:t>
            </w:r>
          </w:p>
        </w:tc>
        <w:tc>
          <w:tcPr>
            <w:tcW w:w="0" w:type="dxa"/>
            <w:vAlign w:val="bottom"/>
          </w:tcPr>
          <w:p>
            <w:pPr>
              <w:spacing w:after="0"/>
              <w:rPr>
                <w:sz w:val="1"/>
                <w:szCs w:val="1"/>
                <w:color w:val="auto"/>
              </w:rPr>
            </w:pPr>
          </w:p>
        </w:tc>
      </w:tr>
      <w:tr>
        <w:trPr>
          <w:trHeight w:val="27"/>
        </w:trPr>
        <w:tc>
          <w:tcPr>
            <w:tcW w:w="1360" w:type="dxa"/>
            <w:vAlign w:val="bottom"/>
            <w:vMerge w:val="restart"/>
          </w:tcPr>
          <w:p>
            <w:pPr>
              <w:ind w:left="100"/>
              <w:spacing w:after="0"/>
              <w:rPr>
                <w:sz w:val="20"/>
                <w:szCs w:val="20"/>
                <w:color w:val="auto"/>
              </w:rPr>
            </w:pPr>
            <w:r>
              <w:rPr>
                <w:rFonts w:ascii="Arial" w:cs="Arial" w:eastAsia="Arial" w:hAnsi="Arial"/>
                <w:sz w:val="18"/>
                <w:szCs w:val="18"/>
                <w:color w:val="auto"/>
              </w:rPr>
              <w:t>Item 5.</w:t>
            </w:r>
          </w:p>
        </w:tc>
        <w:tc>
          <w:tcPr>
            <w:tcW w:w="7840" w:type="dxa"/>
            <w:vAlign w:val="bottom"/>
            <w:gridSpan w:val="2"/>
            <w:vMerge w:val="restart"/>
          </w:tcPr>
          <w:p>
            <w:pPr>
              <w:ind w:left="100"/>
              <w:spacing w:after="0"/>
              <w:rPr>
                <w:sz w:val="20"/>
                <w:szCs w:val="20"/>
                <w:color w:val="auto"/>
              </w:rPr>
            </w:pPr>
            <w:r>
              <w:rPr>
                <w:rFonts w:ascii="Arial" w:cs="Arial" w:eastAsia="Arial" w:hAnsi="Arial"/>
                <w:sz w:val="18"/>
                <w:szCs w:val="18"/>
                <w:color w:val="auto"/>
              </w:rPr>
              <w:t>Ownership of Five Percent or Less of a Class.</w:t>
            </w:r>
          </w:p>
        </w:tc>
        <w:tc>
          <w:tcPr>
            <w:tcW w:w="1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1360" w:type="dxa"/>
            <w:vAlign w:val="bottom"/>
            <w:vMerge w:val="continue"/>
          </w:tcPr>
          <w:p>
            <w:pPr>
              <w:spacing w:after="0"/>
              <w:rPr>
                <w:sz w:val="24"/>
                <w:szCs w:val="24"/>
                <w:color w:val="auto"/>
              </w:rPr>
            </w:pPr>
          </w:p>
        </w:tc>
        <w:tc>
          <w:tcPr>
            <w:tcW w:w="784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360" w:type="dxa"/>
            <w:vAlign w:val="bottom"/>
          </w:tcPr>
          <w:p>
            <w:pPr>
              <w:spacing w:after="0"/>
              <w:rPr>
                <w:sz w:val="24"/>
                <w:szCs w:val="24"/>
                <w:color w:val="auto"/>
              </w:rPr>
            </w:pPr>
          </w:p>
        </w:tc>
        <w:tc>
          <w:tcPr>
            <w:tcW w:w="9880" w:type="dxa"/>
            <w:vAlign w:val="bottom"/>
            <w:gridSpan w:val="4"/>
          </w:tcPr>
          <w:p>
            <w:pPr>
              <w:ind w:left="100"/>
              <w:spacing w:after="0"/>
              <w:rPr>
                <w:sz w:val="20"/>
                <w:szCs w:val="20"/>
                <w:color w:val="auto"/>
              </w:rPr>
            </w:pPr>
            <w:r>
              <w:rPr>
                <w:rFonts w:ascii="Arial" w:cs="Arial" w:eastAsia="Arial" w:hAnsi="Arial"/>
                <w:sz w:val="18"/>
                <w:szCs w:val="18"/>
                <w:color w:val="auto"/>
                <w:w w:val="91"/>
              </w:rPr>
              <w:t>If this statement is being filed to report the fact that as of the date hereof the reporting person has ceased to be the beneficial owner of</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more than five percent of the class of securities, check the following [_].</w:t>
            </w: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6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03"/>
        </w:trPr>
        <w:tc>
          <w:tcPr>
            <w:tcW w:w="1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86" w:right="339" w:bottom="1440" w:gutter="0" w:footer="0" w:header="0"/>
        </w:sectPr>
      </w:pPr>
    </w:p>
    <w:bookmarkStart w:id="8" w:name="page9"/>
    <w:bookmarkEnd w:id="8"/>
    <w:p>
      <w:pPr>
        <w:ind w:left="100"/>
        <w:spacing w:after="0"/>
        <w:tabs>
          <w:tab w:leader="none" w:pos="15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Ownqership of More Than Five Percent on Behalf of Another Person.</w:t>
      </w:r>
    </w:p>
    <w:p>
      <w:pPr>
        <w:spacing w:after="0" w:line="225" w:lineRule="exact"/>
        <w:rPr>
          <w:sz w:val="20"/>
          <w:szCs w:val="20"/>
          <w:color w:val="auto"/>
        </w:rPr>
      </w:pPr>
    </w:p>
    <w:p>
      <w:pPr>
        <w:jc w:val="both"/>
        <w:ind w:left="1580"/>
        <w:spacing w:after="0" w:line="257"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31750</wp:posOffset>
            </wp:positionV>
            <wp:extent cx="6197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25" w:lineRule="exact"/>
        <w:rPr>
          <w:sz w:val="20"/>
          <w:szCs w:val="20"/>
          <w:color w:val="auto"/>
        </w:rPr>
      </w:pPr>
    </w:p>
    <w:p>
      <w:pPr>
        <w:jc w:val="both"/>
        <w:ind w:left="1580"/>
        <w:spacing w:after="0" w:line="286" w:lineRule="auto"/>
        <w:rPr>
          <w:sz w:val="20"/>
          <w:szCs w:val="20"/>
          <w:color w:val="auto"/>
        </w:rPr>
      </w:pPr>
      <w:r>
        <w:rPr>
          <w:rFonts w:ascii="Arial" w:cs="Arial" w:eastAsia="Arial" w:hAnsi="Arial"/>
          <w:sz w:val="17"/>
          <w:szCs w:val="17"/>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6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31750</wp:posOffset>
            </wp:positionV>
            <wp:extent cx="6197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Identification and Classification of Members of the Group.</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Item 8.</w:t>
      </w:r>
    </w:p>
    <w:p>
      <w:pPr>
        <w:spacing w:after="0" w:line="211" w:lineRule="exact"/>
        <w:rPr>
          <w:sz w:val="20"/>
          <w:szCs w:val="20"/>
          <w:color w:val="auto"/>
        </w:rPr>
      </w:pPr>
    </w:p>
    <w:p>
      <w:pPr>
        <w:jc w:val="both"/>
        <w:ind w:left="1580" w:hanging="7"/>
        <w:spacing w:after="0" w:line="263"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84"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31750</wp:posOffset>
            </wp:positionV>
            <wp:extent cx="61976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jc w:val="both"/>
        <w:ind w:left="1580" w:hanging="7"/>
        <w:spacing w:after="0" w:line="263"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84"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31750</wp:posOffset>
            </wp:positionV>
            <wp:extent cx="61976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00"/>
        <w:spacing w:after="0"/>
        <w:tabs>
          <w:tab w:leader="none" w:pos="15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jc w:val="both"/>
        <w:ind w:left="158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40"/>
          </w:cols>
          <w:pgMar w:left="320" w:top="1286" w:right="4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August 19, 2021</w:t>
      </w:r>
    </w:p>
    <w:p>
      <w:pPr>
        <w:spacing w:after="0" w:line="50"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-130175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Casdin Capital, LLC*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3703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(Signature)</w:t>
      </w:r>
    </w:p>
    <w:p>
      <w:pPr>
        <w:spacing w:after="0" w:line="26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Eli Casdin, Managing Member</w:t>
      </w:r>
    </w:p>
    <w:p>
      <w:pPr>
        <w:spacing w:after="0" w:line="5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-130175</wp:posOffset>
            </wp:positionV>
            <wp:extent cx="3703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Casdin Partners Master Fund, L.P.*</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Casdin Partners GP, LLC, its general partner</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3703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(Signature)</w:t>
      </w:r>
    </w:p>
    <w:p>
      <w:pPr>
        <w:spacing w:after="0" w:line="26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Eli Casdin, Managing Member</w:t>
      </w:r>
    </w:p>
    <w:p>
      <w:pPr>
        <w:spacing w:after="0" w:line="5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-130175</wp:posOffset>
            </wp:positionV>
            <wp:extent cx="3703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Casdin Partners GP, LLC*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3703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(Signature)</w:t>
      </w:r>
    </w:p>
    <w:p>
      <w:pPr>
        <w:spacing w:after="0" w:line="26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Eli Casdin, Managing Member</w:t>
      </w:r>
    </w:p>
    <w:p>
      <w:pPr>
        <w:spacing w:after="0" w:line="5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-130175</wp:posOffset>
            </wp:positionV>
            <wp:extent cx="3703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Eli Casdin*</w:t>
      </w:r>
    </w:p>
    <w:p>
      <w:pPr>
        <w:spacing w:after="0" w:line="5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-130175</wp:posOffset>
            </wp:positionV>
            <wp:extent cx="3703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The Reporting Persons disclaim beneficial ownership in the Shares reported herein except to the extent of their pecuniary interest therein.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u w:val="single" w:color="auto"/>
          <w:color w:val="auto"/>
        </w:rPr>
        <w:t>Exhibit 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undersigned agree that this Schedule 13G dated August 19, 2021 relating to the Common Stock, par value $0.001 per share of Tango Therapeutics, Inc., shall be filed on behalf of the undersigned.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Casdin Capital, LLC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3703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(Signature)</w:t>
      </w:r>
    </w:p>
    <w:p>
      <w:pPr>
        <w:spacing w:after="0" w:line="26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Eli Casdin, Managing Member</w:t>
      </w:r>
    </w:p>
    <w:p>
      <w:pPr>
        <w:spacing w:after="0" w:line="5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-130175</wp:posOffset>
            </wp:positionV>
            <wp:extent cx="3703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Casdin Partners Master Fund, L.P.</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Casdin Partners GP, LLC, its general partner</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3703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(Signature)</w:t>
      </w:r>
    </w:p>
    <w:p>
      <w:pPr>
        <w:spacing w:after="0" w:line="26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Eli Casdin, Managing Member</w:t>
      </w:r>
    </w:p>
    <w:p>
      <w:pPr>
        <w:spacing w:after="0" w:line="5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-130175</wp:posOffset>
            </wp:positionV>
            <wp:extent cx="3703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Casdin Partners GP, LLC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3703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(Signature)</w:t>
      </w:r>
    </w:p>
    <w:p>
      <w:pPr>
        <w:spacing w:after="0" w:line="26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Eli Casdin, Managing Member</w:t>
      </w:r>
    </w:p>
    <w:p>
      <w:pPr>
        <w:spacing w:after="0" w:line="5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-130175</wp:posOffset>
            </wp:positionV>
            <wp:extent cx="3703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Eli Casdin</w:t>
      </w:r>
    </w:p>
    <w:p>
      <w:pPr>
        <w:spacing w:after="0" w:line="5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-130175</wp:posOffset>
            </wp:positionV>
            <wp:extent cx="3703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3"/>
    </w:lvl>
  </w:abstractNum>
  <w:abstractNum w:abstractNumId="3">
    <w:nsid w:val="66EF438D"/>
    <w:multiLevelType w:val="hybridMultilevel"/>
    <w:lvl w:ilvl="0">
      <w:lvlJc w:val="left"/>
      <w:lvlText w:val="%1."/>
      <w:numFmt w:val="decimal"/>
      <w:start w:val="5"/>
    </w:lvl>
  </w:abstractNum>
  <w:abstractNum w:abstractNumId="4">
    <w:nsid w:val="140E0F76"/>
    <w:multiLevelType w:val="hybridMultilevel"/>
    <w:lvl w:ilvl="0">
      <w:lvlJc w:val="left"/>
      <w:lvlText w:val="%1."/>
      <w:numFmt w:val="decimal"/>
      <w:start w:val="1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3"/>
    </w:lvl>
  </w:abstractNum>
  <w:abstractNum w:abstractNumId="7">
    <w:nsid w:val="DED7263"/>
    <w:multiLevelType w:val="hybridMultilevel"/>
    <w:lvl w:ilvl="0">
      <w:lvlJc w:val="left"/>
      <w:lvlText w:val="%1."/>
      <w:numFmt w:val="decimal"/>
      <w:start w:val="5"/>
    </w:lvl>
  </w:abstractNum>
  <w:abstractNum w:abstractNumId="8">
    <w:nsid w:val="7FDCC233"/>
    <w:multiLevelType w:val="hybridMultilevel"/>
    <w:lvl w:ilvl="0">
      <w:lvlJc w:val="left"/>
      <w:lvlText w:val="%1."/>
      <w:numFmt w:val="decimal"/>
      <w:start w:val="1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3"/>
    </w:lvl>
  </w:abstractNum>
  <w:abstractNum w:abstractNumId="11">
    <w:nsid w:val="6B68079A"/>
    <w:multiLevelType w:val="hybridMultilevel"/>
    <w:lvl w:ilvl="0">
      <w:lvlJc w:val="left"/>
      <w:lvlText w:val="%1."/>
      <w:numFmt w:val="decimal"/>
      <w:start w:val="5"/>
    </w:lvl>
  </w:abstractNum>
  <w:abstractNum w:abstractNumId="12">
    <w:nsid w:val="4E6AFB66"/>
    <w:multiLevelType w:val="hybridMultilevel"/>
    <w:lvl w:ilvl="0">
      <w:lvlJc w:val="left"/>
      <w:lvlText w:val="%1."/>
      <w:numFmt w:val="decimal"/>
      <w:start w:val="1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3"/>
    </w:lvl>
  </w:abstractNum>
  <w:abstractNum w:abstractNumId="15">
    <w:nsid w:val="431BD7B7"/>
    <w:multiLevelType w:val="hybridMultilevel"/>
    <w:lvl w:ilvl="0">
      <w:lvlJc w:val="left"/>
      <w:lvlText w:val="%1."/>
      <w:numFmt w:val="decimal"/>
      <w:start w:val="5"/>
    </w:lvl>
  </w:abstractNum>
  <w:abstractNum w:abstractNumId="16">
    <w:nsid w:val="3F2DBA31"/>
    <w:multiLevelType w:val="hybridMultilevel"/>
    <w:lvl w:ilvl="0">
      <w:lvlJc w:val="left"/>
      <w:lvlText w:val="%1."/>
      <w:numFmt w:val="decimal"/>
      <w:start w:val="1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2021-08-19T16:00:25Z</dcterms:created>
  <dcterms:modified xsi:type="dcterms:W3CDTF">2021-08-19T16:00:25Z</dcterms:modified>
</cp:coreProperties>
</file>