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Huang Alan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31,697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167,584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190,181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190,181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190,181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1/3 on February 5, 2024, 1/3 on February 3, 2025 and 1/3 on February 2, 2026 subject to the Reporting Person's continuous service with the Issuer as of each such vesting date.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four-year period, at a rate of 25% on January 1, 2024,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Douglas Barry,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7364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2023-03-02T15:21:25Z</dcterms:created>
  <dcterms:modified xsi:type="dcterms:W3CDTF">2023-03-02T15:21:25Z</dcterms:modified>
</cp:coreProperties>
</file>