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3418d424b5.htm"/>
        <w:bookmarkStart w:id="1" w:name="ksd133418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Registration No. 333-291684</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sz w:val="20"/>
        </w:rPr>
      </w:pPr>
      <w:r>
        <w:rPr>
          <w:rFonts w:ascii="Times New Roman" w:hAnsi="Times New Roman"/>
          <w:sz w:val="20"/>
        </w:rPr>
        <w:t xml:space="preserve">(To Prospectus dated November 21, 2025)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20950" cy="7575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20950" cy="7575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Up to $400,000,000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previously entered into a Sales Agreement, or the sales agreement, with Leerink Partners LLC, or Leerink Partners, dated November 21, 2025, relating to the sale of shares of our common stock, par value $0.001 per share. We previously filed a prospectus supplement on November 21, 2025, relating to the offer and sale of shares of our common stock having an aggregate offering price of up to $100,000,000 from time to time through Leerink Partners, acting as our sales agent, or the prior prospectus supplement. As of the date of this prospectus supplement, we have sold an aggregate amount of approximately $64,389,566 of shares of our common stock under the prior prospectus supplement pursuant to the sales agreement. We are terminating the offering pursuant to the prior prospectus supplement and we will not make any further offer or sale of shares of our common stock pursuant to the prior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are filing this prospectus supplement in accordance with the terms of the sales agreement, relating to the offer and sale of shares of our common stock having an aggregate offering price of up to $400,000,000 from time to time through Leerink Partners acting as our sales agent.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“TNGX.” On August 10, 2026, the closing sale price of our common stock on The Nasdaq Global Market was $27.67 per share. </w:t>
      </w:r>
    </w:p>
    <w:p>
      <w:pPr>
        <w:pStyle w:val="TextBody"/>
        <w:bidi w:val="0"/>
        <w:spacing w:before="240" w:after="0"/>
        <w:jc w:val="left"/>
        <w:rPr>
          <w:rFonts w:ascii="Times New Roman" w:hAnsi="Times New Roman"/>
          <w:sz w:val="20"/>
        </w:rPr>
      </w:pPr>
      <w:r>
        <w:rPr>
          <w:rFonts w:ascii="Times New Roman" w:hAnsi="Times New Roman"/>
          <w:sz w:val="20"/>
        </w:rPr>
        <w:t xml:space="preserve">Sales of our common stock, if any, under this prospectus supplement will be made by any method permitted that is deemed to be an “at the market offering” as defined in Rule 415(a)(4) promulgated under the Securities Act of 1933, as amended, or the Securities Act. Leerink Partners is not required to sell any specific number or dollar amount of securities, but will act as a sales agent using commercially reasonable efforts consistent with its normal trading and sales practices, on mutually agreed terms between Leerink Partners and us. There is no arrangement for funds to be received in any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Leerink Partners will be entitled to a commission of up to 3.0% of the gross sales price per share of common stock sold under the sales agreement. In connection with the sale of our common stock on our behalf, Leerink Partners will be deemed to be an “underwriter” within the meaning of the Securities Act and the compensation of Leerink Partners will be deemed to be underwriting commissions or discounts. See “</w:t>
      </w:r>
      <w:r>
        <w:rPr>
          <w:rFonts w:ascii="Times New Roman" w:hAnsi="Times New Roman"/>
          <w:i/>
          <w:sz w:val="20"/>
        </w:rPr>
        <w:t>Plan of Distribution</w:t>
      </w:r>
      <w:r>
        <w:rPr>
          <w:rFonts w:ascii="Times New Roman" w:hAnsi="Times New Roman"/>
          <w:sz w:val="20"/>
        </w:rPr>
        <w:t xml:space="preserve">” beginning on page S-16 for additional information regarding the compensation to be paid to Leerink Partners. We have also agreed to provide indemnification and contribution to Leerink Partners against certain liabilities, including liabilities under the Securities Act and the Securities Exchange Act of 1934, as amended, or the Exchange Act. </w:t>
      </w:r>
    </w:p>
    <w:p>
      <w:pPr>
        <w:pStyle w:val="TextBody"/>
        <w:bidi w:val="0"/>
        <w:spacing w:before="240" w:after="0"/>
        <w:jc w:val="left"/>
        <w:rPr/>
      </w:pPr>
      <w:r>
        <w:rPr>
          <w:rFonts w:ascii="Times New Roman" w:hAnsi="Times New Roman"/>
          <w:b/>
          <w:sz w:val="24"/>
        </w:rPr>
        <w:t>Investing in our common stock involves a high degree of risk. See “</w:t>
      </w:r>
      <w:hyperlink w:anchor="suptoc133418_5">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beginning on page S-10 of this prospectus supplement and under similar headings in the other documents that are incorporated by reference into this prospectus supplement concerning factors you should consider before investing in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supplement. Any representation to the contrary is a criminal offense. </w:t>
      </w:r>
    </w:p>
    <w:p>
      <w:pPr>
        <w:pStyle w:val="TextBody"/>
        <w:bidi w:val="0"/>
        <w:spacing w:before="240" w:after="0"/>
        <w:jc w:val="center"/>
        <w:rPr>
          <w:rFonts w:ascii="Times New Roman" w:hAnsi="Times New Roman"/>
          <w:b/>
          <w:sz w:val="32"/>
        </w:rPr>
      </w:pPr>
      <w:r>
        <w:rPr>
          <w:rFonts w:ascii="Times New Roman" w:hAnsi="Times New Roman"/>
          <w:b/>
          <w:sz w:val="32"/>
        </w:rPr>
        <w:t xml:space="preserve">Leerink Partners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August 11,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toc133418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33418_2">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33418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33418_4">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33418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33418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33418_7">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33418_8">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33418_9">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33418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33418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33418_12">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33418_13">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82"/>
        <w:gridCol w:w="340"/>
        <w:gridCol w:w="60"/>
        <w:gridCol w:w="261"/>
        <w:gridCol w:w="62"/>
      </w:tblGrid>
      <w:tr>
        <w:trPr/>
        <w:tc>
          <w:tcPr>
            <w:tcW w:w="9482"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82" w:type="dxa"/>
            <w:tcBorders/>
            <w:vAlign w:val="bottom"/>
          </w:tcPr>
          <w:p>
            <w:pPr>
              <w:pStyle w:val="TableContents"/>
              <w:bidi w:val="0"/>
              <w:spacing w:before="0" w:after="0"/>
              <w:jc w:val="left"/>
              <w:rPr/>
            </w:pPr>
            <w:hyperlink w:anchor="toc133418_1">
              <w:r>
                <w:rPr>
                  <w:rStyle w:val="InternetLink"/>
                  <w:rFonts w:ascii="Times New Roman" w:hAnsi="Times New Roman"/>
                  <w:sz w:val="20"/>
                </w:rPr>
                <w:t>ABOUT THIS PROSPECTUS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oc133418_2">
              <w:r>
                <w:rPr>
                  <w:rStyle w:val="InternetLink"/>
                  <w:rFonts w:ascii="Times New Roman" w:hAnsi="Times New Roman"/>
                  <w:sz w:val="20"/>
                </w:rPr>
                <w:t>RISK FACTORS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oc133418_3">
              <w:r>
                <w:rPr>
                  <w:rStyle w:val="InternetLink"/>
                  <w:rFonts w:ascii="Times New Roman" w:hAnsi="Times New Roman"/>
                  <w:sz w:val="20"/>
                </w:rPr>
                <w:t>SPECIAL NOTE REGARDING FORWARD-LOOKING STATEMENTS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oc133418_4">
              <w:r>
                <w:rPr>
                  <w:rStyle w:val="InternetLink"/>
                  <w:rFonts w:ascii="Times New Roman" w:hAnsi="Times New Roman"/>
                  <w:sz w:val="20"/>
                </w:rPr>
                <w:t>OUR COMPANY</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oc133418_5">
              <w:r>
                <w:rPr>
                  <w:rStyle w:val="InternetLink"/>
                  <w:rFonts w:ascii="Times New Roman" w:hAnsi="Times New Roman"/>
                  <w:sz w:val="20"/>
                </w:rPr>
                <w:t>USE OF PROCEEDS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oc133418_6">
              <w:r>
                <w:rPr>
                  <w:rStyle w:val="InternetLink"/>
                  <w:rFonts w:ascii="Times New Roman" w:hAnsi="Times New Roman"/>
                  <w:sz w:val="20"/>
                </w:rPr>
                <w:t>SECURITIES THAT MAY BE OFFERED</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oc133418_7">
              <w:r>
                <w:rPr>
                  <w:rStyle w:val="InternetLink"/>
                  <w:rFonts w:ascii="Times New Roman" w:hAnsi="Times New Roman"/>
                  <w:sz w:val="20"/>
                </w:rPr>
                <w:t>DESCRIPTION OF CAPITAL STOCK</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oc133418_8">
              <w:r>
                <w:rPr>
                  <w:rStyle w:val="InternetLink"/>
                  <w:rFonts w:ascii="Times New Roman" w:hAnsi="Times New Roman"/>
                  <w:sz w:val="20"/>
                </w:rPr>
                <w:t>DESCRIPTION OF DEBT SECURITIES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oc133418_9">
              <w:r>
                <w:rPr>
                  <w:rStyle w:val="InternetLink"/>
                  <w:rFonts w:ascii="Times New Roman" w:hAnsi="Times New Roman"/>
                  <w:sz w:val="20"/>
                </w:rPr>
                <w:t>DESCRIPTION OF WARRANTS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oc133418_10">
              <w:r>
                <w:rPr>
                  <w:rStyle w:val="InternetLink"/>
                  <w:rFonts w:ascii="Times New Roman" w:hAnsi="Times New Roman"/>
                  <w:sz w:val="20"/>
                </w:rPr>
                <w:t>DESCRIPTION OF UNITS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oc133418_11">
              <w:r>
                <w:rPr>
                  <w:rStyle w:val="InternetLink"/>
                  <w:rFonts w:ascii="Times New Roman" w:hAnsi="Times New Roman"/>
                  <w:sz w:val="20"/>
                </w:rPr>
                <w:t>PLAN OF DISTRIBUTION</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oc133418_12">
              <w:r>
                <w:rPr>
                  <w:rStyle w:val="InternetLink"/>
                  <w:rFonts w:ascii="Times New Roman" w:hAnsi="Times New Roman"/>
                  <w:sz w:val="20"/>
                </w:rPr>
                <w:t>LEGAL MATTERS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oc133418_13">
              <w:r>
                <w:rPr>
                  <w:rStyle w:val="InternetLink"/>
                  <w:rFonts w:ascii="Times New Roman" w:hAnsi="Times New Roman"/>
                  <w:sz w:val="20"/>
                </w:rPr>
                <w:t>EXPERTS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oc133418_14">
              <w:r>
                <w:rPr>
                  <w:rStyle w:val="InternetLink"/>
                  <w:rFonts w:ascii="Times New Roman" w:hAnsi="Times New Roman"/>
                  <w:sz w:val="20"/>
                </w:rPr>
                <w:t>WHERE YOU CAN FIND MORE INFORMATION</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oc133418_15">
              <w:r>
                <w:rPr>
                  <w:rStyle w:val="InternetLink"/>
                  <w:rFonts w:ascii="Times New Roman" w:hAnsi="Times New Roman"/>
                  <w:sz w:val="20"/>
                </w:rPr>
                <w:t>INCORPORATION BY REFERENCE</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toc133418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an automatic shelf registration statement that we filed with the Securities and Exchange Commission, or the SEC, as a “well-known seasoned issuer” as defined in Rule 405 under the Securities Act. Under the shelf registration, we may offer shares of our common stock and preferred stock, various series of warrants to purchase common stock or preferred stock, debt securities, units or any combination thereof, from time to time in one or more offerings. Under this prospectus supplement, we may offer shares of our common stock having an aggregate offering price of up to $400,000,000 from time to time at prices and on terms to be determined by market conditions at the time of offering. </w:t>
      </w:r>
    </w:p>
    <w:p>
      <w:pPr>
        <w:pStyle w:val="TextBody"/>
        <w:bidi w:val="0"/>
        <w:spacing w:before="240" w:after="0"/>
        <w:jc w:val="left"/>
        <w:rPr>
          <w:rFonts w:ascii="Times New Roman" w:hAnsi="Times New Roman"/>
          <w:sz w:val="20"/>
        </w:rPr>
      </w:pPr>
      <w:r>
        <w:rPr>
          <w:rFonts w:ascii="Times New Roman" w:hAnsi="Times New Roman"/>
          <w:sz w:val="20"/>
        </w:rPr>
        <w:t>Before buying any of the shares of common stock offered hereby, we urge you to read carefully this prospectus supplement, together with the information incorporated herein by reference as described below under the heading “</w:t>
      </w:r>
      <w:r>
        <w:rPr>
          <w:rFonts w:ascii="Times New Roman" w:hAnsi="Times New Roman"/>
          <w:i/>
          <w:sz w:val="20"/>
        </w:rPr>
        <w:t>Incorporation of Certain Information by Reference</w:t>
      </w:r>
      <w:r>
        <w:rPr>
          <w:rFonts w:ascii="Times New Roman" w:hAnsi="Times New Roman"/>
          <w:sz w:val="20"/>
        </w:rPr>
        <w:t xml:space="preserve">.” These documents contain important information that you should consider when making your investment decision. 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provided that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other than the information that we have provided or incorporated by reference in this prospectus supplement or any accompanying prospectus supplement and your reliance on any unauthorized information or representation is at your own risk. This prospectus supplement may be used only in jurisdictions where offers and sales of these securities are permitted.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Our business, financial condition and results of operations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(and such representations, warranties and covenants may be qualified by schedules that are not publicly available).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all references in this prospectus supplement to “we,” “us,” “our,” “Tango,” “the Company” and similar designations refer, collectively, to Tango Therapeutics, Inc., a Delaware corporation,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toc133418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including the documents that we incorporate by reference, includes forward-looking statements within the meaning of Section 27A of the Securities Act, and Section 21E of the Exchange Act. Forward-looking statements relate to, among others, our plans, objectives and expectations for our business, operations and financial performance and condition, and can be identified by terminology such as “may,” “will,” “could,” “should,” “expect,” “intend,” “plan,” “anticipate,” “believe,” “estimate,” “predict,” “potential,” “project,” “seek,” “endeavor,” “target,”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upcoming clinical milestones and data disclosures, including our plans to: (a) disclose clinical data in the lung cancer cohort of the vopimetostat monotherapy clinical trial in 2026, (b) disclose initial safety and efficacy data from the TNG456 Phase 1/2 clinical trial in the second half of 2026 and (c) initiate a Phase 1/2 combination clinical trial of vopimetostat and ERAS-0015 in the second half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discover and develop product candidates efficiently (including the advancement of development candidates on the timelines identified and the ability to identify and contract with clinical trial sites and investigators to use our product candidates in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potential (or those of third parties) to manufacture our drug product, drug substance and product candidates successfully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and willingness of our third-party strategic collaborators to continue research and development activities relating to our development candidates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necessary to complete further research, development and commercialization (if approved) of our product candidates (and that existing cash, cash equivalents and marketable securities will enable us to meet our current operating plan and fund our operating expenses and capital expenditure requirements for at least the next 12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if approved, maintain regulatory approval of our product candidates (as well as approval or clearance of screening tests and companion diagnostic tests for our product candidates) and the potential paths to approval for our product candidates, including for vopimetostat as a monotherapy or in combination in methylthioadenosine phosphorylase, or MTAP, deleted pancreatic and lung cancer, including our plans to continue working internally and with regulators and our collaborator Revolution Medicines, Inc., or Revolution Medicines, toward the goal of developing a registrational plan and path forward for vopimetostat plus daraxonrasib in MTAP-deleted pancreatic cancer;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and our ability to enforce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capital requirements and our need for additional financing;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agreements (including our clinical trial and supply agreements with Revolution Medicines and Erasca, Inc., or Erasca), our ability to enter into strategic collaborations or arrangements,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 in connection with clinical trials; (ii) to successfully manufacture our drug substances for preclinical use, for clinical trials and on a larger scale for commercial use, if approved; and (iii) in connection with the commercialization of our product candidates (if approved) and any other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including the expectation that we will continue to incur operating losses and negative cash flow;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including product approval requirements and pricing regulations by U.S. regulatory authorities (such as the Centers for Medicare &amp; Medicaid Services) and foreign regulatory authorities; and the outcome of discussions with such regulatory authorities regarding our clinical trial design;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(or the ability of third parties with whom we contract) to produce our products or product candidates with advantages in turnaround times or manufacturing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deliver the deep, durable target inhibition — with favorable tolerability and safety profiles — necessary to maximize clinical benefit as a result of the unique ability of synthetic lethal targeting to spare normal cells, as well as the success of competing therapies that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trade restrictions (such as sanctions or tariffs); regulatory requirements, legal actions, or enforcement; volatility in inflation or interest rates; and inadequate funding for government agencies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public health crises on our business operations, including but not limited to our preclinical studies and clinical trials and any future studies or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benefit of our drugs in patients as single agents and/or in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of preclinical and initial clinical data to support clinical trial results, including (i) our belief that robust preclinical data and initial clinical data for vopimetostat and RAS(ON) inhibitors support a potentially strong combination effect in clinical trials of vopimetostat in combination with rat sarcoma, or RAS, inhibitors and (ii) our belief that strong preclinical data and initial clinical data showing significant </w:t>
            </w:r>
            <w:r>
              <w:rPr>
                <w:rFonts w:ascii="Times New Roman" w:hAnsi="Times New Roman"/>
                <w:i/>
                <w:sz w:val="20"/>
              </w:rPr>
              <w:t>in vivo</w:t>
            </w:r>
            <w:r>
              <w:rPr>
                <w:rFonts w:ascii="Times New Roman" w:hAnsi="Times New Roman"/>
                <w:sz w:val="20"/>
              </w:rPr>
              <w:t xml:space="preserve"> combination benefit could support potential clinical combinations of our protein arginine methyltransferase 5, or PRMT5, inhibitors with CDK4/6 or MAT2A inhibitors, as well as other oncogene-targeted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and development paths of our drugs as monotherapies and in combination with RAS inhibitors;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net proceeds from this offering,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risks and uncertainties, including those under the caption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time-to-time provide estimates, projections and other information concerning our industry, our financial performance, our business and the markets for our programs, product candidates and collaborations. </w:t>
      </w:r>
    </w:p>
    <w:p>
      <w:pPr>
        <w:pStyle w:val="TextBody"/>
        <w:bidi w:val="0"/>
        <w:spacing w:before="240" w:after="0"/>
        <w:jc w:val="left"/>
        <w:rPr>
          <w:rFonts w:ascii="Times New Roman" w:hAnsi="Times New Roman"/>
          <w:sz w:val="20"/>
        </w:rPr>
      </w:pPr>
      <w:r>
        <w:rPr>
          <w:rFonts w:ascii="Times New Roman" w:hAnsi="Times New Roman"/>
          <w:sz w:val="20"/>
        </w:rPr>
        <w:t>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their estimates, in particular, as they relate to projections, involve numerous assumptions, are subject to risks and uncertainties and are subject to change based on various factors. You should read this prospectus supplement,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under “Item 1A: Risk Factors” and elsewhere in our most recent Annual Report on Form 10-K, our subsequent Quarterly Reports on Form 10-Q and our Current Reports on Form 8-K, and the section of any accompanying prospectus supplement entitled “</w:t>
      </w:r>
      <w:r>
        <w:rPr>
          <w:rFonts w:ascii="Times New Roman" w:hAnsi="Times New Roman"/>
          <w:i/>
          <w:sz w:val="20"/>
        </w:rPr>
        <w:t>Risk Factors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toc133418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about us and this offering and does not contain all of the information that you should consider before investing in our common stock. You should read this prospectus supplement carefully, especially the risks of investing in our common stock discussed under “Risk Factors” beginning on page S-10 of this prospectus supplement and in Part I, Item 1A “Risk Factors” of our most recent Annual Report on Form 10-K and any subsequent Quarterly Reports on Form 10-Q or Current Reports on Form 8-K we file after the date of this prospectus supplement, which is incorporated by reference in this prospectus supplement, along with our consolidated financial statements and notes to those consolidated financial statements and the other information incorporated by reference in this prospectus supplement,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Tango was founded with a clear mission: to discover the next wave of targeted therapies in oncology by addressing the specific genetic alterations that drive cancer. We leverage our state-of-the-art target and drug discovery platforms to identify novel disease-relevant targets and develop medicines tailored to defined patient populations with high unmet medical need. Our novel small molecules are designed to be selectively active in cancer cells with specific genetic alterations, killing those cancer cells while sparing normal cells. We believe our approach will provide the ability to deliver deep, durable target inhibition with favorable tolerability and safety profiles, thus potentially maximizing clinical benefit.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currently focused on clinical development of two MTAP-deleted selective PRMT5 inhibitors: vopimetostat (TNG462) for non-central nervous system, or CNS, cancers, both as a monotherapy and in combination with RAS inhibitors, and TNG456, our next-generation, brain-penetrant PRMT5 inhibitor, for CNS cancers, including glioblastoma, or GBM. We are evaluating vopimetostat alone and in combination with RAS inhibitors based on overlapping patient populations, preclinical data supporting potential strong combination effect in clinical trials, and favorable clinical efficacy, durability, and safety profiles observed to date with each applicable drug individually. In June 2025, we treated the first patient in our combination clinical trial evaluating vopimetostat with the RAS(ON) multi-selective inhibitor, daraxonrasib, and RAS(ON) G12D-selective inhibitor, zoldonrasib (Revolution Medicines).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2026, we reported initial safety and efficacy data from our ongoing Phase 1/2 clinical trial of vopimetostat in combination with Revolution Medicines’ RAS(ON) inhibitors in patients with MTAP-deleted and RAS-mutant metastatic pancreatic ductal adenocarcinoma, or PDAC.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cutoff date of May 28, 2026, 59 patients with previously treated MTAP-deleted and RAS-mutant PDAC or non-small cell lung cancer, or NSCLC, were treated with a vopimetostat-based combination with either daraxonrasib (n=20 PDAC; n=5 NSCLC) or zoldonrasib (n=34 PDAC). All patients had advanced disease, including 70% with liver metastases in the daraxonrasib PDAC arm and 77% with liver metastases in the zoldonrasib arm, and were generally heavily pre-treated, with more than half receiving the combinations as third-line treatment.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vopimetostat plus daraxonrasib dose escalation arm, patients received either vopimetostat 200 mg or 250 mg once daily, or QD, plus daraxonrasib 100 mg QD. As of the data cutoff date of May 28, 2026, 12 patients with PDAC and three patients with NSCLC were response evaluable with at least 14 weeks of follow up. In PDAC patients, we observed an objective response rate, or ORR, of 92% (11 of 12 patients, with nine of 11 responses confirmed as of the data cutoff date). In PDAC patients, we observed a 90% six-month progression free survival rate, and 100% disease control rate, or DCR. In NSCLC patients, we observed an ORR of 100%, with three of three responses (all responses confirmed).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vopimetostat plus daraxonrasib combination was generally well-tolerated across dose levels. Most adverse events were grade one or two in severity, and grade three adverse events were observed and included thrombocytopenia, acneiform rash, stomatitis/mucositis and fatigue. There were no related grade four or five adverse events. There were no dose-limiting toxicities, or DLTs, at the vopimetostat 200 mg/daraxonrasib 100 mg dose level, and three DLTs in two patients at the vopimetostat 250 mg/daraxonrasib 100 mg dose level. There were no discontinuations due to adverse events.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on these data, we intend to advance this combination approach into Phase 3 development for patients with MTAP-deleted pancreatic cancer. Subject to feedback from regulatory authorities, we plan to initiate a Phase 3 randomized-controlled trial in front-line pancreatic cancer and evaluate opportunities to advance the second line combination towards registration phase.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8, 2026, we also reported initial data from the vopimetostat plus zoldonrasib dose escalation arm in PDAC patients. Patients received vopimetostat 200 mg or 250 mg QD plus zoldonrasib 600 mg or 1200 mg QD. As of the data cutoff date of May 28, 2026, 27 patients were response evaluable with at least 14 weeks of follow-up. We observed an ORR of 52%, a 74% six-month progression free survival rate, and 96% DCR in these patients. The vopimetostat plus zoldonrasib combination was generally well-tolerated across dose levels. Most adverse events were grade one or two in severity, and there were no related grade four or five adverse events or DLTs. There were no discontinuations due to adverse events.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plan to share data from the Phase 1/2 trial of the combination of vopimetostat plus RAS(ON) inhibitors at the 2026 European Society for Medical Oncology (ESMO) Congress in Madrid, Spain from October 23-27,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Given the differentiated profile of vopimetostat enabling the potential for efficacious and tolerable RAS inhibitor combinations, in March 2026, we entered into a Clinical Trial Collaboration and Supply Agreement, or CTCSA, with Erasca to evaluate vopimetostat in combination with Erasca’s pan-RAS molecular glue, ERAS-0015. Under the terms of the CTCSA with Erasca, we are the sponsor of the trial and Erasca is supplying ERAS-0015 at no cost. We plan to initiate this Phase 1/2 clinical trial in the second half of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Phase 1/2 clinical trial of vopimetostat monotherapy in patients with MTAP-deleted selective cancers is ongoing. Emerging data from the lung cancer cohort are consistent with expectations, and we anticipate providing a safety and efficacy update in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TNG456 is a brain-penetrant PRMT5 inhibitor. In May 2025, the first patient was treated with TNG456 in the dose escalation portion of the Phase 1/2 clinical trial to evaluate the safety, pharmacokinetics, pharmacodynamics and antitumor activity of TNG456 as a monotherapy. The trial is currently enrolling patients with MTAP-deleted solid tumors, with a focus on GBM. We anticipate providing initial clinical data from this trial in the second half of 2026.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of ATM Prospectus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this offering, we terminated the prior prospectus supplement filed with our registration statement on Form S-3ASR (File No. 333-291684) and related to the shares of our common stock issuable pursuant to the sales agreement with Leerink Partners, dated November 21, 2025. As of the date hereof, we sold an aggregate of 5,148,151 shares of common stock pursuant to the prior prospectus supplement. Other than the termination of the prior prospectus supplement, the sales agreement remains in full force and effect.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History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May 21, 2020 under the name BCTG Acquisition Corp., or BCTG, and were incorporated in Delaware in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and Tango Therapeutics Sub, Inc. Upon the consummation of the merger, we changed our name to Tango Therapeutics, Inc. Our principal corporate office is located at 201 Brookline Avenue, Suite 901, Boston, MA 02215, and our telephone number is (857) 320-4900. Our website address is </w:t>
      </w:r>
      <w:r>
        <w:rPr>
          <w:rFonts w:ascii="Times New Roman" w:hAnsi="Times New Roman"/>
          <w:i/>
          <w:sz w:val="20"/>
          <w:bdr w:val="single" w:sz="8" w:space="1" w:color="000000"/>
        </w:rPr>
        <w:t>https://tangotx.com</w:t>
      </w:r>
      <w:r>
        <w:rPr>
          <w:rFonts w:ascii="Times New Roman" w:hAnsi="Times New Roman"/>
          <w:sz w:val="20"/>
          <w:bdr w:val="single" w:sz="8" w:space="1" w:color="000000"/>
        </w:rPr>
        <w:t xml:space="preserve">. We do not incorporate the information on or accessible through our website into this prospectus supplement, and you should not consider any information on, or that can be accessed through, our website as part of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own various U.S. federal trademark applications and unregistered trademarks, including our company name. All other trademarks or trade names referred to in this prospectus supplement are the property of their respective owners. Solely for convenience, the trademarks and trade names in this prospectus supplement are referred to without the ® and  symbols, but such references should not be construed as any indicator that their respective owners will not assert, to the fullest extent under applicable law, their rights thereto.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the Exchange Act.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less than $100 million during the most recently completed fiscal year and our voting and non-voting common stock held by non-affiliates, or public float, is more than $700 million measured on the last business day of our second fiscal quarter. As of June 30, 2026, our public float was greater than $700.0 million and therefore effective December 31, 2026, we will no longer qualify as a smaller reporting company although we will continue to use the scaled disclosures permitted for a smaller reporting company through our annual report on Form 10-K for the fiscal year ending December 31, 2026 and plan to begin providing non-scaled larger company disclosure in our Form 10-Q for the period ending March 31,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toc133418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us </w:t>
            </w:r>
          </w:p>
        </w:tc>
        <w:tc>
          <w:tcPr>
            <w:tcW w:w="6329" w:type="dxa"/>
            <w:tcBorders/>
          </w:tcPr>
          <w:p>
            <w:pPr>
              <w:pStyle w:val="TableContents"/>
              <w:bidi w:val="0"/>
              <w:spacing w:before="0" w:after="283"/>
              <w:jc w:val="left"/>
              <w:rPr/>
            </w:pPr>
            <w:r>
              <w:rPr/>
              <w:t xml:space="preserve">Shares of our common stock having an aggregate offering price of up to $400,000,000.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to be outstanding after this offering </w:t>
            </w:r>
          </w:p>
        </w:tc>
        <w:tc>
          <w:tcPr>
            <w:tcW w:w="6329" w:type="dxa"/>
            <w:tcBorders/>
          </w:tcPr>
          <w:p>
            <w:pPr>
              <w:pStyle w:val="TableContents"/>
              <w:bidi w:val="0"/>
              <w:spacing w:before="0" w:after="283"/>
              <w:jc w:val="left"/>
              <w:rPr/>
            </w:pPr>
            <w:r>
              <w:rPr/>
              <w:t xml:space="preserve">Up to 183,156,596 shares, assuming sales of 14,776,505 shares of our common stock in this offering at an offering price of $27.07 per share, which was the last reported sale price of our common stock on The Nasdaq Global Market on August 7, 2026. The actual number of shares of common stock issued will vary depending on the sales price under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Plan of Distribution </w:t>
            </w:r>
          </w:p>
        </w:tc>
        <w:tc>
          <w:tcPr>
            <w:tcW w:w="6329" w:type="dxa"/>
            <w:tcBorders/>
          </w:tcPr>
          <w:p>
            <w:pPr>
              <w:pStyle w:val="TableContents"/>
              <w:bidi w:val="0"/>
              <w:spacing w:before="0" w:after="283"/>
              <w:jc w:val="left"/>
              <w:rPr/>
            </w:pPr>
            <w:r>
              <w:rPr/>
              <w:t>“</w:t>
            </w:r>
            <w:r>
              <w:rPr/>
              <w:t>At the market offering” that may be made from time to time on The Nasdaq Global Market or such other national securities exchange on which our common stock is then listed, through our sales agent, Leerink Partners. See the section entitled “</w:t>
            </w:r>
            <w:r>
              <w:rPr>
                <w:i/>
              </w:rPr>
              <w:t>Plan of Distribution</w:t>
            </w:r>
            <w:r>
              <w:rPr/>
              <w:t xml:space="preserve">” on page S-16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8" w:type="dxa"/>
            <w:tcBorders/>
          </w:tcPr>
          <w:p>
            <w:pPr>
              <w:pStyle w:val="TableContents"/>
              <w:bidi w:val="0"/>
              <w:spacing w:before="0" w:after="283"/>
              <w:jc w:val="left"/>
              <w:rPr/>
            </w:pPr>
            <w:r>
              <w:rPr/>
              <w:t>We currently intend to use the net proceeds from the sale of any security under this prospectus supplement primarily for general corporate purposes, including funding working capital, operating expenses and to fund the research and development of our product candidates, including manufacturing and clinical trial expenses. We may also use the proceeds to make acquisitions or investments in businesses, products or technologies that are complementary to our own, although we have no current plans, commitments or agreements with respect to any acquisitions as of the date of this prospectus supplement. See “</w:t>
            </w:r>
            <w:r>
              <w:rPr>
                <w:i/>
              </w:rPr>
              <w:t>Use of Proceeds</w:t>
            </w:r>
            <w:r>
              <w:rPr/>
              <w:t xml:space="preserve">” on page S-12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You should read the “</w:t>
            </w:r>
            <w:r>
              <w:rPr>
                <w:i/>
              </w:rPr>
              <w:t>Risk Factors</w:t>
            </w:r>
            <w:r>
              <w:rPr/>
              <w:t xml:space="preserve">” section of this prospectus supplement beginning on page S-10 and other information included in, or incorporated by reference into, this prospectus supplement for a discussion of factors to consider before deciding to purchase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Nasdaq Global Market symbol </w:t>
            </w:r>
          </w:p>
        </w:tc>
        <w:tc>
          <w:tcPr>
            <w:tcW w:w="6330" w:type="dxa"/>
            <w:tcBorders/>
          </w:tcPr>
          <w:p>
            <w:pPr>
              <w:pStyle w:val="TableContents"/>
              <w:bidi w:val="0"/>
              <w:spacing w:before="0" w:after="283"/>
              <w:jc w:val="left"/>
              <w:rPr/>
            </w:pPr>
            <w:r>
              <w:rPr/>
              <w:t>“</w:t>
            </w:r>
            <w:r>
              <w:rPr/>
              <w:t xml:space="preserve">TNGX”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All information in this prospectus supplement related to the number of shares of our common stock to be outstanding immediately after this offering is based on 168,380,091 shares of our common stock outstanding as of June 30, 2026. The number of shares outstanding as used throughout this prospectus supplement,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21,806,034 shares of common stock issuable upon the exercise of stock options outstanding as of June 30, 2026, at a weighted average exercise price of $8.84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1,890,076 shares of common stock issuable upon the vesting of restricted stock units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8,595,584 shares of common stock available for future issuance under our 2021 Stock Option and Incentive Plan, or the 2021 Plan, as of June 30, 2026, as well as any automatic increases in the number of shares of common stock reserved for issuance under the 2021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4,285,867 shares of common stock available for future issuance under our 2021 Employee Stock Purchase Plan, or the ESPP, as of June 30, 2026, as well as any automatic increases in the number of shares of common stock reserved for issuance under the ESPP;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1,044,262 shares of common stock available for future issuance under our 2023 Inducement Plan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836,048 shares of our common stock issuable upon the exercise of stock options granted subsequent to June 30, 2026, through August 7, 2026 at a weighted-average exercise price of $27.57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143,964 shares of our common stock issuable upon the vesting and settlement of restricted stock units granted subsequent to June 30, 2026, through August 7,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5,059,853 shares of common stock issuable upon the exercise of the pre-funded warrants outstanding as of June 30, 2026, with an exercise price of $0.001 per pre-funded warrant.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Except as otherwise noted, the information in this prospectus supplement assumes no exercise of outstanding stock options or pre-funded warrants described above.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toc133418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Before you decide to invest in our common stock, you should carefully consider the risks and uncertainties described below and in Part I, Item 1A “Risk Factors” of our most recent Annual Report on Form 10-K, and any subsequent Quarterly Reports on Form 10-Q or Current Reports on Form 8-K we file after the date of this prospectus supplement, together with all other information contained in this prospectus supplement and in our filings with the SEC that we have incorporated by reference in this prospectus supplement. If any of the following risks actually occur, our business, financial condition or results of operations could be adversely affected, which, in turn, could have a negative impact on the price of our common stock. In these circumstances, the market price of our common stock could decline, and you may lose all or part of your investment. Moreover, the risks described are not the only ones that we face. Additional risks not presently known to us or that we currently believe are immaterial may also significantly impair our business operations. Please also read carefully the section above titled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Risks Related to Our Common Stock and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shares of common stock in this offering, you may suffer immediate and substantial dilution of your investment. </w:t>
      </w:r>
    </w:p>
    <w:p>
      <w:pPr>
        <w:pStyle w:val="TextBody"/>
        <w:bidi w:val="0"/>
        <w:spacing w:before="120" w:after="0"/>
        <w:jc w:val="left"/>
        <w:rPr>
          <w:rFonts w:ascii="Times New Roman" w:hAnsi="Times New Roman"/>
          <w:sz w:val="20"/>
        </w:rPr>
      </w:pPr>
      <w:r>
        <w:rPr>
          <w:rFonts w:ascii="Times New Roman" w:hAnsi="Times New Roman"/>
          <w:sz w:val="20"/>
        </w:rPr>
        <w:t>The price per share of our common stock in this offering may exceed the net tangible book value per share of our common stock outstanding prior to this offering. Therefore, if you purchase shares of our common stock in this offering, you may pay a price per share that substantially exceeds our net tangible book value per share after this offering. To the extent shares are issued under outstanding options at exercise prices lower than the price of our common stock in this offering, you will incur further dilution. Assuming that an aggregate of 14,776,505 shares of our common stock are sold at a price of $27.07 per share, the last reported sale price of our common stock on The Nasdaq Global Market on August 7, 2026, for aggregate proceeds to us of approximately $391.7 million after deducting commissions and estimated aggregate offering expenses payable by us, you will experience immediate dilution of $19.34 per share, representing the difference between our as adjusted net tangible book value per share as of June 30, 2026 after giving effect to this offering and the assumed offering price. See the section entitled “</w:t>
      </w:r>
      <w:r>
        <w:rPr>
          <w:rFonts w:ascii="Times New Roman" w:hAnsi="Times New Roman"/>
          <w:i/>
          <w:sz w:val="20"/>
        </w:rPr>
        <w:t>Dilution</w:t>
      </w:r>
      <w:r>
        <w:rPr>
          <w:rFonts w:ascii="Times New Roman" w:hAnsi="Times New Roman"/>
          <w:sz w:val="20"/>
        </w:rPr>
        <w:t xml:space="preserve">” below for a more detailed illustration of the dilution you may incur if you participate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may use them in ways that you and other stockholders may not approve. </w:t>
      </w:r>
    </w:p>
    <w:p>
      <w:pPr>
        <w:pStyle w:val="TextBody"/>
        <w:bidi w:val="0"/>
        <w:spacing w:before="120" w:after="0"/>
        <w:jc w:val="left"/>
        <w:rPr>
          <w:rFonts w:ascii="Times New Roman" w:hAnsi="Times New Roman"/>
          <w:sz w:val="20"/>
        </w:rPr>
      </w:pPr>
      <w:r>
        <w:rPr>
          <w:rFonts w:ascii="Times New Roman" w:hAnsi="Times New Roman"/>
          <w:sz w:val="20"/>
        </w:rPr>
        <w:t>We currently expect to use the net proceeds of this offering for working capital, operating expenses and other general corporate purposes, including to fund the research and development of our product candidates.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w:t>
      </w:r>
      <w:r>
        <w:rPr>
          <w:rFonts w:ascii="Times New Roman" w:hAnsi="Times New Roman"/>
          <w:i/>
          <w:sz w:val="20"/>
        </w:rPr>
        <w:t>Use of Proceeds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To raise additional capital, we may in the future offer additional shares of our common stock or other securities convertible into or exchangeable for our common stock at prices that may not be the same as the price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issuances of our common stock in the public markets, or the perception of such sales, could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actual number of shares we will issue and gross proceeds resulting from those sales, at any one time or in total, is uncertain.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 placement notice to Leerink Partners at any time throughout the term of the sales agreement. The number of shares that are sold by Leerink Partners after delivering a placement notice will fluctuate based on the market price of our common stock during the sales period and limits we set with Leerink Partners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common stock offered hereby will be sold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toc133418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sales proceeds of up to $400,000,000 from time to time under this prospectus supplement. The amount of the net proceeds to us from this offering will depend upon the number of shares of our common stock sold and the price at which they are sold. There can be no assurance that we will be able to sell any shares under or fully utilize the sales agreement with Leerink Partners.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the sale of any security under this prospectus supplement primarily for general corporate purposes, including funding working capital, operating expenses and to fund the research and development of our product candidates, including manufacturing and clinical trial expenses. We may also use the proceeds to make acquisitions or investments in businesses, products or technologies that are complementary to our own, although we have no current plans, commitments or agreements with respect to any acquisitions as of the date of this prospectus supplement. Pending these uses, we may invest the net proceeds from this offering in short- and intermediate-term, interest-bearing obligations, investment-grade instruments, certificates of deposit or direct or guaranteed obligations of the U.S. government. We have not determined the amount of net proceeds to be used specifically for such purposes. As a result, management will retain broad discretion over the allocation of net proceeds. </w:t>
      </w:r>
    </w:p>
    <w:p>
      <w:pPr>
        <w:pStyle w:val="TextBody"/>
        <w:bidi w:val="0"/>
        <w:spacing w:before="240" w:after="0"/>
        <w:jc w:val="left"/>
        <w:rPr>
          <w:rFonts w:ascii="Times New Roman" w:hAnsi="Times New Roman"/>
          <w:sz w:val="20"/>
        </w:rPr>
      </w:pPr>
      <w:r>
        <w:rPr>
          <w:rFonts w:ascii="Times New Roman" w:hAnsi="Times New Roman"/>
          <w:sz w:val="20"/>
        </w:rPr>
        <w:t>The expected use of net proceeds from this offering represents our intentions based upon our current plans and business conditions, which could change in the future as our plans and business conditions evolve. We have not determined the amounts we plan to spend on any of the areas listed above or the timing of these expenditures. The amounts and timing of our actual expenditures may vary significantly depending on numerous factors, including the actual net proceeds from this offering (which will depend on the market price of our common stock during the sales period, any limits we may set with Leerink Partners in any applicable placement notice and the demand for our common stock), the progress of our development, the status of and results from clinical trials and collaborations that we may enter into with third parties for our product candidates and any unforeseen cash needs, including the factors described under “</w:t>
      </w:r>
      <w:r>
        <w:rPr>
          <w:rFonts w:ascii="Times New Roman" w:hAnsi="Times New Roman"/>
          <w:i/>
          <w:sz w:val="20"/>
        </w:rPr>
        <w:t>Risk Factors</w:t>
      </w:r>
      <w:r>
        <w:rPr>
          <w:rFonts w:ascii="Times New Roman" w:hAnsi="Times New Roman"/>
          <w:sz w:val="20"/>
        </w:rPr>
        <w:t xml:space="preserve">” in this prospectus supplement and in the documents incorporated by reference herein.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toc133418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this offering, your ownership interest will be diluted (accreted) to the extent of the difference between the public offering price per share and the as-adjusted net tangible book value per share of our common stock after giving effect to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we had net tangible book value of approximately $1.025 billion or approximately $6.08 per share of our common stock, based upon 168,380,091 shares of our common stock outstanding as of that date.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our common stock pursuant to this prospectus supplement in the aggregate amount of $400,000,000 at an assumed offering price of $27.07 per share, the last reported sale price of our common stock on The Nasdaq Global Market on August 7, 2026, and after deducting commissions and estimated aggregate offering expenses payable by us, our net tangible book value as of June 30, 2026 would have been $1.416 billion, or $7.73 per share of common stock. This represents an immediate increase in the net tangible book value of $1.65 per share to our existing stockholders and an immediate dilution in net tangible book value of $19.34 per share to new investors. The following table illustrates this per share accretion/dilution: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43"/>
        <w:gridCol w:w="385"/>
        <w:gridCol w:w="145"/>
        <w:gridCol w:w="447"/>
        <w:gridCol w:w="60"/>
        <w:gridCol w:w="385"/>
        <w:gridCol w:w="145"/>
        <w:gridCol w:w="581"/>
        <w:gridCol w:w="64"/>
      </w:tblGrid>
      <w:tr>
        <w:trPr/>
        <w:tc>
          <w:tcPr>
            <w:tcW w:w="5543"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offering price per share</w:t>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27.07</w:t>
            </w:r>
          </w:p>
        </w:tc>
        <w:tc>
          <w:tcPr>
            <w:tcW w:w="64" w:type="dxa"/>
            <w:tcBorders/>
            <w:shd w:fill="CCEEFF" w:val="clear"/>
            <w:vAlign w:val="bottom"/>
          </w:tcPr>
          <w:p>
            <w:pPr>
              <w:pStyle w:val="TableContents"/>
              <w:bidi w:val="0"/>
              <w:spacing w:before="0" w:after="283"/>
              <w:jc w:val="left"/>
              <w:rPr/>
            </w:pPr>
            <w:r>
              <w:rPr/>
              <w:t> </w:t>
            </w:r>
          </w:p>
        </w:tc>
      </w:tr>
      <w:tr>
        <w:trPr/>
        <w:tc>
          <w:tcPr>
            <w:tcW w:w="5543"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June 30, 2026</w:t>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447" w:type="dxa"/>
            <w:tcBorders/>
            <w:vAlign w:val="bottom"/>
          </w:tcPr>
          <w:p>
            <w:pPr>
              <w:pStyle w:val="TableContents"/>
              <w:bidi w:val="0"/>
              <w:spacing w:before="0" w:after="283"/>
              <w:jc w:val="right"/>
              <w:rPr/>
            </w:pPr>
            <w:r>
              <w:rPr/>
              <w:t>6.08</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(decrease) per share attributable to sale of shares of common stock in this offering</w:t>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447" w:type="dxa"/>
            <w:tcBorders/>
            <w:shd w:fill="CCEEFF" w:val="clear"/>
            <w:vAlign w:val="bottom"/>
          </w:tcPr>
          <w:p>
            <w:pPr>
              <w:pStyle w:val="TableContents"/>
              <w:bidi w:val="0"/>
              <w:spacing w:before="0" w:after="283"/>
              <w:jc w:val="right"/>
              <w:rPr/>
            </w:pPr>
            <w:r>
              <w:rPr/>
              <w:t>1.65</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543"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543"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this offering</w:t>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7.73</w:t>
            </w:r>
          </w:p>
        </w:tc>
        <w:tc>
          <w:tcPr>
            <w:tcW w:w="64" w:type="dxa"/>
            <w:tcBorders/>
            <w:vAlign w:val="bottom"/>
          </w:tcPr>
          <w:p>
            <w:pPr>
              <w:pStyle w:val="TableContents"/>
              <w:bidi w:val="0"/>
              <w:spacing w:before="0" w:after="283"/>
              <w:jc w:val="left"/>
              <w:rPr/>
            </w:pPr>
            <w:r>
              <w:rPr/>
              <w:t> </w:t>
            </w:r>
          </w:p>
        </w:tc>
      </w:tr>
      <w:tr>
        <w:trPr/>
        <w:tc>
          <w:tcPr>
            <w:tcW w:w="5543"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(accretion) per share to new investors purchasing shares in this offering</w:t>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19.34</w:t>
            </w:r>
          </w:p>
        </w:tc>
        <w:tc>
          <w:tcPr>
            <w:tcW w:w="64" w:type="dxa"/>
            <w:tcBorders/>
            <w:shd w:fill="CCEEFF" w:val="clear"/>
            <w:vAlign w:val="bottom"/>
          </w:tcPr>
          <w:p>
            <w:pPr>
              <w:pStyle w:val="TableContents"/>
              <w:bidi w:val="0"/>
              <w:spacing w:before="0" w:after="283"/>
              <w:jc w:val="left"/>
              <w:rPr/>
            </w:pPr>
            <w:r>
              <w:rPr/>
              <w:t> </w:t>
            </w:r>
          </w:p>
        </w:tc>
      </w:tr>
      <w:tr>
        <w:trPr/>
        <w:tc>
          <w:tcPr>
            <w:tcW w:w="5543"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assumes for illustrative purposes that an aggregate of 14,776,505 shares of our common stock are sold pursuant to this prospectus supplement at a price of $27.07 per share, the last reported sale price of our common stock on The Nasdaq Global Market on August 7, 2026 from time to time at various prices. An increase of $1.00 per share in the price at which the shares are sold from the assumed offering price to $28.07 per share, assuming all of our common stock in the aggregate amount of $400,000,000 is sold at that price, would result in an adjusted net tangible book value per share after the offering of $7.75 per share and would increase the dilution in net tangible book value per share to new investors in this offering to $20.32 per share, after deducting commissions and estimated aggregate offering expenses payable by us. A decrease of $1.00 per share in the price at which the shares are sold from the assumed offering price to $26.07 per share, assuming all of our common stock in the aggregate amount of $400,000,000 is sold at that price, would result in an adjusted net tangible book value per share after the offering of $7.71 per share and would result in the dilution of net tangible book value per share to new investors in this offering of $18.36 per share, after deducting commissions and estimated aggregate offering expenses payable by us. This information is supplied for illustrative purposes only.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our common stock to be outstanding after this offering is based on 168,380,091 shares of our common stock outstanding as of June 30,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21,806,034 shares of common stock issuable upon the exercise of stock options outstanding as of June 30, 2026, at a weighted average exercise price of $8.84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1,890,076 shares of common stock issuable upon the vesting of restricted stock units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8,595,584 shares of common stock available for future issuance under the 2021 Plan as of June 30, 2026, as well as any automatic increases in the number of shares of common stock reserved for issuance under the 2021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4,285,867 shares of common stock available for future issuance under the ESPP as of June 30, 2026, as well as any automatic increases in the number of shares of common stock reserved for issuance under the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1,044,262 shares of common stock available for future issuance under our 2023 Inducement Plan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836,048 shares of our common stock issuable upon the exercise of stock options granted subsequent to June 30, 2026, through August 7, 2026 at a weighted-average exercise price of $27.57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143,964 shares of our common stock issuable upon the vesting and settlement of restricted stock units granted subsequent to June 30, 2026, through August 7,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5,059,853 shares of common stock issuable upon the exercise of the pre-funded warrants outstanding as of June 30, 2026, with an exercise price of $0.001 per pre-funded warrant.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otherwise noted, the information in this prospectus supplement assumes no exercise of outstanding stock options or pre-funded warrants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options or pre-funded warrants outstanding as of June 30, 2026 have been or may be exercised or settle, as applicable,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toc133418_8"/>
      <w:bookmarkEnd w:id="10"/>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of directors deems relevant. Our ability to pay dividends on our common stock may be restricted by the terms of any of our future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toc133418_9"/>
      <w:bookmarkEnd w:id="1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previously entered into the sales agreement with Leerink Partners, under which we may offer and sell from time to time shares of our common stock through Leerink Partners acting as sales agent. Pursuant to this prospectus supplement, we may offer and sell shares of our common stock having an aggregate offering price of up to $400,000,000. Sales of our shares of common stock, if any, under this prospectus supplement and the accompanying prospectus will be made by any method that is deemed to be an “at the market offering” as defined in Rule 415(a)(4) under the Securities Act, including any sales made directly on The Nasdaq Global Market or any other trading market for our common stock. The below description of the material provisions of the sales agreement does not purport to be a complete statement of its terms and conditions. A copy of the sales agreement is filed as an exhibit to our Registration Statement on Form S-3ASR of which this prospectus supplement forms a part.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will offer our common stock subject to the terms and conditions of the sales agreement on a daily basis or as otherwise agreed upon by us and Leerink Partners. We will designate the maximum amount of common stock to be sold through Leerink Partners on a daily basis or otherwise determine such maximum amount together with Leerink Partners. Subject to the terms and conditions of the sales agreement, Leerink Partners will use commercially reasonable efforts consistent with its normal trading and sales practices to sell on our behalf all of the shares of common stock requested to be sold by us. We may instruct Leerink Partners not to sell common stock if the sales cannot be effected at or above the price designated by us in any such instruction. Leerink Partners or we may suspend the offering of our common stock being made through Leerink Partners under the sales agreement upon proper notice to the other party. Leerink Partners and we each have the right, by giving written notice as specified in the sales agreement, to terminate the sales agreement in each party’s sole discretion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compensation payable to Leerink Partners is up to 3.0% of the aggregate gross proceeds from the sale of the shares of common stock sold through the sales agreement. We have also agreed to reimburse up to an aggregate of $100,000 of Leerink Partners’ actual outside legal expenses incurred by it in connection with this offering plus certain ongoing expenses. We estimate that the total expenses for the offering payable by us, excluding any commissions or expense reimbursement payable to Leerink Partners under the sales agreement, will be approximately $0.6 million. </w:t>
      </w:r>
    </w:p>
    <w:p>
      <w:pPr>
        <w:pStyle w:val="TextBody"/>
        <w:bidi w:val="0"/>
        <w:spacing w:before="240" w:after="0"/>
        <w:jc w:val="left"/>
        <w:rPr>
          <w:rFonts w:ascii="Times New Roman" w:hAnsi="Times New Roman"/>
          <w:sz w:val="20"/>
        </w:rPr>
      </w:pPr>
      <w:r>
        <w:rPr>
          <w:rFonts w:ascii="Times New Roman" w:hAnsi="Times New Roman"/>
          <w:sz w:val="20"/>
        </w:rPr>
        <w:t xml:space="preserve">The remaining sale proceeds, after deducting any expenses payable by us and any transaction fees imposed by any governmental, regulatory or self-regulatory organization in connection with the sales, will equal our net proceeds from the sale of such common stock.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will provide written confirmation to us following the close of trading on The Nasdaq Global Market after each day on which our shares of common stock are sold under the sales agreement. Each confirmation will include the number of shares sold through Leerink Partners on that day and the net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We will report at least quarterly the number of shares of common stock sold through Leerink Partners under the sales agreement and the net proceeds to us in connection with the sales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common stock will occur on the first business day that is also a trading day following the date on which any sales were made in return for payment of the net proceeds to us.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sales of our common stock on our behalf, Leerink Partners will be deemed to be an “underwriter” within the meaning of the Securities Act and the compensation of Leerink Partners will be deemed to be underwriting commissions or discounts. We have agreed in the sales agreement to provide indemnification and contribution to Leerink Partners against certain civil liabilities, including liabilities under the Securities Act. As sales agent, Leerink Partners will not engage in any transactions that stabilize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common stock is listed on The Nasdaq Global Market and trades under the symbol “TNGX.” The transfer agent of our common stock is currently Computershare Trust Company, N.A.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and/or its affiliates may have in the past and may in the future provide various investment banking and other financial services for us for which services they may have in the past or may in the future receive customary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toc133418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hereby will be passed upon for us by Goodwin Procter LLP, Boston, Massachusetts. Leerink Partners LLC is being represented in connection with this offering by Cooley LLP, New York, New York. </w:t>
      </w:r>
    </w:p>
    <w:p>
      <w:pPr>
        <w:pStyle w:val="TextBody"/>
        <w:bidi w:val="0"/>
        <w:spacing w:before="480" w:after="0"/>
        <w:jc w:val="center"/>
        <w:rPr>
          <w:rFonts w:ascii="Times New Roman" w:hAnsi="Times New Roman"/>
          <w:b/>
          <w:sz w:val="20"/>
        </w:rPr>
      </w:pPr>
      <w:bookmarkStart w:id="13" w:name="suptoc133418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The financial statements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pStyle w:val="TextBody"/>
        <w:bidi w:val="0"/>
        <w:spacing w:before="480" w:after="0"/>
        <w:jc w:val="center"/>
        <w:rPr>
          <w:rFonts w:ascii="Times New Roman" w:hAnsi="Times New Roman"/>
          <w:b/>
          <w:sz w:val="20"/>
        </w:rPr>
      </w:pPr>
      <w:bookmarkStart w:id="14" w:name="suptoc133418_12"/>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and on our investor website at </w:t>
      </w:r>
      <w:r>
        <w:rPr>
          <w:rFonts w:ascii="Times New Roman" w:hAnsi="Times New Roman"/>
          <w:i/>
          <w:sz w:val="20"/>
        </w:rPr>
        <w:t>https://tangotx.com</w:t>
      </w:r>
      <w:r>
        <w:rPr>
          <w:rFonts w:ascii="Times New Roman" w:hAnsi="Times New Roman"/>
          <w:sz w:val="20"/>
        </w:rPr>
        <w:t xml:space="preserve">. Our website is not a part of this prospectus supplement and is not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as to the contents of any contract or other document are not necessarily complete, and in each instance we refer you to the copy of the contract or document filed as an exhibit to the registration statement, each such statement being qualified in all respects by such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toc133418_13"/>
      <w:bookmarkEnd w:id="15"/>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not deemed to be filed)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4">
              <w:r>
                <w:rPr>
                  <w:rStyle w:val="InternetLink"/>
                  <w:rFonts w:ascii="Times New Roman" w:hAnsi="Times New Roman"/>
                  <w:sz w:val="20"/>
                </w:rPr>
                <w:t>Form 10-K</w:t>
              </w:r>
            </w:hyperlink>
            <w:r>
              <w:rPr>
                <w:rFonts w:ascii="Times New Roman" w:hAnsi="Times New Roman"/>
                <w:sz w:val="20"/>
              </w:rPr>
              <w:t xml:space="preserve"> for the year ended December  31, 2025 from our </w:t>
            </w:r>
            <w:hyperlink r:id="rId5">
              <w:r>
                <w:rPr>
                  <w:rStyle w:val="InternetLink"/>
                  <w:rFonts w:ascii="Times New Roman" w:hAnsi="Times New Roman"/>
                  <w:sz w:val="20"/>
                </w:rPr>
                <w:t>definitive proxy statement on Schedule 14A</w:t>
              </w:r>
            </w:hyperlink>
            <w:r>
              <w:rPr>
                <w:rFonts w:ascii="Times New Roman" w:hAnsi="Times New Roman"/>
                <w:sz w:val="20"/>
              </w:rPr>
              <w:t xml:space="preserve"> (other than information furnished rather than filed), which was filed with the SEC on April 17,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quarters ended March 31, 2026 and June 30, 2026, filed with the SEC on </w:t>
            </w:r>
            <w:hyperlink r:id="rId6">
              <w:r>
                <w:rPr>
                  <w:rStyle w:val="InternetLink"/>
                  <w:rFonts w:ascii="Times New Roman" w:hAnsi="Times New Roman"/>
                  <w:sz w:val="20"/>
                </w:rPr>
                <w:t>May  13, 2026</w:t>
              </w:r>
            </w:hyperlink>
            <w:r>
              <w:rPr>
                <w:rFonts w:ascii="Times New Roman" w:hAnsi="Times New Roman"/>
                <w:sz w:val="20"/>
              </w:rPr>
              <w:t xml:space="preserve"> and </w:t>
            </w:r>
            <w:hyperlink r:id="rId7">
              <w:r>
                <w:rPr>
                  <w:rStyle w:val="InternetLink"/>
                  <w:rFonts w:ascii="Times New Roman" w:hAnsi="Times New Roman"/>
                  <w:sz w:val="20"/>
                </w:rPr>
                <w:t>August 11,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(including Form 8-K/A) filed with the SEC on </w:t>
            </w:r>
            <w:hyperlink r:id="rId8">
              <w:r>
                <w:rPr>
                  <w:rStyle w:val="InternetLink"/>
                  <w:rFonts w:ascii="Times New Roman" w:hAnsi="Times New Roman"/>
                  <w:sz w:val="20"/>
                </w:rPr>
                <w:t>January  5, 2026</w:t>
              </w:r>
            </w:hyperlink>
            <w:r>
              <w:rPr>
                <w:rFonts w:ascii="Times New Roman" w:hAnsi="Times New Roman"/>
                <w:sz w:val="20"/>
              </w:rPr>
              <w:t xml:space="preserve">, </w:t>
            </w:r>
            <w:hyperlink r:id="rId9">
              <w:r>
                <w:rPr>
                  <w:rStyle w:val="InternetLink"/>
                  <w:rFonts w:ascii="Times New Roman" w:hAnsi="Times New Roman"/>
                  <w:sz w:val="20"/>
                </w:rPr>
                <w:t>January  8, 2026</w:t>
              </w:r>
            </w:hyperlink>
            <w:r>
              <w:rPr>
                <w:rFonts w:ascii="Times New Roman" w:hAnsi="Times New Roman"/>
                <w:sz w:val="20"/>
              </w:rPr>
              <w:t xml:space="preserve">, </w:t>
            </w:r>
            <w:hyperlink r:id="rId10">
              <w:r>
                <w:rPr>
                  <w:rStyle w:val="InternetLink"/>
                  <w:rFonts w:ascii="Times New Roman" w:hAnsi="Times New Roman"/>
                  <w:sz w:val="20"/>
                </w:rPr>
                <w:t>April  15, 2026</w:t>
              </w:r>
            </w:hyperlink>
            <w:r>
              <w:rPr>
                <w:rFonts w:ascii="Times New Roman" w:hAnsi="Times New Roman"/>
                <w:sz w:val="20"/>
              </w:rPr>
              <w:t xml:space="preserve">, </w:t>
            </w:r>
            <w:hyperlink r:id="rId11">
              <w:r>
                <w:rPr>
                  <w:rStyle w:val="InternetLink"/>
                  <w:rFonts w:ascii="Times New Roman" w:hAnsi="Times New Roman"/>
                  <w:sz w:val="20"/>
                </w:rPr>
                <w:t>May  8, 2026</w:t>
              </w:r>
            </w:hyperlink>
            <w:r>
              <w:rPr>
                <w:rFonts w:ascii="Times New Roman" w:hAnsi="Times New Roman"/>
                <w:sz w:val="20"/>
              </w:rPr>
              <w:t xml:space="preserve">, </w:t>
            </w:r>
            <w:hyperlink r:id="rId12">
              <w:r>
                <w:rPr>
                  <w:rStyle w:val="InternetLink"/>
                  <w:rFonts w:ascii="Times New Roman" w:hAnsi="Times New Roman"/>
                  <w:sz w:val="20"/>
                </w:rPr>
                <w:t>May  13, 2026</w:t>
              </w:r>
            </w:hyperlink>
            <w:r>
              <w:rPr>
                <w:rFonts w:ascii="Times New Roman" w:hAnsi="Times New Roman"/>
                <w:sz w:val="20"/>
              </w:rPr>
              <w:t xml:space="preserve">, </w:t>
            </w:r>
            <w:hyperlink r:id="rId13">
              <w:r>
                <w:rPr>
                  <w:rStyle w:val="InternetLink"/>
                  <w:rFonts w:ascii="Times New Roman" w:hAnsi="Times New Roman"/>
                  <w:sz w:val="20"/>
                </w:rPr>
                <w:t>June  4, 2026</w:t>
              </w:r>
            </w:hyperlink>
            <w:r>
              <w:rPr>
                <w:rFonts w:ascii="Times New Roman" w:hAnsi="Times New Roman"/>
                <w:sz w:val="20"/>
              </w:rPr>
              <w:t xml:space="preserve">, </w:t>
            </w:r>
            <w:hyperlink r:id="rId14">
              <w:r>
                <w:rPr>
                  <w:rStyle w:val="InternetLink"/>
                  <w:rFonts w:ascii="Times New Roman" w:hAnsi="Times New Roman"/>
                  <w:sz w:val="20"/>
                </w:rPr>
                <w:t>June  8, 2026</w:t>
              </w:r>
            </w:hyperlink>
            <w:r>
              <w:rPr>
                <w:rFonts w:ascii="Times New Roman" w:hAnsi="Times New Roman"/>
                <w:sz w:val="20"/>
              </w:rPr>
              <w:t xml:space="preserve">, </w:t>
            </w:r>
            <w:hyperlink r:id="rId15">
              <w:r>
                <w:rPr>
                  <w:rStyle w:val="InternetLink"/>
                  <w:rFonts w:ascii="Times New Roman" w:hAnsi="Times New Roman"/>
                  <w:sz w:val="20"/>
                </w:rPr>
                <w:t>June  10, 2026</w:t>
              </w:r>
            </w:hyperlink>
            <w:r>
              <w:rPr>
                <w:rFonts w:ascii="Times New Roman" w:hAnsi="Times New Roman"/>
                <w:sz w:val="20"/>
              </w:rPr>
              <w:t xml:space="preserve">, </w:t>
            </w:r>
            <w:hyperlink r:id="rId16">
              <w:r>
                <w:rPr>
                  <w:rStyle w:val="InternetLink"/>
                  <w:rFonts w:ascii="Times New Roman" w:hAnsi="Times New Roman"/>
                  <w:sz w:val="20"/>
                </w:rPr>
                <w:t>June  23, 2026</w:t>
              </w:r>
            </w:hyperlink>
            <w:r>
              <w:rPr>
                <w:rFonts w:ascii="Times New Roman" w:hAnsi="Times New Roman"/>
                <w:sz w:val="20"/>
              </w:rPr>
              <w:t xml:space="preserve">, </w:t>
            </w:r>
            <w:hyperlink r:id="rId17">
              <w:r>
                <w:rPr>
                  <w:rStyle w:val="InternetLink"/>
                  <w:rFonts w:ascii="Times New Roman" w:hAnsi="Times New Roman"/>
                  <w:sz w:val="20"/>
                </w:rPr>
                <w:t>August  6, 2026</w:t>
              </w:r>
            </w:hyperlink>
            <w:r>
              <w:rPr>
                <w:rFonts w:ascii="Times New Roman" w:hAnsi="Times New Roman"/>
                <w:sz w:val="20"/>
              </w:rPr>
              <w:t xml:space="preserve"> and </w:t>
            </w:r>
            <w:hyperlink r:id="rId18">
              <w:r>
                <w:rPr>
                  <w:rStyle w:val="InternetLink"/>
                  <w:rFonts w:ascii="Times New Roman" w:hAnsi="Times New Roman"/>
                  <w:sz w:val="20"/>
                </w:rPr>
                <w:t>August 7, 2026</w:t>
              </w:r>
            </w:hyperlink>
            <w:r>
              <w:rPr>
                <w:rFonts w:ascii="Times New Roman" w:hAnsi="Times New Roman"/>
                <w:sz w:val="20"/>
              </w:rPr>
              <w:t xml:space="preserve"> excluding information “furnished” pursuant to Items 2.02, 7.01 or 9.01;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9">
              <w:r>
                <w:rPr>
                  <w:rStyle w:val="InternetLink"/>
                  <w:rFonts w:ascii="Times New Roman" w:hAnsi="Times New Roman"/>
                  <w:sz w:val="20"/>
                </w:rPr>
                <w:t>Form 8-A</w:t>
              </w:r>
            </w:hyperlink>
            <w:r>
              <w:rPr>
                <w:rFonts w:ascii="Times New Roman" w:hAnsi="Times New Roman"/>
                <w:sz w:val="20"/>
              </w:rPr>
              <w:t xml:space="preserve"> (File No. 001-39485) as filed with the SEC on September 2, 2020, including any amendments or reports filed for the purpose of updating this description, including </w:t>
            </w:r>
            <w:hyperlink r:id="rId20">
              <w:r>
                <w:rPr>
                  <w:rStyle w:val="InternetLink"/>
                  <w:rFonts w:ascii="Times New Roman" w:hAnsi="Times New Roman"/>
                  <w:sz w:val="20"/>
                </w:rPr>
                <w:t>Exhibit 4.2</w:t>
              </w:r>
            </w:hyperlink>
            <w:r>
              <w:rPr>
                <w:rFonts w:ascii="Times New Roman" w:hAnsi="Times New Roman"/>
                <w:sz w:val="20"/>
              </w:rPr>
              <w:t xml:space="preserve"> to our Annual Report on </w:t>
            </w:r>
            <w:hyperlink r:id="rId21">
              <w:r>
                <w:rPr>
                  <w:rStyle w:val="InternetLink"/>
                  <w:rFonts w:ascii="Times New Roman" w:hAnsi="Times New Roman"/>
                  <w:sz w:val="20"/>
                </w:rPr>
                <w:t>Form 10-K</w:t>
              </w:r>
            </w:hyperlink>
            <w:r>
              <w:rPr>
                <w:rFonts w:ascii="Times New Roman" w:hAnsi="Times New Roman"/>
                <w:sz w:val="20"/>
              </w:rPr>
              <w:t xml:space="preserve"> for the year ended December 31, 2025, as filed with the SEC on March 5,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reports and other documents filed by us pursuant to the Exchange Act after the date of this prospectus supplement and prior to the termination or completion of the offering of securities under this prospectus supplement shall be deemed to be incorporated by reference into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registration statement of which this prospectus supplement is a part.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phone number: </w:t>
      </w:r>
    </w:p>
    <w:p>
      <w:pPr>
        <w:pStyle w:val="TextBody"/>
        <w:bidi w:val="0"/>
        <w:spacing w:before="240" w:after="0"/>
        <w:jc w:val="center"/>
        <w:rPr>
          <w:rFonts w:ascii="Times New Roman" w:hAnsi="Times New Roman"/>
          <w:sz w:val="20"/>
        </w:rPr>
      </w:pPr>
      <w:r>
        <w:rPr>
          <w:rFonts w:ascii="Times New Roman" w:hAnsi="Times New Roman"/>
          <w:sz w:val="20"/>
        </w:rPr>
        <w:t xml:space="preserve">Tango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201 Brookline Ave., Suite 901 </w:t>
      </w:r>
    </w:p>
    <w:p>
      <w:pPr>
        <w:pStyle w:val="TextBody"/>
        <w:bidi w:val="0"/>
        <w:spacing w:before="0" w:after="0"/>
        <w:jc w:val="center"/>
        <w:rPr>
          <w:rFonts w:ascii="Times New Roman" w:hAnsi="Times New Roman"/>
          <w:sz w:val="20"/>
        </w:rPr>
      </w:pPr>
      <w:r>
        <w:rPr>
          <w:rFonts w:ascii="Times New Roman" w:hAnsi="Times New Roman"/>
          <w:sz w:val="20"/>
        </w:rPr>
        <w:t xml:space="preserve">Boston, MA 02215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Secretary </w:t>
      </w:r>
    </w:p>
    <w:p>
      <w:pPr>
        <w:pStyle w:val="TextBody"/>
        <w:bidi w:val="0"/>
        <w:spacing w:before="0" w:after="0"/>
        <w:jc w:val="center"/>
        <w:rPr>
          <w:rFonts w:ascii="Times New Roman" w:hAnsi="Times New Roman"/>
          <w:sz w:val="20"/>
        </w:rPr>
      </w:pPr>
      <w:r>
        <w:rPr>
          <w:rFonts w:ascii="Times New Roman" w:hAnsi="Times New Roman"/>
          <w:sz w:val="20"/>
        </w:rPr>
        <w:t>857-320-4900</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22855" cy="7600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2"/>
                    <a:stretch>
                      <a:fillRect/>
                    </a:stretch>
                  </pic:blipFill>
                  <pic:spPr bwMode="auto">
                    <a:xfrm>
                      <a:off x="0" y="0"/>
                      <a:ext cx="2522855" cy="7600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Tango Therapeutics,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from time to time issue, in one or more series or classes, shares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to this prospectus and any related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offer these securities separately or together in units. Each time we sell securities described herein, we will provide prospective investors with a supplement to this prospectus that will specify the terms of the securities being offered. See “Plan of Distribution” in this prospectus. We may sell these securities to or through underwriters or dealers and also to other purchasers or through agents. We will set forth the names of any underwriters or agents, and any fees, conversions, or discount arrangements, in the applicable prospectus supplement. We may not sell any securities under this prospectus without delivery of the applicable prospectus supplement. You should read this document and any prospectus supplement or amendment carefully before you invest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“TNGX.” On November 20, 2025, the closing price for our common stock, as reported on The Nasdaq Global Market, was $8.90 per share. </w:t>
      </w:r>
    </w:p>
    <w:p>
      <w:pPr>
        <w:pStyle w:val="TextBody"/>
        <w:bidi w:val="0"/>
        <w:spacing w:before="240" w:after="0"/>
        <w:jc w:val="left"/>
        <w:rPr/>
      </w:pPr>
      <w:r>
        <w:rPr>
          <w:rFonts w:ascii="Times New Roman" w:hAnsi="Times New Roman"/>
          <w:b/>
          <w:sz w:val="24"/>
        </w:rPr>
        <w:t>Investing in these securities involves certain risks. See “</w:t>
      </w:r>
      <w:hyperlink w:anchor="toc133418_2">
        <w:r>
          <w:rPr>
            <w:rStyle w:val="InternetLink"/>
            <w:rFonts w:ascii="Times New Roman" w:hAnsi="Times New Roman"/>
            <w:b/>
            <w:sz w:val="24"/>
          </w:rPr>
          <w:t>Risk Factors</w:t>
        </w:r>
      </w:hyperlink>
      <w:r>
        <w:rPr>
          <w:rFonts w:ascii="Times New Roman" w:hAnsi="Times New Roman"/>
          <w:b/>
          <w:sz w:val="24"/>
        </w:rPr>
        <w:t xml:space="preserve">” on page 3 of this prospectus as well as those included in any accompanying prospectus supplement and in the documents incorporated by reference in this prospectus for a discussion of the factors you should carefully consider before deciding to purchase these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sz w:val="20"/>
        </w:rPr>
      </w:pPr>
      <w:r>
        <w:rPr>
          <w:rFonts w:ascii="Times New Roman" w:hAnsi="Times New Roman"/>
          <w:sz w:val="20"/>
        </w:rPr>
        <w:t xml:space="preserve">The date of this prospectus is November 21,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133418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33418_2">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33418_3">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33418_4">
              <w:r>
                <w:rPr>
                  <w:rStyle w:val="InternetLink"/>
                  <w:rFonts w:ascii="Times New Roman" w:hAnsi="Times New Roman"/>
                  <w:sz w:val="20"/>
                </w:rPr>
                <w:t>OUR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33418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33418_6">
              <w:r>
                <w:rPr>
                  <w:rStyle w:val="InternetLink"/>
                  <w:rFonts w:ascii="Times New Roman" w:hAnsi="Times New Roman"/>
                  <w:sz w:val="20"/>
                </w:rPr>
                <w:t>SECURITIES THAT MAY BE OFFERED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33418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33418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33418_9">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33418_10">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33418_11">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33418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33418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33418_14">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33418_15">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33418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 that we filed with the Securities and Exchange Commission, which we refer to as the “SEC,” as a “well-known seasoned issuer” as defined in Rule 405 under the Securities Act of 1933, as amended (the “Securities Act”). Under this shelf registration process, we and/or selling stockholders may from time to time sell any combination of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This prospectus provides you with a general description of the securities we and/or selling stockholders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This prospectus, together with any accompanying prospectus supplement and any free writing prospectus that we have authorized for use in connection with a specific offering, contains important information you should know before investing in our securities, including important information about us and the securities being offered. You should read both this prospectus and the accompanying prospectus supplement (and any free writing prospectus) together with the additional information described under the headings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beginning on page 29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any accompanying prospectus supplement or in any related free writing prospectus filed by us with the SEC. We have not authorized anyone to provide you with different or additional information. If anyone provides you with different, additional or inconsistent information, you should not rely on it. We do not take responsibility for, and can provide no assurance as to the reliability of, any information that others may give you. This prospectus and the accompanying prospectus supplement (and any free writing prospectus)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regardless of the time of delivery of this prospectus, any applicable prospectus supplement or any sale of securities. Our business, financial condition, results of operations and prospects may have changed materially since those dates. This prospectus, any applicable prospectus supplement and the information incorporated herein or therein by reference (or in any free writing prospectus) contains market data, industry statistics and other data that have been obtained or compiled from information made available by independent third parties. The industry in which we operate is subject to a high degree of uncertainty and risk due to a variety of factors, including those described in the section entitled “Risk Factors” of our most recent Annual Report on Form 10-K. These and other factors could cause the estimates to differ materially from those expressed in these publications.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OFFER AND SELL SECURITIES UNLESS IT IS ACCOMPANIED BY AN ADDITIONAL PROSPECTUS OR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the context otherwise requires, references to “Tango,” “company,” “we,” “us” and “our” refer to Tango Therapeutics, Inc. and, where appropriate,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were formerly known as BCTG Acquisition Corp. (“BCTG”) and were incorporated in Delaware in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 We own various U.S. federal trademark applications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33418_2"/>
      <w:bookmarkEnd w:id="1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consider the risks set forth in our filings with the SEC that are incorporated by reference herein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our most recent Annual Report on Form 10-K, our Quarterly Reports on Form 10-Q and our Current Reports on Form 8-K and the other documents we file with the SEC that are deemed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33418_3"/>
      <w:bookmarkEnd w:id="18"/>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that we incorporate by reference,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“will,” “could,” “should,” “expect,” “intend,” “plan,” “anticipate,” “believe,” “estimate,” “predict,” “potential,” “project,” “seek,” “endeavor,” “target,”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dose escalations, and initiation and completion of studies or clinical trials (including combination trials), plans for initiating a registrational trial for vopimetostat (TNG462) in 2026 and the continued enrollment in our vopimetostat monotherapy and combination clinical trials (and related preparatory work for each), plans for the TNG456 clinical trial, and the period during which the results of our clinical trials (including initial and final trial results) will become available (such as the clinical data update from the lung cohort of the ongoing Phase 1/2 clinical trial in vopimetostat expected in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discover and develop product candidates efficiently (including the advancement of development candidates on the timelines identified and the ability to identify and contract with clinical trial sites and investigators to use our product candidates in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potential (or those of third parties) to manufacture our drug product, drug substance and product candidates successfully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and willingness of our third-party strategic collaborators to continue research and development activities relating to our development candidates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into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if approved, maintain regulatory approval of our product candidates (as well as approval or clearance of screening tests and companion diagnostic tests for our product candidates) and the potential paths to approval our product candidates, including for vopimetostat as a monotherapy or in combination in MTAP-deleted pancreatic and lung cancer;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and our ability to enforce our intellectual property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capital requirements, and our need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agreements, our ability to enter into strategic collaborations or arrangements,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commercialization of product candidates (if approved) and any other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including the expectation that we will continue to incur operating losses and negative cash flow;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including product approval requirements and pricing regulations by U.S. regulatory authorities (such as the Centers for Medicare &amp; Medicaid Services) and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(or the ability of third parties with whom we contract) to produce our products or product candidates with advantages in turnaround times or manufacturing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deliver the deep, durable target inhibition—with favorable tolerability and safety profiles—necessary to maximize clinical benefit as a result of the unique ability of synthetic lethal targeting to spare normal cells, as well as 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trade restrictions (such as sanctions or tariffs); regulatory requirements, legal actions, or enforcement; inflation rates; and inadequate funding for government agencies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public health crises on our business operations, including but not limited to our preclinical studies and clinical trials and any future studies or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benefits of the use of our drugs in patients as single agents and/or in combination, including our belief that TNG456 has sufficient brain penetrance to potentially have meaningful efficacy in glioblastoma and our expectations regarding future clinical trials, including our belief that the ongoing Phase 1/2 combination study of vopimetostat and RAS(ON) inhibitors has the potential to support a first line pancreatic cancer pivotal study in MTAP-deleted/RAS mutated patients;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risks and uncertainties, including those under the caption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time-to-time provide estimates, projections and other information concerning our industry, our financial performance, our business and the markets for our programs, product candidates and collaborations.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under “Item 1A: Risk Factors” and elsewhere in our most recent Annual Report on Form 10-K, our subsequent Quarterly Reports on Form 10-Q and our Current Reports on Form 8-K, and the section of any accompanying prospectus supplement entitled “</w:t>
      </w:r>
      <w:r>
        <w:rPr>
          <w:rFonts w:ascii="Times New Roman" w:hAnsi="Times New Roman"/>
          <w:i/>
          <w:sz w:val="20"/>
        </w:rPr>
        <w:t>Risk Factors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33418_4"/>
      <w:bookmarkEnd w:id="19"/>
      <w:r>
        <w:rPr>
          <w:rFonts w:ascii="Times New Roman" w:hAnsi="Times New Roman"/>
          <w:b/>
          <w:sz w:val="20"/>
        </w:rPr>
        <w:t xml:space="preserve">OUR COMPANY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Tango Therapeutics was founded with a clear mission: to discover the next wave of targeted therapies in oncology by addressing the specific genetic alterations that drive cancer. We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 </w:t>
      </w:r>
    </w:p>
    <w:p>
      <w:pPr>
        <w:pStyle w:val="TextBody"/>
        <w:bidi w:val="0"/>
        <w:spacing w:before="240" w:after="0"/>
        <w:jc w:val="left"/>
        <w:rPr>
          <w:rFonts w:ascii="Times New Roman" w:hAnsi="Times New Roman"/>
          <w:sz w:val="20"/>
        </w:rPr>
      </w:pPr>
      <w:r>
        <w:rPr>
          <w:rFonts w:ascii="Times New Roman" w:hAnsi="Times New Roman"/>
          <w:sz w:val="20"/>
        </w:rPr>
        <w:t>We are currently developing two methylthioadenosine phosphorylase (MTAP)-deleted selective PRMT5 inhibitors: vopimetostat (TNG462) for non-CNS cancers, including pancreatic and lung cancer, and TNG456, our next-generation, brain-penetrant protein arginine methyltransferase 5 (PRMT5) inhibitor, for central nervous system (“CNS”) cancers, including glioblastoma (GBM).</w:t>
      </w:r>
    </w:p>
    <w:p>
      <w:pPr>
        <w:pStyle w:val="TextBody"/>
        <w:bidi w:val="0"/>
        <w:spacing w:before="240" w:after="0"/>
        <w:jc w:val="left"/>
        <w:rPr>
          <w:rFonts w:ascii="Times New Roman" w:hAnsi="Times New Roman"/>
          <w:sz w:val="20"/>
        </w:rPr>
      </w:pPr>
      <w:r>
        <w:rPr>
          <w:rFonts w:ascii="Times New Roman" w:hAnsi="Times New Roman"/>
          <w:sz w:val="20"/>
        </w:rPr>
        <w:t xml:space="preserve">In October 2025, we reported positive data from the ongoing Phase 1/2 clinical trial of vopimetostat in patients with MTAP-deleted selective cancers, demonstrating clinical activity across multiple cancer types with a favorable safety and tolerability profile to date. The cutoff date for the analysis was September 1, 2025 and included all evaluable patients at active doses (200 mg QD and above). Overall response rates were calculated in all tumor-evaluable patients enrolled more than 6 months prior to the efficacy analysis. Median progression free survival (mPFS) was calculated in all patients who received a first scan (~8 weeks). </w:t>
      </w:r>
    </w:p>
    <w:p>
      <w:pPr>
        <w:pStyle w:val="TextBody"/>
        <w:bidi w:val="0"/>
        <w:spacing w:before="240" w:after="0"/>
        <w:jc w:val="left"/>
        <w:rPr>
          <w:rFonts w:ascii="Times New Roman" w:hAnsi="Times New Roman"/>
          <w:sz w:val="20"/>
        </w:rPr>
      </w:pPr>
      <w:r>
        <w:rPr>
          <w:rFonts w:ascii="Times New Roman" w:hAnsi="Times New Roman"/>
          <w:sz w:val="20"/>
        </w:rPr>
        <w:t>Across all MTAP-deleted tumor types, there were 94 tumor evaluable patients. We observed an ORR (objective response rate) of 27% and mPFS of 6.4 months. In the 29 patients with second line (2L) MTAP-deleted pancreatic cancer, mPFS was 7.2 months. In patients with 2L pancreatic cancer that were enrolled more than 6 months prior to the data cutoff and were tumor evaluable (n=8), the ORR was 25%, more than double that observed in historical chemotherapy studies (~10%), supporting the planned initiation of a pivotal trial in this patient population in 2026. In the histology selective cohort with 37 evaluable late line patients, we observed a 49% ORR and mPFS of 9.1 months. The histology selective cohort excludes pancreatic and lung cancer patients, as those indications were enrolled in separate cohorts and are being developed independently. Sarcoma patients are also excluded from this analysis, as no activity was observed in this indication (ORR 0%), which will not be pursued in future development. As of September 1, 2025, 41 patients with 2L+ lung cancer were enrolled in the Phase 1/2 clinical trial at active doses, 12 of whom were enrolled more than 6 months prior to the analysis. Emerging data from the lung cohort are consistent with expectations, and we anticipate providing a safety and efficacy update in 2026.</w:t>
      </w:r>
    </w:p>
    <w:p>
      <w:pPr>
        <w:pStyle w:val="TextBody"/>
        <w:bidi w:val="0"/>
        <w:spacing w:before="240" w:after="0"/>
        <w:jc w:val="left"/>
        <w:rPr>
          <w:rFonts w:ascii="Times New Roman" w:hAnsi="Times New Roman"/>
          <w:sz w:val="20"/>
        </w:rPr>
      </w:pPr>
      <w:r>
        <w:rPr>
          <w:rFonts w:ascii="Times New Roman" w:hAnsi="Times New Roman"/>
          <w:sz w:val="20"/>
        </w:rPr>
        <w:t xml:space="preserve">Additionally, vopimetostat demonstrated a favorable safety and tolerability profile with no drug-related dose discontinuations and ~8% dose reduction in patients dosed at 250 mg QD as of the data cutoff date. We have FDA agreement on 250 mg QD as the go-forward dose. </w:t>
      </w:r>
    </w:p>
    <w:p>
      <w:pPr>
        <w:pStyle w:val="TextBody"/>
        <w:bidi w:val="0"/>
        <w:spacing w:before="240" w:after="0"/>
        <w:jc w:val="left"/>
        <w:rPr>
          <w:rFonts w:ascii="Times New Roman" w:hAnsi="Times New Roman"/>
          <w:sz w:val="20"/>
        </w:rPr>
      </w:pPr>
      <w:r>
        <w:rPr>
          <w:rFonts w:ascii="Times New Roman" w:hAnsi="Times New Roman"/>
          <w:sz w:val="20"/>
        </w:rPr>
        <w:t xml:space="preserve">In June 2025, the first patient was treated in the combination clinical trial that is evaluating vopimetostat with the RAS(ON) multi-selective inhibitor, daraxonrasib, and RAS(ON) G12D-selective inhibitor, zoldonrasib (Revolution Medicines). In the first cohort in the trial (n=7), both combinations have been well-tolerated to date with exposures in the active range for all compounds and early signs of activity. We believe this ongoing clinical trial has the potential to support a first line pancreatic cancer pivotal study in MTAP-deleted/RAS mutated patients. </w:t>
      </w:r>
    </w:p>
    <w:p>
      <w:pPr>
        <w:pStyle w:val="TextBody"/>
        <w:bidi w:val="0"/>
        <w:spacing w:before="240" w:after="0"/>
        <w:jc w:val="left"/>
        <w:rPr>
          <w:rFonts w:ascii="Times New Roman" w:hAnsi="Times New Roman"/>
          <w:sz w:val="20"/>
        </w:rPr>
      </w:pPr>
      <w:r>
        <w:rPr>
          <w:rFonts w:ascii="Times New Roman" w:hAnsi="Times New Roman"/>
          <w:sz w:val="20"/>
        </w:rPr>
        <w:t xml:space="preserve">In May 2025, the first patient was treated with TNG456 in the dose escalation portion of the Phase 1/2 clinical trial to evaluate the safety, pharmacokinetics, pharmacodynamics and antitumor activity of TNG456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monotherapy. The trial is currently enrolling patients with MTAP-deleted solid tumors, with a focus on GBM. Preclinical data for TNG456 showed favorable potency and MTAP selectivity and sufficient brain penetrance to potentially have meaningful efficacy in GBM. </w:t>
      </w:r>
    </w:p>
    <w:p>
      <w:pPr>
        <w:pStyle w:val="TextBody"/>
        <w:bidi w:val="0"/>
        <w:spacing w:before="240" w:after="0"/>
        <w:jc w:val="left"/>
        <w:rPr>
          <w:rFonts w:ascii="Times New Roman" w:hAnsi="Times New Roman"/>
          <w:sz w:val="20"/>
        </w:rPr>
      </w:pPr>
      <w:r>
        <w:rPr>
          <w:rFonts w:ascii="Times New Roman" w:hAnsi="Times New Roman"/>
          <w:sz w:val="20"/>
        </w:rPr>
        <w:t>TNG260 is a first-in-class Co-repressor of Repressor Element-1 Silencing Transcription (CoREST) inhibitor, which in preclinical studies reversed the immune evasion effect of serine-threonine kinase 11 (STK11) loss-of-function mutations. TNG260 had a favorable safety, tolerability and pharmacokinetic profile in dose escalation. In November 2025, we announced that forty-one patients with STK11-mutant, locally advanced or metastatic solid tumors were enrolled in three dose escalation cohorts of the Phase 1/2 clinical trial. 21/41 patients were evaluable at active doses. The maximum tolerated dose (MTD) was 80 mg QD. Patients with checkpoint inhibitor resistant STK11 mutant/KRAS wild-type NSCLC receiving clinically active doses of TNG260 plus pembrolizumab had a mPFS of 27 weeks (n=5), more than double the standard of care PFS of ~10 weeks. There was no evidence of activity in other STK11 mutant cancers. 80 mg QD TNG260 was selected for dose optimization, which is ongoing for patients with advanced STK11 mutant/KRAS wild type NSCLC, representing ~10% of lung adenocarcinoma annually in the US (~10,000 patients).</w:t>
      </w:r>
    </w:p>
    <w:p>
      <w:pPr>
        <w:pStyle w:val="TextBody"/>
        <w:bidi w:val="0"/>
        <w:spacing w:before="240" w:after="0"/>
        <w:jc w:val="left"/>
        <w:rPr>
          <w:rFonts w:ascii="Times New Roman" w:hAnsi="Times New Roman"/>
          <w:sz w:val="20"/>
        </w:rPr>
      </w:pPr>
      <w:r>
        <w:rPr>
          <w:rFonts w:ascii="Times New Roman" w:hAnsi="Times New Roman"/>
          <w:sz w:val="20"/>
        </w:rPr>
        <w:t xml:space="preserve">TNG961 is a development candidate targeting HBS1L in focadhesin (FOCAD)-deleted solid tumors. FOCAD deletion occurs in 20-40% of all MTAP-deleted cancers. FOCAD deletion is common in NSCLC, occurring in ~5% of these patients. 20-40% of cancers with MTAP deletion have a coincident FOCAD deletion on chromosome 9, and cancers with FOCAD deletion are dependent on HBS1L for mRNA processing, thus protein synthesis. By degrading HBS1L and disrupting the HBS1L/PELO complex, TNG961 causes tumor regression in FOCAD-deleted preclinical models of multiple histologies.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History and Information </w:t>
      </w:r>
    </w:p>
    <w:p>
      <w:pPr>
        <w:pStyle w:val="TextBody"/>
        <w:bidi w:val="0"/>
        <w:spacing w:before="120" w:after="0"/>
        <w:jc w:val="left"/>
        <w:rPr>
          <w:rFonts w:ascii="Times New Roman" w:hAnsi="Times New Roman"/>
          <w:sz w:val="20"/>
        </w:rPr>
      </w:pPr>
      <w:r>
        <w:rPr>
          <w:rFonts w:ascii="Times New Roman" w:hAnsi="Times New Roman"/>
          <w:sz w:val="20"/>
        </w:rPr>
        <w:t xml:space="preserve">Tango Therapeutics, Inc. was incorporated in Delaware on May 21, 2020 under the name BCTG Acquisition Corp. On April 13, 2021, BCTG Acquisition Corp., BCTG Merger Sub Inc. and Tango Therapeutics, Inc. (now known as Tango Therapeutics Sub, Inc.) signed a definitive merger agreement (the “Merger Agreement”). Tango Therapeutics, Inc., prior to August 10, 2021, is referred to herein as Old Tango. Pursuant to the Merger Agreement, the business combination (“Business Combination”) was approved on August 9, 2021 by shareholders of BCTG Acquisition Corp. (“BCTG”), resulting in BCTG acquiring 100% of Old Tango’s issued and outstanding equity securities on August 10, 2021. As a result of the Business Combination, Tango Therapeutics, Inc. was renamed Tango Therapeutics Sub, Inc. (and is sometimes referred to as Old Tango) and BCTG was renamed “Tango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Our principal corporate office is located at 201 Brookline Avenue, Suite 901, Boston, MA 02215, and our telephone number is 857-320-4900. Our website address is https://tangotx.com. We do not incorporate the information on or accessible through our website into this prospectus, and you should not consider any information on, or that can be accessed through, our website as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33418_5"/>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the sale of any security under this prospectus primarily for general corporate purposes, including funding working capital, operating expenses and to fund the research and development of our product candidates, including manufacturing and clinical trial expenses. We may also use the proceeds to make acquisitions or investments in businesses, products or technologies that are complementary to our own, although we have no current plans, commitments or agreements with respect to any acquisitions as of the date of this prospectus. Pending these uses, we may invest the net proceeds from this offering in short-term U.S. Treasury securities or other securities in accordance with our investment policy, or may hold such proceeds as cash, until they are used for their stated purpose. We have not determined the amount of net proceeds to be used specifically for such purposes. As a result, management will retain broad discretion over the allocation of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33418_6"/>
      <w:bookmarkEnd w:id="21"/>
      <w:r>
        <w:rPr>
          <w:rFonts w:ascii="Times New Roman" w:hAnsi="Times New Roman"/>
          <w:b/>
          <w:sz w:val="20"/>
        </w:rPr>
        <w:t xml:space="preserve">SECURITIES THAT MAY BE OFFERED </w:t>
      </w:r>
    </w:p>
    <w:p>
      <w:pPr>
        <w:pStyle w:val="TextBody"/>
        <w:bidi w:val="0"/>
        <w:spacing w:before="240" w:after="0"/>
        <w:jc w:val="left"/>
        <w:rPr>
          <w:rFonts w:ascii="Times New Roman" w:hAnsi="Times New Roman"/>
          <w:sz w:val="20"/>
        </w:rPr>
      </w:pPr>
      <w:r>
        <w:rPr>
          <w:rFonts w:ascii="Times New Roman" w:hAnsi="Times New Roman"/>
          <w:sz w:val="20"/>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We may sell the securities to or through underwriters, dealers or agents, directly to purchasers or through a combination of any of these methods of sale or as otherwise set forth below under “</w:t>
      </w:r>
      <w:r>
        <w:rPr>
          <w:rFonts w:ascii="Times New Roman" w:hAnsi="Times New Roman"/>
          <w:i/>
          <w:sz w:val="20"/>
        </w:rPr>
        <w:t>Plan of Distribution</w:t>
      </w:r>
      <w:r>
        <w:rPr>
          <w:rFonts w:ascii="Times New Roman" w:hAnsi="Times New Roman"/>
          <w:sz w:val="20"/>
        </w:rPr>
        <w:t xml:space="preserve">.”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33418_7"/>
      <w:bookmarkEnd w:id="22"/>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capital stock is intended as a summary only and therefore is not a complete description of our capital stock. This description is based upon, and is qualified by reference to, our certificate of incorporation, our bylaws, and applicable provisions of Delaware corporate law. You should read our certificate of incorporation and our bylaws, in each case, as amended and supplemented, which are filed as exhibits to the registration statement of which this prospectus forms a part, for the provisions that are important to you.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and Outstanding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authorizes the issuance of 410,000,000 shares, consisting of 400,000,000 shares of common stock, $0.001 par value per share, and 10,000,000 shares of preferred stock, $0.001 par value, all of which shares of preferred stock are undesignated.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the following with respect to the rights, powers, preferences and privileges of the common stock. </w:t>
      </w:r>
    </w:p>
    <w:p>
      <w:pPr>
        <w:pStyle w:val="TextBody"/>
        <w:bidi w:val="0"/>
        <w:spacing w:before="240" w:after="0"/>
        <w:jc w:val="left"/>
        <w:rPr>
          <w:rFonts w:ascii="Times New Roman" w:hAnsi="Times New Roman"/>
          <w:sz w:val="20"/>
        </w:rPr>
      </w:pPr>
      <w:r>
        <w:rPr>
          <w:rFonts w:ascii="Times New Roman" w:hAnsi="Times New Roman"/>
          <w:i/>
          <w:sz w:val="20"/>
        </w:rPr>
        <w:t xml:space="preserve">Voting Power. </w:t>
      </w:r>
      <w:r>
        <w:rPr>
          <w:rFonts w:ascii="Times New Roman" w:hAnsi="Times New Roman"/>
          <w:sz w:val="20"/>
        </w:rPr>
        <w:t xml:space="preserve">Except as otherwise required by law or as otherwise provided in any certificate of designation for any series of preferred stock, the holders of common stock possess all voting power for the election of Tango’s directors and all other matters requiring stockholder action. Holders of common stock are entitled to one vote per share on matters to be voted on by stockholders. </w:t>
      </w:r>
    </w:p>
    <w:p>
      <w:pPr>
        <w:pStyle w:val="TextBody"/>
        <w:bidi w:val="0"/>
        <w:spacing w:before="240" w:after="0"/>
        <w:jc w:val="left"/>
        <w:rPr>
          <w:rFonts w:ascii="Times New Roman" w:hAnsi="Times New Roman"/>
          <w:sz w:val="20"/>
        </w:rPr>
      </w:pPr>
      <w:r>
        <w:rPr>
          <w:rFonts w:ascii="Times New Roman" w:hAnsi="Times New Roman"/>
          <w:i/>
          <w:sz w:val="20"/>
        </w:rPr>
        <w:t xml:space="preserve">Dividends. </w:t>
      </w:r>
      <w:r>
        <w:rPr>
          <w:rFonts w:ascii="Times New Roman" w:hAnsi="Times New Roman"/>
          <w:sz w:val="20"/>
        </w:rPr>
        <w:t xml:space="preserve">Holders of common stock will be entitled to receive such dividends, if any, as may be declared from time to time by our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 </w:t>
      </w:r>
    </w:p>
    <w:p>
      <w:pPr>
        <w:pStyle w:val="TextBody"/>
        <w:bidi w:val="0"/>
        <w:spacing w:before="240" w:after="0"/>
        <w:jc w:val="left"/>
        <w:rPr>
          <w:rFonts w:ascii="Times New Roman" w:hAnsi="Times New Roman"/>
          <w:sz w:val="20"/>
        </w:rPr>
      </w:pPr>
      <w:r>
        <w:rPr>
          <w:rFonts w:ascii="Times New Roman" w:hAnsi="Times New Roman"/>
          <w:i/>
          <w:sz w:val="20"/>
        </w:rPr>
        <w:t xml:space="preserve">Liquidation, Dissolution and Winding Up. </w:t>
      </w:r>
      <w:r>
        <w:rPr>
          <w:rFonts w:ascii="Times New Roman" w:hAnsi="Times New Roman"/>
          <w:sz w:val="20"/>
        </w:rPr>
        <w:t xml:space="preserve">In the event of Tango’s voluntary or involuntary liquidation, dissolution, distribution of assets or winding-up, the holders of the common stock will be entitled to receive an equal amount per share of all of Tango’s assets of whatever kind available for distribution to stockholders, after the rights of the holders of the preferred stock have been satisfied. </w:t>
      </w:r>
    </w:p>
    <w:p>
      <w:pPr>
        <w:pStyle w:val="TextBody"/>
        <w:bidi w:val="0"/>
        <w:spacing w:before="240" w:after="0"/>
        <w:jc w:val="left"/>
        <w:rPr>
          <w:rFonts w:ascii="Times New Roman" w:hAnsi="Times New Roman"/>
          <w:sz w:val="20"/>
        </w:rPr>
      </w:pPr>
      <w:r>
        <w:rPr>
          <w:rFonts w:ascii="Times New Roman" w:hAnsi="Times New Roman"/>
          <w:i/>
          <w:sz w:val="20"/>
        </w:rPr>
        <w:t xml:space="preserve">Preemptive or Other Rights. </w:t>
      </w:r>
      <w:r>
        <w:rPr>
          <w:rFonts w:ascii="Times New Roman" w:hAnsi="Times New Roman"/>
          <w:sz w:val="20"/>
        </w:rPr>
        <w:t xml:space="preserve">Our common stock has no preemptive rights, conversion rights or other subscription rights or redemption or sinking fund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Listing of Securities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“TNGX”.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for our common stock is Computershare Trust Company, N.A.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the likelihood that such holders will receive dividend payments and payments upon our liquidation. In addition, the issuance of preferred stock could have the effect of delaying, deferring or preventing a change in control of our company or other corporate action. No shares of convertible preferred stock are outstanding, and we have no present plan to issue any shares of convertible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stockholders (“Holders”) hold registration rights pursuant to an amended and restated registration and stockholder rights agreement (the “Amended and Restated Registration and Stockholder Rights Agreement”). Stockholders holding a majority-in-interest of such registrable securities are entitled to make a written demand for registration under the Securities Act of 1933, as amended (the “Securities Act”), of all or part of their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Amended and Restated Registration and Stockholder Rights Agreement provides for the following registration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Shelf registration/demand registration rights</w:t>
            </w:r>
            <w:r>
              <w:rPr>
                <w:rFonts w:ascii="Times New Roman" w:hAnsi="Times New Roman"/>
                <w:sz w:val="20"/>
              </w:rPr>
              <w:t xml:space="preserve">. At any time and from time to time when an effective shelf registration statement is on file 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Piggyback registration rights</w:t>
            </w:r>
            <w:r>
              <w:rPr>
                <w:rFonts w:ascii="Times New Roman" w:hAnsi="Times New Roman"/>
                <w:sz w:val="20"/>
              </w:rPr>
              <w:t xml:space="preserve">. Subject to exceptions for certain offerings and registration statements, if at any time, we propose to file a registration statement under the Securities Act, in connection with an offering of our equity securities or securities or other obligations exercisable or exchangeable for, or convertible into, our equity securities, either for our own account or for the account of other stockholders, the Holders are entitled to include their registrable securities in such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Indemnification</w:t>
            </w:r>
            <w:r>
              <w:rPr>
                <w:rFonts w:ascii="Times New Roman" w:hAnsi="Times New Roman"/>
                <w:sz w:val="20"/>
              </w:rPr>
              <w:t xml:space="preserve">. The Amended and Restated Registration and Stockholder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Expiration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rights granted under the Amended and Restated Registration and Stockholder Rights Agreement will terminate on the earlier of (i) the 10th anniversary of the date of the agreement and (ii) with respect to any Holder, on the date that such Holder no longer holds any Registrable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Certificate of Incorporation and Bylaws and Delaware Law </w:t>
      </w:r>
    </w:p>
    <w:p>
      <w:pPr>
        <w:pStyle w:val="TextBody"/>
        <w:bidi w:val="0"/>
        <w:spacing w:before="120" w:after="0"/>
        <w:jc w:val="left"/>
        <w:rPr>
          <w:rFonts w:ascii="Times New Roman" w:hAnsi="Times New Roman"/>
          <w:b/>
          <w:i/>
          <w:sz w:val="20"/>
        </w:rPr>
      </w:pPr>
      <w:r>
        <w:rPr>
          <w:rFonts w:ascii="Times New Roman" w:hAnsi="Times New Roman"/>
          <w:b/>
          <w:i/>
          <w:sz w:val="20"/>
        </w:rPr>
        <w:t xml:space="preserve">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 our board of directors to issue up to 10,000,000 shares of preferred stock, with any rights, preferences and privileges as they may designate, including the right to approve an acquisition or other change of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the authorized number of directors may be changed only by resolution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subject to the rights of any series of preferred stock to elect directors, directors may be removed only with cause by the holders of at least two thirds (2/3) of all of our then-outstanding shares of the capital stock entitled to vote generally at an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 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special meetings of our stockholders may be called by our board of directors pursuant to a resolution adopted by a majority of the directors then in office;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board of directors will be divided into three classes of directors, and with the directors serving three-year terms, therefore making it more difficult for stockholders to change the composition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provide for cumulative voting rights, therefore allowing the holders of a majority of the shares of common stock entitled to vote in any election of directors to elect all of the directors standing for election, if they should so choose.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Law </w:t>
      </w:r>
    </w:p>
    <w:p>
      <w:pPr>
        <w:pStyle w:val="TextBody"/>
        <w:bidi w:val="0"/>
        <w:spacing w:before="120" w:after="0"/>
        <w:jc w:val="left"/>
        <w:rPr>
          <w:rFonts w:ascii="Times New Roman" w:hAnsi="Times New Roman"/>
          <w:sz w:val="20"/>
        </w:rPr>
      </w:pPr>
      <w:r>
        <w:rPr>
          <w:rFonts w:ascii="Times New Roman" w:hAnsi="Times New Roman"/>
          <w:sz w:val="20"/>
        </w:rPr>
        <w:t xml:space="preserve">Tango has opted out of Section 203 of the Delaware General Corporation Law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of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Our bylaws require, to the fullest extent permitted by law, unless we consent in writing to the selection of an alternative forum, that derivative actions brought in the name of Tango, actions against any current or former directors, officers and employees for breach of fiduciary duty, actions asserting a claim arising pursuant to any provision of the DGCL or our certificate of incorporation or our bylaws, actions to interpret, apply, enforce or determine the validity of our certificate of incorporation or our bylaws and actions asserting a claim governed by the internal affairs doctrine may be brought only in the Court of Chancery in the State of Delaware (the “Delaware Forum Provision”). The Delaware Forum Provision will not apply to any causes of action arising under the Securities Act and the Securities Exchange Act of 1934. Our bylaws further provide that unless we consent in writing to the selection of an alternative forum, the federal district courts of the United States shall be the sole and exclusive forum for resolving any complaint asserting a cause of action arising under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Any person or entity purchasing or otherwise acquiring any interest in shares of capital stock of Tango shall be deemed to have notice of and consented to this choice of forum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33418_8"/>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any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comply with the provisions described above under “</w:t>
            </w:r>
            <w:r>
              <w:rPr>
                <w:rFonts w:ascii="Times New Roman" w:hAnsi="Times New Roman"/>
                <w:i/>
                <w:sz w:val="20"/>
              </w:rPr>
              <w:t>Description of Debt Securities—Consolidation, Merger or Sale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to provide for the issuance of and establish the form and terms and conditions of the debt securities of any series as provided above under “</w:t>
            </w:r>
            <w:r>
              <w:rPr>
                <w:rFonts w:ascii="Times New Roman" w:hAnsi="Times New Roman"/>
                <w:i/>
                <w:sz w:val="20"/>
              </w:rPr>
              <w:t>Description of Debt Securities—General</w:t>
            </w:r>
            <w:r>
              <w:rPr>
                <w:rFonts w:ascii="Times New Roman" w:hAnsi="Times New Roman"/>
                <w:sz w:val="20"/>
              </w:rPr>
              <w:t xml:space="preserve">”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laws of the state of New York, except to the extent that the Trust Indenture Act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133418_9"/>
      <w:bookmarkEnd w:id="24"/>
      <w:r>
        <w:rPr>
          <w:rFonts w:ascii="Times New Roman" w:hAnsi="Times New Roman"/>
          <w:b/>
          <w:sz w:val="20"/>
        </w:rPr>
        <w:t xml:space="preserve">DESCRIPTION OF WARRANTS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common stock, preferred stock and/or debt securities in one or more series. We may issue warrants independently or together with common stock, preferred stock and debt securities, and the warrants may be attached to or separate from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periods during which, and places at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33418_10"/>
      <w:bookmarkEnd w:id="25"/>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comprised of one or more of the other securities that may be offered under this prospectus,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United States federal income tax considerations relating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The provisions described in this section, as well as those described under “</w:t>
      </w:r>
      <w:r>
        <w:rPr>
          <w:rFonts w:ascii="Times New Roman" w:hAnsi="Times New Roman"/>
          <w:i/>
          <w:sz w:val="20"/>
        </w:rPr>
        <w:t>Description of Capital Stock</w:t>
      </w:r>
      <w:r>
        <w:rPr>
          <w:rFonts w:ascii="Times New Roman" w:hAnsi="Times New Roman"/>
          <w:sz w:val="20"/>
        </w:rPr>
        <w:t>,” and “</w:t>
      </w:r>
      <w:r>
        <w:rPr>
          <w:rFonts w:ascii="Times New Roman" w:hAnsi="Times New Roman"/>
          <w:i/>
          <w:sz w:val="20"/>
        </w:rPr>
        <w:t>Description of Warrants</w:t>
      </w:r>
      <w:r>
        <w:rPr>
          <w:rFonts w:ascii="Times New Roman" w:hAnsi="Times New Roman"/>
          <w:sz w:val="20"/>
        </w:rPr>
        <w:t xml:space="preserve">” will apply to the securities included in each unit, to the extent relevant and as may be updated in any prospectus supplements.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Unit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provisions will generally apply to all unit agreements unless otherwise stated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Modification without Consent </w:t>
      </w:r>
    </w:p>
    <w:p>
      <w:pPr>
        <w:pStyle w:val="TextBody"/>
        <w:bidi w:val="0"/>
        <w:spacing w:before="120" w:after="0"/>
        <w:jc w:val="left"/>
        <w:rPr>
          <w:rFonts w:ascii="Times New Roman" w:hAnsi="Times New Roman"/>
          <w:sz w:val="20"/>
        </w:rPr>
      </w:pPr>
      <w:r>
        <w:rPr>
          <w:rFonts w:ascii="Times New Roman" w:hAnsi="Times New Roman"/>
          <w:sz w:val="20"/>
        </w:rPr>
        <w:t xml:space="preserve">We and the applicable unit agent may amend any unit or unit agreement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that differ from those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correct or supplement any defective or inconsistent provision;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we believe is necessary or desirable and will not adversely affect the interests of the affected holders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with Consent </w:t>
      </w:r>
    </w:p>
    <w:p>
      <w:pPr>
        <w:pStyle w:val="TextBody"/>
        <w:bidi w:val="0"/>
        <w:spacing w:before="120" w:after="0"/>
        <w:jc w:val="left"/>
        <w:rPr>
          <w:rFonts w:ascii="Times New Roman" w:hAnsi="Times New Roman"/>
          <w:sz w:val="20"/>
        </w:rPr>
      </w:pPr>
      <w:r>
        <w:rPr>
          <w:rFonts w:ascii="Times New Roman" w:hAnsi="Times New Roman"/>
          <w:sz w:val="20"/>
        </w:rPr>
        <w:t xml:space="preserve">We may not amend any particular unit or a unit agreement with respect to any particular unit unless we obtain the consent of the holder of that unit, if the amendment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any right of the holder to exercise or enforce any right under a security included in the unit if the terms of that security require the consent of the holder to any changes that would impair the exercise or enforcement of that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outstanding units or any series or class the consent of whose holders is required to amend that series or class, or the applicable unit agreement with respect to that series or class,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other change to a particular unit agreement and the units issued under that agreement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units of a particular series issued under that agreement, the change must be approved by the holders of a majority of the outstanding units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regarding changes with majority approval also apply to changes affecting any securities issued under a unit agreement, as the governing document.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360" w:after="0"/>
        <w:jc w:val="left"/>
        <w:rPr>
          <w:rFonts w:ascii="Times New Roman" w:hAnsi="Times New Roman"/>
          <w:b/>
          <w:sz w:val="20"/>
        </w:rPr>
      </w:pPr>
      <w:r>
        <w:rPr>
          <w:rFonts w:ascii="Times New Roman" w:hAnsi="Times New Roman"/>
          <w:b/>
          <w:sz w:val="20"/>
        </w:rPr>
        <w:t xml:space="preserve">Unit Agreements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before="360" w:after="0"/>
        <w:jc w:val="left"/>
        <w:rPr>
          <w:rFonts w:ascii="Times New Roman" w:hAnsi="Times New Roman"/>
          <w:b/>
          <w:sz w:val="20"/>
        </w:rPr>
      </w:pPr>
      <w:r>
        <w:rPr>
          <w:rFonts w:ascii="Times New Roman" w:hAnsi="Times New Roman"/>
          <w:b/>
          <w:sz w:val="20"/>
        </w:rPr>
        <w:t xml:space="preserve">Mergers and Similar Transactions Permitted; No Restrictive Covenants or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and assume our obligations under the unit agreements. We will then be relieved of any further obligation under these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and the units will be governed by New York law.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and all securities comprising the unit will be issued in the same form. </w:t>
      </w:r>
    </w:p>
    <w:p>
      <w:pPr>
        <w:pStyle w:val="TextBody"/>
        <w:bidi w:val="0"/>
        <w:spacing w:before="240" w:after="0"/>
        <w:jc w:val="left"/>
        <w:rPr>
          <w:rFonts w:ascii="Times New Roman" w:hAnsi="Times New Roman"/>
          <w:sz w:val="20"/>
        </w:rPr>
      </w:pPr>
      <w:r>
        <w:rPr>
          <w:rFonts w:ascii="Times New Roman" w:hAnsi="Times New Roman"/>
          <w:sz w:val="20"/>
        </w:rPr>
        <w:t xml:space="preserve">If we issue any units in registered, non-global form, the following will apply to them. </w:t>
      </w:r>
    </w:p>
    <w:p>
      <w:pPr>
        <w:pStyle w:val="TextBody"/>
        <w:bidi w:val="0"/>
        <w:spacing w:before="240" w:after="0"/>
        <w:jc w:val="left"/>
        <w:rPr>
          <w:rFonts w:ascii="Times New Roman" w:hAnsi="Times New Roman"/>
          <w:sz w:val="20"/>
        </w:rPr>
      </w:pPr>
      <w:r>
        <w:rPr>
          <w:rFonts w:ascii="Times New Roman" w:hAnsi="Times New Roman"/>
          <w:sz w:val="20"/>
        </w:rPr>
        <w:t xml:space="preserve">The units will be issued in the denominations stated in the applicable prospectus supplement. Holders may exchange their units for units of smaller denominations or combined into fewer units of larger denominations, as long as the total amount is not changed.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may exchange or transfer their units at the office of the unit agent. Holders may also replace lost, stolen, destroyed or mutilated units at that office. We may appoint another entity to perform these functions or perform them ourselves.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the depositary will be entitled to transfer or exchange a unit in global form, since it will be the sole holder of the unit.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and Notices </w:t>
      </w:r>
    </w:p>
    <w:p>
      <w:pPr>
        <w:pStyle w:val="TextBody"/>
        <w:bidi w:val="0"/>
        <w:spacing w:before="120" w:after="0"/>
        <w:jc w:val="left"/>
        <w:rPr>
          <w:rFonts w:ascii="Times New Roman" w:hAnsi="Times New Roman"/>
          <w:sz w:val="20"/>
        </w:rPr>
      </w:pPr>
      <w:r>
        <w:rPr>
          <w:rFonts w:ascii="Times New Roman" w:hAnsi="Times New Roman"/>
          <w:sz w:val="20"/>
        </w:rPr>
        <w:t xml:space="preserve">In making payments and giving notices with respect to our units, we will follow the procedures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33418_11"/>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offered through this prospectus and any accompanying prospectus supplement, if required, in any of the following ways: (i) to or through underwriters or dealers, (ii) directly to purchasers, including our affiliates, (iii) through agents, (iv) in an “at the market offering,” within the meaning of Rule 415(a)(4) of the Securities Act, to or through market makers or into an existing market for the securities; or (v) through a combination of any of these methods or any other method permitted by law. The securities may be distributed at a fixed price or prices, which may be changed, market prices prevailing at the time of sale, prices related to the prevailing market prices, or negotiated prices,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through the facilities of The Nasdaq Global Market or any other securities exchange or quotation or trading service on which such securities may be listed, quoted or traded at the time of sale;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 market maker otherwise than on The Nasdaq Global Market or such other securities exchanges or quotation or trading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third parties in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other than the shares of Common Stock, which are listed on Nasdaq Global Market. The securities may or may not be listed on a national securities exchange. We can make no assurance as to the liquidity of or the existence of trading markets for any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lock-up provisions in respect of any given offering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dealers and agents may engage in transactions with us, or perform services for us, in the ordinary course of business for which they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anticipated date of delivery of offered securities will be set forth in the applicable prospectus supplement relating to each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33418_12"/>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securities in respect of which this prospectus is being delivered will be passed upon by Goodwin Procter LLP, Boston, Massachusetts.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8" w:name="toc133418_13"/>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2024 have been so incorporated in reliance on the report (which contains an emphasis of matter paragraph relating to the Company’s incurrence of significant operating losses and expectation to continue generating operating losses and negative cash flows from operations for the foreseeable future as described in Note 1 to the financial statements)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29" w:name="toc133418_14"/>
      <w:bookmarkEnd w:id="2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and on our investor website at https://ir.tangotx.com/. Our website is not a part of this prospectus and is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We have the authority to designate and issue more than one class or series of stock having various preferences, conversion and other rights, voting powers, restrictions, limitations as to dividends, qualifications, and terms and conditions of redemption. See “</w:t>
      </w:r>
      <w:r>
        <w:rPr>
          <w:rFonts w:ascii="Times New Roman" w:hAnsi="Times New Roman"/>
          <w:i/>
          <w:sz w:val="20"/>
        </w:rPr>
        <w:t>Description of Capital Stock</w:t>
      </w:r>
      <w:r>
        <w:rPr>
          <w:rFonts w:ascii="Times New Roman" w:hAnsi="Times New Roman"/>
          <w:sz w:val="20"/>
        </w:rPr>
        <w:t xml:space="preserve">.”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Tango Therapeutics, Inc., 201 Brookline Avenue, Suite 901, Boston, MA 02215, Attention: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133418_15"/>
      <w:bookmarkEnd w:id="30"/>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23">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SEC on February 27,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24">
              <w:r>
                <w:rPr>
                  <w:rStyle w:val="InternetLink"/>
                  <w:rFonts w:ascii="Times New Roman" w:hAnsi="Times New Roman"/>
                  <w:sz w:val="20"/>
                </w:rPr>
                <w:t>Form 10-K</w:t>
              </w:r>
            </w:hyperlink>
            <w:r>
              <w:rPr>
                <w:rFonts w:ascii="Times New Roman" w:hAnsi="Times New Roman"/>
                <w:sz w:val="20"/>
              </w:rPr>
              <w:t xml:space="preserve"> for the year ended December  31, 2024 from our amended definitive proxy statement on </w:t>
            </w:r>
            <w:hyperlink r:id="rId25">
              <w:r>
                <w:rPr>
                  <w:rStyle w:val="InternetLink"/>
                  <w:rFonts w:ascii="Times New Roman" w:hAnsi="Times New Roman"/>
                  <w:sz w:val="20"/>
                </w:rPr>
                <w:t>Schedule 14A</w:t>
              </w:r>
            </w:hyperlink>
            <w:r>
              <w:rPr>
                <w:rFonts w:ascii="Times New Roman" w:hAnsi="Times New Roman"/>
                <w:sz w:val="20"/>
              </w:rPr>
              <w:t xml:space="preserve"> (other than information furnished rather than filed) filed with the SEC on April 24,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quarters ended March 31, 2025, June 30, 2025 and September 30, 2025, filed with the SEC on </w:t>
            </w:r>
            <w:hyperlink r:id="rId26">
              <w:r>
                <w:rPr>
                  <w:rStyle w:val="InternetLink"/>
                  <w:rFonts w:ascii="Times New Roman" w:hAnsi="Times New Roman"/>
                  <w:sz w:val="20"/>
                </w:rPr>
                <w:t>May  12, 2025</w:t>
              </w:r>
            </w:hyperlink>
            <w:r>
              <w:rPr>
                <w:rFonts w:ascii="Times New Roman" w:hAnsi="Times New Roman"/>
                <w:sz w:val="20"/>
              </w:rPr>
              <w:t xml:space="preserve">, </w:t>
            </w:r>
            <w:hyperlink r:id="rId27">
              <w:r>
                <w:rPr>
                  <w:rStyle w:val="InternetLink"/>
                  <w:rFonts w:ascii="Times New Roman" w:hAnsi="Times New Roman"/>
                  <w:sz w:val="20"/>
                </w:rPr>
                <w:t>August  5, 2025</w:t>
              </w:r>
            </w:hyperlink>
            <w:r>
              <w:rPr>
                <w:rFonts w:ascii="Times New Roman" w:hAnsi="Times New Roman"/>
                <w:sz w:val="20"/>
              </w:rPr>
              <w:t xml:space="preserve"> and </w:t>
            </w:r>
            <w:hyperlink r:id="rId28">
              <w:r>
                <w:rPr>
                  <w:rStyle w:val="InternetLink"/>
                  <w:rFonts w:ascii="Times New Roman" w:hAnsi="Times New Roman"/>
                  <w:sz w:val="20"/>
                </w:rPr>
                <w:t>November 4, 2025</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29">
              <w:r>
                <w:rPr>
                  <w:rStyle w:val="InternetLink"/>
                  <w:rFonts w:ascii="Times New Roman" w:hAnsi="Times New Roman"/>
                  <w:sz w:val="20"/>
                </w:rPr>
                <w:t>June 6, 2025</w:t>
              </w:r>
            </w:hyperlink>
            <w:r>
              <w:rPr>
                <w:rFonts w:ascii="Times New Roman" w:hAnsi="Times New Roman"/>
                <w:sz w:val="20"/>
              </w:rPr>
              <w:t xml:space="preserve">, </w:t>
            </w:r>
            <w:hyperlink r:id="rId30">
              <w:r>
                <w:rPr>
                  <w:rStyle w:val="InternetLink"/>
                  <w:rFonts w:ascii="Times New Roman" w:hAnsi="Times New Roman"/>
                  <w:sz w:val="20"/>
                </w:rPr>
                <w:t>August  25, 2025</w:t>
              </w:r>
            </w:hyperlink>
            <w:r>
              <w:rPr>
                <w:rFonts w:ascii="Times New Roman" w:hAnsi="Times New Roman"/>
                <w:sz w:val="20"/>
              </w:rPr>
              <w:t xml:space="preserve">, </w:t>
            </w:r>
            <w:hyperlink r:id="rId31">
              <w:r>
                <w:rPr>
                  <w:rStyle w:val="InternetLink"/>
                  <w:rFonts w:ascii="Times New Roman" w:hAnsi="Times New Roman"/>
                  <w:sz w:val="20"/>
                </w:rPr>
                <w:t>October  23, 2025</w:t>
              </w:r>
            </w:hyperlink>
            <w:r>
              <w:rPr>
                <w:rFonts w:ascii="Times New Roman" w:hAnsi="Times New Roman"/>
                <w:sz w:val="20"/>
              </w:rPr>
              <w:t xml:space="preserve">, </w:t>
            </w:r>
            <w:hyperlink r:id="rId32">
              <w:r>
                <w:rPr>
                  <w:rStyle w:val="InternetLink"/>
                  <w:rFonts w:ascii="Times New Roman" w:hAnsi="Times New Roman"/>
                  <w:sz w:val="20"/>
                </w:rPr>
                <w:t>October 24, 2025</w:t>
              </w:r>
            </w:hyperlink>
            <w:r>
              <w:rPr>
                <w:rFonts w:ascii="Times New Roman" w:hAnsi="Times New Roman"/>
                <w:sz w:val="20"/>
              </w:rPr>
              <w:t xml:space="preserve">, but only to the extent that such information is filed,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33">
              <w:r>
                <w:rPr>
                  <w:rStyle w:val="InternetLink"/>
                  <w:rFonts w:ascii="Times New Roman" w:hAnsi="Times New Roman"/>
                  <w:sz w:val="20"/>
                </w:rPr>
                <w:t>Form 8-A</w:t>
              </w:r>
            </w:hyperlink>
            <w:r>
              <w:rPr>
                <w:rFonts w:ascii="Times New Roman" w:hAnsi="Times New Roman"/>
                <w:sz w:val="20"/>
              </w:rPr>
              <w:t xml:space="preserve"> filed on September  2, 2020, including any amendments or reports filed for the purpose of updating such description, including </w:t>
            </w:r>
            <w:hyperlink r:id="rId34">
              <w:r>
                <w:rPr>
                  <w:rStyle w:val="InternetLink"/>
                  <w:rFonts w:ascii="Times New Roman" w:hAnsi="Times New Roman"/>
                  <w:sz w:val="20"/>
                </w:rPr>
                <w:t>Exhibit 4.2</w:t>
              </w:r>
            </w:hyperlink>
            <w:r>
              <w:rPr>
                <w:rFonts w:ascii="Times New Roman" w:hAnsi="Times New Roman"/>
                <w:sz w:val="20"/>
              </w:rPr>
              <w:t xml:space="preserve"> to our Annual Report on Form 10-K for the year ended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We have incorporated exhibits into this registration statement. You should read the exhibits carefully for provisions that may be important to you. </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reports and other documents filed by us pursuant to the Exchange Act after the date of the initial registration statement and prior to effectiveness of the registration statement shall be deemed to be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201 Brookline Avenue, Suite 901 </w:t>
      </w:r>
    </w:p>
    <w:p>
      <w:pPr>
        <w:pStyle w:val="TextBody"/>
        <w:bidi w:val="0"/>
        <w:spacing w:before="0" w:after="0"/>
        <w:jc w:val="center"/>
        <w:rPr>
          <w:rFonts w:ascii="Times New Roman" w:hAnsi="Times New Roman"/>
          <w:sz w:val="20"/>
        </w:rPr>
      </w:pPr>
      <w:r>
        <w:rPr>
          <w:rFonts w:ascii="Times New Roman" w:hAnsi="Times New Roman"/>
          <w:sz w:val="20"/>
        </w:rPr>
        <w:t xml:space="preserve">Boston, MA 02215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(857) 320-4900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20950" cy="7575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5"/>
                    <a:stretch>
                      <a:fillRect/>
                    </a:stretch>
                  </pic:blipFill>
                  <pic:spPr bwMode="auto">
                    <a:xfrm>
                      <a:off x="0" y="0"/>
                      <a:ext cx="2520950" cy="75755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Up to $400,000,000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Leerink Partners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11,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1" w:name="d133418dexfilingfees.htm"/>
      <w:bookmarkStart w:id="32" w:name="ksd133418dexfilingfees"/>
      <w:bookmarkStart w:id="33" w:name="d133418dexfilingfees.htm"/>
      <w:bookmarkStart w:id="34" w:name="ksd133418dexfilingfees"/>
      <w:bookmarkEnd w:id="33"/>
      <w:bookmarkEnd w:id="34"/>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Tango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$ 400,000,000.00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$ 55,240.00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5" w:name="MaxAggtOfferingPrice"/>
            <w:bookmarkEnd w:id="35"/>
            <w:r>
              <w:rPr/>
              <w:t xml:space="preserve">$ 400,000,000.00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$ 55,240.00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OffsetAmt"/>
            <w:bookmarkEnd w:id="38"/>
            <w:r>
              <w:rPr/>
              <w:t xml:space="preserve">$ 4,917.80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NetFeeAmt"/>
            <w:bookmarkEnd w:id="39"/>
            <w:r>
              <w:rPr/>
              <w:t xml:space="preserve">$ 50,322.20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6"/>
        <w:gridCol w:w="8707"/>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1 The registration fee is calculated in accordance with Rule 457(o) under the Securities Act of 1933, as amended (the "Securities Act"), based on the proposed maximum aggregate offering price, and Rule 457(r) under the Securities Act. In accordance with Rules 456(b) and 457(r) under the Securities Act, the registrant initially deferred payment of all of the registration fee for its Registration Statement on Form S-3ASR (Registration No. 333-291684) (the "Registration Statement"), which was filed with the Securities and Exchange Commission on November 21, 2025. Pursuant to Rule 457(p) under the Securities Act, the registrant hereby applies $4,917.80 of the registration fee previously paid in connection with the Prior Registration Statement (as defined below) to offset the registration fees that are payable in connection with the registration of securities on this prospectus supplement.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277" w:type="dxa"/>
        <w:jc w:val="left"/>
        <w:tblInd w:w="0" w:type="dxa"/>
        <w:tblLayout w:type="fixed"/>
        <w:tblCellMar>
          <w:top w:w="28" w:type="dxa"/>
          <w:left w:w="28" w:type="dxa"/>
          <w:bottom w:w="28" w:type="dxa"/>
          <w:right w:w="28" w:type="dxa"/>
        </w:tblCellMar>
      </w:tblPr>
      <w:tblGrid>
        <w:gridCol w:w="871"/>
        <w:gridCol w:w="226"/>
        <w:gridCol w:w="1381"/>
        <w:gridCol w:w="691"/>
        <w:gridCol w:w="961"/>
        <w:gridCol w:w="706"/>
        <w:gridCol w:w="691"/>
        <w:gridCol w:w="1126"/>
        <w:gridCol w:w="1186"/>
        <w:gridCol w:w="1186"/>
        <w:gridCol w:w="1186"/>
        <w:gridCol w:w="166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38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126"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66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27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38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38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27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381" w:type="dxa"/>
            <w:tcBorders/>
            <w:shd w:fill="E7E7E2" w:val="clear"/>
            <w:vAlign w:val="center"/>
          </w:tcPr>
          <w:p>
            <w:pPr>
              <w:pStyle w:val="TableContents"/>
              <w:bidi w:val="0"/>
              <w:spacing w:before="0" w:after="283"/>
              <w:jc w:val="left"/>
              <w:rPr/>
            </w:pPr>
            <w:r>
              <w:rPr/>
              <w:t xml:space="preserve">Tango Therapeutics, Inc.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333-291684 </w:t>
            </w:r>
          </w:p>
        </w:tc>
        <w:tc>
          <w:tcPr>
            <w:tcW w:w="706" w:type="dxa"/>
            <w:tcBorders/>
            <w:shd w:fill="E7E7E2" w:val="clear"/>
            <w:vAlign w:val="center"/>
          </w:tcPr>
          <w:p>
            <w:pPr>
              <w:pStyle w:val="TableContents"/>
              <w:bidi w:val="0"/>
              <w:spacing w:before="0" w:after="283"/>
              <w:jc w:val="left"/>
              <w:rPr/>
            </w:pPr>
            <w:r>
              <w:rPr/>
              <w:t xml:space="preserve">11/21/2025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$ 4,917.80 </w:t>
            </w:r>
          </w:p>
        </w:tc>
        <w:tc>
          <w:tcPr>
            <w:tcW w:w="1186" w:type="dxa"/>
            <w:tcBorders/>
            <w:shd w:fill="E7E7E2" w:val="clear"/>
            <w:vAlign w:val="center"/>
          </w:tcPr>
          <w:p>
            <w:pPr>
              <w:pStyle w:val="TableContents"/>
              <w:bidi w:val="0"/>
              <w:spacing w:before="0" w:after="283"/>
              <w:jc w:val="left"/>
              <w:rPr/>
            </w:pPr>
            <w:r>
              <w:rPr/>
              <w:t xml:space="preserve">Equity </w:t>
            </w:r>
          </w:p>
        </w:tc>
        <w:tc>
          <w:tcPr>
            <w:tcW w:w="1186" w:type="dxa"/>
            <w:tcBorders/>
            <w:shd w:fill="E7E7E2" w:val="clear"/>
            <w:vAlign w:val="center"/>
          </w:tcPr>
          <w:p>
            <w:pPr>
              <w:pStyle w:val="TableContents"/>
              <w:bidi w:val="0"/>
              <w:spacing w:before="0" w:after="283"/>
              <w:jc w:val="left"/>
              <w:rPr/>
            </w:pPr>
            <w:r>
              <w:rPr/>
              <w:t xml:space="preserve">Common Stock, par value $0.001 per share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$ 35,610,433.97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381" w:type="dxa"/>
            <w:tcBorders/>
            <w:shd w:fill="E7E7E2" w:val="clear"/>
            <w:vAlign w:val="center"/>
          </w:tcPr>
          <w:p>
            <w:pPr>
              <w:pStyle w:val="TableContents"/>
              <w:bidi w:val="0"/>
              <w:spacing w:before="0" w:after="283"/>
              <w:jc w:val="left"/>
              <w:rPr/>
            </w:pPr>
            <w:r>
              <w:rPr/>
              <w:t xml:space="preserve">Tango Therapeutics, Inc.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333-287202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05/12/2025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$ 28,146.10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5"/>
        <w:gridCol w:w="8710"/>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On November 21, 2025, the registrant filed the Registration Statement, which includes a sales agreement prospectus supplement covering the offering, issuance and sale by the registrant of up to an aggregate of $100,000,000 of its common stock pursuant to its "at-the-market" offering program (the "Prior Prospectus Supplement"). The registrant incurred a filing fee in the amount of $13,810.00 in connection with the Prior Prospectus Supplement, which fee was calculated pursuant to Rule 457(o) under the Securities Act and offset by the fees paid in connection with the registrant's registration statement on Form S-3 filed on May 12, 2025 (File No. 333-287202) (the "Prior Registration Statement"). As of the date of filing of this prospectus supplement, $35,610,433.97 of shares of the registrant's common stock (the "Unsold Securities") remained unsold under the Prior Prospectus Supplement. Pursuant to Rule 457(p) under the Securities Act, filing fees in the amount of $4,917.80 relating to the Unsold Securities are being carried forward, and the offering pursuant to the Prior Prospectus Supplement is deemed terminated.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$400,000,000.00.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19133/000119312526092518/tngx-20251231.htm" TargetMode="External"/><Relationship Id="rId4" Type="http://schemas.openxmlformats.org/officeDocument/2006/relationships/hyperlink" Target="http://www.sec.gov/Archives/edgar/data/../../../ix?doc=/Archives/edgar/data/1819133/000119312526092518/tngx-20251231.htm" TargetMode="External"/><Relationship Id="rId5" Type="http://schemas.openxmlformats.org/officeDocument/2006/relationships/hyperlink" Target="http://www.sec.gov/Archives/edgar/data/../../../ix?doc=/Archives/edgar/data/0001819133/000119312526160287/tngx-20260416.htm" TargetMode="External"/><Relationship Id="rId6" Type="http://schemas.openxmlformats.org/officeDocument/2006/relationships/hyperlink" Target="http://www.sec.gov/Archives/edgar/data/../../../ix?doc=/Archives/edgar/data/1819133/000119312526221656/tngx-20260331.htm" TargetMode="External"/><Relationship Id="rId7" Type="http://schemas.openxmlformats.org/officeDocument/2006/relationships/hyperlink" Target="http://www.sec.gov/Archives/edgar/data/../../../ix?doc=/Archives/edgar/data/1819133/000119312526343424/tngx-20260630.htm" TargetMode="External"/><Relationship Id="rId8" Type="http://schemas.openxmlformats.org/officeDocument/2006/relationships/hyperlink" Target="http://www.sec.gov/Archives/edgar/data/../../../ix?doc=/Archives/edgar/data/1819133/000119312526001495/d44532d8k.htm" TargetMode="External"/><Relationship Id="rId9" Type="http://schemas.openxmlformats.org/officeDocument/2006/relationships/hyperlink" Target="http://www.sec.gov/Archives/edgar/data/../../../ix?doc=/Archives/edgar/data/1819133/000119312526007086/d26323d8k.htm" TargetMode="External"/><Relationship Id="rId10" Type="http://schemas.openxmlformats.org/officeDocument/2006/relationships/hyperlink" Target="http://www.sec.gov/Archives/edgar/data/../../../ix?doc=/Archives/edgar/data/1819133/000119312526156127/d144586d8k.htm" TargetMode="External"/><Relationship Id="rId11" Type="http://schemas.openxmlformats.org/officeDocument/2006/relationships/hyperlink" Target="http://www.sec.gov/Archives/edgar/data/../../../ix?doc=/Archives/edgar/data/1819133/000119312526213491/d102174d8k.htm" TargetMode="External"/><Relationship Id="rId12" Type="http://schemas.openxmlformats.org/officeDocument/2006/relationships/hyperlink" Target="http://www.sec.gov/Archives/edgar/data/../../../ix?doc=/Archives/edgar/data/1819133/000119312526221677/tngx-20260513.htm" TargetMode="External"/><Relationship Id="rId13" Type="http://schemas.openxmlformats.org/officeDocument/2006/relationships/hyperlink" Target="http://www.sec.gov/Archives/edgar/data/../../../ix?doc=/Archives/edgar/data/1819133/000119312526257760/d149262d8k.htm" TargetMode="External"/><Relationship Id="rId14" Type="http://schemas.openxmlformats.org/officeDocument/2006/relationships/hyperlink" Target="http://www.sec.gov/Archives/edgar/data/../../../ix?doc=/Archives/edgar/data/1819133/000119312526260679/d158334d8k.htm" TargetMode="External"/><Relationship Id="rId15" Type="http://schemas.openxmlformats.org/officeDocument/2006/relationships/hyperlink" Target="http://www.sec.gov/Archives/edgar/data/../../../ix?doc=/Archives/edgar/data/1819133/000119312526266078/d81492d8k.htm" TargetMode="External"/><Relationship Id="rId16" Type="http://schemas.openxmlformats.org/officeDocument/2006/relationships/hyperlink" Target="http://www.sec.gov/Archives/edgar/data/../../../ix?doc=/Archives/edgar/data/1819133/000119312526279788/d79260d8k.htm" TargetMode="External"/><Relationship Id="rId17" Type="http://schemas.openxmlformats.org/officeDocument/2006/relationships/hyperlink" Target="http://www.sec.gov/Archives/edgar/data/../../../ix?doc=/Archives/edgar/data/1819133/000119312526338480/d41277d8k.htm" TargetMode="External"/><Relationship Id="rId18" Type="http://schemas.openxmlformats.org/officeDocument/2006/relationships/hyperlink" Target="http://www.sec.gov/Archives/edgar/data/../../../ix?doc=/Archives/edgar/data/1819133/000119312526339070/d215768d8ka.htm" TargetMode="External"/><Relationship Id="rId19" Type="http://schemas.openxmlformats.org/officeDocument/2006/relationships/hyperlink" Target="http://www.sec.gov/Archives/edgar/data/1819133/000121390020024994/ea126358-8a12b_bctgacquis.htm" TargetMode="External"/><Relationship Id="rId20" Type="http://schemas.openxmlformats.org/officeDocument/2006/relationships/hyperlink" Target="http://www.sec.gov/Archives/edgar/data/1819133/000095017023009854/tngx-ex4_2.htm" TargetMode="External"/><Relationship Id="rId21" Type="http://schemas.openxmlformats.org/officeDocument/2006/relationships/hyperlink" Target="http://www.sec.gov/Archives/edgar/data/../../../ix?doc=/Archives/edgar/data/1819133/000119312526092518/tngx-20251231.htm" TargetMode="External"/><Relationship Id="rId22" Type="http://schemas.openxmlformats.org/officeDocument/2006/relationships/image" Target="media/image2.jpeg"/><Relationship Id="rId23" Type="http://schemas.openxmlformats.org/officeDocument/2006/relationships/hyperlink" Target="http://www.sec.gov/Archives/edgar/data/../../../ix?doc=/Archives/edgar/data/1819133/000095017025028353/tngx-20241231.htm" TargetMode="External"/><Relationship Id="rId24" Type="http://schemas.openxmlformats.org/officeDocument/2006/relationships/hyperlink" Target="http://www.sec.gov/Archives/edgar/data/../../../ix?doc=/Archives/edgar/data/1819133/000095017025028353/tngx-20241231.htm" TargetMode="External"/><Relationship Id="rId25" Type="http://schemas.openxmlformats.org/officeDocument/2006/relationships/hyperlink" Target="http://www.sec.gov/Archives/edgar/data/../../../ix?doc=/Archives/edgar/data/1819133/000095017025057632/tngx-20250424.htm" TargetMode="External"/><Relationship Id="rId26" Type="http://schemas.openxmlformats.org/officeDocument/2006/relationships/hyperlink" Target="http://www.sec.gov/Archives/edgar/data/../../../ix?doc=/Archives/edgar/data/1819133/000095017025068549/tngx-20250331.htm" TargetMode="External"/><Relationship Id="rId27" Type="http://schemas.openxmlformats.org/officeDocument/2006/relationships/hyperlink" Target="http://www.sec.gov/Archives/edgar/data/../../../ix?doc=/Archives/edgar/data/1819133/000095017025102392/tngx-20250630.htm" TargetMode="External"/><Relationship Id="rId28" Type="http://schemas.openxmlformats.org/officeDocument/2006/relationships/hyperlink" Target="http://www.sec.gov/Archives/edgar/data/../../../ix?doc=/Archives/edgar/data/1819133/000119312525263680/tngx-20250930.htm" TargetMode="External"/><Relationship Id="rId29" Type="http://schemas.openxmlformats.org/officeDocument/2006/relationships/hyperlink" Target="http://www.sec.gov/Archives/edgar/data/../../../ix?doc=/Archives/edgar/data/1819133/000119312525137032/d926935d8k.htm" TargetMode="External"/><Relationship Id="rId30" Type="http://schemas.openxmlformats.org/officeDocument/2006/relationships/hyperlink" Target="http://www.sec.gov/Archives/edgar/data/../../../ix?doc=/Archives/edgar/data/1819133/000119312525187680/d88761d8k.htm" TargetMode="External"/><Relationship Id="rId31" Type="http://schemas.openxmlformats.org/officeDocument/2006/relationships/hyperlink" Target="http://www.sec.gov/Archives/edgar/data/../../../ix?doc=/Archives/edgar/data/1819133/000119312525247658/d88744d8k.htm" TargetMode="External"/><Relationship Id="rId32" Type="http://schemas.openxmlformats.org/officeDocument/2006/relationships/hyperlink" Target="http://www.sec.gov/Archives/edgar/data/../../../ix?doc=/Archives/edgar/data/1819133/000119312525249302/d80580d8k.htm" TargetMode="External"/><Relationship Id="rId33" Type="http://schemas.openxmlformats.org/officeDocument/2006/relationships/hyperlink" Target="http://www.sec.gov/Archives/edgar/data/1819133/000121390020024994/ea126358-8a12b_bctgacquis.htm" TargetMode="External"/><Relationship Id="rId34" Type="http://schemas.openxmlformats.org/officeDocument/2006/relationships/hyperlink" Target="http://www.sec.gov/Archives/edgar/data/1819133/000095017023009854/tngx-ex4_2.htm" TargetMode="External"/><Relationship Id="rId35" Type="http://schemas.openxmlformats.org/officeDocument/2006/relationships/image" Target="media/image1.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25664</Words>
  <Characters>135800</Characters>
  <CharactersWithSpaces>162013</CharactersWithSpaces>
  <Paragraphs>1864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