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4100" w:right="2840" w:hanging="4079"/>
        <w:spacing w:after="0" w:line="325" w:lineRule="auto"/>
        <w:tabs>
          <w:tab w:leader="none" w:pos="485"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ind w:left="550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w:t>
      </w:r>
    </w:p>
    <w:p>
      <w:pPr>
        <w:spacing w:after="0" w:line="39" w:lineRule="exact"/>
        <w:rPr>
          <w:sz w:val="24"/>
          <w:szCs w:val="24"/>
          <w:color w:val="auto"/>
        </w:rPr>
      </w:pPr>
    </w:p>
    <w:p>
      <w:pPr>
        <w:ind w:left="480"/>
        <w:spacing w:after="0"/>
        <w:tabs>
          <w:tab w:leader="none" w:pos="252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001-39485</w:t>
      </w:r>
    </w:p>
    <w:p>
      <w:pPr>
        <w:spacing w:after="0" w:line="7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0"/>
          <w:szCs w:val="40"/>
          <w:b w:val="1"/>
          <w:bCs w:val="1"/>
          <w:color w:val="auto"/>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-266065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tbl>
      <w:tblPr>
        <w:tblLayout w:type="fixed"/>
        <w:tblInd w:w="244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85-1195036</w:t>
            </w:r>
          </w:p>
        </w:tc>
      </w:tr>
    </w:tbl>
    <w:p>
      <w:pPr>
        <w:spacing w:after="0" w:line="1" w:lineRule="exact"/>
        <w:rPr>
          <w:sz w:val="24"/>
          <w:szCs w:val="24"/>
          <w:color w:val="auto"/>
        </w:rPr>
      </w:pPr>
    </w:p>
    <w:p>
      <w:pPr>
        <w:sectPr>
          <w:pgSz w:w="11900" w:h="16838" w:orient="portrait"/>
          <w:cols w:equalWidth="0" w:num="1">
            <w:col w:w="11240"/>
          </w:cols>
          <w:pgMar w:left="320" w:top="1262" w:right="339" w:bottom="1440" w:gutter="0" w:footer="0" w:header="0"/>
        </w:sectPr>
      </w:pPr>
    </w:p>
    <w:p>
      <w:pPr>
        <w:ind w:left="2020"/>
        <w:spacing w:after="0" w:line="216" w:lineRule="auto"/>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7"/>
          <w:szCs w:val="17"/>
          <w:b w:val="1"/>
          <w:bCs w:val="1"/>
          <w:color w:val="auto"/>
        </w:rPr>
        <w:t>201 Brookline Ave., Suite 901</w:t>
      </w:r>
    </w:p>
    <w:p>
      <w:pPr>
        <w:spacing w:after="0" w:line="23"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Boston, MA</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95"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02215</w:t>
      </w:r>
    </w:p>
    <w:p>
      <w:pPr>
        <w:spacing w:after="0" w:line="27" w:lineRule="exact"/>
        <w:rPr>
          <w:sz w:val="24"/>
          <w:szCs w:val="24"/>
          <w:color w:val="auto"/>
        </w:rPr>
      </w:pPr>
    </w:p>
    <w:p>
      <w:pPr>
        <w:sectPr>
          <w:pgSz w:w="11900" w:h="16838" w:orient="portrait"/>
          <w:cols w:equalWidth="0" w:num="2">
            <w:col w:w="7220" w:space="720"/>
            <w:col w:w="3300"/>
          </w:cols>
          <w:pgMar w:left="320" w:top="1262" w:right="339" w:bottom="1440" w:gutter="0" w:footer="0" w:header="0"/>
          <w:type w:val="continuous"/>
        </w:sect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21"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6"/>
          <w:szCs w:val="16"/>
          <w:b w:val="1"/>
          <w:bCs w:val="1"/>
          <w:color w:val="auto"/>
        </w:rPr>
        <w:t xml:space="preserve">Registrant’s telephone number, including area code: </w:t>
      </w:r>
      <w:r>
        <w:rPr>
          <w:rFonts w:ascii="Times New Roman" w:cs="Times New Roman" w:eastAsia="Times New Roman" w:hAnsi="Times New Roman"/>
          <w:sz w:val="17"/>
          <w:szCs w:val="17"/>
          <w:b w:val="1"/>
          <w:bCs w:val="1"/>
          <w:color w:val="auto"/>
        </w:rPr>
        <w:t>(857) 320-4900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86995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TNGX</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29" w:lineRule="exact"/>
        <w:rPr>
          <w:sz w:val="24"/>
          <w:szCs w:val="24"/>
          <w:color w:val="auto"/>
        </w:rPr>
      </w:pPr>
    </w:p>
    <w:p>
      <w:pPr>
        <w:ind w:right="3880"/>
        <w:spacing w:after="0" w:line="214"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4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40"/>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78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Accelerated filer</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97"/>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78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97"/>
        </w:trPr>
        <w:tc>
          <w:tcPr>
            <w:tcW w:w="17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Emerging growth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01" w:lineRule="exact"/>
        <w:rPr>
          <w:sz w:val="24"/>
          <w:szCs w:val="24"/>
          <w:color w:val="auto"/>
        </w:rPr>
      </w:pPr>
    </w:p>
    <w:p>
      <w:pPr>
        <w:ind w:right="160"/>
        <w:spacing w:after="0" w:line="15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right="20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55"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02"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25" w:lineRule="exact"/>
        <w:rPr>
          <w:sz w:val="24"/>
          <w:szCs w:val="24"/>
          <w:color w:val="auto"/>
        </w:rPr>
      </w:pPr>
    </w:p>
    <w:p>
      <w:pPr>
        <w:spacing w:after="0" w:line="150" w:lineRule="exact"/>
        <w:tabs>
          <w:tab w:leader="none" w:pos="682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84" w:lineRule="exact"/>
        <w:rPr>
          <w:sz w:val="24"/>
          <w:szCs w:val="24"/>
          <w:color w:val="auto"/>
        </w:rPr>
      </w:pPr>
    </w:p>
    <w:p>
      <w:pPr>
        <w:ind w:right="160"/>
        <w:spacing w:after="0" w:line="278" w:lineRule="auto"/>
        <w:rPr>
          <w:sz w:val="20"/>
          <w:szCs w:val="20"/>
          <w:color w:val="auto"/>
        </w:rPr>
      </w:pPr>
      <w:r>
        <w:rPr>
          <w:rFonts w:ascii="Times New Roman" w:cs="Times New Roman" w:eastAsia="Times New Roman" w:hAnsi="Times New Roman"/>
          <w:sz w:val="13"/>
          <w:szCs w:val="13"/>
          <w:color w:val="auto"/>
        </w:rPr>
        <w:t>As of June 30, 2025, the last business day of the registrant’s most recently completed second fiscal quarter, the aggregate market value of the voting and non-voting common equity held by non-affiliates of the registrant, based on the closing price of the shares of common stock on The Nasdaq Stock Market LLC on June 30, 2025, was approximately $528.4 million.</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February 26, 2026, the registrant had 142,688,851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2" w:right="339" w:bottom="1440" w:gutter="0" w:footer="0" w:header="0"/>
          <w:type w:val="continuous"/>
        </w:sectPr>
      </w:pPr>
    </w:p>
    <w:bookmarkStart w:id="1" w:name="page2"/>
    <w:bookmarkEnd w:id="1"/>
    <w:p>
      <w:pPr>
        <w:jc w:val="center"/>
        <w:ind w:right="-239"/>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5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3"/>
          <w:szCs w:val="13"/>
          <w:color w:val="auto"/>
        </w:rPr>
        <w:t>The registrant's definitive proxy statement relating to the annual meeting of shareholders will be filed with the Securities and Exchange Commission within 120 days after the close of the registrant's fiscal year ended December 31, 2025 and is incorporated by reference in Part III to the extent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718185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987"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60" w:type="dxa"/>
            <w:vAlign w:val="bottom"/>
            <w:gridSpan w:val="8"/>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620" w:type="dxa"/>
            <w:vAlign w:val="bottom"/>
            <w:gridSpan w:val="4"/>
            <w:vMerge w:val="restart"/>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620" w:type="dxa"/>
            <w:vAlign w:val="bottom"/>
            <w:tcBorders>
              <w:bottom w:val="single" w:sz="8" w:color="0000FF"/>
            </w:tcBorders>
            <w:vMerge w:val="continue"/>
          </w:tcPr>
          <w:p>
            <w:pPr>
              <w:spacing w:after="0"/>
              <w:rPr>
                <w:sz w:val="14"/>
                <w:szCs w:val="14"/>
                <w:color w:val="auto"/>
              </w:rPr>
            </w:pPr>
          </w:p>
        </w:tc>
        <w:tc>
          <w:tcPr>
            <w:tcW w:w="620" w:type="dxa"/>
            <w:vAlign w:val="bottom"/>
            <w:gridSpan w:val="4"/>
            <w:vMerge w:val="continue"/>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17"/>
                <w:szCs w:val="17"/>
                <w:color w:val="auto"/>
              </w:rPr>
            </w:pPr>
          </w:p>
        </w:tc>
        <w:tc>
          <w:tcPr>
            <w:tcW w:w="8280" w:type="dxa"/>
            <w:vAlign w:val="bottom"/>
            <w:gridSpan w:val="1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12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Unresolved Staff Comments</w:t>
            </w:r>
          </w:p>
        </w:tc>
        <w:tc>
          <w:tcPr>
            <w:tcW w:w="716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12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FF"/>
                <w:w w:val="96"/>
              </w:rPr>
              <w:t>Cybersecurity</w:t>
            </w:r>
          </w:p>
        </w:tc>
        <w:tc>
          <w:tcPr>
            <w:tcW w:w="8200" w:type="dxa"/>
            <w:vAlign w:val="bottom"/>
            <w:gridSpan w:val="1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12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5"/>
              </w:rPr>
              <w:t>Properties</w:t>
            </w:r>
          </w:p>
        </w:tc>
        <w:tc>
          <w:tcPr>
            <w:tcW w:w="20" w:type="dxa"/>
            <w:vAlign w:val="bottom"/>
            <w:tcBorders>
              <w:bottom w:val="single" w:sz="8" w:color="0000EE"/>
            </w:tcBorders>
          </w:tcPr>
          <w:p>
            <w:pPr>
              <w:spacing w:after="0"/>
              <w:rPr>
                <w:sz w:val="17"/>
                <w:szCs w:val="17"/>
                <w:color w:val="auto"/>
              </w:rPr>
            </w:pPr>
          </w:p>
        </w:tc>
        <w:tc>
          <w:tcPr>
            <w:tcW w:w="8460" w:type="dxa"/>
            <w:vAlign w:val="bottom"/>
            <w:gridSpan w:val="2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6"/>
        </w:trPr>
        <w:tc>
          <w:tcPr>
            <w:tcW w:w="12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412"/>
        </w:trPr>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Borders>
              <w:top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560" w:type="dxa"/>
            <w:vAlign w:val="bottom"/>
            <w:gridSpan w:val="3"/>
          </w:tcPr>
          <w:p>
            <w:pPr>
              <w:spacing w:after="0"/>
              <w:rPr>
                <w:sz w:val="17"/>
                <w:szCs w:val="17"/>
                <w:color w:val="auto"/>
              </w:rPr>
            </w:pPr>
          </w:p>
        </w:tc>
        <w:tc>
          <w:tcPr>
            <w:tcW w:w="922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6"/>
        </w:trPr>
        <w:tc>
          <w:tcPr>
            <w:tcW w:w="12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000FF"/>
              <w:bottom w:val="single" w:sz="8" w:color="0000FF"/>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w w:val="96"/>
              </w:rPr>
              <w:t>[Reserved]</w:t>
            </w:r>
          </w:p>
        </w:tc>
        <w:tc>
          <w:tcPr>
            <w:tcW w:w="20" w:type="dxa"/>
            <w:vAlign w:val="bottom"/>
            <w:tcBorders>
              <w:top w:val="single" w:sz="8" w:color="0000FF"/>
              <w:bottom w:val="single" w:sz="8" w:color="0000EE"/>
            </w:tcBorders>
          </w:tcPr>
          <w:p>
            <w:pPr>
              <w:spacing w:after="0"/>
              <w:rPr>
                <w:sz w:val="17"/>
                <w:szCs w:val="17"/>
                <w:color w:val="auto"/>
              </w:rPr>
            </w:pPr>
          </w:p>
        </w:tc>
        <w:tc>
          <w:tcPr>
            <w:tcW w:w="7280" w:type="dxa"/>
            <w:vAlign w:val="bottom"/>
            <w:tcBorders>
              <w:top w:val="single" w:sz="8" w:color="0000FF"/>
            </w:tcBorders>
            <w:gridSpan w:val="20"/>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6"/>
        </w:trPr>
        <w:tc>
          <w:tcPr>
            <w:tcW w:w="12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FF"/>
            </w:tcBorders>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4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6"/>
        </w:trPr>
        <w:tc>
          <w:tcPr>
            <w:tcW w:w="12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22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12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1000" w:type="dxa"/>
            <w:vAlign w:val="bottom"/>
            <w:tcBorders>
              <w:top w:val="single" w:sz="8" w:color="0000FF"/>
            </w:tcBorders>
            <w:gridSpan w:val="2"/>
          </w:tcPr>
          <w:p>
            <w:pPr>
              <w:spacing w:after="0"/>
              <w:rPr>
                <w:sz w:val="17"/>
                <w:szCs w:val="17"/>
                <w:color w:val="auto"/>
              </w:rPr>
            </w:pPr>
          </w:p>
        </w:tc>
        <w:tc>
          <w:tcPr>
            <w:tcW w:w="486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12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22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6"/>
        </w:trPr>
        <w:tc>
          <w:tcPr>
            <w:tcW w:w="12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Controls and Procedures</w:t>
            </w:r>
          </w:p>
        </w:tc>
        <w:tc>
          <w:tcPr>
            <w:tcW w:w="4700" w:type="dxa"/>
            <w:vAlign w:val="bottom"/>
            <w:tcBorders>
              <w:top w:val="single" w:sz="8" w:color="0000FF"/>
            </w:tcBorders>
            <w:gridSpan w:val="12"/>
          </w:tcPr>
          <w:p>
            <w:pPr>
              <w:spacing w:after="0"/>
              <w:rPr>
                <w:sz w:val="17"/>
                <w:szCs w:val="17"/>
                <w:color w:val="auto"/>
              </w:rPr>
            </w:pPr>
          </w:p>
        </w:tc>
        <w:tc>
          <w:tcPr>
            <w:tcW w:w="274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6"/>
        </w:trPr>
        <w:tc>
          <w:tcPr>
            <w:tcW w:w="12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22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Borders>
              <w:right w:val="single" w:sz="8" w:color="0000EE"/>
            </w:tcBorders>
            <w:gridSpan w:val="9"/>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22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412"/>
        </w:trPr>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4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922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6"/>
        </w:trPr>
        <w:tc>
          <w:tcPr>
            <w:tcW w:w="12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top w:val="single" w:sz="8" w:color="0000FF"/>
              <w:bottom w:val="single" w:sz="8" w:color="0000EE"/>
            </w:tcBorders>
          </w:tcPr>
          <w:p>
            <w:pPr>
              <w:spacing w:after="0"/>
              <w:rPr>
                <w:sz w:val="17"/>
                <w:szCs w:val="17"/>
                <w:color w:val="auto"/>
              </w:rPr>
            </w:pPr>
          </w:p>
        </w:tc>
        <w:tc>
          <w:tcPr>
            <w:tcW w:w="2260" w:type="dxa"/>
            <w:vAlign w:val="bottom"/>
            <w:tcBorders>
              <w:top w:val="single" w:sz="8" w:color="0000FF"/>
            </w:tcBorders>
            <w:gridSpan w:val="6"/>
          </w:tcPr>
          <w:p>
            <w:pPr>
              <w:spacing w:after="0"/>
              <w:rPr>
                <w:sz w:val="17"/>
                <w:szCs w:val="17"/>
                <w:color w:val="auto"/>
              </w:rPr>
            </w:pPr>
          </w:p>
        </w:tc>
        <w:tc>
          <w:tcPr>
            <w:tcW w:w="512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6"/>
        </w:trPr>
        <w:tc>
          <w:tcPr>
            <w:tcW w:w="12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92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6"/>
        </w:trPr>
        <w:tc>
          <w:tcPr>
            <w:tcW w:w="12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22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6"/>
        </w:trPr>
        <w:tc>
          <w:tcPr>
            <w:tcW w:w="12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FF"/>
            </w:tcBorders>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376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412"/>
        </w:trPr>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Borders>
              <w:top w:val="single" w:sz="8" w:color="0000FF"/>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500" w:type="dxa"/>
            <w:vAlign w:val="bottom"/>
            <w:gridSpan w:val="2"/>
          </w:tcPr>
          <w:p>
            <w:pPr>
              <w:spacing w:after="0"/>
              <w:rPr>
                <w:sz w:val="17"/>
                <w:szCs w:val="17"/>
                <w:color w:val="auto"/>
              </w:rPr>
            </w:pPr>
          </w:p>
        </w:tc>
        <w:tc>
          <w:tcPr>
            <w:tcW w:w="922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12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3160" w:type="dxa"/>
            <w:vAlign w:val="bottom"/>
            <w:tcBorders>
              <w:top w:val="single" w:sz="8" w:color="0000FF"/>
            </w:tcBorders>
            <w:gridSpan w:val="16"/>
          </w:tcPr>
          <w:p>
            <w:pPr>
              <w:ind w:left="20"/>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6060" w:type="dxa"/>
            <w:vAlign w:val="bottom"/>
            <w:gridSpan w:val="1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323"/>
        </w:trPr>
        <w:tc>
          <w:tcPr>
            <w:tcW w:w="6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229" w:lineRule="exact"/>
        <w:rPr>
          <w:sz w:val="20"/>
          <w:szCs w:val="20"/>
          <w:color w:val="auto"/>
        </w:rPr>
      </w:pPr>
    </w:p>
    <w:p>
      <w:pPr>
        <w:jc w:val="both"/>
        <w:ind w:right="80" w:firstLine="584"/>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material and other risks that you should be aware of before making an investment decision with respect to our securities. These risks are described more fully in Part I, Item 1A of this Annual Report on Form 10-K entitled “Risk Factors.” These risks include, among others, the following (which is not an exhaustive list of all such risks):</w:t>
      </w:r>
    </w:p>
    <w:p>
      <w:pPr>
        <w:spacing w:after="0" w:line="176" w:lineRule="exact"/>
        <w:rPr>
          <w:sz w:val="20"/>
          <w:szCs w:val="20"/>
          <w:color w:val="auto"/>
        </w:rPr>
      </w:pPr>
    </w:p>
    <w:p>
      <w:pPr>
        <w:ind w:left="800" w:right="80" w:hanging="333"/>
        <w:spacing w:after="0" w:line="266"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precision oncology company with a limited operating history. We have no products approved for commercial sale, have not generated any revenue from product sales and may never become profitable. Further, we face substantial competition, which may result in others discovering, developing or commercializing products before or more successfully than we do.</w:t>
      </w:r>
    </w:p>
    <w:p>
      <w:pPr>
        <w:spacing w:after="0" w:line="175" w:lineRule="exact"/>
        <w:rPr>
          <w:rFonts w:ascii="Times New Roman" w:cs="Times New Roman" w:eastAsia="Times New Roman" w:hAnsi="Times New Roman"/>
          <w:sz w:val="18"/>
          <w:szCs w:val="18"/>
          <w:color w:val="auto"/>
        </w:rPr>
      </w:pPr>
    </w:p>
    <w:p>
      <w:pPr>
        <w:ind w:left="800" w:right="300" w:hanging="333"/>
        <w:spacing w:after="0" w:line="282"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anticipate that we will continue to incur losses for the foreseeable future. We expect our operating results to fluctuate significantly in the future as our business advances.</w:t>
      </w:r>
    </w:p>
    <w:p>
      <w:pPr>
        <w:spacing w:after="0" w:line="161" w:lineRule="exact"/>
        <w:rPr>
          <w:rFonts w:ascii="Times New Roman" w:cs="Times New Roman" w:eastAsia="Times New Roman" w:hAnsi="Times New Roman"/>
          <w:sz w:val="18"/>
          <w:szCs w:val="18"/>
          <w:color w:val="auto"/>
        </w:rPr>
      </w:pPr>
    </w:p>
    <w:p>
      <w:pPr>
        <w:jc w:val="both"/>
        <w:ind w:left="800" w:right="280" w:hanging="333"/>
        <w:spacing w:after="0" w:line="266"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substantial additional funding. If we are unable to raise capital when needed or on terms acceptable to us, we would be forced to delay, reduce or eliminate some of our product development programs or commercialization efforts. Raising additional capital may cause dilution to our stockholders, restrict our operations or require us to relinquish rights to our technologies or product candidates.</w:t>
      </w:r>
    </w:p>
    <w:p>
      <w:pPr>
        <w:spacing w:after="0" w:line="175" w:lineRule="exact"/>
        <w:rPr>
          <w:rFonts w:ascii="Times New Roman" w:cs="Times New Roman" w:eastAsia="Times New Roman" w:hAnsi="Times New Roman"/>
          <w:sz w:val="18"/>
          <w:szCs w:val="18"/>
          <w:color w:val="auto"/>
        </w:rPr>
      </w:pPr>
    </w:p>
    <w:p>
      <w:pPr>
        <w:ind w:left="800" w:right="140" w:hanging="333"/>
        <w:spacing w:after="0" w:line="282"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161" w:lineRule="exact"/>
        <w:rPr>
          <w:rFonts w:ascii="Times New Roman" w:cs="Times New Roman" w:eastAsia="Times New Roman" w:hAnsi="Times New Roman"/>
          <w:sz w:val="18"/>
          <w:szCs w:val="18"/>
          <w:color w:val="auto"/>
        </w:rPr>
      </w:pPr>
    </w:p>
    <w:p>
      <w:pPr>
        <w:ind w:left="800" w:hanging="333"/>
        <w:spacing w:after="0" w:line="266"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175" w:lineRule="exact"/>
        <w:rPr>
          <w:rFonts w:ascii="Times New Roman" w:cs="Times New Roman" w:eastAsia="Times New Roman" w:hAnsi="Times New Roman"/>
          <w:sz w:val="18"/>
          <w:szCs w:val="18"/>
          <w:color w:val="auto"/>
        </w:rPr>
      </w:pPr>
    </w:p>
    <w:p>
      <w:pPr>
        <w:ind w:left="820" w:right="100" w:hanging="353"/>
        <w:spacing w:after="0" w:line="261"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validate, develop and obtain regulatory approval for screening tests and companion diagnostic tests for our product candidates that require or would commercially benefit from such tests, or experience significant delays in doing so, we may not realize the full commercial potential of these product candidates. We will also rely on third-parties for screening for biomarkers that enable patient selection for clinical trials and target engagement.</w:t>
      </w:r>
    </w:p>
    <w:p>
      <w:pPr>
        <w:spacing w:after="0" w:line="179" w:lineRule="exact"/>
        <w:rPr>
          <w:rFonts w:ascii="Times New Roman" w:cs="Times New Roman" w:eastAsia="Times New Roman" w:hAnsi="Times New Roman"/>
          <w:sz w:val="18"/>
          <w:szCs w:val="18"/>
          <w:color w:val="auto"/>
        </w:rPr>
      </w:pPr>
    </w:p>
    <w:p>
      <w:pPr>
        <w:ind w:left="820" w:right="240" w:hanging="353"/>
        <w:spacing w:after="0" w:line="282"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product development involves a lengthy and expensive process, with an uncertain outcome. Further, our current and potential future collaborations may not realize the anticipated benefits.</w:t>
      </w:r>
    </w:p>
    <w:p>
      <w:pPr>
        <w:spacing w:after="0" w:line="161" w:lineRule="exact"/>
        <w:rPr>
          <w:rFonts w:ascii="Times New Roman" w:cs="Times New Roman" w:eastAsia="Times New Roman" w:hAnsi="Times New Roman"/>
          <w:sz w:val="18"/>
          <w:szCs w:val="18"/>
          <w:color w:val="auto"/>
        </w:rPr>
      </w:pPr>
    </w:p>
    <w:p>
      <w:pPr>
        <w:ind w:left="820" w:right="60" w:hanging="353"/>
        <w:spacing w:after="0" w:line="282"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interim and top-line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161" w:lineRule="exact"/>
        <w:rPr>
          <w:rFonts w:ascii="Times New Roman" w:cs="Times New Roman" w:eastAsia="Times New Roman" w:hAnsi="Times New Roman"/>
          <w:sz w:val="18"/>
          <w:szCs w:val="18"/>
          <w:color w:val="auto"/>
        </w:rPr>
      </w:pPr>
    </w:p>
    <w:p>
      <w:pPr>
        <w:ind w:left="800" w:right="120" w:hanging="333"/>
        <w:spacing w:after="0" w:line="261"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earlier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179" w:lineRule="exact"/>
        <w:rPr>
          <w:rFonts w:ascii="Times New Roman" w:cs="Times New Roman" w:eastAsia="Times New Roman" w:hAnsi="Times New Roman"/>
          <w:sz w:val="18"/>
          <w:szCs w:val="18"/>
          <w:color w:val="auto"/>
        </w:rPr>
      </w:pPr>
    </w:p>
    <w:p>
      <w:pPr>
        <w:ind w:left="800" w:right="480" w:hanging="333"/>
        <w:spacing w:after="0" w:line="282"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initiation, enrollment or dosing of patients in clinical trials, the announcement of clinical trial results and our receipt of necessary regulatory approvals (if any) could be delayed or prevented.</w:t>
      </w:r>
    </w:p>
    <w:p>
      <w:pPr>
        <w:spacing w:after="0" w:line="161" w:lineRule="exact"/>
        <w:rPr>
          <w:rFonts w:ascii="Times New Roman" w:cs="Times New Roman" w:eastAsia="Times New Roman" w:hAnsi="Times New Roman"/>
          <w:sz w:val="18"/>
          <w:szCs w:val="18"/>
          <w:color w:val="auto"/>
        </w:rPr>
      </w:pPr>
    </w:p>
    <w:p>
      <w:pPr>
        <w:ind w:left="820" w:right="140" w:hanging="353"/>
        <w:spacing w:after="0" w:line="312" w:lineRule="auto"/>
        <w:tabs>
          <w:tab w:leader="none" w:pos="8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139" w:lineRule="exact"/>
        <w:rPr>
          <w:rFonts w:ascii="Times New Roman" w:cs="Times New Roman" w:eastAsia="Times New Roman" w:hAnsi="Times New Roman"/>
          <w:sz w:val="17"/>
          <w:szCs w:val="17"/>
          <w:color w:val="auto"/>
        </w:rPr>
      </w:pPr>
    </w:p>
    <w:p>
      <w:pPr>
        <w:jc w:val="both"/>
        <w:ind w:left="800" w:right="160" w:hanging="333"/>
        <w:spacing w:after="0" w:line="266"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796290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 w:name="page5"/>
    <w:bookmarkEnd w:id="4"/>
    <w:p>
      <w:pPr>
        <w:jc w:val="both"/>
        <w:ind w:left="360" w:right="160" w:hanging="353"/>
        <w:spacing w:after="0" w:line="312" w:lineRule="auto"/>
        <w:tabs>
          <w:tab w:leader="none" w:pos="3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39" w:lineRule="exact"/>
        <w:rPr>
          <w:rFonts w:ascii="Times New Roman" w:cs="Times New Roman" w:eastAsia="Times New Roman" w:hAnsi="Times New Roman"/>
          <w:sz w:val="17"/>
          <w:szCs w:val="17"/>
          <w:color w:val="auto"/>
        </w:rPr>
      </w:pPr>
    </w:p>
    <w:p>
      <w:pPr>
        <w:ind w:left="340" w:right="160" w:hanging="333"/>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may materially and adversely affect our business and our financial results and could cause a disruption to the development of our product candidates and the initiation and completion of clinical trials.</w:t>
      </w:r>
    </w:p>
    <w:p>
      <w:pPr>
        <w:spacing w:after="0" w:line="161" w:lineRule="exact"/>
        <w:rPr>
          <w:rFonts w:ascii="Times New Roman" w:cs="Times New Roman" w:eastAsia="Times New Roman" w:hAnsi="Times New Roman"/>
          <w:sz w:val="18"/>
          <w:szCs w:val="18"/>
          <w:color w:val="auto"/>
        </w:rPr>
      </w:pPr>
    </w:p>
    <w:p>
      <w:pPr>
        <w:ind w:left="360" w:right="20" w:hanging="353"/>
        <w:spacing w:after="0" w:line="261" w:lineRule="auto"/>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expect to continue to rely, on third parties to conduct our clinical trials, as well as investigator-sponsored clinical trials of our product candidates (if any).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79" w:lineRule="exact"/>
        <w:rPr>
          <w:rFonts w:ascii="Times New Roman" w:cs="Times New Roman" w:eastAsia="Times New Roman" w:hAnsi="Times New Roman"/>
          <w:sz w:val="18"/>
          <w:szCs w:val="18"/>
          <w:color w:val="auto"/>
        </w:rPr>
      </w:pPr>
    </w:p>
    <w:p>
      <w:pPr>
        <w:ind w:left="340" w:right="140" w:hanging="333"/>
        <w:spacing w:after="0" w:line="26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a limited number of third parties for the manufacture of our product candidates for preclinical development and clinical trials and expect to continue to do so for future clinical testing and commercialization (if approved).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79" w:lineRule="exact"/>
        <w:rPr>
          <w:rFonts w:ascii="Times New Roman" w:cs="Times New Roman" w:eastAsia="Times New Roman" w:hAnsi="Times New Roman"/>
          <w:sz w:val="18"/>
          <w:szCs w:val="18"/>
          <w:color w:val="auto"/>
        </w:rPr>
      </w:pPr>
    </w:p>
    <w:p>
      <w:pPr>
        <w:ind w:left="340" w:right="60" w:hanging="333"/>
        <w:spacing w:after="0" w:line="25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very limited number of third parties for the supply of the active pharmaceutical ingredients, or API, and drug product to be used in our product candidates (for example, an affiliate of WuXi AppTec is the sole source of API for all of our clinical-stage product candidates), and WuXi AppTec has been the subject of proposed Congressional legislation that, if enacted, could materially restrict our ability to conduct business with, and obtain API from, WuXi AppTec. The loss of any of these suppliers, including WuXi AppTec, could significantly harm our business.</w:t>
      </w:r>
    </w:p>
    <w:p>
      <w:pPr>
        <w:spacing w:after="0" w:line="183" w:lineRule="exact"/>
        <w:rPr>
          <w:rFonts w:ascii="Times New Roman" w:cs="Times New Roman" w:eastAsia="Times New Roman" w:hAnsi="Times New Roman"/>
          <w:sz w:val="18"/>
          <w:szCs w:val="18"/>
          <w:color w:val="auto"/>
        </w:rPr>
      </w:pPr>
    </w:p>
    <w:p>
      <w:pPr>
        <w:ind w:left="340" w:right="380" w:hanging="333"/>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obtain new patents, maintain our existing patents and protect the confidentiality and proprietary nature of our trade secrets and other intellectual property, our business and competitive position may be harmed.</w:t>
      </w:r>
    </w:p>
    <w:p>
      <w:pPr>
        <w:spacing w:after="0" w:line="161" w:lineRule="exact"/>
        <w:rPr>
          <w:rFonts w:ascii="Times New Roman" w:cs="Times New Roman" w:eastAsia="Times New Roman" w:hAnsi="Times New Roman"/>
          <w:sz w:val="18"/>
          <w:szCs w:val="18"/>
          <w:color w:val="auto"/>
        </w:rPr>
      </w:pPr>
    </w:p>
    <w:p>
      <w:pPr>
        <w:ind w:left="340" w:right="40" w:hanging="333"/>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found to be infringing third party patents, we may be forced to pay damages to the patent owner and/or obtain a license to continue the manufacture, sale or development of our products. If we cannot obtain a license, we may be prevented from the manufacture, sale or development of our products or product candidates, which may adversely affect our business.</w:t>
      </w:r>
    </w:p>
    <w:p>
      <w:pPr>
        <w:spacing w:after="0" w:line="175"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combination therapies may present more or different challenges than development of single agent therapies.</w:t>
      </w:r>
    </w:p>
    <w:p>
      <w:pPr>
        <w:spacing w:after="0" w:line="225" w:lineRule="exact"/>
        <w:rPr>
          <w:rFonts w:ascii="Times New Roman" w:cs="Times New Roman" w:eastAsia="Times New Roman" w:hAnsi="Times New Roman"/>
          <w:sz w:val="18"/>
          <w:szCs w:val="18"/>
          <w:color w:val="auto"/>
        </w:rPr>
      </w:pPr>
    </w:p>
    <w:p>
      <w:pPr>
        <w:jc w:val="both"/>
        <w:ind w:left="340" w:hanging="333"/>
        <w:spacing w:after="0" w:line="26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funding for government agencies in or outside the United States, including from government shutdowns or other disruptions to these agencies' staffing and operations, could prevent new products and services being developed or commercialized in a timely manner or otherwise prevent those agencies from performing normal business functions on which the operation of our business may rely, which could negatively impact our business. Unfavorable global economic conditions could adversely affect our business, financial condition or results of operations.</w:t>
      </w:r>
    </w:p>
    <w:p>
      <w:pPr>
        <w:spacing w:after="0" w:line="28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780" w:top="1309"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express or implied forward-looking statements within the meaning of Section 27A of the Securities Act of 1933, as amended, and Section 21E of the Securities Exchange Act of 1934, as amended (the “Exchange Act”). Words such as "anticipates," "continue," "could," "may," "forecasts," "expects," "intends," "plans," "potentially," "believes," "seeks," "estimates," "predict," "target," and variations of such words and similar expressions are intended to identify such forward-looking statements, although not all forward-looking statements contain these identifying words. Forward-looking statements are not guarantees of future performance and are subject to certain risks, uncertainties, and assumptions that are difficult to predict; therefore, actual results may differ materially from those expressed or forecasted in any such statements. Such forward-looking statements are based on current expectations, estimates and projections about our industry and business, management's beliefs, and certain assumptions made by our management, and may include, but are not limited to, statements regarding:</w:t>
      </w:r>
    </w:p>
    <w:p>
      <w:pPr>
        <w:spacing w:after="0" w:line="192" w:lineRule="exact"/>
        <w:rPr>
          <w:sz w:val="20"/>
          <w:szCs w:val="20"/>
          <w:color w:val="auto"/>
        </w:rPr>
      </w:pPr>
    </w:p>
    <w:p>
      <w:pPr>
        <w:ind w:left="800" w:right="20" w:hanging="333"/>
        <w:spacing w:after="0" w:line="254"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and combination clinical trials, including statements regarding the timing of IND filings and acceptance, active enrollment and dosing in clinical trials (including combination clinical trials), future plans for dose expansions and dose escalations, and initiation and completion of studies or clinical trials (including combination trials), plans for initiating a registrational trial for vopimetostat (TNG462) in 2026 and the continued enrollment in our vopimetostat monotherapy and combination clinical trials, plans and progress for the TNG456 clinical trial, and the period during which the results of our clinical trials (including initial and final trial results) will become available (such as the clinical data update from the lung cohort of the ongoing Phase 1/2 clinical trial in vopimetostat expected in 2026 and the initial clinical data from our combination clinical trial evaluating vopimetostat with the RAS(ON) multi-selective inhibitor, daraxonrasib, and RAS(ON) G12D-selective inhibitor, zoldonrasib (Revolution Medicines), anticipated in 2026);</w:t>
      </w:r>
    </w:p>
    <w:p>
      <w:pPr>
        <w:spacing w:after="0" w:line="188" w:lineRule="exact"/>
        <w:rPr>
          <w:rFonts w:ascii="Times New Roman" w:cs="Times New Roman" w:eastAsia="Times New Roman" w:hAnsi="Times New Roman"/>
          <w:sz w:val="18"/>
          <w:szCs w:val="18"/>
          <w:color w:val="auto"/>
        </w:rPr>
      </w:pPr>
    </w:p>
    <w:p>
      <w:pPr>
        <w:ind w:left="800" w:right="540" w:hanging="333"/>
        <w:spacing w:after="0" w:line="312" w:lineRule="auto"/>
        <w:tabs>
          <w:tab w:leader="none" w:pos="8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discover and develop product candidates efficiently (including the advancement of development candidates on the timelines identified and the ability to identify and contract with clinical trial sites and investigators to use our product candidates in trials);</w:t>
      </w:r>
    </w:p>
    <w:p>
      <w:pPr>
        <w:spacing w:after="0" w:line="139" w:lineRule="exact"/>
        <w:rPr>
          <w:rFonts w:ascii="Times New Roman" w:cs="Times New Roman" w:eastAsia="Times New Roman" w:hAnsi="Times New Roman"/>
          <w:sz w:val="17"/>
          <w:szCs w:val="17"/>
          <w:color w:val="auto"/>
        </w:rPr>
      </w:pPr>
    </w:p>
    <w:p>
      <w:pPr>
        <w:ind w:left="800" w:right="440" w:hanging="333"/>
        <w:spacing w:after="0" w:line="282"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potential (or those of third parties) to manufacture our drug product, drug substance and product candidates successfully for preclinical use, for clinical trials and on a larger scale for commercial use, if approved;</w:t>
      </w:r>
    </w:p>
    <w:p>
      <w:pPr>
        <w:spacing w:after="0" w:line="161" w:lineRule="exact"/>
        <w:rPr>
          <w:rFonts w:ascii="Times New Roman" w:cs="Times New Roman" w:eastAsia="Times New Roman" w:hAnsi="Times New Roman"/>
          <w:sz w:val="18"/>
          <w:szCs w:val="18"/>
          <w:color w:val="auto"/>
        </w:rPr>
      </w:pPr>
    </w:p>
    <w:p>
      <w:pPr>
        <w:ind w:left="800" w:right="100" w:hanging="333"/>
        <w:spacing w:after="0" w:line="282"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strategic collaborators to continue research and development activities relating to our development candidates and product candidates;</w:t>
      </w:r>
    </w:p>
    <w:p>
      <w:pPr>
        <w:spacing w:after="0" w:line="161" w:lineRule="exact"/>
        <w:rPr>
          <w:rFonts w:ascii="Times New Roman" w:cs="Times New Roman" w:eastAsia="Times New Roman" w:hAnsi="Times New Roman"/>
          <w:sz w:val="18"/>
          <w:szCs w:val="18"/>
          <w:color w:val="auto"/>
        </w:rPr>
      </w:pPr>
    </w:p>
    <w:p>
      <w:pPr>
        <w:ind w:left="800" w:right="480" w:hanging="333"/>
        <w:spacing w:after="0" w:line="266"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into 2028);</w:t>
      </w:r>
    </w:p>
    <w:p>
      <w:pPr>
        <w:spacing w:after="0" w:line="175" w:lineRule="exact"/>
        <w:rPr>
          <w:rFonts w:ascii="Times New Roman" w:cs="Times New Roman" w:eastAsia="Times New Roman" w:hAnsi="Times New Roman"/>
          <w:sz w:val="18"/>
          <w:szCs w:val="18"/>
          <w:color w:val="auto"/>
        </w:rPr>
      </w:pPr>
    </w:p>
    <w:p>
      <w:pPr>
        <w:ind w:left="800" w:right="40" w:hanging="333"/>
        <w:spacing w:after="0" w:line="266"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if approved, maintain regulatory approval of our product candidates (as well as approval or clearance of screening tests and companion diagnostic tests for our product candidates) and the potential paths to approval our product candidates, including for vopimetostatas a monotherapy or in combination in MTAP-deleted pancreatic and lung cancer;</w:t>
      </w:r>
    </w:p>
    <w:p>
      <w:pPr>
        <w:spacing w:after="0" w:line="175"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225"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225"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225" w:lineRule="exact"/>
        <w:rPr>
          <w:rFonts w:ascii="Times New Roman" w:cs="Times New Roman" w:eastAsia="Times New Roman" w:hAnsi="Times New Roman"/>
          <w:sz w:val="18"/>
          <w:szCs w:val="18"/>
          <w:color w:val="auto"/>
        </w:rPr>
      </w:pPr>
    </w:p>
    <w:p>
      <w:pPr>
        <w:ind w:left="800" w:right="240" w:hanging="333"/>
        <w:spacing w:after="0" w:line="282"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our ability to enforce our intellectual property rights;</w:t>
      </w:r>
    </w:p>
    <w:p>
      <w:pPr>
        <w:spacing w:after="0" w:line="161"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capital requirements, and our need for additional financing;</w:t>
      </w:r>
    </w:p>
    <w:p>
      <w:pPr>
        <w:spacing w:after="0" w:line="225" w:lineRule="exact"/>
        <w:rPr>
          <w:rFonts w:ascii="Times New Roman" w:cs="Times New Roman" w:eastAsia="Times New Roman" w:hAnsi="Times New Roman"/>
          <w:sz w:val="18"/>
          <w:szCs w:val="18"/>
          <w:color w:val="auto"/>
        </w:rPr>
      </w:pPr>
    </w:p>
    <w:p>
      <w:pPr>
        <w:ind w:left="800" w:right="180" w:hanging="333"/>
        <w:spacing w:after="0" w:line="266"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(including our clinical trial and supply agreements with Revolution Medicines, Inc. and Erasca, Inc.), our ability to enter into strategic collaborations or arrangements, and our ability to attract collaborators with development, regulatory and commercialization expertise;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ind w:left="800" w:right="500" w:hanging="333"/>
        <w:spacing w:after="0" w:line="282"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(if approved) and any other approved products;</w:t>
      </w:r>
    </w:p>
    <w:p>
      <w:pPr>
        <w:spacing w:after="0" w:line="161"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225"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including the expectation that we will continue to incur operating losses and negative cash flow;</w:t>
      </w:r>
    </w:p>
    <w:p>
      <w:pPr>
        <w:spacing w:after="0" w:line="225"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 if approved;</w:t>
      </w:r>
    </w:p>
    <w:p>
      <w:pPr>
        <w:spacing w:after="0" w:line="225" w:lineRule="exact"/>
        <w:rPr>
          <w:rFonts w:ascii="Times New Roman" w:cs="Times New Roman" w:eastAsia="Times New Roman" w:hAnsi="Times New Roman"/>
          <w:sz w:val="18"/>
          <w:szCs w:val="18"/>
          <w:color w:val="auto"/>
        </w:rPr>
      </w:pPr>
    </w:p>
    <w:p>
      <w:pPr>
        <w:ind w:left="800" w:right="280" w:hanging="333"/>
        <w:spacing w:after="0" w:line="282"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 including product approval requirements and pricing regulations by U.S. regulatory authorities (such as the Centers for Medicare &amp; Medicaid Services) and foreign regulatory authorities;</w:t>
      </w:r>
    </w:p>
    <w:p>
      <w:pPr>
        <w:spacing w:after="0" w:line="161"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225" w:lineRule="exact"/>
        <w:rPr>
          <w:rFonts w:ascii="Times New Roman" w:cs="Times New Roman" w:eastAsia="Times New Roman" w:hAnsi="Times New Roman"/>
          <w:sz w:val="18"/>
          <w:szCs w:val="18"/>
          <w:color w:val="auto"/>
        </w:rPr>
      </w:pPr>
    </w:p>
    <w:p>
      <w:pPr>
        <w:ind w:left="800" w:right="160" w:hanging="333"/>
        <w:spacing w:after="0" w:line="282"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ability of third parties with whom we contract) to produce our products or product candidates with advantages in turnaround times or manufacturing cost;</w:t>
      </w:r>
    </w:p>
    <w:p>
      <w:pPr>
        <w:spacing w:after="0" w:line="161" w:lineRule="exact"/>
        <w:rPr>
          <w:rFonts w:ascii="Times New Roman" w:cs="Times New Roman" w:eastAsia="Times New Roman" w:hAnsi="Times New Roman"/>
          <w:sz w:val="18"/>
          <w:szCs w:val="18"/>
          <w:color w:val="auto"/>
        </w:rPr>
      </w:pPr>
    </w:p>
    <w:p>
      <w:pPr>
        <w:jc w:val="both"/>
        <w:ind w:left="800" w:right="160" w:hanging="333"/>
        <w:spacing w:after="0" w:line="266"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the deep, durable target inhibition - with favorable tolerability and safety profiles - necessary to maximize clinical benefit as a result of the unique ability of synthetic lethal targeting to spare normal cells, as well as the success of competing therapies that are or may become available;</w:t>
      </w:r>
    </w:p>
    <w:p>
      <w:pPr>
        <w:spacing w:after="0" w:line="175"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225"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225"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industry;</w:t>
      </w:r>
    </w:p>
    <w:p>
      <w:pPr>
        <w:spacing w:after="0" w:line="225" w:lineRule="exact"/>
        <w:rPr>
          <w:rFonts w:ascii="Times New Roman" w:cs="Times New Roman" w:eastAsia="Times New Roman" w:hAnsi="Times New Roman"/>
          <w:sz w:val="18"/>
          <w:szCs w:val="18"/>
          <w:color w:val="auto"/>
        </w:rPr>
      </w:pPr>
    </w:p>
    <w:p>
      <w:pPr>
        <w:ind w:left="800" w:right="700" w:hanging="333"/>
        <w:spacing w:after="0" w:line="282"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trade restrictions (such as sanctions or tariffs); regulatory requirements, legal actions, or enforcement; inflation rates; and inadequate funding for government agencies on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800" w:right="100" w:hanging="333"/>
        <w:spacing w:after="0" w:line="282"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public health crises on our business operations, including but not limited to our preclinical studies and clinical trials and any future studies or trials;</w:t>
      </w:r>
    </w:p>
    <w:p>
      <w:pPr>
        <w:spacing w:after="0" w:line="161"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 of our drugs in patients as single agents and/or in combination;</w:t>
      </w:r>
    </w:p>
    <w:p>
      <w:pPr>
        <w:spacing w:after="0" w:line="225" w:lineRule="exact"/>
        <w:rPr>
          <w:rFonts w:ascii="Times New Roman" w:cs="Times New Roman" w:eastAsia="Times New Roman" w:hAnsi="Times New Roman"/>
          <w:sz w:val="18"/>
          <w:szCs w:val="18"/>
          <w:color w:val="auto"/>
        </w:rPr>
      </w:pPr>
    </w:p>
    <w:p>
      <w:pPr>
        <w:ind w:left="800" w:hanging="333"/>
        <w:spacing w:after="0" w:line="261"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preclinical data to support clinical trial results, including (i) our belief that robust preclinical data for vopimetostat and RAS(ON) inhibitors support a potential strong combination effect in clinical trials of vopimetostat in combination with RAS inhibitors and (ii) our belief that strong preclinical data showing significant in vivo combination benefit could support potential clinical combinations of our PRMT5 inhibitors with CDK4/6 or MAT2A inhibitors, as well as other oncogene-targeted therapies;</w:t>
      </w:r>
    </w:p>
    <w:p>
      <w:pPr>
        <w:spacing w:after="0" w:line="395" w:lineRule="exact"/>
        <w:rPr>
          <w:rFonts w:ascii="Times New Roman" w:cs="Times New Roman" w:eastAsia="Times New Roman" w:hAnsi="Times New Roman"/>
          <w:sz w:val="18"/>
          <w:szCs w:val="18"/>
          <w:color w:val="auto"/>
        </w:rPr>
      </w:pPr>
    </w:p>
    <w:p>
      <w:pPr>
        <w:jc w:val="both"/>
        <w:ind w:left="800" w:right="180" w:hanging="333"/>
        <w:spacing w:after="0" w:line="266"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and development paths of our drugs in combination with RAS inhibitors, including our belief that the ongoing Phase 1/2 combination study of vopimetostat and RAS(ON) inhibitors from Revolution Medicines, Inc. has the potential to support a chemotherapy-free first line pancreatic cancer pivotal study and potentially second-line therapies in MTAP-deleted/RAS mutated patients; and</w:t>
      </w:r>
    </w:p>
    <w:p>
      <w:pPr>
        <w:spacing w:after="0" w:line="175" w:lineRule="exact"/>
        <w:rPr>
          <w:rFonts w:ascii="Times New Roman" w:cs="Times New Roman" w:eastAsia="Times New Roman" w:hAnsi="Times New Roman"/>
          <w:sz w:val="18"/>
          <w:szCs w:val="18"/>
          <w:color w:val="auto"/>
        </w:rPr>
      </w:pPr>
    </w:p>
    <w:p>
      <w:pPr>
        <w:ind w:left="800" w:right="620" w:hanging="333"/>
        <w:spacing w:after="0" w:line="282"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in Part I, Item 1A of this Annual Report on Form 10-K under the section titled “Risk Factors.”</w:t>
      </w:r>
    </w:p>
    <w:p>
      <w:pPr>
        <w:spacing w:after="0" w:line="162" w:lineRule="exact"/>
        <w:rPr>
          <w:sz w:val="20"/>
          <w:szCs w:val="20"/>
          <w:color w:val="auto"/>
        </w:rPr>
      </w:pPr>
    </w:p>
    <w:p>
      <w:pPr>
        <w:ind w:right="140" w:firstLine="584"/>
        <w:spacing w:after="0" w:line="261" w:lineRule="auto"/>
        <w:rPr>
          <w:sz w:val="20"/>
          <w:szCs w:val="20"/>
          <w:color w:val="auto"/>
        </w:rPr>
      </w:pPr>
      <w:r>
        <w:rPr>
          <w:rFonts w:ascii="Times New Roman" w:cs="Times New Roman" w:eastAsia="Times New Roman" w:hAnsi="Times New Roman"/>
          <w:sz w:val="18"/>
          <w:szCs w:val="18"/>
          <w:color w:val="auto"/>
        </w:rPr>
        <w:t>The forward-looking statements contained in Part I, Item 1A of this Annual Report on Form 10-K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7" w:name="page8"/>
    <w:bookmarkEnd w:id="7"/>
    <w:p>
      <w:pPr>
        <w:ind w:right="20"/>
        <w:spacing w:after="0" w:line="256" w:lineRule="auto"/>
        <w:rPr>
          <w:sz w:val="20"/>
          <w:szCs w:val="20"/>
          <w:color w:val="auto"/>
        </w:rPr>
      </w:pPr>
      <w:r>
        <w:rPr>
          <w:rFonts w:ascii="Times New Roman" w:cs="Times New Roman" w:eastAsia="Times New Roman" w:hAnsi="Times New Roman"/>
          <w:sz w:val="18"/>
          <w:szCs w:val="18"/>
          <w:color w:val="auto"/>
        </w:rPr>
        <w:t>performance to be materially different from those expressed or implied by these forward-looking statements. These risks and uncertainties include, but are not limited to, those factors described under the heading “Risk Factors” in Part I, Item 1A of this Annual Report on Form 10-K. Should one or more of these risks or uncertainties materialize, or should any of our assumptions prove incorrect, actual results may vary in material respects from those projected in these forward-looking statements. There may be additional risks that we currently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80" w:firstLine="584"/>
        <w:spacing w:after="0" w:line="258" w:lineRule="auto"/>
        <w:rPr>
          <w:sz w:val="20"/>
          <w:szCs w:val="20"/>
          <w:color w:val="auto"/>
        </w:rPr>
      </w:pPr>
      <w:r>
        <w:rPr>
          <w:rFonts w:ascii="Times New Roman" w:cs="Times New Roman" w:eastAsia="Times New Roman" w:hAnsi="Times New Roman"/>
          <w:sz w:val="18"/>
          <w:szCs w:val="18"/>
          <w:color w:val="auto"/>
        </w:rPr>
        <w:t>We were formerly known as BCTG Acquisition Corp., or BCTG, and were incorporated in Delaware in May 2020 as a special purpose acquisition company, formed for the purpose of effecting a merger, capital stock exchange, asset acquisition, stock purchase, reorganization or other similar business combination. On August 10, 2021, we consummated the merger pursuant to the Agreement and Plan of Merger, dated as of April 13, 2021, by and among BCTG, BCTG Merger Sub Inc. and Tango Therapeutics Sub, Inc. Upon the consummation of the merger, we changed our name to Tango Therapeutics, Inc.</w:t>
      </w:r>
    </w:p>
    <w:p>
      <w:pPr>
        <w:spacing w:after="0" w:line="183"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including exhibits, proxy and information statements and amendments to those reports filed or furnished pursuant to Sections 13(a), 14, and 15(d) of the Securities Exchange Act of 1934, as amended, or the Exchange Act, are available through the “Investors” portion of our website free of charge as soon as reasonably practicable after we electronically file such material with, or furnish it to, the Securities and Exchange Commission, or SEC. </w:t>
      </w:r>
      <w:r>
        <w:rPr>
          <w:rFonts w:ascii="Times New Roman" w:cs="Times New Roman" w:eastAsia="Times New Roman" w:hAnsi="Times New Roman"/>
          <w:sz w:val="19"/>
          <w:szCs w:val="19"/>
          <w:color w:val="auto"/>
        </w:rPr>
        <w:t>W</w:t>
      </w:r>
      <w:r>
        <w:rPr>
          <w:rFonts w:ascii="Times New Roman" w:cs="Times New Roman" w:eastAsia="Times New Roman" w:hAnsi="Times New Roman"/>
          <w:sz w:val="18"/>
          <w:szCs w:val="18"/>
          <w:color w:val="auto"/>
        </w:rPr>
        <w:t>e also make available, free of charge on our website, the reports filed with the SEC by our executive officers, directors and 10% stockholders pursuant to Section 16 under the Exchange Act as soon as reasonably practicable a</w:t>
      </w:r>
      <w:r>
        <w:rPr>
          <w:rFonts w:ascii="Times New Roman" w:cs="Times New Roman" w:eastAsia="Times New Roman" w:hAnsi="Times New Roman"/>
          <w:sz w:val="19"/>
          <w:szCs w:val="19"/>
          <w:color w:val="auto"/>
        </w:rPr>
        <w:t>f</w:t>
      </w:r>
      <w:r>
        <w:rPr>
          <w:rFonts w:ascii="Times New Roman" w:cs="Times New Roman" w:eastAsia="Times New Roman" w:hAnsi="Times New Roman"/>
          <w:sz w:val="18"/>
          <w:szCs w:val="18"/>
          <w:color w:val="auto"/>
        </w:rPr>
        <w:t>ter copies of those filings are provided to us by those persons</w:t>
      </w:r>
      <w:r>
        <w:rPr>
          <w:rFonts w:ascii="Times New Roman" w:cs="Times New Roman" w:eastAsia="Times New Roman" w:hAnsi="Times New Roman"/>
          <w:sz w:val="19"/>
          <w:szCs w:val="19"/>
          <w:color w:val="auto"/>
        </w:rPr>
        <w:t>. A</w:t>
      </w:r>
      <w:r>
        <w:rPr>
          <w:rFonts w:ascii="Times New Roman" w:cs="Times New Roman" w:eastAsia="Times New Roman" w:hAnsi="Times New Roman"/>
          <w:sz w:val="18"/>
          <w:szCs w:val="18"/>
          <w:color w:val="auto"/>
        </w:rPr>
        <w:t>ccordingly, investors should monitor such portions of the Company’s website, in addition to following the Company’s press releases, SEC filings and public conference calls and webcasts (if any). Information on our website is not to be deemed to be incorporated by reference in, and is not part of, this Annual Report on Form 10-K or any of our other securities filings, unless specifically incorporated herein by reference, and should not be relied upon in making a decision as to whether or not to purchase our common stock.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192" w:lineRule="exact"/>
        <w:rPr>
          <w:sz w:val="20"/>
          <w:szCs w:val="20"/>
          <w:color w:val="auto"/>
        </w:rPr>
      </w:pPr>
    </w:p>
    <w:p>
      <w:pPr>
        <w:ind w:right="160" w:firstLine="584"/>
        <w:spacing w:after="0" w:line="258" w:lineRule="auto"/>
        <w:rPr>
          <w:sz w:val="20"/>
          <w:szCs w:val="20"/>
          <w:color w:val="auto"/>
        </w:rPr>
      </w:pPr>
      <w:r>
        <w:rPr>
          <w:rFonts w:ascii="Times New Roman" w:cs="Times New Roman" w:eastAsia="Times New Roman" w:hAnsi="Times New Roman"/>
          <w:sz w:val="18"/>
          <w:szCs w:val="18"/>
          <w:color w:val="auto"/>
        </w:rPr>
        <w:t>Further, the Company intends to use its website at http://www.tangotx.com as a means of disclosing material non-public information and for complying with its disclosure obligations under the SEC Regulation FD. Such disclosures will be included on the Company’s website under the heading “Investors.” Accordingly, investors should monitor such portions of the Company’s website, in addition to following the Company’s press releases, SEC filings and public conference calls and webcasts (if any). The information contained on, or that may be accessed through, the website is not part of, and is not incorporated into, this Annual Report on Form 10-K.</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principal executive office is located at 201 Brookline Avenue, Suite 901, Boston, Massachusetts 02215.</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 w:name="page9"/>
    <w:bookmarkEnd w:id="8"/>
    <w:p>
      <w:pPr>
        <w:ind w:left="2700"/>
        <w:spacing w:after="0"/>
        <w:rPr>
          <w:sz w:val="20"/>
          <w:szCs w:val="20"/>
          <w:color w:val="auto"/>
        </w:rPr>
      </w:pPr>
      <w:r>
        <w:rPr>
          <w:rFonts w:ascii="Times New Roman" w:cs="Times New Roman" w:eastAsia="Times New Roman" w:hAnsi="Times New Roman"/>
          <w:sz w:val="18"/>
          <w:szCs w:val="18"/>
          <w:b w:val="1"/>
          <w:bCs w:val="1"/>
          <w:color w:val="auto"/>
        </w:rPr>
        <w:t>USE OF DEFINED TERMS IN THIS ANNUAL REPORT ON FORM 10-K</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Unless the context otherwise requires in this Annual Report on Form 10-K for the year ended December 31, 2025 we use the following defined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w:t>
      </w:r>
    </w:p>
    <w:p>
      <w:pPr>
        <w:spacing w:after="0" w:line="207"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Annual Report” means this Annual Report on Form 10-K for the year ended December 31, 2025;</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“we", “our” and “us” mean Tango Therapeutics, Inc. and its wholly-owned subsidiaries;</w:t>
      </w:r>
    </w:p>
    <w:p>
      <w:pPr>
        <w:spacing w:after="0" w:line="225"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means the merger of BCTG Merger Sub Inc. with and into Tango Therapeutics, Inc. (now known as Tango Therapeutics Sub, Inc.) on August 10, 2021, with Tango Therapeutics, Inc. as the surviving company in the merger as a wholly-owned subsidiary of BCTG Acquisition Corp. (now known as Tango Therapeutics, Inc.);</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“CNS” means central nervous system.</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“CoREST” means Co-repressor of Repressor Element-1 Silencing Transcription;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“CSF” means cerebrospinal fluid;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means U.S. Food and Drug Administration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"FOCAD" means focadhesin;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means Gilead Sciences, Inc.;</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“GBM” means glioblastoma;</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 means Investigational New Drug application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“MTA” means methylthioadenosine;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“MTAP” means methylthioadenosine phosphorylase;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“NSCLC” means non-small cell lung cancer;</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“PRMT5” means protein arginine methyltransferase 5;</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“RAS” means rat sarcoma;</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 means S-adenosyl-L-methionine;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“STK11” means serine-threonine kinase 11; and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“HBS1L” means HBS1-like translational GTPase</w:t>
      </w: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089" w:right="67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Tango Therapeutics was founded with a clear mission: to discover the next wave of targeted therapies in oncology by addressing the specific genetic alterations that drive cancer. We leverage our state-of-the-art target and drug discovery platforms to identify novel disease-relevant targets and develop medicines tailored to defined patient populations with high unmet medical need. Our novel small molecules are designed to be selectively active in cancer cells with specific genetic alterations, killing those cancer cells while sparing normal cells. We believe our approach will provide the ability to deliver deep, durable target inhibition with favorable tolerability and safety profiles, thus potentially maximizing clinical benefit.</w:t>
      </w:r>
    </w:p>
    <w:p>
      <w:pPr>
        <w:spacing w:after="0" w:line="183" w:lineRule="exact"/>
        <w:rPr>
          <w:sz w:val="20"/>
          <w:szCs w:val="20"/>
          <w:color w:val="auto"/>
        </w:rPr>
      </w:pPr>
    </w:p>
    <w:p>
      <w:pPr>
        <w:jc w:val="both"/>
        <w:ind w:right="300" w:firstLine="749"/>
        <w:spacing w:after="0" w:line="266" w:lineRule="auto"/>
        <w:rPr>
          <w:sz w:val="20"/>
          <w:szCs w:val="20"/>
          <w:color w:val="auto"/>
        </w:rPr>
      </w:pPr>
      <w:r>
        <w:rPr>
          <w:rFonts w:ascii="Times New Roman" w:cs="Times New Roman" w:eastAsia="Times New Roman" w:hAnsi="Times New Roman"/>
          <w:sz w:val="18"/>
          <w:szCs w:val="18"/>
          <w:color w:val="auto"/>
        </w:rPr>
        <w:t>We are currently focused on clinical development of two MTAP-deleted selective PRMT5 inhibitors: vopimetostat (TNG462) for non-CNS cancers, both as a monotherapy and in combination with RAS inhibitors, and TNG456, our next-generation, brain-penetrant PRMT5 inhibitor, for CNS cancers, including glioblastoma (GBM).</w:t>
      </w:r>
    </w:p>
    <w:p>
      <w:pPr>
        <w:spacing w:after="0" w:line="176"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October 2025, we reported positive data from the ongoing Phase 1/2 clinical trial of vopimetostat monotherapy in patients with MTAP-deleted selective cancers, illustrating clinical activity across multiple cancer types with a favorable safety and tolerability profile. Specifically, the data in second-line MTAP-deleted pancreatic cancer demonstrated a median progression free survival (mPFS) of 7.2 months and 25% objective response rate (ORR), supporting the planned initiation of a 2L pivotal trial in this patient population in 2026. The histology selective cohort, which excludes sarcoma, pancreatic and lung cancer patients, also showed positive data, with a mPFS of 9.1 months and 49% ORR. We are evaluating the development path for the histology selective cohort, as well as for selected indications as stand-alone development opportunities. Lastly, emerging data from the lung cancer cohort are consistent with expectations, and we anticipate providing a safety and efficacy update in 2026.</w:t>
      </w:r>
    </w:p>
    <w:p>
      <w:pPr>
        <w:spacing w:after="0" w:line="18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are focused on evaluating the combination of vopimetostat with RAS inhibitors, given the overlap in patient populations, robust preclinical data supporting potential strong combination effect in clinical trials, and favorable clinical efficacy, durability, and safety profiles observed with each drug individually. We believe this approach may enable a development path for chemotherapy-free first-line and potentially second-line therapies for MTAP-deleted/RAS-mutated patients with pancreatic and lung cancer. In June 2025, we treated the first patient in our combination clinical trial evaluating vopimetostat with the RAS(ON) multi-selective inhibitor, daraxonrasib, and RAS(ON) G12D-selective inhibitor, zoldonrasib (Revolution Medicines), which enrolled 30 patients as of December 24, 2025. Both combinations have been well-tolerated to date with exposures in the active range for all compounds with encouraging early efficacy data. We anticipate providing a safety and efficacy update from this trial in 2026. Given the differentiated profile of vopimetostat enabling the potential for efficacious and tolerable RAS inhibitor combinations, in March 2026, we entered into a clinical trial collaboration and supply agreement (CTCSA) with Erasca, Inc., or Erasca, to evaluate vopimetostat in combination with Erasca’s pan-RAS molecular glue, ERAS-0015. Under the terms of the agreement, Tango is the sponsor of the trial and Erasca is supplying ERAS-0015 at no cost.</w:t>
      </w:r>
    </w:p>
    <w:p>
      <w:pPr>
        <w:spacing w:after="0" w:line="127"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TNG456 is a brain-penetrant PRMT5 inhibitor. In May 2025, the first patient was treated with TNG456 in the dose escalation portion of the Phase 1/2 clinical trial to evaluate the safety, pharmacokinetics, pharmacodynamics and antitumor activity of TNG456 as a monotherapy. The trial is currently enrolling patients with MTAP-deleted solid tumors, with a focus on GBM. We anticipate providing a safety and efficacy update from this trial in 2026.</w:t>
      </w:r>
    </w:p>
    <w:p>
      <w:pPr>
        <w:spacing w:after="0" w:line="180"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TNG961 is a novel, potent and selective molecular glue development candidate targeting HBS1L for degradation in solid tumors in FOCAD-deleted/MTAP-deleted cancers. FOCAD deletion occurs in 20-40% of all MTAP-deleted cancers due to the collateral loss with the tumor suppressor gene CDKN2A/B on chromosome 9p21. Cancers with FOCAD loss are dependent on HBS1L for mRNA processing, thus protein synthesis. By degrading HBS1L and disrupting the HBS1L/PELO complex, TNG961 causes tumor regression in FOCAD-deleted preclinical models of multiple histologies. TNG961 is in the IND-enabling phase of development.</w:t>
      </w:r>
    </w:p>
    <w:p>
      <w:pPr>
        <w:spacing w:after="0" w:line="183"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TNG260 is a first-in-class CoREST inhibitor. In November 2025, we announced that patients with checkpoint inhibitor resistant STK11 mutant/KRAS wild-type NSCLC receiving clinically active doses of TNG260 plus pembrolizumab had a mPFS of 29 weeks (n=5), more than double the standard of care PFS of ~10 weeks. 80 mg QD of TNG260 was selected for dose expansion, which is ongoing for patients.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29"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We are leveraging the power and productivity of our discovery engine to discover and validate multiple novel targets each year. Our growing pipeline consists of discovery programs for multiple cancer types that currently have limited treatment options, as summarized in Figure 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1. Tango Therapeutics'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155575</wp:posOffset>
            </wp:positionV>
            <wp:extent cx="5795010" cy="24085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501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We are pioneering novel approaches to the discovery and development of innovative targeted oncology therapies. We leverage the following core strategic components, enabling the pursuit of transformative therapies for patients with cancer:</w:t>
      </w:r>
    </w:p>
    <w:p>
      <w:pPr>
        <w:spacing w:after="0" w:line="54" w:lineRule="exact"/>
        <w:rPr>
          <w:sz w:val="20"/>
          <w:szCs w:val="20"/>
          <w:color w:val="auto"/>
        </w:rPr>
      </w:pPr>
    </w:p>
    <w:p>
      <w:pPr>
        <w:ind w:left="1020" w:right="10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clinical development of vopimetostat as a monotherapy and in combination with other therapies, including RAS inhibitors, in clinical trials to enable multiple registration paths for markets with large addressable patient populations and high unmet need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clinical development of TNG456 in the ongoing Phase 1/2 clinical trial, focused on GBM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the next generation of precision oncology targets to continue to grow our pipeline</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Opportunistically evaluate our pipeline assets and maximize the value through strategic collaborations and licensing deals to bring more medicines to patients, accelerate development timelines and explore combination therapy approaches for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Unmet need in precision oncology</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Many genetic drivers of cancer are well-characterized but remain difficult to target directly, either because their molecular structure resists conventional inhibition (“undruggable” targets) or because the alteration results in loss of the gene’s normal function. As a result, a substantial portion of oncogenic biology remains a largely unaddressed target space. We are applying precision-oncology strategies, including the concept of synthetic lethality, to address the unmet medical need of large patient groups defined by actionable molecular alterations (e.g., specific mutation, deletions, copy-number changes, or immune contextures).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Synthetic lethality as a precision oncology strategy</w:t>
      </w:r>
    </w:p>
    <w:p>
      <w:pPr>
        <w:spacing w:after="0" w:line="229"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Synthetic lethal cancer therapies exploit pairs of genes or pathways in which one is inactivated by a tumor-specific alteration and the other is inhibited pharmacologically. While genetic alterations drive the development of cancer, they also</w:t>
      </w:r>
    </w:p>
    <w:p>
      <w:pPr>
        <w:spacing w:after="0" w:line="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05" w:right="479" w:bottom="1440" w:gutter="0" w:footer="0" w:header="0"/>
        </w:sectPr>
      </w:pPr>
    </w:p>
    <w:bookmarkStart w:id="11" w:name="page12"/>
    <w:bookmarkEnd w:id="11"/>
    <w:p>
      <w:pPr>
        <w:spacing w:after="0" w:line="258" w:lineRule="auto"/>
        <w:rPr>
          <w:sz w:val="20"/>
          <w:szCs w:val="20"/>
          <w:color w:val="auto"/>
        </w:rPr>
      </w:pPr>
      <w:r>
        <w:rPr>
          <w:rFonts w:ascii="Times New Roman" w:cs="Times New Roman" w:eastAsia="Times New Roman" w:hAnsi="Times New Roman"/>
          <w:sz w:val="18"/>
          <w:szCs w:val="18"/>
          <w:color w:val="auto"/>
        </w:rPr>
        <w:t>create unique vulnerabilities that can be targeted therapeutically. Biologically, these vulnerabilities may include an inability of cancer cells to respond to a specific signal, such as DNA damage or cell-cycle arrest, or the inability to remodel chromatin or to maintain cellular homeostasis. A key advantage of the synthetic lethal approach is selectivity: normal cells are not dependent on the same compensatory pathway and are therefore largely unaffected at drug-dose levels that selectively kill alteration-bearing cancer cells, as noted in Figure 2 below. The success of PARP inhibitors in BRCA-mutant breast, ovarian and prostate cancers is the first clinical example of using synthetic lethality to target tumors deficient in DNA-repair mechanism.</w:t>
      </w:r>
    </w:p>
    <w:p>
      <w:pPr>
        <w:spacing w:after="0" w:line="18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Figure 2. In cancer cells, specific molecular alterations create a dependency that allows an inhibitor to target a synthetic-lethal partner gene, causing tumor-cell death. This selective killing only occurs in tumors harboring the defined alteration (e.g. tumor suppressor gene), thereby largely sparing normal tissues offering a wide therapeutic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123190</wp:posOffset>
            </wp:positionV>
            <wp:extent cx="4457700" cy="1817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57700"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Biomarker driven patient selection</w:t>
      </w:r>
    </w:p>
    <w:p>
      <w:pPr>
        <w:spacing w:after="0" w:line="22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Across our clinical programs, we use molecular biomarkers as the basis for patient selection to enroll those patients most likely to benefit from each new drug candidate. This patient-centric, molecular approach is designed to enable efficient clinical development, increase the probability of success, and deliver the greatest clinical benefit to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 STAGE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PRMT5 inhibitors</w:t>
      </w:r>
    </w:p>
    <w:p>
      <w:pPr>
        <w:spacing w:after="0" w:line="229"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PRMT5 has long been a therapeutic target of interest for cancer given its role in regulating proteins involved in multiple essential cellular functions, including RNA splicing, cell cycling, cell death, and metabolic signaling. PRMT5 is a protein arginine methyltransferase that modifies the activity of these proteins, which are critical for growth and viability of both normal and cancer cells. The first generation of PRMT5 inhibitors did not advance in clinical development because they were either SAM-cooperative or SAM-competitive (and not MTA-cooperative), and as a result, they killed rapidly growing normal cells, particularly bone marrow, as effectively as cancer cells. Therefore, on-target, dose-limiting bone marrow toxicity prevented adequate target inhibition in cancer cells. To address this problem, we designed vopimetostat and TNG456 to be MTA-cooperative and thus selectively active (synthetic lethal) in cancer cells that have a homozygous deletion of MTAP, which is not deleted in normal cells.</w:t>
      </w:r>
    </w:p>
    <w:p>
      <w:pPr>
        <w:spacing w:after="0" w:line="18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This synthetic lethal interaction occurs when MTAP is co-deleted as a “passenger” with the frequently-deleted tumor suppressor gene CDKN2A. Synthetic lethality occurs because MTAP-deleted cells accumulate the PRMT5 inhibitory factor MTA. As a result, PRMT5 is partially inhibited in MTAP-deleted cells, making those cells more sensitive than normal cells to further inhibition of PRMT5 activity. Taking advantage of this unique interaction between PRMT5 inhibition and MTAP deletion requires that the inhibitors have a specific binding mechanism called MTA cooperativity. Vopimetostat and TNG456 bind cooperatively with MTA to inhibit PRMT5 function by blocking access to the PRMT5 active site for both protein substrates and the activating PRMT5 co-factor SAM, specifically in tumor cells which are MTAP deleted. This MTA-cooperative binding mechanism allows selective inhibition of PRMT5 in tumor cells that have lost MTAP while being relatively inert in normal cells without MTAP deletion.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MTAP-deletion frequency in multiple solid tumor types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2" w:name="page13"/>
    <w:bookmarkEnd w:id="12"/>
    <w:p>
      <w:pPr>
        <w:ind w:firstLine="749"/>
        <w:spacing w:after="0" w:line="255" w:lineRule="auto"/>
        <w:rPr>
          <w:sz w:val="20"/>
          <w:szCs w:val="20"/>
          <w:color w:val="auto"/>
        </w:rPr>
      </w:pPr>
      <w:r>
        <w:rPr>
          <w:rFonts w:ascii="Times New Roman" w:cs="Times New Roman" w:eastAsia="Times New Roman" w:hAnsi="Times New Roman"/>
          <w:sz w:val="18"/>
          <w:szCs w:val="18"/>
          <w:color w:val="auto"/>
        </w:rPr>
        <w:t>A partial deletion of chromosome 9p21, driven by loss of the tumor suppressor gene CDKN2A, is the most common homozygous deletion in human cancer. MTAP is adjacent to CDKN2A and is lost along with it in 80-90% of CDKN2A-deleted tumors, thus MTAP is one of the most commonly deleted genes across all cancer types. Based on The Cancer Genome Atlas, SEER, Kantar and other sources, there are at least 15 cancer types where MTAP loss occurs in more than 10% of patients, including approximately 15% of NSCLC, 25% of bladder cancers, 40% of pancreatic cancers, and 45% of GBM. Our development program for vopimetostat is focusing on patients with pancreatic cancer, lung cancer, and histology selective cancers, and we estimate that the annual addressable patient population in the U.S. for these indications totals approximately 60,000 patients. Our development program for TNG456 will focus primarily on patients with GBM, which has an annual addressable U.S. patient population of approximately 7,000 patients.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Strong preclinical data demonstrated with our MTA-cooperative PRMT5 inhibitors in MTAP-deleted cancers</w:t>
      </w:r>
    </w:p>
    <w:p>
      <w:pPr>
        <w:spacing w:after="0" w:line="229"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Since PRMT5 is an essential enzyme for all cell types, we designed our PRMT5 inhibitors to be selectively active in cancer cells that have a homozygous deletion of MTAP, which is not deleted in normal cells.</w:t>
      </w:r>
    </w:p>
    <w:p>
      <w:pPr>
        <w:spacing w:after="0" w:line="162" w:lineRule="exact"/>
        <w:rPr>
          <w:sz w:val="20"/>
          <w:szCs w:val="20"/>
          <w:color w:val="auto"/>
        </w:rPr>
      </w:pPr>
    </w:p>
    <w:p>
      <w:pPr>
        <w:ind w:firstLine="749"/>
        <w:spacing w:after="0" w:line="281" w:lineRule="auto"/>
        <w:rPr>
          <w:sz w:val="20"/>
          <w:szCs w:val="20"/>
          <w:color w:val="auto"/>
        </w:rPr>
      </w:pPr>
      <w:r>
        <w:rPr>
          <w:rFonts w:ascii="Times New Roman" w:cs="Times New Roman" w:eastAsia="Times New Roman" w:hAnsi="Times New Roman"/>
          <w:sz w:val="17"/>
          <w:szCs w:val="17"/>
          <w:color w:val="auto"/>
        </w:rPr>
        <w:t>In normal cells with MTAP, MTA is rapidly degraded by MTAP and therefore does not inhibit PRMT5. When MTAP is deleted in cancer cells, intracellular MTA is markedly elevated compared to normal cells (Figures 3 and 4 below) and partially inhibits PRMT5. Our inhibitors preferentially bind PRMT5 in the presence of MTA and “lock” the enzyme into the inactive state which further inhibits PRMT5 and prevents it from methylating target proteins critical for cell survival. As a result, our inhibitors selectively kill MTAP-deleted tumor cells with elevated MTA levels while sparing normal cells.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3. Schematic of PRMT5 and MTAP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155575</wp:posOffset>
            </wp:positionV>
            <wp:extent cx="5795010" cy="2451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501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4. Vopimetostat and TNG456 have an MTA-cooperative mechanism of action that is selective for MTAP-deleted cancer cells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1391285</wp:posOffset>
            </wp:positionH>
            <wp:positionV relativeFrom="page">
              <wp:posOffset>911860</wp:posOffset>
            </wp:positionV>
            <wp:extent cx="4740275" cy="19799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4740275"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preclinical studies, our PRMT5 inhibitors drive dose-dependent, on-target, anti-tumor activity including deep and durable regressions in MTAP-null xenograft models regardless of histology. These preclinical results are driven by vopimetostat has 4nM potency and 45X selectivity for MTAP-deleted cancer cells versus normal cells. Additionally, TNG456 demonstrated 20nM potency and 55X MTAP deletion selectivity.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and clinical combination data</w:t>
      </w:r>
    </w:p>
    <w:p>
      <w:pPr>
        <w:spacing w:after="0" w:line="22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We plan to develop vopimetostat and TNG456 as monotherapy agents and in combination with other agents. Based on strong preclinical data showing significant in vivo combination benefit, clinical combinations that are currently being executed, planned or are of potential interest for the future with our PRMT5 inhibitors include RAS, CDK4/6, and MAT2A inhibitors and potentially other oncogene-targeted therapies.</w:t>
      </w:r>
    </w:p>
    <w:p>
      <w:pPr>
        <w:spacing w:after="0" w:line="176"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RAS combinations are a key focus due to the overlap in patient populations with MTAP deletion in pancreatic and lung cancer as well as the anticipated postitive safety profile of both therapies. More than 90% of MTAP-deleted pancreatic adenocarcinomas are RAS-mutant and approximately 40% of RAS mutations are G12D. Additionally, approximately 30% of MTAP-deleted lung adenocarcinomas are also RAS-mutant. Additionally, preclinical in vivo studies showed their combination leads to significant tumor reductions, supporting further clinical testing. We have an ongoing clinical collaboration with Revolution Medicines, Inc., or RevMed, and are currently combining vopimetostat with daraxonrasib, a RAS(ON) multi-selective inhibitor, and separately with zoldonrasib, a RAS(ON) G12D-selective inhibitor, in MTAP-deleted, RAS-mutant pancreatic and lung cancer in a Phase 1/2 clinical trial. We anticipate providing a safety and efficacy update from that study in 2026.</w:t>
      </w:r>
    </w:p>
    <w:p>
      <w:pPr>
        <w:spacing w:after="0" w:line="121"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Given the our belief that the differentiated profile of vopimetostat could enable the potential for efficacious and tolerable RAS inhibitor combinations, we have entered into a CTCSA with Erasca to evaluate vopimetostat in combination with Erasca’s pan-RAS molecular glue, ERAS-0015. Under the terms of the agreement, Tango is the sponsor of the trial and Erasca is supplying ERAS-0015 at no cost.</w:t>
      </w:r>
    </w:p>
    <w:p>
      <w:pPr>
        <w:spacing w:after="0" w:line="95" w:lineRule="exact"/>
        <w:rPr>
          <w:sz w:val="20"/>
          <w:szCs w:val="20"/>
          <w:color w:val="auto"/>
        </w:rPr>
      </w:pPr>
    </w:p>
    <w:p>
      <w:pPr>
        <w:ind w:right="140" w:firstLine="509"/>
        <w:spacing w:after="0" w:line="239" w:lineRule="auto"/>
        <w:rPr>
          <w:sz w:val="20"/>
          <w:szCs w:val="20"/>
          <w:color w:val="auto"/>
        </w:rPr>
      </w:pPr>
      <w:r>
        <w:rPr>
          <w:rFonts w:ascii="Times New Roman" w:cs="Times New Roman" w:eastAsia="Times New Roman" w:hAnsi="Times New Roman"/>
          <w:sz w:val="18"/>
          <w:szCs w:val="18"/>
          <w:color w:val="auto"/>
        </w:rPr>
        <w:t>Essentially all MTAP-deleted tumors also harbor a CDKN2A deletion, which may sensitize cancers to CDK4/6 inhibition. We have observed the expected efficacy of this combination in preclinical in vivo studies. We have a clinical collaboration agreement with Eli Lilly and Company, or Lilly, that will supply Verzenio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(abemaciclib), a CDK4/6 inhibitor, for use in combination with TNG456 in our ongoing Phase 1/2 clinical trial focused on MTAP-deleted GBM. We anticipate treating patients with that combination upon confirmation of single-agent TNG456 activity in patients with GBM.</w:t>
      </w:r>
    </w:p>
    <w:p>
      <w:pPr>
        <w:spacing w:after="0" w:line="20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Strong synergy has been demonstrated preclinically with sub-therapeutic doses of vopimetostat and MAT2A inhibition, suggesting the combination of vopimetostat with MAT2A inhibitors may be clinically beneficial in MTAP-deleted tumors.</w:t>
      </w:r>
    </w:p>
    <w:p>
      <w:pPr>
        <w:spacing w:after="0" w:line="16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preparation for potential first-line pivotal studies and to inform future clinical development opportunities, we are also conducting combination studies to assess tolerability with various agents, including pembrolizumab and chemotherapy.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Vopimetostat Phase 1/2 monotherapy</w:t>
      </w:r>
    </w:p>
    <w:p>
      <w:pPr>
        <w:spacing w:after="0" w:line="229" w:lineRule="exact"/>
        <w:rPr>
          <w:sz w:val="20"/>
          <w:szCs w:val="20"/>
          <w:color w:val="auto"/>
        </w:rPr>
      </w:pPr>
    </w:p>
    <w:p>
      <w:pPr>
        <w:jc w:val="both"/>
        <w:ind w:right="120" w:firstLine="749"/>
        <w:spacing w:after="0" w:line="312" w:lineRule="auto"/>
        <w:rPr>
          <w:sz w:val="20"/>
          <w:szCs w:val="20"/>
          <w:color w:val="auto"/>
        </w:rPr>
      </w:pPr>
      <w:r>
        <w:rPr>
          <w:rFonts w:ascii="Times New Roman" w:cs="Times New Roman" w:eastAsia="Times New Roman" w:hAnsi="Times New Roman"/>
          <w:sz w:val="17"/>
          <w:szCs w:val="17"/>
          <w:color w:val="auto"/>
        </w:rPr>
        <w:t>The vopimetostat Phase 1/2 clinical trial is evaluating the safety and efficacy of vopimetostat as a monotherapy in patients with MTAP-deleted solid tumors and is focused on pancreatic and lung cancer. The first patient was dosed in July 2023 and we are currently enrolling patients at 250 mg QD.</w:t>
      </w:r>
    </w:p>
    <w:p>
      <w:pPr>
        <w:spacing w:after="0" w:line="14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October 2025, we reported positive data from the ongoing Phase 1/2 clinical trial of vopimetostat in patients with MTAP-deleted cancers, demonstrating clinical activity across multiple cancer types with a favorable safety and tolerability profile to date. The cutoff date for the analysis was September 1, 2025 and included all evaluable patients at active doses (200 mg QD and above). Based on our observations of other PRMT5 inhibitors, we believe that the objective response rate, or ORR, improves over time in PRMT5 inhibitors. When all evaluable patients as of September 1, 2025, regardless of duration of follow-up, were assessed for response, the ORR was 20%. At greater than 6 months of follow-up as of September 1, 2025, the ORR increased to 27%. The ORR analyses presented were thus derived from patients enrolled more than 6 months before the data cutoff regardless of outcome, to avoid under-reporting response rates. Therefore, the ORRs were calculated in all tumor-evaluable patients enrolled more than 6 months prior to the efficacy analysis. mPFS was calculated in all patients who received a first scan (~8 weeks).</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Across all MTAP-deleted tumor types, there were 94 tumor evaluable patients. We observed an ORR 27% and mPFS of 6.4 months in these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5: Vopimetostat 27% ORR across cancer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5795010" cy="2082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501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6: Durable disease control with vopimetostat across cancer types</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5795010" cy="22885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79501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 the 29 patients with second line (2L) MTAP-deleted pancreatic cancer, mPFS was 7.2 months. In patients with 2L pancreatic cancer who were tumor evaluable (n=8), the ORR was 25%, more than double that observed in historical chemotherapy studies (~10%), supporting the planned initiation of a 2L pivotal trial in this patient population in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7: Vopimetostat mPFS is 7.2 months in 2L pancreatic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5795010" cy="23571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9501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In the histology selective cohort with 37 evaluable patients, we observed a 49% ORR and mPFS of 9.1 months. The histology selective cohort excludes pancreatic and lung cancer patients, as those indications were enrolled in separate cohorts and are being developed independently. Sarcoma patients are also excluded from this analysis, as no activity was observed in this indication (ORR 0%), which will not be pursued in future development. We are evaluating the development path for the histology selective cohort, as well as for selected indications as stand-alone development opportunities.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8: Vopimetostat 49% ORR in histology selective cohort and mPFS of 9.1 months</w:t>
      </w: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5795010" cy="2442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795010"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As of September 1, 2025, 41 patients with 2L+ lung cancer were enrolled in the Phase 1/2 clinical trial at active doses, 12 of whom were enrolled more than 6 months prior to the analysis. Emerging data from the lung cohort are consistent with expectations, and we anticipate providing a safety and efficacy update in 2026.</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Figure 9: Vopimetostat 250mg QD has a potentially best-in-class safety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5795010" cy="2331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9501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Vopimetostat demonstrated a favorable safety and tolerability profile with no drug-related dose discontinuations and ~8% dose reduction in patients dosed at 250 mg QD as of the data cutoff date of September 1, 2025. These data support our view that vopimetostat has the potential to be a best-in-class molecule and we believe support the initiation of a registrational trial in 2026 to evaluate 2L MTAP-deleted pancreatic cancer as a single agent.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Vopimetostat Phase 1/2 combination with RAS(ON) inhibitors</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We are focused on evaluating the combination of vopimetostat with RAS inhibitors, given the overlap in patient populations, robust preclinical data supporting potential strong combination effect in clinical trials, and favorable clinical efficacy, durability, and safety profiles observed with each drug individually. This approach may enable a development path for chemotheraphy-free first-line and potentially second-line therapies for MTAP-deleted/RAS-mutated patients with pancreatic and lung cancer. We have a collaboration with RevMed to support the ongoing Phase 1/2 combination trial.</w:t>
      </w:r>
    </w:p>
    <w:p>
      <w:pPr>
        <w:spacing w:after="0" w:line="180"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In June 2025, the first patient was treated in the combination clinical trial that is evaluating vopimetostat with the RAS(ON) multi-selective inhibitor, daraxonrasib, and RAS(ON) G12D-selective inhibitor, zoldonrasib (RevMed). As of December 24, 2025, we had enrolled 30 patients in the trial, and both combinations were well-tolerated to date with exposures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in the active range for all compounds. Early efficacy data are encouraging. We anticipate providing a safety and efficacy update from this trial in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TNG456 Phase 1/2</w:t>
      </w:r>
    </w:p>
    <w:p>
      <w:pPr>
        <w:spacing w:after="0" w:line="229"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TNG456 is a brain-penetrant PRMT5 inhibitor being evaluated in an ongoing Phase 1/2 trial enrolling patients with MTAP-deleted solid tumors, with a focus on GBM. In May 2025, we began enrolling patients in the TNG456 Phase 1/2 clinical trial, in which we plan to evaluate patients with TNG456 monotherapy as well as in combination with abemaciclib. The trial is currently in dose escalation and we anticipate providing a safety and efficacy update from this trial in 2026.</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plan to initiate the combination with abemaciclib with evidence of single agenda TNG456 activity in GBM.</w:t>
      </w:r>
    </w:p>
    <w:p>
      <w:pPr>
        <w:spacing w:after="0" w:line="207"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auto"/>
        </w:rPr>
        <w:t>We believe that the initial pharmacokinetics from the clinical trial support our hypothesis that TNG456 will reach efficacious exposures in the CNS at well-tolerated doses (Fig 10). In contrast, the results of the TNG908 Phase1/2 clinical trial determined that the TNG908 exposure in the brain of was subtherapeutic. TNG908 was discontinued in November 2024 due to insufficient brain exposure for clinical activity in GBM.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10. TNG908 (actual) and TNG456 (predicted based on clinical PK at 100mg BID) steady-state clinical exposure in plasma and brain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5795010" cy="2322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9501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CoREST inhibition to reserve immune evasion</w:t>
      </w:r>
    </w:p>
    <w:p>
      <w:pPr>
        <w:spacing w:after="0" w:line="229"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TNG260 is a first-in-class CoREST inhibitor targeting STK11 mutant/KRAS wild type NSCLC, representing ~10% of lung adenocarcinoma annually in the US (~10,000 patients). STK11 loss-of-function mutations suppress the immune microenvironment of lung cancers. As a result, immune checkpoint inhibitors, like anti-PD-1, are not sufficient to overcome the immune evasive environment of STK11-mutant tumors, leading to poor clinical responses in these patients. Inhibition of the CoREST complex by TNG260 has been shown in preclinical studies to lead to changes in expression of immune-related genes that favor a more active immune environment.</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 syngeneic mouse tumor model where STK11 loss drives resistance to immune checkpoint blockade, CoREST inhibition by TNG260 in combination with an anti-PD-1 antibody resulted in complete tumor regressions in five out of eight treated mice. Treatment was stopped on Day 48 and the five of eight mice that were completely tumor-free at that time remained tumor-free for 21 days with no further treatment. Furthermore, when tumor cells were re-implanted in these mice on day 69, they were rejected, compared to a treatment-naïve group of animals where tumors grew as expected. This demonstrated the induction of immune memory in the animals with complete responses to TNG260 with anti-PD-1 antibody (Figure 11).</w:t>
      </w:r>
    </w:p>
    <w:p>
      <w:pPr>
        <w:spacing w:after="0" w:line="181"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Figure 11: Pharmacologic proof-of-concept for CoREST inhibition in STK11 mutant MC38 mouse tumors with TNG260 in combination with an anti-PD-1 antibody</w:t>
      </w: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1768475</wp:posOffset>
            </wp:positionH>
            <wp:positionV relativeFrom="page">
              <wp:posOffset>843280</wp:posOffset>
            </wp:positionV>
            <wp:extent cx="4020185" cy="2468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402018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TNG260 Phase 1/2</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the first quarter of 2023, the FDA cleared the TNG260 IND and we announced the first patient in the Phase 1/2 clinical trial was dosed in July 2023. Data from the dose escalation portion of this study provided early clinical proof-of-concept in a pre-specified subgroup of patients with checkpoint inhibitor resistant STK11 mut/KRAS WT lung cancer. In this group (n=5), the mPFS was 29 weeks, more than double the standard of care PFS of ~10 weeks. There was no evidence of activity in STK11 mutant /KRAS mutant lung cancers or other cancer types. The trial is ongoing in the STK11mut/KRAS WT lung cancer cohort.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firstLine="584"/>
        <w:spacing w:after="0" w:line="252" w:lineRule="auto"/>
        <w:rPr>
          <w:sz w:val="20"/>
          <w:szCs w:val="20"/>
          <w:color w:val="auto"/>
        </w:rPr>
      </w:pPr>
      <w:r>
        <w:rPr>
          <w:rFonts w:ascii="Times New Roman" w:cs="Times New Roman" w:eastAsia="Times New Roman" w:hAnsi="Times New Roman"/>
          <w:sz w:val="18"/>
          <w:szCs w:val="18"/>
          <w:color w:val="auto"/>
        </w:rPr>
        <w:t>Our lead investigational products are small molecule inhibitors that can be readily manufactured without requiring any specialized equipment or processes. We do not own or operate, and currently have no plans to establish, any manufacturing facilities. We rely, and expect to continue to rely, on third-party Contract Development and Manufacturing Organizations, or CDMOs, for the manufacturing, packaging, labeling and distribution of our investigational products for preclinical and clinical testing, as well as for commercial manufacturing if any of our investigational products obtain marketing approval. A team of internal experts oversee activities at our contracted CDMOs with the goal of ensuring our investigational products are being manufactured under current good manufacturing practices, or cGMP. Currently, all manufacturing of the drug substance for our product candidates to be used in our clinical trials is conducted by one manufacturer and manufacturing of the drug product to be used in our clinical trials is conducted by two manufacturers. We believe that the contracted CDMOs have the capacity to support our potential registrational clinical studies, in addition to the first-in-human studies of our product candidates. The operations of one of these CDMOs are located outside the U.S. and the other CDMO conducts its operations for us in a single location in the United States. In addition to the risks related to having only two CDMOs (and only one manufacturer of drug substance), we may also encounter challenges related to supply chain, climate issues, pandemic and geopolitical risks. We plan to further expand and diversify our supply chain by identifying and contracting other CDMOs (beyond the two CDMOs that are currently conducting operations for us) with the capacity and expertise to support the drug substance and drug product for our product candidates and other investigational products in our pipeline and to manufacture commercial supply of our drugs (if those therapies obtain regulatory approval). For additional information and details on the risk related to manufacturing, see “Item 1A. Risk Factors —</w:t>
      </w:r>
      <w:r>
        <w:rPr>
          <w:rFonts w:ascii="Times New Roman" w:cs="Times New Roman" w:eastAsia="Times New Roman" w:hAnsi="Times New Roman"/>
          <w:sz w:val="18"/>
          <w:szCs w:val="18"/>
          <w:i w:val="1"/>
          <w:iCs w:val="1"/>
          <w:color w:val="auto"/>
        </w:rPr>
        <w:t>The third parties upon whom we rely for the supply of the active pharmaceutical ingredients and drug product to be used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our product candidates are our sole sources of supply, and the loss of any of these suppliers could significantly harm our business. </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340" w:firstLine="584"/>
        <w:spacing w:after="0" w:line="261"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and improvements that we believe are commercially important to the development of our business and our product candidates, including seeking, maintaining and defending patent rights, whether developed internally or licensed from third parties. We also rely on trade secrets relating to our proprietary target discovery technology platform and on know-how, continuing technological innovation and in-licensing</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ind w:right="20"/>
        <w:spacing w:after="0" w:line="261" w:lineRule="auto"/>
        <w:rPr>
          <w:sz w:val="20"/>
          <w:szCs w:val="20"/>
          <w:color w:val="auto"/>
        </w:rPr>
      </w:pPr>
      <w:r>
        <w:rPr>
          <w:rFonts w:ascii="Times New Roman" w:cs="Times New Roman" w:eastAsia="Times New Roman" w:hAnsi="Times New Roman"/>
          <w:sz w:val="18"/>
          <w:szCs w:val="18"/>
          <w:color w:val="auto"/>
        </w:rPr>
        <w:t>opportunities to develop, strengthen and maintain our proprietary position in the field of precision oncology that may be important for the development of our business and product candidates. We additionally may rely on regulatory protection afforded through data exclusivity, market exclusivity and patent term extensions, where available. Patent rights and regulatory protections are key factors that determine the period of market exclusivity for products in our industry. It is during the period of market exclusivity that, we believe, our potential future products have their greatest commercial value.</w:t>
      </w:r>
    </w:p>
    <w:p>
      <w:pPr>
        <w:spacing w:after="0" w:line="180"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Our commercial success may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limit third parties from making, using, selling, offering to sell, or importing our product candidates (and any future products that may be approved for marketing by regulatory authorities) may depend on the extent to which we have rights under valid and enforceable licenses, patents, or trade secrets that cover these activities. In some cases, enforcement of these rights may depend on third-party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and to the extent such patents are commercially useful in protecting our commercial products or methods of manufacturing, such patents may be challenged or invalidated or otherwise become less useful in protecting our commercial products and methods of manufacturing.</w:t>
      </w:r>
    </w:p>
    <w:p>
      <w:pPr>
        <w:spacing w:after="0" w:line="192" w:lineRule="exact"/>
        <w:rPr>
          <w:sz w:val="20"/>
          <w:szCs w:val="20"/>
          <w:color w:val="auto"/>
        </w:rPr>
      </w:pPr>
    </w:p>
    <w:p>
      <w:pPr>
        <w:ind w:right="180" w:firstLine="584"/>
        <w:spacing w:after="0" w:line="256" w:lineRule="auto"/>
        <w:rPr>
          <w:sz w:val="20"/>
          <w:szCs w:val="20"/>
          <w:color w:val="auto"/>
        </w:rPr>
      </w:pPr>
      <w:r>
        <w:rPr>
          <w:rFonts w:ascii="Times New Roman" w:cs="Times New Roman" w:eastAsia="Times New Roman" w:hAnsi="Times New Roman"/>
          <w:sz w:val="18"/>
          <w:szCs w:val="18"/>
          <w:color w:val="auto"/>
        </w:rPr>
        <w:t>Because a significant portion of a pharmaceutical product’s patent protection can elapse during the course of developing and obtaining regulatory approval of the product, certain countries, including the U.S., provide compensatory mechanisms to extend patent terms for pharmaceutical products. Patent expiration dates noted in the following paragraphs refer to statutory expiration dates and do not take into account any potential patent term adjustment or extension that may be available, or any potential disclaimers that may be needed to obtain certain patents that may reduce the term of such patents to correspond to that of earlier-expiring patents. There is no guarantee that any of our product candidates would be eligible for patent term extensions.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PRMT5 inhibitors</w:t>
      </w:r>
    </w:p>
    <w:p>
      <w:pPr>
        <w:spacing w:after="0" w:line="227" w:lineRule="exact"/>
        <w:rPr>
          <w:sz w:val="20"/>
          <w:szCs w:val="20"/>
          <w:color w:val="auto"/>
        </w:rPr>
      </w:pPr>
    </w:p>
    <w:p>
      <w:pPr>
        <w:ind w:right="240" w:firstLine="584"/>
        <w:spacing w:after="0" w:line="282" w:lineRule="auto"/>
        <w:rPr>
          <w:sz w:val="20"/>
          <w:szCs w:val="20"/>
          <w:color w:val="auto"/>
        </w:rPr>
      </w:pPr>
      <w:r>
        <w:rPr>
          <w:rFonts w:ascii="Times New Roman" w:cs="Times New Roman" w:eastAsia="Times New Roman" w:hAnsi="Times New Roman"/>
          <w:sz w:val="18"/>
          <w:szCs w:val="18"/>
          <w:color w:val="auto"/>
        </w:rPr>
        <w:t>We exclusively own eleven patent families covering the composition of matter, methods of use, manufacture, crystalline forms and formulations for TNG908, vopimetostat, TNG456 and other structurally related PRMT5 inhibitors.</w:t>
      </w:r>
    </w:p>
    <w:p>
      <w:pPr>
        <w:spacing w:after="0" w:line="54" w:lineRule="exact"/>
        <w:rPr>
          <w:sz w:val="20"/>
          <w:szCs w:val="20"/>
          <w:color w:val="auto"/>
        </w:rPr>
      </w:pPr>
    </w:p>
    <w:p>
      <w:pPr>
        <w:jc w:val="both"/>
        <w:ind w:left="1020" w:right="60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first family, four US patents have been granted, and patent applications are pending in the United States, Argentina, Pakistan, Taiwan, Australia, Brazil, Canada, China, Eurasia, Europe, Hong Kong, Israel, India, Japan, Korea, Mexico, Malaysia, New Zealand, Singapore, Thailand, Ukraine and South Africa. Any patents granted in this family would be expected to expire no earlier than 2041.</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second family, patent applications are pending in the United States, Australia, Brazil, Canada, China, Eurasia, Europe, Israel, India, Japan, Korea, Mexico, Malaysia, New Zealand, Singapore, Thailand, Ukraine and South Africa. Any patents granted in this family would be expected to expire no earlier than 2042.</w:t>
      </w:r>
    </w:p>
    <w:p>
      <w:pPr>
        <w:spacing w:after="0" w:line="6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third family, patent application are pending in the United States, Taiwan, Australia, Brazil, Canada, China, Eurasia, Europe, Israel, India, Japan, Korea, Mexico, Malaysia, New Zealand, Singapore, Thailand, Ukraine and South Africa. Any patents granted in this family would be expected to expire no earlier than 2043.</w:t>
      </w:r>
    </w:p>
    <w:p>
      <w:pPr>
        <w:spacing w:after="0" w:line="6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fourth family, patent applications are pending in the United States, Australia, Canada, China, Europe, Israel, Japan, Korea, New Zealand, and South Africa. Any patents granted in this family would be expected to expire no earlier than 2043.</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Cooperation Treaty applications are pending in each of the fifth, sixth, seventh, eighth, and ninth patent families. A provisional application is pending in each of the tenth and eleventh family. Any patents granted in any of these families would be expected to expire no earlier than 2045.</w:t>
      </w:r>
    </w:p>
    <w:p>
      <w:pPr>
        <w:spacing w:after="0" w:line="176" w:lineRule="exact"/>
        <w:rPr>
          <w:sz w:val="20"/>
          <w:szCs w:val="20"/>
          <w:color w:val="auto"/>
        </w:rPr>
      </w:pPr>
    </w:p>
    <w:p>
      <w:pPr>
        <w:ind w:right="140" w:firstLine="584"/>
        <w:spacing w:after="0" w:line="261" w:lineRule="auto"/>
        <w:rPr>
          <w:sz w:val="20"/>
          <w:szCs w:val="20"/>
          <w:color w:val="auto"/>
        </w:rPr>
      </w:pPr>
      <w:r>
        <w:rPr>
          <w:rFonts w:ascii="Times New Roman" w:cs="Times New Roman" w:eastAsia="Times New Roman" w:hAnsi="Times New Roman"/>
          <w:sz w:val="18"/>
          <w:szCs w:val="18"/>
          <w:color w:val="auto"/>
        </w:rPr>
        <w:t>Additionally, we exclusively own five patent families covering other PRMT5 inhibitors and their methods of use with expiration dates ranging from 2039 to 2043. Two US patents have been granted in the first family. A US patent application is pending in the second family. Patent applications are pending in United States, Taiwan, Europe and Japan for the third family. Patent applications are pending in the United States, Taiwan, Europe and Japan for the remaining two families.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CoREST inhibitors</w:t>
      </w:r>
    </w:p>
    <w:p>
      <w:pPr>
        <w:spacing w:after="0" w:line="22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exclusively own four patent families covering the composition of matter, methods of use, solid forms and methods of manufacturing for our clinical compound TNG260 and other structurally related CoREST inhibitors. For the first family, a United States patent is granted and patent applications are pending in the United States, Taiwan, Australia, Brazil, Canada, China, Eurasia, Europe, Hong Kong, Israel, India, Japan, Korea, Mexico, Malaysia, New Zealand, Singapore, Thailand, Ukraine and South Africa. Any patents granted in this family would be expected to expire no earlier than 2042. For the second family, patent applications are pending in the United States, Brazil, Canada, China, Eurasia, Europe, Hong Kong, Israel, Japan, Korea, Mexico, Malaysia, New Zealand, Singapore, Thailand, Ukraine and South Africa. Any patents in this family, if granted, are expected to expire no earlier than 2043. Patent Cooperation Treaty applications are pending in the third and fourth families and any patents in these families, if granted, are expected to expire no earlier than 2046.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HBS1L degraders</w:t>
      </w:r>
    </w:p>
    <w:p>
      <w:pPr>
        <w:spacing w:after="0" w:line="227"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We exclusively own six patent families covering the composition of matter and methods of use for our product candidate TNG961 and other HBS1L inhibitors. Patent Cooperation Treaty applications are pending in each of the six families. Any patents in these families, if granted, are expected to expire no earlier than 2045.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clinical trials, manufacture, quality control, import, export, safety, effectiveness, labeling, packaging, storage, distribution, recordkeeping, approval, advertising, promotion, marketing, post-approval monitoring and post-approval reporting of drugs. We, along with our vendors, contract research organizations, or CROs, clinical investigators and contract development and manufacturing organizations, or CDMOs, will be required to navigate the various preclinical, clinical, manufacturing and approval requirements of the governing regulatory authorities of the countries in which we wish to conduct studies or seek approval of our product candidates. The process of obtaining regulatory approvals for drugs and ensuring subsequent compliance with appropriate federal, state, local and foreign statutes and regulations requires the expenditure of substantial time and financial resources.</w:t>
      </w:r>
    </w:p>
    <w:p>
      <w:pPr>
        <w:spacing w:after="0" w:line="192" w:lineRule="exact"/>
        <w:rPr>
          <w:sz w:val="20"/>
          <w:szCs w:val="20"/>
          <w:color w:val="auto"/>
        </w:rPr>
      </w:pPr>
    </w:p>
    <w:p>
      <w:pPr>
        <w:ind w:right="20" w:firstLine="584"/>
        <w:spacing w:after="0" w:line="254" w:lineRule="auto"/>
        <w:rPr>
          <w:sz w:val="20"/>
          <w:szCs w:val="20"/>
          <w:color w:val="auto"/>
        </w:rPr>
      </w:pPr>
      <w:r>
        <w:rPr>
          <w:rFonts w:ascii="Times New Roman" w:cs="Times New Roman" w:eastAsia="Times New Roman" w:hAnsi="Times New Roman"/>
          <w:sz w:val="18"/>
          <w:szCs w:val="18"/>
          <w:color w:val="auto"/>
        </w:rPr>
        <w:t>In the United States, the FDA regulates drug products under the Federal Food, Drug, and Cosmetic Act, or FD&amp;C Act, its implementing regulations, and other federal statutes and regulations. Drugs are also subject to other federal, state and local statutes and regulations. If we fail to comply with applicable FDA or other regulatory requirements at any time with respect to product development, clinical testing, approval or any other regulatory requirements relating to product manufacture, processing, handling, storage, quality control, safety, pharmacovigilance, marketing, advertising, promotion, packaging, labeling, export, import, distribution or sale, we may become subject to administrative or judicial sanctions or other legal consequences. These sanctions or consequences could include, among other things, the FDA’s refusal to approve pending or future applications, issuance of clinical holds for ongoing studies or study termination, suspension or revocation of approved applications, FDA Form 483s, warning or untitled letters, product withdrawals or recalls, product seizures, total or partial suspensions of manufacturing or distribution, injunctions, fines, civil penalties or criminal prosecution.</w:t>
      </w:r>
    </w:p>
    <w:p>
      <w:pPr>
        <w:spacing w:after="0" w:line="192" w:lineRule="exact"/>
        <w:rPr>
          <w:sz w:val="20"/>
          <w:szCs w:val="20"/>
          <w:color w:val="auto"/>
        </w:rPr>
      </w:pPr>
    </w:p>
    <w:p>
      <w:pPr>
        <w:ind w:right="460" w:firstLine="584"/>
        <w:spacing w:after="0" w:line="266" w:lineRule="auto"/>
        <w:rPr>
          <w:sz w:val="20"/>
          <w:szCs w:val="20"/>
          <w:color w:val="auto"/>
        </w:rPr>
      </w:pPr>
      <w:r>
        <w:rPr>
          <w:rFonts w:ascii="Times New Roman" w:cs="Times New Roman" w:eastAsia="Times New Roman" w:hAnsi="Times New Roman"/>
          <w:sz w:val="18"/>
          <w:szCs w:val="18"/>
          <w:color w:val="auto"/>
        </w:rPr>
        <w:t>Our product candidates must be approved for therapeutic indications by the FDA before they may be marketed in the United States. For drug product candidates regulated under the FD&amp;C Act, the FDA must approve a New Drug Application, or NDA. The process generally involves the following:</w:t>
      </w:r>
    </w:p>
    <w:p>
      <w:pPr>
        <w:spacing w:after="0" w:line="68" w:lineRule="exact"/>
        <w:rPr>
          <w:sz w:val="20"/>
          <w:szCs w:val="20"/>
          <w:color w:val="auto"/>
        </w:rPr>
      </w:pPr>
    </w:p>
    <w:p>
      <w:pPr>
        <w:ind w:left="1020" w:right="1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studies in accordance with applicable regulations, including studies conducted in accordance with good laboratory practice, or GLP, requirements;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in compliance with current Good Manufacturing Practices, or cGMP, of the drug substance and drug product to be used in human clinical trials along with required analytical and stability testing;</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may begin and must be updated when certain changes are made;</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independent ethics committee at each clinical trial site before a clinical trial may be initiated at that site;</w:t>
      </w:r>
    </w:p>
    <w:p>
      <w:pPr>
        <w:spacing w:after="0" w:line="53" w:lineRule="exact"/>
        <w:rPr>
          <w:rFonts w:ascii="Times New Roman" w:cs="Times New Roman" w:eastAsia="Times New Roman" w:hAnsi="Times New Roman"/>
          <w:sz w:val="18"/>
          <w:szCs w:val="18"/>
          <w:color w:val="auto"/>
        </w:rPr>
      </w:pPr>
    </w:p>
    <w:p>
      <w:pPr>
        <w:jc w:val="both"/>
        <w:ind w:left="1020" w:right="16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7" w:right="379" w:bottom="1440" w:gutter="0" w:footer="0" w:header="0"/>
        </w:sectPr>
      </w:pPr>
    </w:p>
    <w:bookmarkStart w:id="21" w:name="page22"/>
    <w:bookmarkEnd w:id="21"/>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of an NDA to the FDA;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file the application for review;</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drug will be produced to assess compliance with cGMP requirements to confirm the facilities, methods and controls are adequate to assure the drug’s identity, strength, quality and purity;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audit of clinical trial sites that generated the data in support of the NDA;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 application fee, as applicable, for FDA review of the NDA; and</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of the NDA, including, where applicable, consideration of the views of any FDA advisory committee, and FDA approval of the NDA prior to any commercial marketing or sale of the drug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and clinical trials for drugs</w:t>
      </w:r>
    </w:p>
    <w:p>
      <w:pPr>
        <w:spacing w:after="0" w:line="229" w:lineRule="exact"/>
        <w:rPr>
          <w:sz w:val="20"/>
          <w:szCs w:val="20"/>
          <w:color w:val="auto"/>
        </w:rPr>
      </w:pPr>
    </w:p>
    <w:p>
      <w:pPr>
        <w:ind w:right="60" w:firstLine="584"/>
        <w:spacing w:after="0" w:line="258" w:lineRule="auto"/>
        <w:rPr>
          <w:sz w:val="20"/>
          <w:szCs w:val="20"/>
          <w:color w:val="auto"/>
        </w:rPr>
      </w:pPr>
      <w:r>
        <w:rPr>
          <w:rFonts w:ascii="Times New Roman" w:cs="Times New Roman" w:eastAsia="Times New Roman" w:hAnsi="Times New Roman"/>
          <w:sz w:val="18"/>
          <w:szCs w:val="18"/>
          <w:color w:val="auto"/>
        </w:rPr>
        <w:t>Before testing any drug in humans, the product candidate must undergo rigorous preclinical testing. Preclinical studies include laboratory evaluations of product chemistry, formulation and stability, as well as in vitro and animal studies to assess safety and in some cases to establish the rationale for therapeutic use. The conduct of preclinical studies is subject to federal and state regulation and requirements, including GLP requirements for certain safety/toxicology studies. The results of the preclinical studies, together with manufacturing information and analytical data, must be submitted to the FDA as part of an IND.</w:t>
      </w:r>
    </w:p>
    <w:p>
      <w:pPr>
        <w:spacing w:after="0" w:line="183" w:lineRule="exact"/>
        <w:rPr>
          <w:sz w:val="20"/>
          <w:szCs w:val="20"/>
          <w:color w:val="auto"/>
        </w:rPr>
      </w:pPr>
    </w:p>
    <w:p>
      <w:pPr>
        <w:ind w:right="40" w:firstLine="584"/>
        <w:spacing w:after="0" w:line="254" w:lineRule="auto"/>
        <w:rPr>
          <w:sz w:val="20"/>
          <w:szCs w:val="20"/>
          <w:color w:val="auto"/>
        </w:rPr>
      </w:pPr>
      <w:r>
        <w:rPr>
          <w:rFonts w:ascii="Times New Roman" w:cs="Times New Roman" w:eastAsia="Times New Roman" w:hAnsi="Times New Roman"/>
          <w:sz w:val="18"/>
          <w:szCs w:val="18"/>
          <w:color w:val="auto"/>
        </w:rPr>
        <w:t>An IND is a request for authorization from the FDA to administer an investigational product to humans and must become effective before clinical trials may begin. An IND includes the general investigational plan and the protocol(s) for clinical studies, the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Additional preclinical testing may and often does continue after the IND is submitted. The IND automatically becomes effective 30 days after receipt by the FDA, unless the FDA raises concerns or questions within the 30-day time period, including concerns that human research subjects will be exposed to unreasonable health risks, and imposes a full or partial clinical hold. A clinical hold can also be imposed once a trial has already begun, thereby halting the trial until any safety concerns or deficiencies articulated by FDA are corrected.</w:t>
      </w:r>
    </w:p>
    <w:p>
      <w:pPr>
        <w:spacing w:after="0" w:line="192"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The clinical stage of development involves the administration of the product candidate to healthy volunteers or patients under the supervision of qualified investigators, who generally are physicians not employed by or under the trial sponsor’s control, in accordance with GCP requirements, which include the requirement that all research subjects provide their informed consent for their participation in a clinical trial. Clinical trials are conducted under protocols detailing, among other things, the objectives of the clinical trial, dosing procedures, inclusion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compared to the anticipated benefits. The IRB also approves the informed consent form that must be provided to each clinical trial subject or his or her legal representative and must oversee the clinical trial until its completion. The FDA, the IRB, or the sponsor may suspend or discontinue a clinical trial at any time on various grounds, including a finding that the subjects are being exposed to an unacceptable health risk.</w:t>
      </w:r>
    </w:p>
    <w:p>
      <w:pPr>
        <w:spacing w:after="0" w:line="194" w:lineRule="exact"/>
        <w:rPr>
          <w:sz w:val="20"/>
          <w:szCs w:val="20"/>
          <w:color w:val="auto"/>
        </w:rPr>
      </w:pPr>
    </w:p>
    <w:p>
      <w:pPr>
        <w:ind w:right="60" w:firstLine="584"/>
        <w:spacing w:after="0" w:line="256" w:lineRule="auto"/>
        <w:rPr>
          <w:sz w:val="20"/>
          <w:szCs w:val="20"/>
          <w:color w:val="auto"/>
        </w:rPr>
      </w:pPr>
      <w:r>
        <w:rPr>
          <w:rFonts w:ascii="Times New Roman" w:cs="Times New Roman" w:eastAsia="Times New Roman" w:hAnsi="Times New Roman"/>
          <w:sz w:val="18"/>
          <w:szCs w:val="18"/>
          <w:color w:val="auto"/>
        </w:rPr>
        <w:t xml:space="preserve">There also are requirements governing the registration and reporting of ongoing and completed clinical trials to public registries. For example, information about certain clinical trials must be submitted within specific timeframes for publication on </w:t>
      </w:r>
      <w:r>
        <w:rPr>
          <w:rFonts w:ascii="Times New Roman" w:cs="Times New Roman" w:eastAsia="Times New Roman" w:hAnsi="Times New Roman"/>
          <w:sz w:val="18"/>
          <w:szCs w:val="18"/>
          <w:i w:val="1"/>
          <w:iCs w:val="1"/>
          <w:color w:val="auto"/>
        </w:rPr>
        <w:t>www.ClinicalTrials.gov</w:t>
      </w:r>
      <w:r>
        <w:rPr>
          <w:rFonts w:ascii="Times New Roman" w:cs="Times New Roman" w:eastAsia="Times New Roman" w:hAnsi="Times New Roman"/>
          <w:sz w:val="18"/>
          <w:szCs w:val="18"/>
          <w:color w:val="auto"/>
        </w:rPr>
        <w:t>, a clinical trials database maintained by the National Institutes of Health. Sponsors are also obligated to disclose the results of their clinical trials after completion. Disclosure of the results of these trials can be delayed until the new product or new indication being studied has been approved. Competitors and patients may use this publicly available information to gain knowledge regarding the progress of development programs. Failure to timely register a covered clinical study or to submit study results as provided for in the law can give rise to consequences such as public notifications of noncompliance and civil monetary penalties.</w:t>
      </w:r>
    </w:p>
    <w:p>
      <w:pPr>
        <w:spacing w:after="0" w:line="187" w:lineRule="exact"/>
        <w:rPr>
          <w:sz w:val="20"/>
          <w:szCs w:val="20"/>
          <w:color w:val="auto"/>
        </w:rPr>
      </w:pPr>
    </w:p>
    <w:p>
      <w:pPr>
        <w:ind w:firstLine="584"/>
        <w:spacing w:after="0" w:line="266" w:lineRule="auto"/>
        <w:rPr>
          <w:sz w:val="20"/>
          <w:szCs w:val="20"/>
          <w:color w:val="auto"/>
        </w:rPr>
      </w:pPr>
      <w:r>
        <w:rPr>
          <w:rFonts w:ascii="Times New Roman" w:cs="Times New Roman" w:eastAsia="Times New Roman" w:hAnsi="Times New Roman"/>
          <w:sz w:val="18"/>
          <w:szCs w:val="18"/>
          <w:color w:val="auto"/>
        </w:rPr>
        <w:t>A sponsor that wishes to conduct a clinical trial outside of the United States may, but need not, obtain FDA authorization to conduct the clinical trial under an IND. If a foreign clinical trial is not conducted under an IND, the FDA may nevertheless accept the results of the study in support of an NDA if the study was conducted in accordance with GCP</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requirements, and the FDA is able to validate the data through independent analysis and an onsite inspection if deemed necessary.</w:t>
      </w:r>
    </w:p>
    <w:p>
      <w:pPr>
        <w:spacing w:after="0" w:line="225" w:lineRule="exact"/>
        <w:rPr>
          <w:sz w:val="20"/>
          <w:szCs w:val="20"/>
          <w:color w:val="auto"/>
        </w:rPr>
      </w:pPr>
    </w:p>
    <w:p>
      <w:pPr>
        <w:ind w:right="40" w:firstLine="584"/>
        <w:spacing w:after="0" w:line="282" w:lineRule="auto"/>
        <w:rPr>
          <w:sz w:val="20"/>
          <w:szCs w:val="20"/>
          <w:color w:val="auto"/>
        </w:rPr>
      </w:pPr>
      <w:r>
        <w:rPr>
          <w:rFonts w:ascii="Times New Roman" w:cs="Times New Roman" w:eastAsia="Times New Roman" w:hAnsi="Times New Roman"/>
          <w:sz w:val="18"/>
          <w:szCs w:val="18"/>
          <w:color w:val="auto"/>
        </w:rPr>
        <w:t>Clinical trials to evaluate therapeutic indications to support NDAs for marketing approval are typically conducted in three sequential phases, which may overlap or be combined.</w:t>
      </w:r>
    </w:p>
    <w:p>
      <w:pPr>
        <w:spacing w:after="0" w:line="52" w:lineRule="exact"/>
        <w:rPr>
          <w:sz w:val="20"/>
          <w:szCs w:val="20"/>
          <w:color w:val="auto"/>
        </w:rPr>
      </w:pPr>
    </w:p>
    <w:p>
      <w:pPr>
        <w:ind w:left="1020" w:hanging="503"/>
        <w:spacing w:after="0" w:line="267"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 Phase 1 clinical trials involve initial introduction of the investigational product in a limited population of healthy human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volunteers or patients with the target disease or condition. These studies are typically designed to test the safety, dosage tolerance, absorption, metabolism, distribution, and excretion of the investigational product in humans, and, if possible, to gain early evidence of effectiveness.</w:t>
      </w:r>
    </w:p>
    <w:p>
      <w:pPr>
        <w:spacing w:after="0" w:line="65" w:lineRule="exact"/>
        <w:rPr>
          <w:rFonts w:ascii="Times New Roman" w:cs="Times New Roman" w:eastAsia="Times New Roman" w:hAnsi="Times New Roman"/>
          <w:sz w:val="18"/>
          <w:szCs w:val="18"/>
          <w:color w:val="auto"/>
        </w:rPr>
      </w:pPr>
    </w:p>
    <w:p>
      <w:pPr>
        <w:ind w:left="1020" w:right="120" w:hanging="503"/>
        <w:spacing w:after="0" w:line="267"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 Phase 2 clinical trials typically involve administration of the investigational product to a limited patient population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disease or condition to evaluate the drug’s potential efficacy, to determine the optimal dosages and dosing schedule and to identify possible adverse side effects and safety risks.</w:t>
      </w:r>
    </w:p>
    <w:p>
      <w:pPr>
        <w:spacing w:after="0" w:line="65" w:lineRule="exact"/>
        <w:rPr>
          <w:rFonts w:ascii="Times New Roman" w:cs="Times New Roman" w:eastAsia="Times New Roman" w:hAnsi="Times New Roman"/>
          <w:sz w:val="18"/>
          <w:szCs w:val="18"/>
          <w:color w:val="auto"/>
        </w:rPr>
      </w:pPr>
    </w:p>
    <w:p>
      <w:pPr>
        <w:ind w:left="1020" w:right="100" w:hanging="503"/>
        <w:spacing w:after="0" w:line="258"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 Phase 3 clinical trials typically involve administration of the investigational product to an expanded patient population to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dosage, to provide statistically significant evidence of clinical efficacy and to further test for safety, generally at multiple geographically dispersed clinical trial sites. These clinical trials are intended to establish the overall risk/benefit profile of the investigational product and to provide an adequate basis for product approval and physician labeling. Generally, two adequate and well-controlled Phase 3 trials are required by the FDA for approval of an NDA.</w:t>
      </w:r>
    </w:p>
    <w:p>
      <w:pPr>
        <w:spacing w:after="0" w:line="185" w:lineRule="exact"/>
        <w:rPr>
          <w:sz w:val="20"/>
          <w:szCs w:val="20"/>
          <w:color w:val="auto"/>
        </w:rPr>
      </w:pPr>
    </w:p>
    <w:p>
      <w:pPr>
        <w:ind w:right="300" w:firstLine="584"/>
        <w:spacing w:after="0" w:line="282" w:lineRule="auto"/>
        <w:rPr>
          <w:sz w:val="20"/>
          <w:szCs w:val="20"/>
          <w:color w:val="auto"/>
        </w:rPr>
      </w:pPr>
      <w:r>
        <w:rPr>
          <w:rFonts w:ascii="Times New Roman" w:cs="Times New Roman" w:eastAsia="Times New Roman" w:hAnsi="Times New Roman"/>
          <w:sz w:val="18"/>
          <w:szCs w:val="18"/>
          <w:color w:val="auto"/>
        </w:rPr>
        <w:t>In 2023, we received FDA clearances of our IND applications for vopimetostat and TNG260 to initiate Phase 1/2 clinical trials for each product candidate. In 2025, we received clearance of our IND application for TNG456 to initiate Phase 1/2 clinical trials for this product candidate.</w:t>
      </w:r>
    </w:p>
    <w:p>
      <w:pPr>
        <w:spacing w:after="0" w:line="162" w:lineRule="exact"/>
        <w:rPr>
          <w:sz w:val="20"/>
          <w:szCs w:val="20"/>
          <w:color w:val="auto"/>
        </w:rPr>
      </w:pPr>
    </w:p>
    <w:p>
      <w:pPr>
        <w:ind w:right="60" w:firstLine="584"/>
        <w:spacing w:after="0" w:line="258" w:lineRule="auto"/>
        <w:rPr>
          <w:sz w:val="20"/>
          <w:szCs w:val="20"/>
          <w:color w:val="auto"/>
        </w:rPr>
      </w:pPr>
      <w:r>
        <w:rPr>
          <w:rFonts w:ascii="Times New Roman" w:cs="Times New Roman" w:eastAsia="Times New Roman" w:hAnsi="Times New Roman"/>
          <w:sz w:val="18"/>
          <w:szCs w:val="18"/>
          <w:color w:val="auto"/>
        </w:rPr>
        <w:t>In March 2022, the FDA released final guidance titled “Expansion Cohorts: Use in First-In-Human Clinical Trials to Expedite Development of Oncology Drugs and Biologics,” which outlines how drug developers can utilize an adaptive trial design commonly referred to as a seamless trial design in early stages of oncology drug development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first-in-human clinical trial) to compress the traditional three phases of trials into one continuous trial called an expansion cohort trial. Information to support the design of individual expansion cohorts are included in IND applications and assessed by the FDA. Expansion cohort trials can potentially bring efficiency to drug development and reduce development costs and time.</w:t>
      </w:r>
    </w:p>
    <w:p>
      <w:pPr>
        <w:spacing w:after="0" w:line="183" w:lineRule="exact"/>
        <w:rPr>
          <w:sz w:val="20"/>
          <w:szCs w:val="20"/>
          <w:color w:val="auto"/>
        </w:rPr>
      </w:pPr>
    </w:p>
    <w:p>
      <w:pPr>
        <w:ind w:right="200" w:firstLine="584"/>
        <w:spacing w:after="0" w:line="261"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completion of Phase 4 clinical trials as a condition of NDA approval.</w:t>
      </w:r>
    </w:p>
    <w:p>
      <w:pPr>
        <w:spacing w:after="0" w:line="180" w:lineRule="exact"/>
        <w:rPr>
          <w:sz w:val="20"/>
          <w:szCs w:val="20"/>
          <w:color w:val="auto"/>
        </w:rPr>
      </w:pPr>
    </w:p>
    <w:p>
      <w:pPr>
        <w:ind w:right="20" w:firstLine="584"/>
        <w:spacing w:after="0" w:line="256" w:lineRule="auto"/>
        <w:rPr>
          <w:sz w:val="20"/>
          <w:szCs w:val="20"/>
          <w:color w:val="auto"/>
        </w:rPr>
      </w:pPr>
      <w:r>
        <w:rPr>
          <w:rFonts w:ascii="Times New Roman" w:cs="Times New Roman" w:eastAsia="Times New Roman" w:hAnsi="Times New Roman"/>
          <w:sz w:val="18"/>
          <w:szCs w:val="18"/>
          <w:color w:val="auto"/>
        </w:rPr>
        <w:t>Progress reports detailing the results of clinical trials, among other information related to development under an IND, must be submitted at least annually to the FDA. Written IND safety reports must be submitted to the FDA and investigators within 15 days to report serious and unexpected suspected adverse events, findings from other studies or animal or in vitro testing that suggest a significant risk for human subjects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87" w:lineRule="exact"/>
        <w:rPr>
          <w:sz w:val="20"/>
          <w:szCs w:val="20"/>
          <w:color w:val="auto"/>
        </w:rPr>
      </w:pPr>
    </w:p>
    <w:p>
      <w:pPr>
        <w:ind w:right="200" w:firstLine="584"/>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marketing approval for drugs</w:t>
      </w:r>
    </w:p>
    <w:p>
      <w:pPr>
        <w:spacing w:after="0" w:line="229" w:lineRule="exact"/>
        <w:rPr>
          <w:sz w:val="20"/>
          <w:szCs w:val="20"/>
          <w:color w:val="auto"/>
        </w:rPr>
      </w:pPr>
    </w:p>
    <w:p>
      <w:pPr>
        <w:ind w:right="200" w:firstLine="584"/>
        <w:spacing w:after="0" w:line="261"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studies and clinical trials, together with detailed information relating to the product’s chemistry, manufacturing, and controls and proposed labeling, among other things, are submitted to the FDA as part of an NDA package requesting approval to market the product for one or more indications. An NDA must contain data supporting the drug’s safety and efficacy for the requested indications and must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3" w:name="page24"/>
    <w:bookmarkEnd w:id="23"/>
    <w:p>
      <w:pPr>
        <w:ind w:right="60"/>
        <w:spacing w:after="0" w:line="261" w:lineRule="auto"/>
        <w:rPr>
          <w:sz w:val="20"/>
          <w:szCs w:val="20"/>
          <w:color w:val="auto"/>
        </w:rPr>
      </w:pPr>
      <w:r>
        <w:rPr>
          <w:rFonts w:ascii="Times New Roman" w:cs="Times New Roman" w:eastAsia="Times New Roman" w:hAnsi="Times New Roman"/>
          <w:sz w:val="18"/>
          <w:szCs w:val="18"/>
          <w:color w:val="auto"/>
        </w:rPr>
        <w:t>include both negative and ambiguous results of preclinical studies and clinical trials, as well as positive findings. Data may come from company-sponsored clinical trials intended to test the safety and efficacy of the product candidate or from a number of alternative sources, including studies initiated by investigators. To support marketing approval, the data submitted must be sufficient in quality and quantity to establish the safety and efficacy of the investigational drug to the satisfaction of the FDA. The FDA must approve an NDA before a drug may be marketed in the United States.</w:t>
      </w:r>
    </w:p>
    <w:p>
      <w:pPr>
        <w:spacing w:after="0" w:line="180"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The FDA reviews all submitted NDAs to ensure they are sufficiently complete to permit substantive review before it accepts them for filing and may request additional information rather than accepting the NDA for filing. The FDA must make a decision on accepting an NDA for filing within 60 days of receipt, and such decision could include a refusal to file by the FDA. Once the submission is accepted for filing, the FDA begins an in-depth substantive review of the NDA. The FDA reviews an NDA to determine, among other things, whether the product is safe and effective for the indications sought and whether the facility in which it is manufactured, processed, packaged or held meets standards, including cGMP requirements, designed to assure and preserve the product’s continued identity, strength, quality and purity. Under the goals and policies agreed to by the FDA under the Prescription Drug User Fee Act, or PDUFA, the FDA targets ten months from the filing date in which to complete its review of a new molecular entity NDA and respond to the applicant, and six months from the filing date of a new molecular entity NDA for priority review. The FDA does not always meet its PDUFA goal dates for standard or priority NDAs, and the review process is often extended by FDA requests for additional information or clarification. Further, under PDUFA, as amended, each NDA must be accompanied by a substantial application fee.</w:t>
      </w:r>
    </w:p>
    <w:p>
      <w:pPr>
        <w:spacing w:after="0" w:line="194" w:lineRule="exact"/>
        <w:rPr>
          <w:sz w:val="20"/>
          <w:szCs w:val="20"/>
          <w:color w:val="auto"/>
        </w:rPr>
      </w:pPr>
    </w:p>
    <w:p>
      <w:pPr>
        <w:ind w:right="60" w:firstLine="584"/>
        <w:spacing w:after="0" w:line="261" w:lineRule="auto"/>
        <w:rPr>
          <w:sz w:val="20"/>
          <w:szCs w:val="20"/>
          <w:color w:val="auto"/>
        </w:rPr>
      </w:pPr>
      <w:r>
        <w:rPr>
          <w:rFonts w:ascii="Times New Roman" w:cs="Times New Roman" w:eastAsia="Times New Roman" w:hAnsi="Times New Roman"/>
          <w:sz w:val="18"/>
          <w:szCs w:val="18"/>
          <w:color w:val="auto"/>
        </w:rPr>
        <w:t>The FDA also may require submission of a Risk Evaluation and Mitigation Strategy, or REMS, if it believes such a strategy is necessary to ensure that the benefits of the drug outweigh its risks. A REMS can include use of risk evaluation and mitigation strategies such as medication guides, physician communication plans, assessment plans, and/or elements to assure safe use, such as restricted distribution methods, patient registries, special monitoring or other risk-minimization tools.</w:t>
      </w:r>
    </w:p>
    <w:p>
      <w:pPr>
        <w:spacing w:after="0" w:line="180" w:lineRule="exact"/>
        <w:rPr>
          <w:sz w:val="20"/>
          <w:szCs w:val="20"/>
          <w:color w:val="auto"/>
        </w:rPr>
      </w:pPr>
    </w:p>
    <w:p>
      <w:pPr>
        <w:jc w:val="both"/>
        <w:ind w:right="80" w:firstLine="584"/>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 panel of independent experts, including clinicians and other scientific experts, which reviews, evaluates and provides advice requested by the FDA, including in some cases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ind w:right="20" w:firstLine="584"/>
        <w:spacing w:after="0" w:line="261" w:lineRule="auto"/>
        <w:rPr>
          <w:sz w:val="20"/>
          <w:szCs w:val="20"/>
          <w:color w:val="auto"/>
        </w:rPr>
      </w:pPr>
      <w:r>
        <w:rPr>
          <w:rFonts w:ascii="Times New Roman" w:cs="Times New Roman" w:eastAsia="Times New Roman" w:hAnsi="Times New Roman"/>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 before approving an NDA, the FDA may inspect one or more clinical trial sites to assure compliance with GCP and the integrity of the clinical data submitted to the FDA.</w:t>
      </w:r>
    </w:p>
    <w:p>
      <w:pPr>
        <w:spacing w:after="0" w:line="180" w:lineRule="exact"/>
        <w:rPr>
          <w:sz w:val="20"/>
          <w:szCs w:val="20"/>
          <w:color w:val="auto"/>
        </w:rPr>
      </w:pPr>
    </w:p>
    <w:p>
      <w:pPr>
        <w:ind w:right="120" w:firstLine="584"/>
        <w:spacing w:after="0" w:line="254" w:lineRule="auto"/>
        <w:rPr>
          <w:sz w:val="20"/>
          <w:szCs w:val="20"/>
          <w:color w:val="auto"/>
        </w:rPr>
      </w:pPr>
      <w:r>
        <w:rPr>
          <w:rFonts w:ascii="Times New Roman" w:cs="Times New Roman" w:eastAsia="Times New Roman" w:hAnsi="Times New Roman"/>
          <w:sz w:val="18"/>
          <w:szCs w:val="18"/>
          <w:color w:val="auto"/>
        </w:rPr>
        <w:t>After evaluating the NDA and all related information, including an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generally states specific conditions that must be met in order to secure final approval of the NDA. The FDA may require additional clinical or preclinical testing or recommend other actions, such as requests for additional information or clarification, that the applicant might take in order to resubmit the NDA for FDA reconsideration. Even with a submission that includes this additional information, the FDA ultimately may decide that the application does not satisfy the regulatory criteria for approval. If and when those criteria have been met to the FDA’s satisfaction, the FDA will typically issue an approval letter. An approval letter authorizes commercial marketing of the product with specific prescribing information for one or more indications.</w:t>
      </w:r>
    </w:p>
    <w:p>
      <w:pPr>
        <w:spacing w:after="0" w:line="192" w:lineRule="exact"/>
        <w:rPr>
          <w:sz w:val="20"/>
          <w:szCs w:val="20"/>
          <w:color w:val="auto"/>
        </w:rPr>
      </w:pPr>
    </w:p>
    <w:p>
      <w:pPr>
        <w:ind w:right="120" w:firstLine="584"/>
        <w:spacing w:after="0" w:line="255" w:lineRule="auto"/>
        <w:rPr>
          <w:sz w:val="20"/>
          <w:szCs w:val="20"/>
          <w:color w:val="auto"/>
        </w:rPr>
      </w:pPr>
      <w:r>
        <w:rPr>
          <w:rFonts w:ascii="Times New Roman" w:cs="Times New Roman" w:eastAsia="Times New Roman" w:hAnsi="Times New Roman"/>
          <w:sz w:val="18"/>
          <w:szCs w:val="18"/>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post-approval studies or surveillance programs. Some types of changes to the approved product, such as adding new indications, certain manufacturing changes, and additional labeling claims, are subject to further testing requirements and FDA review and approval of a supplemental application.</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229" w:lineRule="exact"/>
        <w:rPr>
          <w:sz w:val="20"/>
          <w:szCs w:val="20"/>
          <w:color w:val="auto"/>
        </w:rPr>
      </w:pPr>
    </w:p>
    <w:p>
      <w:pPr>
        <w:ind w:right="20" w:firstLine="584"/>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a drug intended to treat a rare disease or condition, which is a disease or condition with either a patient population of fewer than 200,000 individuals in the United States, or a patient population greater than 200,000 individuals in the United States when there is no reasonable expectation that the cost of developing and making the product available in the United States for the disease or condition will be recovered from sales of the product. Orphan drug designation must be requested before submitting an NDA. After the FDA grants orphan drug designation, the generic identity of the drug and its potential orphan use are disclosed publicly by the FDA. Orphan drug designation does not convey any advantage in or shorten the duration of the regulatory review and approval process, although companies developing orphan-designated products are eligible for certain incentives, including tax credits for qualified clinical testing and waiver of application fees.</w:t>
      </w:r>
    </w:p>
    <w:p>
      <w:pPr>
        <w:spacing w:after="0" w:line="189"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the disease or condition for which it has such designation, the product is entitled to a seven-year period of marketing exclusivity during which the FDA may not approve any other applications to market the same drug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drugs for the indication for which the orphan product has exclusivity or obtain approval for the same drug for a different indication than that for which the orphan product has exclusivity. Orphan drug exclusivity could block the approval of one of our product candidates for seven years if a competitor obtains approval for the same drug for the same indication before we do, unless we are able to demonstrate that our product candidate is clinically superior. If an orphan designated product receives marketing approval for an indication broader than its designation, it may not be entitled to orphan exclusivity.</w:t>
      </w:r>
    </w:p>
    <w:p>
      <w:pPr>
        <w:spacing w:after="0" w:line="192" w:lineRule="exact"/>
        <w:rPr>
          <w:sz w:val="20"/>
          <w:szCs w:val="20"/>
          <w:color w:val="auto"/>
        </w:rPr>
      </w:pPr>
    </w:p>
    <w:p>
      <w:pPr>
        <w:ind w:right="200" w:firstLine="584"/>
        <w:spacing w:after="0" w:line="282" w:lineRule="auto"/>
        <w:rPr>
          <w:sz w:val="20"/>
          <w:szCs w:val="20"/>
          <w:color w:val="auto"/>
        </w:rPr>
      </w:pPr>
      <w:r>
        <w:rPr>
          <w:rFonts w:ascii="Times New Roman" w:cs="Times New Roman" w:eastAsia="Times New Roman" w:hAnsi="Times New Roman"/>
          <w:sz w:val="18"/>
          <w:szCs w:val="18"/>
          <w:color w:val="auto"/>
        </w:rPr>
        <w:t>The FDA has granted orphan drug designation to vopimetostat for the treatment of soft tissue sarcoma and for the treatment of pancreatic cancer, and to TNG456 for the treatment of malignant glioma.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 for drugs</w:t>
      </w:r>
    </w:p>
    <w:p>
      <w:pPr>
        <w:spacing w:after="0" w:line="229" w:lineRule="exact"/>
        <w:rPr>
          <w:sz w:val="20"/>
          <w:szCs w:val="20"/>
          <w:color w:val="auto"/>
        </w:rPr>
      </w:pPr>
    </w:p>
    <w:p>
      <w:pPr>
        <w:ind w:right="100" w:firstLine="584"/>
        <w:spacing w:after="0" w:line="261" w:lineRule="auto"/>
        <w:rPr>
          <w:sz w:val="20"/>
          <w:szCs w:val="20"/>
          <w:color w:val="auto"/>
        </w:rPr>
      </w:pPr>
      <w:r>
        <w:rPr>
          <w:rFonts w:ascii="Times New Roman" w:cs="Times New Roman" w:eastAsia="Times New Roman" w:hAnsi="Times New Roman"/>
          <w:sz w:val="18"/>
          <w:szCs w:val="18"/>
          <w:color w:val="auto"/>
        </w:rPr>
        <w:t>The FDA has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and Accelerated Approval; the purpose of these programs is to get important new drugs to patients more quickly than standard FDA review timelines typically permit.</w:t>
      </w:r>
    </w:p>
    <w:p>
      <w:pPr>
        <w:spacing w:after="0" w:line="180" w:lineRule="exact"/>
        <w:rPr>
          <w:sz w:val="20"/>
          <w:szCs w:val="20"/>
          <w:color w:val="auto"/>
        </w:rPr>
      </w:pPr>
    </w:p>
    <w:p>
      <w:pPr>
        <w:ind w:right="20" w:firstLine="584"/>
        <w:spacing w:after="0" w:line="253" w:lineRule="auto"/>
        <w:rPr>
          <w:sz w:val="20"/>
          <w:szCs w:val="20"/>
          <w:color w:val="auto"/>
        </w:rPr>
      </w:pPr>
      <w:r>
        <w:rPr>
          <w:rFonts w:ascii="Times New Roman" w:cs="Times New Roman" w:eastAsia="Times New Roman" w:hAnsi="Times New Roman"/>
          <w:sz w:val="18"/>
          <w:szCs w:val="18"/>
          <w:color w:val="auto"/>
        </w:rPr>
        <w:t>A product candidate is eligible for Fast Track designation if it is intended to treat a serious or life-threatening disease or condition and demonstrates the potential to address unmet medical needs for such disease or condition. Fast Track designation applies to the combination of the product candidate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Rolling review means that the FDA may review portions of the marketing application before the sponsor submits the complete application. In 2023, the FDA granted Fast Track designation to vopimetostat for previously treated, locally advanced, and unresectable or metastatic MTAP-deleted solid tumors, and to TNG260 in combination with an anti-PD-1 antibody for the treatment of patients with previously treated, advanced (metastatic or locally advanced and not amenable to curative intent therapy) NSCLC with STK-11 mutations. In February 2025, the FDA granted Fast Track designation to TNG456 as a single agent, for the treatment of patients with locally advanced or metastatic solid tumors with MTAP loss, and in combination with abemaciclib, for the treatment of patients with locally advanced or metastatic NSCLC with MTAP loss.</w:t>
      </w:r>
    </w:p>
    <w:p>
      <w:pPr>
        <w:spacing w:after="0" w:line="194" w:lineRule="exact"/>
        <w:rPr>
          <w:sz w:val="20"/>
          <w:szCs w:val="20"/>
          <w:color w:val="auto"/>
        </w:rPr>
      </w:pPr>
    </w:p>
    <w:p>
      <w:pPr>
        <w:ind w:right="140" w:firstLine="584"/>
        <w:spacing w:after="0" w:line="258" w:lineRule="auto"/>
        <w:rPr>
          <w:sz w:val="20"/>
          <w:szCs w:val="20"/>
          <w:color w:val="auto"/>
        </w:rPr>
      </w:pPr>
      <w:r>
        <w:rPr>
          <w:rFonts w:ascii="Times New Roman" w:cs="Times New Roman" w:eastAsia="Times New Roman" w:hAnsi="Times New Roman"/>
          <w:sz w:val="18"/>
          <w:szCs w:val="18"/>
          <w:color w:val="auto"/>
        </w:rPr>
        <w:t>In addition, a product candidate may be eligible for Breakthrough Therapy designation if it is intended to treat a serious or life-threatening disease or condition and preliminary clinical evidence indicates that the drug, alone or in combination with one or more other drugs, may demonstrate substantial improvement over existing therapies on one or more clinically significant endpoints, such as substantial treatment effects observed early in clinical development. Breakthrough Therapy designation provides all the features of Fast Track designation as well as more intensive FDA interaction and guidance.</w:t>
      </w:r>
    </w:p>
    <w:p>
      <w:pPr>
        <w:spacing w:after="0" w:line="183" w:lineRule="exact"/>
        <w:rPr>
          <w:sz w:val="20"/>
          <w:szCs w:val="20"/>
          <w:color w:val="auto"/>
        </w:rPr>
      </w:pPr>
    </w:p>
    <w:p>
      <w:pPr>
        <w:ind w:right="20" w:firstLine="584"/>
        <w:spacing w:after="0" w:line="258" w:lineRule="auto"/>
        <w:rPr>
          <w:sz w:val="20"/>
          <w:szCs w:val="20"/>
          <w:color w:val="auto"/>
        </w:rPr>
      </w:pPr>
      <w:r>
        <w:rPr>
          <w:rFonts w:ascii="Times New Roman" w:cs="Times New Roman" w:eastAsia="Times New Roman" w:hAnsi="Times New Roman"/>
          <w:sz w:val="18"/>
          <w:szCs w:val="18"/>
          <w:color w:val="auto"/>
        </w:rPr>
        <w:t>Products with Fast Track or Breakthrough Therapy designation may also be eligible for additional FDA programs intended to expedite the review and approval process, including priority review and accelerated approval. Any product submitted to the FDA for approval that has the potential to provide a significant improvement in safety or effectiveness in the treatment, diagnosis or prevention of a serious disease or condition may be eligible for priority review. Under priority review, the FDA’s PDUFA goal date to take action on an NDA is six months from filing, compared to ten months from filing for a standard review. Products are eligible for accelerated approval if they can be shown to have an effect on a surrogate endpoint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5" w:name="page26"/>
    <w:bookmarkEnd w:id="25"/>
    <w:p>
      <w:pPr>
        <w:ind w:right="40"/>
        <w:spacing w:after="0" w:line="266" w:lineRule="auto"/>
        <w:rPr>
          <w:sz w:val="20"/>
          <w:szCs w:val="20"/>
          <w:color w:val="auto"/>
        </w:rPr>
      </w:pPr>
      <w:r>
        <w:rPr>
          <w:rFonts w:ascii="Times New Roman" w:cs="Times New Roman" w:eastAsia="Times New Roman" w:hAnsi="Times New Roman"/>
          <w:sz w:val="18"/>
          <w:szCs w:val="18"/>
          <w:color w:val="auto"/>
        </w:rPr>
        <w:t>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176" w:lineRule="exact"/>
        <w:rPr>
          <w:sz w:val="20"/>
          <w:szCs w:val="20"/>
          <w:color w:val="auto"/>
        </w:rPr>
      </w:pPr>
    </w:p>
    <w:p>
      <w:pPr>
        <w:ind w:firstLine="584"/>
        <w:spacing w:after="0" w:line="258" w:lineRule="auto"/>
        <w:rPr>
          <w:sz w:val="20"/>
          <w:szCs w:val="20"/>
          <w:color w:val="auto"/>
        </w:rPr>
      </w:pPr>
      <w:r>
        <w:rPr>
          <w:rFonts w:ascii="Times New Roman" w:cs="Times New Roman" w:eastAsia="Times New Roman" w:hAnsi="Times New Roman"/>
          <w:sz w:val="18"/>
          <w:szCs w:val="18"/>
          <w:color w:val="auto"/>
        </w:rPr>
        <w:t>Accelerated approval is generally contingent on a sponsor’s agreement to conduct, in a diligent manner, adequate and well-controlled post-approval confirmatory studies to verify and describe the product’s clinical benefit and, under the Food and Drug Omnibus Reform Act of 2022, or FDORA, the FDA may require, as appropriate, that such trials be underway prior to approval. Under FDORA, the FDA has increased authority for expedited procedures to withdraw approval of a drug or an indication approved under accelerated approval if, for example, the confirmatory trial fails to verify the predicted clinical benefit of the product.</w:t>
      </w:r>
    </w:p>
    <w:p>
      <w:pPr>
        <w:spacing w:after="0" w:line="183" w:lineRule="exact"/>
        <w:rPr>
          <w:sz w:val="20"/>
          <w:szCs w:val="20"/>
          <w:color w:val="auto"/>
        </w:rPr>
      </w:pPr>
    </w:p>
    <w:p>
      <w:pPr>
        <w:ind w:right="380" w:firstLine="584"/>
        <w:spacing w:after="0" w:line="266"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these FDA programs do not change the scientific or medical standards for approval or the quality of evidence necessary to support approval, though they may expedite the development or review process.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 and pediatric exclusivity</w:t>
      </w:r>
    </w:p>
    <w:p>
      <w:pPr>
        <w:spacing w:after="0" w:line="229" w:lineRule="exact"/>
        <w:rPr>
          <w:sz w:val="20"/>
          <w:szCs w:val="20"/>
          <w:color w:val="auto"/>
        </w:rPr>
      </w:pPr>
    </w:p>
    <w:p>
      <w:pPr>
        <w:ind w:right="20" w:firstLine="584"/>
        <w:spacing w:after="0" w:line="253" w:lineRule="auto"/>
        <w:rPr>
          <w:sz w:val="20"/>
          <w:szCs w:val="20"/>
          <w:color w:val="auto"/>
        </w:rPr>
      </w:pPr>
      <w:r>
        <w:rPr>
          <w:rFonts w:ascii="Times New Roman" w:cs="Times New Roman" w:eastAsia="Times New Roman" w:hAnsi="Times New Roman"/>
          <w:sz w:val="18"/>
          <w:szCs w:val="18"/>
          <w:color w:val="auto"/>
        </w:rPr>
        <w:t>Under the Pediatric Research Equity Act, or PREA, as amended, certain NDAs and NDA supplements must contain data that can be used to assess the safety and efficacy of the product candidate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PREA requires that a sponsor who is planning to submit a marketing application for a product candidate that includes a new active ingredient, new indication, new dosage form, new dosing regimen or new route of administration submit an initial Pediatric Study Plan, or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The FDA and the sponsor must reach an agreement on the PSP. Unless otherwise required by regulation, PREA does not apply to a drug for an indication for which orphan designation has been granted, except that PREA will apply to an original NDA for a new active ingredient that is orphan-designated if the drug is a molecularly targeted cancer product intended for the treatment of an adult cancer and is directed at a molecular target that FDA determines to be substantially relevant to the growth or progression of a pediatric cancer.</w:t>
      </w:r>
    </w:p>
    <w:p>
      <w:pPr>
        <w:spacing w:after="0" w:line="190" w:lineRule="exact"/>
        <w:rPr>
          <w:sz w:val="20"/>
          <w:szCs w:val="20"/>
          <w:color w:val="auto"/>
        </w:rPr>
      </w:pPr>
    </w:p>
    <w:p>
      <w:pPr>
        <w:ind w:right="160" w:firstLine="584"/>
        <w:spacing w:after="0" w:line="266" w:lineRule="auto"/>
        <w:rPr>
          <w:sz w:val="20"/>
          <w:szCs w:val="20"/>
          <w:color w:val="auto"/>
        </w:rPr>
      </w:pPr>
      <w:r>
        <w:rPr>
          <w:rFonts w:ascii="Times New Roman" w:cs="Times New Roman" w:eastAsia="Times New Roman" w:hAnsi="Times New Roman"/>
          <w:sz w:val="18"/>
          <w:szCs w:val="18"/>
          <w:color w:val="auto"/>
        </w:rPr>
        <w:t>A drug may also obtain pediatric exclusivity in the United States. Pediatric exclusivity, if granted, adds six months to existing regulatory exclusivity periods and, for a drug, to patent terms. This six-month exclusivity may be granted based on the voluntary completion of a pediatric study that adequately responds to an FDA-issued “Written Request” for such a study.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post-approval requirements for drugs</w:t>
      </w:r>
    </w:p>
    <w:p>
      <w:pPr>
        <w:spacing w:after="0" w:line="229" w:lineRule="exact"/>
        <w:rPr>
          <w:sz w:val="20"/>
          <w:szCs w:val="20"/>
          <w:color w:val="auto"/>
        </w:rPr>
      </w:pPr>
    </w:p>
    <w:p>
      <w:pPr>
        <w:ind w:right="60" w:firstLine="584"/>
        <w:spacing w:after="0" w:line="253"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and promotion and advertising requirements. FDA's advertising and promotion requirements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enforce the laws and regulations prohibiting the promotion of off-label uses, not only by company employees but also by agents of the company or those speaking on the company’s behalf, and a company that is found to have improperly promoted off-label uses may be subject to significant liability, including investigation by federal and state authorities. Failure to comply with these requirements can result in, among other things, adverse publicity, warning letters, corrective advertising and potential civil and criminal penalties, including liabilities under the False Claims Act where products are reimbursed under federal health care programs. Promotional materials for approved drugs must be submitted to the FDA in conjunction with their first use or first publication. Further, for certain modifications to the drug, including changes in indications, labeling or manufacturing processes or facilities, the applicant may be required to submit and obtain prior FDA approval of an NDA supplement, which may require the development of additional data or preclinical studies and clinical trials.</w:t>
      </w:r>
    </w:p>
    <w:p>
      <w:pPr>
        <w:spacing w:after="0" w:line="190" w:lineRule="exact"/>
        <w:rPr>
          <w:sz w:val="20"/>
          <w:szCs w:val="20"/>
          <w:color w:val="auto"/>
        </w:rPr>
      </w:pPr>
    </w:p>
    <w:p>
      <w:pPr>
        <w:ind w:right="320" w:firstLine="584"/>
        <w:spacing w:after="0" w:line="282"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an NDA. For example, the FDA may require post-market testing, including Phase 4 clinical trials, and surveillance to further assess and monitor the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6" w:name="page27"/>
    <w:bookmarkEnd w:id="26"/>
    <w:p>
      <w:pPr>
        <w:ind w:right="20"/>
        <w:spacing w:after="0" w:line="255" w:lineRule="auto"/>
        <w:rPr>
          <w:sz w:val="20"/>
          <w:szCs w:val="20"/>
          <w:color w:val="auto"/>
        </w:rPr>
      </w:pPr>
      <w:r>
        <w:rPr>
          <w:rFonts w:ascii="Times New Roman" w:cs="Times New Roman" w:eastAsia="Times New Roman" w:hAnsi="Times New Roman"/>
          <w:sz w:val="18"/>
          <w:szCs w:val="18"/>
          <w:color w:val="auto"/>
        </w:rPr>
        <w:t>product’s safety and effectiveness after commercialization, as well as the manufacturing process for making the drug to confirm continued compliance with cGMP. Manufacturers and certain subcontractors must register their establishments with the FDA and applicable state agencies and are subject to periodic unannounced inspections for compliance with regulatory requirements. Changes to the manufacturing process are strictly regulated and, depending on the nature of the change, may require prior FDA approval before implementation. In addition, manufacturers and other parties involved in the drug supply chain must comply with product tracking and tracing requirements and notify the FDA of counterfeit, diverted, stolen and intentionally adulterated products or products that are otherwise unfit for distribution. Accordingly, manufacturers must continue to expend time, money and effort in the area of production and quality control to maintain compliance with cGMP and other regulatory requirements.</w:t>
      </w:r>
    </w:p>
    <w:p>
      <w:pPr>
        <w:spacing w:after="0" w:line="189" w:lineRule="exact"/>
        <w:rPr>
          <w:sz w:val="20"/>
          <w:szCs w:val="20"/>
          <w:color w:val="auto"/>
        </w:rPr>
      </w:pPr>
    </w:p>
    <w:p>
      <w:pPr>
        <w:ind w:right="40" w:firstLine="584"/>
        <w:spacing w:after="0" w:line="258" w:lineRule="auto"/>
        <w:rPr>
          <w:sz w:val="20"/>
          <w:szCs w:val="20"/>
          <w:color w:val="auto"/>
        </w:rPr>
      </w:pPr>
      <w:r>
        <w:rPr>
          <w:rFonts w:ascii="Times New Roman" w:cs="Times New Roman" w:eastAsia="Times New Roman" w:hAnsi="Times New Roman"/>
          <w:sz w:val="18"/>
          <w:szCs w:val="18"/>
          <w:color w:val="auto"/>
        </w:rPr>
        <w:t>The FDA may withdraw approval of a product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75"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FDA Form 483s, warning letters, untitled letters or clinical holds on post-approval clinical trials or clinical trials involving related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applications or supplements to approved applications, or suspension or revocation of product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production or distribution;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restitution, disgorgement, or exclusion from federal healthcare programs; or mandated modification of promotional materials and labeling and issuance of corrective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companion diagnostics</w:t>
      </w:r>
    </w:p>
    <w:p>
      <w:pPr>
        <w:spacing w:after="0" w:line="229"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Companion diagnostics provide information that is essential for the safe and effective use of a corresponding drug. A companion diagnostic may be used to help identify patients who are most likely to benefit from a particular drug, identify patients likely to be at increased risk for serious side effects as a result of treatment with a particular drug, or monitor response to treatment with a particular drug for the purpose of adjusting treatment to achieve improved safety or effectiveness. Companion diagnostics are regulated as medical devices by the FDA. In the United States, the FD&amp;C Act,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or FDA exercise of enforcement discretion applies, diagnostic tests generally require marketing clearance or approval from the FDA prior to commercialization. The two primary types of FDA marketing authorization applicable to a medical device are clearance of a premarket notification, or 510(k), and premarket approval, or PMA. In January 2024, FDA announced its intention to initiate a reclassification process for most in vitro diagnostics, including companion diagnostics. FDA also indicated that it will continue to take a risk-based approach in the initial classification of individual in vitro diagnostics to determine whether a new diagnostic test may be classified into class II through the de novo classification process. In so doing, FDA signaled that it may regulate most future companion diagnostics as class II devices (which is a medical device that poses a medium to high risk to patients and users).</w:t>
      </w:r>
    </w:p>
    <w:p>
      <w:pPr>
        <w:spacing w:after="0" w:line="187" w:lineRule="exact"/>
        <w:rPr>
          <w:sz w:val="20"/>
          <w:szCs w:val="20"/>
          <w:color w:val="auto"/>
        </w:rPr>
      </w:pPr>
    </w:p>
    <w:p>
      <w:pPr>
        <w:ind w:right="300" w:firstLine="584"/>
        <w:spacing w:after="0" w:line="261" w:lineRule="auto"/>
        <w:rPr>
          <w:sz w:val="20"/>
          <w:szCs w:val="20"/>
          <w:color w:val="auto"/>
        </w:rPr>
      </w:pPr>
      <w:r>
        <w:rPr>
          <w:rFonts w:ascii="Times New Roman" w:cs="Times New Roman" w:eastAsia="Times New Roman" w:hAnsi="Times New Roman"/>
          <w:sz w:val="18"/>
          <w:szCs w:val="18"/>
          <w:color w:val="auto"/>
        </w:rPr>
        <w:t>The FDA has issued several guidance documents regarding the co-development of drugs and companion diagnostic tests, including a 2014 final guidance titled “Guidance for Industry: In Vitro Companion Diagnostic Devices”, a 2016 draft guidance titled “Principles for Codevelopment of an In Vitro Companion Diagnostic Device with a Therapeutic Product,” and a 2020 final guidance titled “Developing and Labeling In Vitro Companion Diagnostic Devices for a Specific Group or Class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7" w:name="page28"/>
    <w:bookmarkEnd w:id="27"/>
    <w:p>
      <w:pPr>
        <w:ind w:right="40"/>
        <w:spacing w:after="0" w:line="261" w:lineRule="auto"/>
        <w:rPr>
          <w:sz w:val="20"/>
          <w:szCs w:val="20"/>
          <w:color w:val="auto"/>
        </w:rPr>
      </w:pPr>
      <w:r>
        <w:rPr>
          <w:rFonts w:ascii="Times New Roman" w:cs="Times New Roman" w:eastAsia="Times New Roman" w:hAnsi="Times New Roman"/>
          <w:sz w:val="18"/>
          <w:szCs w:val="18"/>
          <w:color w:val="auto"/>
        </w:rPr>
        <w:t>of Oncology Therapeutic Products." Once cleared or approved, the companion diagnostic device must comply with applicable post-marketing requirements including the FDA’s quality management system regulation (QMSR), adverse event reporting, recalls and corrections, and product marketing requirements and limitations. Like drug manufacturers, companion diagnostic manufacturers are subject to unannounced FDA inspections at any time during which the FDA will conduct an audit of the product(s) and the company’s facilities for compliance with regulatory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229" w:lineRule="exact"/>
        <w:rPr>
          <w:sz w:val="20"/>
          <w:szCs w:val="20"/>
          <w:color w:val="auto"/>
        </w:rPr>
      </w:pPr>
    </w:p>
    <w:p>
      <w:pPr>
        <w:ind w:right="160" w:firstLine="584"/>
        <w:spacing w:after="0" w:line="261" w:lineRule="auto"/>
        <w:rPr>
          <w:sz w:val="20"/>
          <w:szCs w:val="20"/>
          <w:color w:val="auto"/>
        </w:rPr>
      </w:pPr>
      <w:r>
        <w:rPr>
          <w:rFonts w:ascii="Times New Roman" w:cs="Times New Roman" w:eastAsia="Times New Roman" w:hAnsi="Times New Roman"/>
          <w:sz w:val="18"/>
          <w:szCs w:val="18"/>
          <w:color w:val="auto"/>
        </w:rPr>
        <w:t>Manufacturing, sales, promotion and other activities of product candidates following product approval, where applicable, and commercialization are also subject to regulation by numerous regulatory authorities in the United States in addition to the FDA, which may include the Centers for Medicare</w:t>
      </w:r>
    </w:p>
    <w:p>
      <w:pPr>
        <w:ind w:right="620" w:firstLine="8"/>
        <w:spacing w:after="0" w:line="255" w:lineRule="auto"/>
        <w:tabs>
          <w:tab w:leader="none" w:pos="1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Medicaid Services, or CMS, other divisions of the U.S. Department of Health and Human Services, or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229" w:lineRule="exact"/>
        <w:rPr>
          <w:sz w:val="20"/>
          <w:szCs w:val="20"/>
          <w:color w:val="auto"/>
        </w:rPr>
      </w:pPr>
    </w:p>
    <w:p>
      <w:pPr>
        <w:ind w:right="40" w:firstLine="584"/>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products for which we will seek to obtain marketing approval. Our business operations and any current or future arrangements with third-party payors, healthcare providers and physicians may expose us to certain liabilities and other healthcare laws and regulations that may constrain the business or financial arrangements and relationships through which we develop, market, sell and distribute any drugs for which we obtain marketing approval in the future. In the United States, these laws include, without limitation, state and federal anti-kickback, false claims, physician transparency, and patient data privacy and security laws and regulations, including but not limited to those described below.</w:t>
      </w:r>
    </w:p>
    <w:p>
      <w:pPr>
        <w:spacing w:after="0" w:line="79" w:lineRule="exact"/>
        <w:rPr>
          <w:sz w:val="20"/>
          <w:szCs w:val="20"/>
          <w:color w:val="auto"/>
        </w:rPr>
      </w:pPr>
    </w:p>
    <w:p>
      <w:pPr>
        <w:ind w:left="1020" w:right="80" w:hanging="503"/>
        <w:spacing w:after="0" w:line="253"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paying, receiving or providing any remuneration (including any kickback, bribe,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 Violations are subject to civil and criminal fines and penalties for each violation, plus up to three times the remuneration involved, imprisonment, and exclusion from government healthcare programs. The Anti-Kickback Statute has been interpreted to apply to arrangements between pharmaceutical manufacturers, on the one hand, and prescribers, purchasers and formulary managers, on the other. In addition, the government may assert that a claim that includes items or services resulting from a violation of the federal Anti-Kickback Statute constitutes a false or fraudulent claim for purposes of the civil False Claims Act.</w:t>
      </w:r>
    </w:p>
    <w:p>
      <w:pPr>
        <w:spacing w:after="0" w:line="86"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and civil monetary penalties laws, including the federal False Claims Act, or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80"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laws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 Similar to the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8" w:name="page29"/>
    <w:bookmarkEnd w:id="28"/>
    <w:p>
      <w:pPr>
        <w:ind w:left="1020" w:right="40"/>
        <w:spacing w:after="0" w:line="282" w:lineRule="auto"/>
        <w:rPr>
          <w:sz w:val="20"/>
          <w:szCs w:val="20"/>
          <w:color w:val="auto"/>
        </w:rPr>
      </w:pPr>
      <w:r>
        <w:rPr>
          <w:rFonts w:ascii="Times New Roman" w:cs="Times New Roman" w:eastAsia="Times New Roman" w:hAnsi="Times New Roman"/>
          <w:sz w:val="18"/>
          <w:szCs w:val="18"/>
          <w:color w:val="auto"/>
        </w:rPr>
        <w:t>federal Anti-Kickback Statute, a person or entity may be found guilty of violating HIPAA without actual knowledge of the statute or specific intent to violate it.</w:t>
      </w:r>
    </w:p>
    <w:p>
      <w:pPr>
        <w:spacing w:after="0" w:line="54" w:lineRule="exact"/>
        <w:rPr>
          <w:sz w:val="20"/>
          <w:szCs w:val="20"/>
          <w:color w:val="auto"/>
        </w:rPr>
      </w:pPr>
    </w:p>
    <w:p>
      <w:pPr>
        <w:ind w:left="1020" w:right="40" w:hanging="503"/>
        <w:spacing w:after="0" w:line="255"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impose, among other things, specified requirements on covered entities and their respective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80"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53"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enacted as part of the Patient Protection and Affordable Care Act, as amended by the Health Care and Education Reconciliation Act of 2010, or collectively,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(defined to include doctors, dentists, optometrists, podiatrists and chiropractors, as well as certain other non-physician licensed providers such as physician assistants and nurse practitioners) and teaching hospitals, as well as ownership and investment interests held by physicians and their immediate family members.</w:t>
      </w:r>
    </w:p>
    <w:p>
      <w:pPr>
        <w:spacing w:after="0" w:line="79" w:lineRule="exact"/>
        <w:rPr>
          <w:rFonts w:ascii="Times New Roman" w:cs="Times New Roman" w:eastAsia="Times New Roman" w:hAnsi="Times New Roman"/>
          <w:sz w:val="18"/>
          <w:szCs w:val="18"/>
          <w:color w:val="auto"/>
        </w:rPr>
      </w:pPr>
    </w:p>
    <w:p>
      <w:pPr>
        <w:ind w:left="1020" w:right="100" w:hanging="503"/>
        <w:spacing w:after="0" w:line="255"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including, but not limited to, state anti-kickback and false claims laws, may be broader in scope than the provisions described above and may apply regardless of payor. Some state laws require pharmaceutical companies to comply with the pharmaceutical industry’s voluntary compliance guidelines and relevant federal government compliance guidance; require drug manufacturers to report information related to payments and other transfers of value to physicians and other healthcare providers; restrict marketing practices or require disclosure of marketing expenditures and pricing information. State and foreign laws may govern the privacy and security of health information in some circumstances. These data privacy and security laws may differ from each other in significant ways and often are not pre-empted by HIPAA, which may complicate compliance efforts.</w:t>
      </w:r>
    </w:p>
    <w:p>
      <w:pPr>
        <w:spacing w:after="0" w:line="189" w:lineRule="exact"/>
        <w:rPr>
          <w:sz w:val="20"/>
          <w:szCs w:val="20"/>
          <w:color w:val="auto"/>
        </w:rPr>
      </w:pPr>
    </w:p>
    <w:p>
      <w:pPr>
        <w:ind w:right="20" w:firstLine="584"/>
        <w:spacing w:after="0" w:line="254"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Coverage and Reimbursement</w:t>
      </w:r>
    </w:p>
    <w:p>
      <w:pPr>
        <w:spacing w:after="0" w:line="229" w:lineRule="exact"/>
        <w:rPr>
          <w:sz w:val="20"/>
          <w:szCs w:val="20"/>
          <w:color w:val="auto"/>
        </w:rPr>
      </w:pPr>
    </w:p>
    <w:p>
      <w:pPr>
        <w:ind w:right="40" w:firstLine="584"/>
        <w:spacing w:after="0" w:line="253"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the principal decisions about reimbursement for new medicines are typically made by CMS. CMS decides whether and to what extent a new medicine will be covered and reimbursed under Medicare and private payors tend to follow CMS to a substantial degree.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reviewing the cost-effectiveness of medical products and services and imposing controls to manage costs. Third-party payors may limit</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9" w:name="page30"/>
    <w:bookmarkEnd w:id="29"/>
    <w:p>
      <w:pPr>
        <w:ind w:right="660"/>
        <w:spacing w:after="0" w:line="282" w:lineRule="auto"/>
        <w:rPr>
          <w:sz w:val="20"/>
          <w:szCs w:val="20"/>
          <w:color w:val="auto"/>
        </w:rPr>
      </w:pPr>
      <w:r>
        <w:rPr>
          <w:rFonts w:ascii="Times New Roman" w:cs="Times New Roman" w:eastAsia="Times New Roman" w:hAnsi="Times New Roman"/>
          <w:sz w:val="18"/>
          <w:szCs w:val="18"/>
          <w:color w:val="auto"/>
        </w:rPr>
        <w:t>coverage to specific products on an approved list, also known as a formulary, which might not include all of the approved products for a particular indication.</w:t>
      </w:r>
    </w:p>
    <w:p>
      <w:pPr>
        <w:spacing w:after="0" w:line="162" w:lineRule="exact"/>
        <w:rPr>
          <w:sz w:val="20"/>
          <w:szCs w:val="20"/>
          <w:color w:val="auto"/>
        </w:rPr>
      </w:pPr>
    </w:p>
    <w:p>
      <w:pPr>
        <w:ind w:right="160" w:firstLine="584"/>
        <w:spacing w:after="0" w:line="256"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which will require additional expenditure above and beyond the costs required to obtain FDA or other comparable regulatory approvals. Some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(when a product candidate is approved for marketing). Levels of coverage and reimbursement for a product can differ significantly from payor to payor.</w:t>
      </w:r>
    </w:p>
    <w:p>
      <w:pPr>
        <w:spacing w:after="0" w:line="187" w:lineRule="exact"/>
        <w:rPr>
          <w:sz w:val="20"/>
          <w:szCs w:val="20"/>
          <w:color w:val="auto"/>
        </w:rPr>
      </w:pPr>
    </w:p>
    <w:p>
      <w:pPr>
        <w:ind w:right="180" w:firstLine="584"/>
        <w:spacing w:after="0" w:line="277" w:lineRule="auto"/>
        <w:rPr>
          <w:sz w:val="20"/>
          <w:szCs w:val="20"/>
          <w:color w:val="auto"/>
        </w:rPr>
      </w:pPr>
      <w:r>
        <w:rPr>
          <w:rFonts w:ascii="Times New Roman" w:cs="Times New Roman" w:eastAsia="Times New Roman" w:hAnsi="Times New Roman"/>
          <w:sz w:val="17"/>
          <w:szCs w:val="17"/>
          <w:color w:val="auto"/>
        </w:rPr>
        <w:t>The containment of healthcare costs has become a priority of federal, state and foreign governments (and other third-party payers), and the prices of pharmaceutical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w:t>
      </w:r>
    </w:p>
    <w:p>
      <w:pPr>
        <w:spacing w:after="0" w:line="168" w:lineRule="exact"/>
        <w:rPr>
          <w:sz w:val="20"/>
          <w:szCs w:val="20"/>
          <w:color w:val="auto"/>
        </w:rPr>
      </w:pPr>
    </w:p>
    <w:p>
      <w:pPr>
        <w:ind w:firstLine="584"/>
        <w:spacing w:after="0" w:line="252" w:lineRule="auto"/>
        <w:rPr>
          <w:sz w:val="20"/>
          <w:szCs w:val="20"/>
          <w:color w:val="auto"/>
        </w:rPr>
      </w:pPr>
      <w:r>
        <w:rPr>
          <w:rFonts w:ascii="Times New Roman" w:cs="Times New Roman" w:eastAsia="Times New Roman" w:hAnsi="Times New Roman"/>
          <w:sz w:val="18"/>
          <w:szCs w:val="18"/>
          <w:color w:val="auto"/>
        </w:rPr>
        <w:t xml:space="preserve">In the European Union, or EU, pricing and reimbursement schemes vary widely from country to country. Some countries provide that products may be marketed only after a reimbursement price has been agreed upon.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its Member States to restrict the range of products for which their national health insurance systems provide reimbursement and to control the prices of medicinal products for human use. EU Member States may approve a specific price for a product or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healthcare reform legislation</w:t>
      </w:r>
    </w:p>
    <w:p>
      <w:pPr>
        <w:spacing w:after="0" w:line="229" w:lineRule="exact"/>
        <w:rPr>
          <w:sz w:val="20"/>
          <w:szCs w:val="20"/>
          <w:color w:val="auto"/>
        </w:rPr>
      </w:pPr>
    </w:p>
    <w:p>
      <w:pPr>
        <w:ind w:firstLine="584"/>
        <w:spacing w:after="0" w:line="258" w:lineRule="auto"/>
        <w:rPr>
          <w:sz w:val="20"/>
          <w:szCs w:val="20"/>
          <w:color w:val="auto"/>
        </w:rPr>
      </w:pPr>
      <w:r>
        <w:rPr>
          <w:rFonts w:ascii="Times New Roman" w:cs="Times New Roman" w:eastAsia="Times New Roman" w:hAnsi="Times New Roman"/>
          <w:sz w:val="18"/>
          <w:szCs w:val="18"/>
          <w:color w:val="auto"/>
        </w:rPr>
        <w:t>In the United States and certain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2010, the United States Congress enacted the ACA, which, among other things, includes changes to the coverage and payment for products under government health care programs. The ACA includes provisions of importance to our potential product candidates that:</w:t>
      </w:r>
    </w:p>
    <w:p>
      <w:pPr>
        <w:spacing w:after="0" w:line="75" w:lineRule="exact"/>
        <w:rPr>
          <w:sz w:val="20"/>
          <w:szCs w:val="20"/>
          <w:color w:val="auto"/>
        </w:rPr>
      </w:pPr>
    </w:p>
    <w:p>
      <w:pPr>
        <w:ind w:left="1020" w:right="1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an annual, nondeductible fee on any entity that manufactures or imports specified branded prescription drugs and biologic products, apportioned among these entities according to their market share in certain government healthcare programs;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eligibility criteria for Medicaid, thereby potentially increasing a manufacturer’s Medicaid rebate liability;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manufacturers’ rebate liability under the Medicaid Drug Rebate Program;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types of entities eligible for the 340B drug discount program;</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the Medicare Part D coverage gap discount program by requiring manufacturers to provide point-of-sale-discounts off the negotiated price of applicable brand drugs to eligible beneficiaries during their coverage gap period as a condition for the manufacturers’ outpatient drugs to be covered under Medicare Part D; and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0" w:name="page31"/>
    <w:bookmarkEnd w:id="30"/>
    <w:p>
      <w:pPr>
        <w:ind w:left="1020" w:right="4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 Patient-Centered Outcomes Research Institute to oversee, identify priorities in, and conduct comparative clinical effectiveness research, along with funding for such research.</w:t>
      </w:r>
    </w:p>
    <w:p>
      <w:pPr>
        <w:spacing w:after="0" w:line="162"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Affordable Care Act was enacted. For example, the Budget Control Act of 2011 and subsequent legislation, among other things, created measures for spending reductions by Congress that include aggregate reductions of Medicare payments to providers of 2% per fiscal year, which remain in effect through 2031. The U.S. American Taxpayer Relief Act of 2012 further reduced Medicare payments to several types of providers and increased the statute of limitations period for the government to recover overpayments to providers from three to five years.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Due to the Statutory Pay-As-You-Go Act of 2010, estimated budget deficit increases resulting from the American Rescue Plan Act of 2021, and subsequent legislation, Medicare payments to providers were further reduced starting in 2025.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2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83" w:lineRule="exact"/>
        <w:rPr>
          <w:sz w:val="20"/>
          <w:szCs w:val="20"/>
          <w:color w:val="auto"/>
        </w:rPr>
      </w:pPr>
    </w:p>
    <w:p>
      <w:pPr>
        <w:ind w:firstLine="584"/>
        <w:spacing w:after="0" w:line="217" w:lineRule="exact"/>
        <w:rPr>
          <w:sz w:val="20"/>
          <w:szCs w:val="20"/>
          <w:color w:val="auto"/>
        </w:rPr>
      </w:pPr>
      <w:r>
        <w:rPr>
          <w:rFonts w:ascii="Times New Roman" w:cs="Times New Roman" w:eastAsia="Times New Roman" w:hAnsi="Times New Roman"/>
          <w:sz w:val="18"/>
          <w:szCs w:val="18"/>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On December 19, 2025, CMS released two proposed rules that would incorporate most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favored nation (“MFN”) pricing principles into federal reimbursement for prescription drugs. The first proposal, the Global Benchmark for Efficient Drug Pricing Model (“GLOBE”) for Medicare Part B, would require manufacturers of specified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drugs and sole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 sole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drugs where the Medicare net price exceeds an MFN benchmark derived from international reference pricing methodologies. As proposed, GLOBE would begin a five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(“GENEROUS”) Model, a voluntary MFN framework for manufacturers participating in the Medicaid Drug Rebate Program. Although it is voluntary, the GENEROUS Model could also impact the drug pricing landscape for manufacturers.</w:t>
      </w:r>
    </w:p>
    <w:p>
      <w:pPr>
        <w:spacing w:after="0" w:line="209" w:lineRule="exact"/>
        <w:rPr>
          <w:sz w:val="20"/>
          <w:szCs w:val="20"/>
          <w:color w:val="auto"/>
        </w:rPr>
      </w:pPr>
    </w:p>
    <w:p>
      <w:pPr>
        <w:ind w:right="20" w:firstLine="584"/>
        <w:spacing w:after="0" w:line="253" w:lineRule="auto"/>
        <w:rPr>
          <w:sz w:val="20"/>
          <w:szCs w:val="20"/>
          <w:color w:val="auto"/>
        </w:rPr>
      </w:pPr>
      <w:r>
        <w:rPr>
          <w:rFonts w:ascii="Times New Roman" w:cs="Times New Roman" w:eastAsia="Times New Roman" w:hAnsi="Times New Roman"/>
          <w:sz w:val="18"/>
          <w:szCs w:val="18"/>
          <w:color w:val="auto"/>
        </w:rPr>
        <w:t>The Inflation Reduction Act of 2022, or IRA, includes several provisions that may impact our business to varying degrees, including provisions that reduce the out-of-pocket cap for Medicare Part D beneficiaries from $7,050 to $2,000 starting in 2025, thereby effectively eliminating the coverage gap; impose new manufacturer financial liability on certain drugs under Medicare Part D; and allow the U.S. government to negotiate Medicare Part B and Part D price caps for certain high-cost drugs and biologics without generic or biosimilar competition. Specifically, under the IRA, a single-source pharmaceutical product qualifies for selection for participation in the drug price negotiation program if it is (i) a small-molecule drug for which at least seven years have passed since the date of approval from the FDA and there is no generic on the market (as of the date of selection); or (ii) a biologic for which 11 years have passed since the date of FDA licensure and there is no biosimilar on the market (as of the date of selection). Given that any negotiated price does not take effect until approximately two years after selection, small-molecule drug and biologic manufacturers are afforded at least nine years and 13 years, respectively, before they may be obligated to sell their product under Medicare Part B and Part D, as applicable, at CMS-negotiated pricing. The IRA also requires companies to pay rebates to Medicare to the extent that drug pricing increases faster than inflation, and it also further delayed until January 1, 2032 the implementation of the HHS rebate rule that would have limited the fees that pharmacy benefit managers can charge. Further, under the IRA, orphan drugs are exempted from the Medicare drug price negotiation program, but only if they have a single orphan designation and for which the only approved indication is for that disease or condition. Under the One Big Beautiful Bill Act of 2025 ("OBBBA"), this restriction was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ind w:right="60"/>
        <w:spacing w:after="0" w:line="261" w:lineRule="auto"/>
        <w:rPr>
          <w:sz w:val="20"/>
          <w:szCs w:val="20"/>
          <w:color w:val="auto"/>
        </w:rPr>
      </w:pPr>
      <w:r>
        <w:rPr>
          <w:rFonts w:ascii="Times New Roman" w:cs="Times New Roman" w:eastAsia="Times New Roman" w:hAnsi="Times New Roman"/>
          <w:sz w:val="18"/>
          <w:szCs w:val="18"/>
          <w:color w:val="auto"/>
        </w:rPr>
        <w:t>eliminated; and effective for the 2028 initial price applicability year, all orphan drugs, regardless of the number of orphan drug designations or indications, are exempt from the Medicare drug price negotiation program. The implementation of the IRA is currently subject to ongoing litigation challenging the constitutionality of the IRA Medicare drug price negotiation program. Although the effects of the IRA on our business and the healthcare industry in general are not yet known, we are taking into consideration the potential impact of the IRA on our development and commercialization activities.</w:t>
      </w:r>
    </w:p>
    <w:p>
      <w:pPr>
        <w:spacing w:after="0" w:line="180" w:lineRule="exact"/>
        <w:rPr>
          <w:sz w:val="20"/>
          <w:szCs w:val="20"/>
          <w:color w:val="auto"/>
        </w:rPr>
      </w:pPr>
    </w:p>
    <w:p>
      <w:pPr>
        <w:ind w:right="40" w:firstLine="584"/>
        <w:spacing w:after="0" w:line="266" w:lineRule="auto"/>
        <w:rPr>
          <w:sz w:val="20"/>
          <w:szCs w:val="20"/>
          <w:color w:val="auto"/>
        </w:rPr>
      </w:pPr>
      <w:r>
        <w:rPr>
          <w:rFonts w:ascii="Times New Roman" w:cs="Times New Roman" w:eastAsia="Times New Roman" w:hAnsi="Times New Roman"/>
          <w:sz w:val="18"/>
          <w:szCs w:val="18"/>
          <w:color w:val="auto"/>
        </w:rPr>
        <w:t>We expect that additional U.S. federal healthcare reform measures will be adopted in the future, any of which could limit the amounts that the U.S. Federal Government will pay for healthcare drugs and services, which could result in reduced demand for our drug candidates or additional pricing pressures.</w:t>
      </w:r>
    </w:p>
    <w:p>
      <w:pPr>
        <w:spacing w:after="0" w:line="176" w:lineRule="exact"/>
        <w:rPr>
          <w:sz w:val="20"/>
          <w:szCs w:val="20"/>
          <w:color w:val="auto"/>
        </w:rPr>
      </w:pPr>
    </w:p>
    <w:p>
      <w:pPr>
        <w:ind w:firstLine="584"/>
        <w:spacing w:after="0" w:line="255" w:lineRule="auto"/>
        <w:rPr>
          <w:sz w:val="20"/>
          <w:szCs w:val="20"/>
          <w:color w:val="auto"/>
        </w:rPr>
      </w:pPr>
      <w:r>
        <w:rPr>
          <w:rFonts w:ascii="Times New Roman" w:cs="Times New Roman" w:eastAsia="Times New Roman" w:hAnsi="Times New Roman"/>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(if approved for marketing) or put pressure on our drug pricing, which could negatively affect our business, financial condition, results of operations and prospects.</w:t>
      </w:r>
    </w:p>
    <w:p>
      <w:pPr>
        <w:spacing w:after="0" w:line="189" w:lineRule="exact"/>
        <w:rPr>
          <w:sz w:val="20"/>
          <w:szCs w:val="20"/>
          <w:color w:val="auto"/>
        </w:rPr>
      </w:pPr>
    </w:p>
    <w:p>
      <w:pPr>
        <w:ind w:right="20" w:firstLine="584"/>
        <w:spacing w:after="0" w:line="254" w:lineRule="auto"/>
        <w:rPr>
          <w:sz w:val="20"/>
          <w:szCs w:val="20"/>
          <w:color w:val="auto"/>
        </w:rPr>
      </w:pPr>
      <w:r>
        <w:rPr>
          <w:rFonts w:ascii="Times New Roman" w:cs="Times New Roman" w:eastAsia="Times New Roman" w:hAnsi="Times New Roman"/>
          <w:sz w:val="18"/>
          <w:szCs w:val="18"/>
          <w:color w:val="auto"/>
        </w:rPr>
        <w:t>In addition, at the state level, legislatures have increasingly passed legislation and implemented regulations similar to those under consideration at the federal level, as well as laws designed to control pharmaceutical and biotherapeutic product pricing, including restrictions on pricing or reimbursement at the state government level, limitations on discounts to patients, marketing cost disclosure and transparency measures, restrictions or other limitations on patient assistance, and, in some cases, policies to encourage importation from other countries (subject to federal approval) and bulk purchasing. Certain states are also pursuing cost containment efforts through Prescription Drug Affordability Boards (“PDABs”) and similar entities. While many PDABs have been granted authority to promote drug price transparency and reporting, some states have granted PDABs more expansive authority, including to set Upper Payment Limits (UPLs) on select, high price drugs. The adoption and implementation of UPLs may put downward pressure on drug prices and impact our company’s future revenues.</w:t>
      </w:r>
    </w:p>
    <w:p>
      <w:pPr>
        <w:spacing w:after="0" w:line="192" w:lineRule="exact"/>
        <w:rPr>
          <w:sz w:val="20"/>
          <w:szCs w:val="20"/>
          <w:color w:val="auto"/>
        </w:rPr>
      </w:pPr>
    </w:p>
    <w:p>
      <w:pPr>
        <w:ind w:right="40" w:firstLine="584"/>
        <w:spacing w:after="0" w:line="261" w:lineRule="auto"/>
        <w:rPr>
          <w:sz w:val="20"/>
          <w:szCs w:val="20"/>
          <w:color w:val="auto"/>
        </w:rPr>
      </w:pPr>
      <w:r>
        <w:rPr>
          <w:rFonts w:ascii="Times New Roman" w:cs="Times New Roman" w:eastAsia="Times New Roman" w:hAnsi="Times New Roman"/>
          <w:sz w:val="18"/>
          <w:szCs w:val="18"/>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United States environmental, health and safety laws and regulations</w:t>
      </w:r>
    </w:p>
    <w:p>
      <w:pPr>
        <w:spacing w:after="0" w:line="229" w:lineRule="exact"/>
        <w:rPr>
          <w:sz w:val="20"/>
          <w:szCs w:val="20"/>
          <w:color w:val="auto"/>
        </w:rPr>
      </w:pPr>
    </w:p>
    <w:p>
      <w:pPr>
        <w:ind w:right="100" w:firstLine="584"/>
        <w:spacing w:after="0" w:line="255" w:lineRule="auto"/>
        <w:rPr>
          <w:sz w:val="20"/>
          <w:szCs w:val="20"/>
          <w:color w:val="auto"/>
        </w:rPr>
      </w:pPr>
      <w:r>
        <w:rPr>
          <w:rFonts w:ascii="Times New Roman" w:cs="Times New Roman" w:eastAsia="Times New Roman" w:hAnsi="Times New Roman"/>
          <w:sz w:val="18"/>
          <w:szCs w:val="18"/>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ind w:right="60" w:firstLine="584"/>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that we may incur due to injuries to our employees, but this insurance may not provide adequate coverage against potential liabilities. We do not maintain insurance for environmental liability or toxic tort claims that may be asserted against us.</w:t>
      </w:r>
    </w:p>
    <w:p>
      <w:pPr>
        <w:spacing w:after="0" w:line="176" w:lineRule="exact"/>
        <w:rPr>
          <w:sz w:val="20"/>
          <w:szCs w:val="20"/>
          <w:color w:val="auto"/>
        </w:rPr>
      </w:pPr>
    </w:p>
    <w:p>
      <w:pPr>
        <w:ind w:right="20" w:firstLine="584"/>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of drugs outside of the United States</w:t>
      </w:r>
    </w:p>
    <w:p>
      <w:pPr>
        <w:spacing w:after="0" w:line="229" w:lineRule="exact"/>
        <w:rPr>
          <w:sz w:val="20"/>
          <w:szCs w:val="20"/>
          <w:color w:val="auto"/>
        </w:rPr>
      </w:pPr>
    </w:p>
    <w:p>
      <w:pPr>
        <w:ind w:right="260" w:firstLine="584"/>
        <w:spacing w:after="0" w:line="258" w:lineRule="auto"/>
        <w:rPr>
          <w:sz w:val="20"/>
          <w:szCs w:val="20"/>
          <w:color w:val="auto"/>
        </w:rPr>
      </w:pPr>
      <w:r>
        <w:rPr>
          <w:rFonts w:ascii="Times New Roman" w:cs="Times New Roman" w:eastAsia="Times New Roman" w:hAnsi="Times New Roman"/>
          <w:sz w:val="18"/>
          <w:szCs w:val="18"/>
          <w:color w:val="auto"/>
        </w:rPr>
        <w:t>To market any product outside of the United States, we would need to comply with numerous and varying regulatory requirements of other countries regarding safety and efficacy and governing, among other things, clinical trials, marketing authorization, manufacturing, commercial sales, promotion and distribution of our potential future products. For instance, in the European Economic Area, or the EEA (comprised of the 27 EU Member States plus Iceland, Liechtenstein and Norway), medicinal products must be authorized for marketing by using either the centralized authorization procedure or national authorization procedures.</w:t>
      </w:r>
    </w:p>
    <w:p>
      <w:pPr>
        <w:spacing w:after="0" w:line="73" w:lineRule="exact"/>
        <w:rPr>
          <w:sz w:val="20"/>
          <w:szCs w:val="20"/>
          <w:color w:val="auto"/>
        </w:rPr>
      </w:pPr>
    </w:p>
    <w:p>
      <w:pPr>
        <w:ind w:left="1140" w:right="20" w:hanging="383"/>
        <w:spacing w:after="0" w:line="25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Centralized procedure </w:t>
      </w:r>
      <w:r>
        <w:rPr>
          <w:rFonts w:ascii="Times New Roman" w:cs="Times New Roman" w:eastAsia="Times New Roman" w:hAnsi="Times New Roman"/>
          <w:sz w:val="18"/>
          <w:szCs w:val="18"/>
          <w:color w:val="auto"/>
        </w:rPr>
        <w:t>— The centralized procedure provides for the grant of a single marketing authorization by the European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 that is valid throughout the EEA. Pursuant to Regulation (EC) No. 726/2004, the centralized procedure is compulsory for specific products, including for medicines produced by certain biotechnological processes, products designated as orphan medicinal products, advanced therapy products (gene therapy, somatic cell therapy and tissue engineered products) and products with a new active substance indicated for the treatment of certain diseases, which includes products for the treatment of cancer. For medicines that do not fall within one of the mandatory categories, an applicant still has the option of submitting an application for a centralized marketing authorization to the European Medicines Agency, or EMA, as long as the medicine concerned contains a new active substance not yet authorized in the EU, is a significant therapeutic, scientific or technical innovation, or if its authorization would be in the interest of public health in the EU. If pursuing marketing authorization of a product candidate for a therapeutic indication under the centralized procedure, the EMA’s Committee for Medicinal Products for Human Use, or CHMP, is responsible for conducting an initial assessment of whether a product meets the required quality, safety and efficacy requirements, and whether a product has a positive benefit/risk ratio. Under the centralized procedure the maximum timeframe for the evaluation of a marketing authorization application, or MAA, by the EMA is 210 days, excluding clock stops, when additional written or oral information is to be provided by the applicant in response to questions asked by the CHMP. Clock stops may extend the timeframe of evaluation of a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w:t>
      </w:r>
    </w:p>
    <w:p>
      <w:pPr>
        <w:spacing w:after="0" w:line="94" w:lineRule="exact"/>
        <w:rPr>
          <w:rFonts w:ascii="Times New Roman" w:cs="Times New Roman" w:eastAsia="Times New Roman" w:hAnsi="Times New Roman"/>
          <w:sz w:val="18"/>
          <w:szCs w:val="18"/>
          <w:color w:val="auto"/>
        </w:rPr>
      </w:pPr>
    </w:p>
    <w:p>
      <w:pPr>
        <w:ind w:left="1140" w:right="240" w:hanging="383"/>
        <w:spacing w:after="0" w:line="284"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National authorization procedures </w:t>
      </w:r>
      <w:r>
        <w:rPr>
          <w:rFonts w:ascii="Times New Roman" w:cs="Times New Roman" w:eastAsia="Times New Roman" w:hAnsi="Times New Roman"/>
          <w:sz w:val="18"/>
          <w:szCs w:val="18"/>
          <w:color w:val="auto"/>
        </w:rPr>
        <w:t>— There are also two other possible routes to authorize products for therapeutic indications in several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countries, which are available for products that fall outside the scope of the centralized procedure:</w:t>
      </w:r>
    </w:p>
    <w:p>
      <w:pPr>
        <w:spacing w:after="0" w:line="52" w:lineRule="exact"/>
        <w:rPr>
          <w:sz w:val="20"/>
          <w:szCs w:val="20"/>
          <w:color w:val="auto"/>
        </w:rPr>
      </w:pPr>
    </w:p>
    <w:p>
      <w:pPr>
        <w:ind w:left="1540" w:right="540" w:hanging="514"/>
        <w:spacing w:after="0" w:line="266" w:lineRule="auto"/>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the decentralized procedure, an applicant may apply for simultaneous authorization in more than one EEA country for a medicinal product that has not yet been authorized in any EEA country and that does not fall within the mandatory scope of the centralized procedure.</w:t>
      </w:r>
    </w:p>
    <w:p>
      <w:pPr>
        <w:spacing w:after="0" w:line="67" w:lineRule="exact"/>
        <w:rPr>
          <w:rFonts w:ascii="Times New Roman" w:cs="Times New Roman" w:eastAsia="Times New Roman" w:hAnsi="Times New Roman"/>
          <w:sz w:val="18"/>
          <w:szCs w:val="18"/>
          <w:color w:val="auto"/>
        </w:rPr>
      </w:pPr>
    </w:p>
    <w:p>
      <w:pPr>
        <w:ind w:left="1540" w:hanging="514"/>
        <w:spacing w:after="0" w:line="266" w:lineRule="auto"/>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the mutual recognition procedure, a medicine is first authorized in one EEA country, in accordance with the national procedures of that country. Following this, additional marketing authorizations can be sought from other EEA countries in a procedure whereby the countries concerned recognize the validity of the original, national marketing authorization.</w:t>
      </w:r>
    </w:p>
    <w:p>
      <w:pPr>
        <w:spacing w:after="0" w:line="176" w:lineRule="exact"/>
        <w:rPr>
          <w:sz w:val="20"/>
          <w:szCs w:val="20"/>
          <w:color w:val="auto"/>
        </w:rPr>
      </w:pPr>
    </w:p>
    <w:p>
      <w:pPr>
        <w:ind w:right="20" w:firstLine="584"/>
        <w:spacing w:after="0" w:line="282" w:lineRule="auto"/>
        <w:rPr>
          <w:sz w:val="20"/>
          <w:szCs w:val="20"/>
          <w:color w:val="auto"/>
        </w:rPr>
      </w:pPr>
      <w:r>
        <w:rPr>
          <w:rFonts w:ascii="Times New Roman" w:cs="Times New Roman" w:eastAsia="Times New Roman" w:hAnsi="Times New Roman"/>
          <w:sz w:val="18"/>
          <w:szCs w:val="18"/>
          <w:color w:val="auto"/>
        </w:rPr>
        <w:t>In both cases, as with the centralized procedure, the competent authorities of the EEA countries assess the risk-benefit balance of the product on the basis of scientific criteria concerning its quality, safety and efficacy before granting the marketing authorization.</w:t>
      </w:r>
    </w:p>
    <w:p>
      <w:pPr>
        <w:spacing w:after="0" w:line="162" w:lineRule="exact"/>
        <w:rPr>
          <w:sz w:val="20"/>
          <w:szCs w:val="20"/>
          <w:color w:val="auto"/>
        </w:rPr>
      </w:pPr>
    </w:p>
    <w:p>
      <w:pPr>
        <w:ind w:right="60" w:firstLine="584"/>
        <w:spacing w:after="0" w:line="255" w:lineRule="auto"/>
        <w:rPr>
          <w:sz w:val="20"/>
          <w:szCs w:val="20"/>
          <w:color w:val="auto"/>
        </w:rPr>
      </w:pPr>
      <w:r>
        <w:rPr>
          <w:rFonts w:ascii="Times New Roman" w:cs="Times New Roman" w:eastAsia="Times New Roman" w:hAnsi="Times New Roman"/>
          <w:sz w:val="18"/>
          <w:szCs w:val="18"/>
          <w:color w:val="auto"/>
        </w:rPr>
        <w:t>Now that the United Kingdom, or UK, has left the EU, the UK is no longer covered by the EU procedures for the grant of marketing authorizations under the centralized EU procedure and a separate marketing authorization is therefore required to market drugs in the UK. However, although a separate marketing authorization is required to market a product in the UK, on January 1, 2024, the Medicines and Healthcare Products Regulatory Agency, or MHRA, put in place a new international recognition framework which means that the MHRA may have regard to decisions on the approval of marketing authorizations made by the EMA and certain other regulators when determining an application for a new UK marketing authorization. As a result of the Northern Ireland protocol, following Brexit, the EMA remained responsible for approving novel medicines for supply in Northern Ireland under the EU centralized procedure, and a separate authorization was required</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3" w:name="page34"/>
    <w:bookmarkEnd w:id="33"/>
    <w:p>
      <w:pPr>
        <w:ind w:right="220"/>
        <w:spacing w:after="0" w:line="255" w:lineRule="auto"/>
        <w:rPr>
          <w:sz w:val="20"/>
          <w:szCs w:val="20"/>
          <w:color w:val="auto"/>
        </w:rPr>
      </w:pPr>
      <w:r>
        <w:rPr>
          <w:rFonts w:ascii="Times New Roman" w:cs="Times New Roman" w:eastAsia="Times New Roman" w:hAnsi="Times New Roman"/>
          <w:sz w:val="18"/>
          <w:szCs w:val="18"/>
          <w:color w:val="auto"/>
        </w:rPr>
        <w:t>to supply the same medicine in Great Britain (England, Wales and Scotland). However, on January 1, 2025, a new arrangement called the "Windsor Framework" came into effect and placed medicinal products supplied to Northern Ireland largely under the regulatory authority of the MHRA. The Windsor Framework removes EU licensing processes and certain EU labeling and serialization requirements for medicines supplied to Northern Ireland and introduces a UK-wide licensing process for medicines. A single United Kingdom-wide marketing authorization will be granted by the MHRA for all novel medicinal products to be sold in the United Kingdom, enabling products to be sold in a single pack and under a single authorization throughout the United Kingdom. In addition, the new arrangements require all medicines placed on the UK market to be labelled “UK only”, indicating they are not for sale in the EU.</w:t>
      </w:r>
    </w:p>
    <w:p>
      <w:pPr>
        <w:spacing w:after="0" w:line="187" w:lineRule="exact"/>
        <w:rPr>
          <w:sz w:val="20"/>
          <w:szCs w:val="20"/>
          <w:color w:val="auto"/>
        </w:rPr>
      </w:pPr>
    </w:p>
    <w:p>
      <w:pPr>
        <w:ind w:right="60" w:firstLine="584"/>
        <w:spacing w:after="0" w:line="253" w:lineRule="auto"/>
        <w:rPr>
          <w:sz w:val="20"/>
          <w:szCs w:val="20"/>
          <w:color w:val="auto"/>
        </w:rPr>
      </w:pPr>
      <w:r>
        <w:rPr>
          <w:rFonts w:ascii="Times New Roman" w:cs="Times New Roman" w:eastAsia="Times New Roman" w:hAnsi="Times New Roman"/>
          <w:sz w:val="18"/>
          <w:szCs w:val="18"/>
          <w:color w:val="auto"/>
        </w:rPr>
        <w:t>In the EU, new products that are authorized for marketing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reference products) qualify for eight years of data exclusivity and an additional two years of market exclusivity upon marketing authorization. The data exclusivity period prevents generic or biosimilar applicants from referencing the preclinical and clinical trial data contained in the dossier of the innovator product when applying for a generic or biosimilar marketing authorization in the EU during a period of eight years from the date on which the innovator product was first authorized in the EU. The additional two-year period of market exclusivity period prevents a successful generic or biosimilar applicant from commercializing its product in the EU until ten years have elapsed from the initial authorization of the reference product in the EU. The overall ten-year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 MAA with a complete independent data package of pharmaceutical tests, preclinical tests and clinical trials.</w:t>
      </w:r>
    </w:p>
    <w:p>
      <w:pPr>
        <w:spacing w:after="0" w:line="194"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United States. In the EU, under Article 3 of Regulation (EC) 141/2000, a medicinal product may be designated as orphan if it meets the following criteria: (i) it is intended for the diagnosis, prevention or treatment of a life-threatening or chronically debilitating condition; and (ii) either (a) such condition affects no more than five in 10,000 persons in the EU when the application is made, or (b) it is unlikely that the product, without the benefits derived from orphan status, would generate sufficient return in the EU to justify the investment needed for its development; and (iii) there exists no satisfactory method of diagnosis, prevention or treatment of such condition, or if such a method exists, the product will be of significant benefit to those affected by the condition. Orphan medicinal products are eligible for financial incentives such as reduction of fees or fee waivers and are, upon grant of a marketing authorization, entitled to ten years of market exclusivity for the approved therapeutic indication. During this ten-year orphan market exclusivity period, no marketing authorization application shall be accepted, and no marketing authorization shall be granted for a similar medicinal product for the same indication, unless certain conditions are met. An orphan product can also obtain an additional two years of market exclusivity in the EU for pediatric studies. Orphan drug designation does not convey any advantage in, or shorten the duration of, the regulatory review and approval process.</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Similar to the United States, the various phases of non-clinical and clinical research in the EU are subject to significant regulatory controls.</w:t>
      </w:r>
    </w:p>
    <w:p>
      <w:pPr>
        <w:spacing w:after="0" w:line="225" w:lineRule="exact"/>
        <w:rPr>
          <w:sz w:val="20"/>
          <w:szCs w:val="20"/>
          <w:color w:val="auto"/>
        </w:rPr>
      </w:pPr>
    </w:p>
    <w:p>
      <w:pPr>
        <w:ind w:right="40" w:firstLine="584"/>
        <w:spacing w:after="0" w:line="253" w:lineRule="auto"/>
        <w:rPr>
          <w:sz w:val="20"/>
          <w:szCs w:val="20"/>
          <w:color w:val="auto"/>
        </w:rPr>
      </w:pPr>
      <w:r>
        <w:rPr>
          <w:rFonts w:ascii="Times New Roman" w:cs="Times New Roman" w:eastAsia="Times New Roman" w:hAnsi="Times New Roman"/>
          <w:sz w:val="18"/>
          <w:szCs w:val="18"/>
          <w:color w:val="auto"/>
        </w:rPr>
        <w:t>The system for the approval of clinical trials in the EU is governed by the EU Clinical Trials Regulation 536/2014. Under this system, an applicant must obtain prior approval from the national competent authority, or NCA, of the EU Member States in which the clinical trial is to be conducted. Furthermore, the applicant may only start a clinical trial at a specific study site after the competent ethics committee, or EC, has issued a favorable opinion. The EU Clinical Trials Regulation (which replaced the previous Clinical Trials Directive 2001/20/EC on January 31, 2022) is directly applicable in all Member States (and so does not require national implementing legislation in each Member State) and aims at simplifying and streamlining the approval of clinical studies in the EU. The main characteristics of the Regulation include: a streamlined application procedure via a single-entry point through the Clinical Trials Information System, or CTIS; a single set of documents to be prepared and submitted for the application as well as simplified reporting procedures for clinical trial sponsors; and a harmonized procedure for the assessment of applications for clinical trials, which is divided in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(“Member States concerned”) of a draft report prepared by a reporting Member State. Part II is assessed separately by each Member State concerned. Strict deadlines have also been established for the assessment of clinical trial applications.</w:t>
      </w:r>
    </w:p>
    <w:p>
      <w:pPr>
        <w:spacing w:after="0" w:line="1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All of the aforementioned EU rules are generally applicable in the EEA.</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4" w:name="page35"/>
    <w:bookmarkEnd w:id="34"/>
    <w:p>
      <w:pPr>
        <w:ind w:right="20" w:firstLine="584"/>
        <w:spacing w:after="0" w:line="258" w:lineRule="auto"/>
        <w:rPr>
          <w:sz w:val="20"/>
          <w:szCs w:val="20"/>
          <w:color w:val="auto"/>
        </w:rPr>
      </w:pPr>
      <w:r>
        <w:rPr>
          <w:rFonts w:ascii="Times New Roman" w:cs="Times New Roman" w:eastAsia="Times New Roman" w:hAnsi="Times New Roman"/>
          <w:sz w:val="18"/>
          <w:szCs w:val="18"/>
          <w:color w:val="auto"/>
        </w:rPr>
        <w:t>The European Commission introduced legislative proposals in April 2023 that, if implemented, will replace the current regulatory framework in the EU for all medicines (including those for rare diseases and for children). In April 2024, the European Parliament adopted its position on the legislative proposals and, in June 2025, the Council of the European Union adopted its position. A common position on the text has been agreed upon on December 11, 2025, in the context of subsequent inter-institutional trilogue negotiations. The proposed revisions remain to be adopted and are not expected to become applicable before 2028.</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of data collection outside of the United States</w:t>
      </w:r>
    </w:p>
    <w:p>
      <w:pPr>
        <w:spacing w:after="0" w:line="229" w:lineRule="exact"/>
        <w:rPr>
          <w:sz w:val="20"/>
          <w:szCs w:val="20"/>
          <w:color w:val="auto"/>
        </w:rPr>
      </w:pPr>
    </w:p>
    <w:p>
      <w:pPr>
        <w:ind w:right="40" w:firstLine="584"/>
        <w:spacing w:after="0" w:line="252" w:lineRule="auto"/>
        <w:rPr>
          <w:sz w:val="20"/>
          <w:szCs w:val="20"/>
          <w:color w:val="auto"/>
        </w:rPr>
      </w:pPr>
      <w:r>
        <w:rPr>
          <w:rFonts w:ascii="Times New Roman" w:cs="Times New Roman" w:eastAsia="Times New Roman" w:hAnsi="Times New Roman"/>
          <w:sz w:val="18"/>
          <w:szCs w:val="18"/>
          <w:color w:val="auto"/>
        </w:rPr>
        <w:t>We conduct clinical trials in the EU, and as a result are subject to additional privacy restrictions in relation to those clinical trials. The collection and use of personal health data in the EEA is governed by the General Data Protection Regulation 2016/679, or the EU GDPR, and national implementing laws. Switzerland has passed similar laws, and following the UK’s decision to leave the EU, the UK has enacted legislation which is substantially aligned with the GDPR, by virtue of the EU (Withdrawal) Act 2018, as amended (together with the EU GDPR, the GDPR). The GDPR applies to the processing of personal data by any company established in the EEA or UK and to companies established outside the EEA or UK to the extent they process personal data in connection with the offering of goods or services to data subjects in the EEA or UK, or the monitoring of the behavior of data subjects in the EEA or UK. The GDPR enhances data protection obligations for data controllers of personal data, including strict requirements relating to the processing of sensitive data (such as health data), ensuring there is a legal basis or condition to justify the processing of personal data, stringent requirements relating to the consent of data subjects (where required), expanded disclosures about how personal data is used, enhanced requirements for securing personal data, requirements to conduct privacy impact assessments for “high risk” processing, limitations on retention of personal data, mandatory data breach notification and “privacy by design” requirements, and creates direct obligations on service providers acting as processors. The GDPR also imposes strict rules on the transfer of personal data outside of the EEA or UK to countries that do not ensure an adequate level of protection, like the United States. Failure to comply with the requirements of the GDPR and the related national data protection laws of the EU Member States, the UK, and Norway, Iceland and Liechtenstein, which may deviate slightly from the GDPR, may result in fines of up to 4% of a company’s global revenue for the preceding financial year, or €20,000,000, whichever is greater. Moreover, the GDPR grants data subjects the right to claim material and non-material damages resulting from infringement of the GDPR. Maintaining compliance with the GDPR will continue to require significant time, resources and expense. There has been limited enforcement of the GDPR to date in biopharmaceutical development, so we face uncertainty as to the exact interpretation of the new requirements on any current and future trials and we may be unsuccessful in implementing and maintaining all measures required by data protection authorities or courts in interpretation of the law.</w:t>
      </w:r>
    </w:p>
    <w:p>
      <w:pPr>
        <w:spacing w:after="0" w:line="191" w:lineRule="exact"/>
        <w:rPr>
          <w:sz w:val="20"/>
          <w:szCs w:val="20"/>
          <w:color w:val="auto"/>
        </w:rPr>
      </w:pPr>
    </w:p>
    <w:p>
      <w:pPr>
        <w:jc w:val="both"/>
        <w:ind w:right="140" w:firstLine="584"/>
        <w:spacing w:after="0" w:line="256" w:lineRule="auto"/>
        <w:rPr>
          <w:sz w:val="20"/>
          <w:szCs w:val="20"/>
          <w:color w:val="auto"/>
        </w:rPr>
      </w:pPr>
      <w:r>
        <w:rPr>
          <w:rFonts w:ascii="Times New Roman" w:cs="Times New Roman" w:eastAsia="Times New Roman" w:hAnsi="Times New Roman"/>
          <w:sz w:val="18"/>
          <w:szCs w:val="18"/>
          <w:color w:val="auto"/>
        </w:rPr>
        <w:t>Further, since the UK’s decision to leave the EU, the UK is now regarded as a “third country” for the purposes of transfers of personal data from the EEA. The European Commission has, however, issued an adequacy decision recognizing the UK as providing adequate data protection and, therefore, transfers of personal data originating in the EEA to the UK remain unrestricted. Likewise, the UK government has confirmed that personal data transfers from the UK to the EEA remain free flowing. However, the UK government is planning to reform its data protection law with the Data (Use and Access) Bill, which it introduced to Parliament on 24 October 2024. These potential future changes to UK data protection laws may alter the similarities between the UK and EEA data protection regime and threaten the UK adequacy decision from the European Commission.</w:t>
      </w:r>
    </w:p>
    <w:p>
      <w:pPr>
        <w:spacing w:after="0" w:line="187" w:lineRule="exact"/>
        <w:rPr>
          <w:sz w:val="20"/>
          <w:szCs w:val="20"/>
          <w:color w:val="auto"/>
        </w:rPr>
      </w:pPr>
    </w:p>
    <w:p>
      <w:pPr>
        <w:ind w:firstLine="584"/>
        <w:spacing w:after="0" w:line="258" w:lineRule="auto"/>
        <w:rPr>
          <w:sz w:val="20"/>
          <w:szCs w:val="20"/>
          <w:color w:val="auto"/>
        </w:rPr>
      </w:pPr>
      <w:r>
        <w:rPr>
          <w:rFonts w:ascii="Times New Roman" w:cs="Times New Roman" w:eastAsia="Times New Roman" w:hAnsi="Times New Roman"/>
          <w:sz w:val="18"/>
          <w:szCs w:val="18"/>
          <w:color w:val="auto"/>
        </w:rPr>
        <w:t>Data protection authority activity differs across the EU and UK, with certain authorities applying their own agenda which shows there is uncertainty in the manner in which data protection authorities will seek to enforce compliance with GDPR. For example, it is not clear if the authorities will conduct random audits of companies doing business in the EU, or if the authorities will wait for complaints to be filed by individuals who claim their rights have been violated. Enforcement uncertainty and the costs associated with ensuring GDPR compliance are onerous and may adversely affect our business, financial condition, results of operations and prospects.</w:t>
      </w:r>
    </w:p>
    <w:p>
      <w:pPr>
        <w:spacing w:after="0" w:line="183" w:lineRule="exact"/>
        <w:rPr>
          <w:sz w:val="20"/>
          <w:szCs w:val="20"/>
          <w:color w:val="auto"/>
        </w:rPr>
      </w:pPr>
    </w:p>
    <w:p>
      <w:pPr>
        <w:ind w:right="320" w:firstLine="584"/>
        <w:spacing w:after="0" w:line="282" w:lineRule="auto"/>
        <w:rPr>
          <w:sz w:val="20"/>
          <w:szCs w:val="20"/>
          <w:color w:val="auto"/>
        </w:rPr>
      </w:pPr>
      <w:r>
        <w:rPr>
          <w:rFonts w:ascii="Times New Roman" w:cs="Times New Roman" w:eastAsia="Times New Roman" w:hAnsi="Times New Roman"/>
          <w:sz w:val="18"/>
          <w:szCs w:val="18"/>
          <w:color w:val="auto"/>
        </w:rPr>
        <w:t>Should we utilize third-party distributors, compliance with such foreign governmental regulations would generally be the responsibility of such distributors, who may be independent contractors over whom we have limited control.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20" w:firstLine="584"/>
        <w:spacing w:after="0" w:line="261" w:lineRule="auto"/>
        <w:rPr>
          <w:sz w:val="20"/>
          <w:szCs w:val="20"/>
          <w:color w:val="auto"/>
        </w:rPr>
      </w:pPr>
      <w:r>
        <w:rPr>
          <w:rFonts w:ascii="Times New Roman" w:cs="Times New Roman" w:eastAsia="Times New Roman" w:hAnsi="Times New Roman"/>
          <w:sz w:val="18"/>
          <w:szCs w:val="18"/>
          <w:color w:val="auto"/>
        </w:rPr>
        <w:t>We face direct competition from pharmaceutical and biotechnology companies leveraging the principle of synthetic lethality as well as companies developing therapies for the same target pathway and the same indications. Well-established companies that are developing or may develop therapies based on synthetic lethality include AstraZeneca, Amgen, Bristol Myers Squibb (BMS), Gilead, GlaxoSmithKline, Merck KGaA, Pfizer, Lilly and Roche. Smaller and earlier-stage companies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focused on synthetic lethality include Artios Pharma, BeOne, Exelixis, IDEAYA Biosciences, Repare Therapeutics and Servier Pharmaceuticals.</w:t>
      </w:r>
    </w:p>
    <w:p>
      <w:pPr>
        <w:spacing w:after="0" w:line="225" w:lineRule="exact"/>
        <w:rPr>
          <w:sz w:val="20"/>
          <w:szCs w:val="20"/>
          <w:color w:val="auto"/>
        </w:rPr>
      </w:pPr>
    </w:p>
    <w:p>
      <w:pPr>
        <w:ind w:right="120" w:firstLine="584"/>
        <w:spacing w:after="0" w:line="256" w:lineRule="auto"/>
        <w:rPr>
          <w:sz w:val="20"/>
          <w:szCs w:val="20"/>
          <w:color w:val="auto"/>
        </w:rPr>
      </w:pPr>
      <w:r>
        <w:rPr>
          <w:rFonts w:ascii="Times New Roman" w:cs="Times New Roman" w:eastAsia="Times New Roman" w:hAnsi="Times New Roman"/>
          <w:sz w:val="18"/>
          <w:szCs w:val="18"/>
          <w:color w:val="auto"/>
        </w:rPr>
        <w:t>Our PRMT5 inhibitor program, which includes vopimetostat and TNG456, will face direct competition from companies that have clinical-stage, MTA-cooperative PRMT5 inhibitors that are selective for MTAP-deleted cancers. We are aware that BMS (which acquired Mirati Therapeutics, Inc., or Mirati), Amgen, AstraZeneca, BeOne and Abbisko are in Phase 1/2 clinical trials with MTA-cooperative PRMT5 inhibitor programs, using the same mechanism of action as vopimetostat and TNG456. There may be additional competition from other drug candidates not yet in clinic trials, such as Gilead Sciences and IDEAYA Biosciences. Currently, there are no MTA-cooperative PRMT5 inhibitors that are authorized for marketing by any regulatory authority.</w:t>
      </w:r>
    </w:p>
    <w:p>
      <w:pPr>
        <w:spacing w:after="0" w:line="187" w:lineRule="exact"/>
        <w:rPr>
          <w:sz w:val="20"/>
          <w:szCs w:val="20"/>
          <w:color w:val="auto"/>
        </w:rPr>
      </w:pPr>
    </w:p>
    <w:p>
      <w:pPr>
        <w:ind w:right="380" w:firstLine="584"/>
        <w:spacing w:after="0" w:line="261" w:lineRule="auto"/>
        <w:rPr>
          <w:sz w:val="20"/>
          <w:szCs w:val="20"/>
          <w:color w:val="auto"/>
        </w:rPr>
      </w:pPr>
      <w:r>
        <w:rPr>
          <w:rFonts w:ascii="Times New Roman" w:cs="Times New Roman" w:eastAsia="Times New Roman" w:hAnsi="Times New Roman"/>
          <w:sz w:val="18"/>
          <w:szCs w:val="18"/>
          <w:color w:val="auto"/>
        </w:rPr>
        <w:t>Indirect competition may come from MAT2A inhibitor programs that are uniquely different than the vopimetostat and TNG456 mechanism of action but are synthetic lethal with MTAP-deletions. MAT2A is an enzyme upstream of PRMT5 essential for the metabolism of the PRMT5 co-factor SAM that acts on the same pathway as vopimetostat and TNG456. We are aware that IDEAYA Biosciences, BeOne, Insilico Medicine and Servier Pharmaceuticals have clinical MAT2A inhibitor programs.</w:t>
      </w:r>
    </w:p>
    <w:p>
      <w:pPr>
        <w:spacing w:after="0" w:line="180" w:lineRule="exact"/>
        <w:rPr>
          <w:sz w:val="20"/>
          <w:szCs w:val="20"/>
          <w:color w:val="auto"/>
        </w:rPr>
      </w:pPr>
    </w:p>
    <w:p>
      <w:pPr>
        <w:ind w:right="100" w:firstLine="584"/>
        <w:spacing w:after="0" w:line="266" w:lineRule="auto"/>
        <w:rPr>
          <w:sz w:val="20"/>
          <w:szCs w:val="20"/>
          <w:color w:val="auto"/>
        </w:rPr>
      </w:pPr>
      <w:r>
        <w:rPr>
          <w:rFonts w:ascii="Times New Roman" w:cs="Times New Roman" w:eastAsia="Times New Roman" w:hAnsi="Times New Roman"/>
          <w:sz w:val="18"/>
          <w:szCs w:val="18"/>
          <w:color w:val="auto"/>
        </w:rPr>
        <w:t>We are not aware of any competition from other companies developing a similar mechanism as TNG260, our CoREST inhibitor program. Indirect competition may come from LSD1 inhibitor programs that target a different class of HDAC inhibitors than TNG260. We are aware that Jubilant Therapeutics has an LSD1-HDAC6 clinical program.</w:t>
      </w:r>
    </w:p>
    <w:p>
      <w:pPr>
        <w:spacing w:after="0" w:line="176" w:lineRule="exact"/>
        <w:rPr>
          <w:sz w:val="20"/>
          <w:szCs w:val="20"/>
          <w:color w:val="auto"/>
        </w:rPr>
      </w:pPr>
    </w:p>
    <w:p>
      <w:pPr>
        <w:ind w:right="60" w:firstLine="584"/>
        <w:spacing w:after="0" w:line="253" w:lineRule="auto"/>
        <w:rPr>
          <w:sz w:val="20"/>
          <w:szCs w:val="20"/>
          <w:color w:val="auto"/>
        </w:rPr>
      </w:pPr>
      <w:r>
        <w:rPr>
          <w:rFonts w:ascii="Times New Roman" w:cs="Times New Roman" w:eastAsia="Times New Roman" w:hAnsi="Times New Roman"/>
          <w:sz w:val="18"/>
          <w:szCs w:val="18"/>
          <w:color w:val="auto"/>
        </w:rPr>
        <w:t>We face competition more broadly across the oncology market for safe, efficacious, and reimbursable cancer treatments. The most common methods of treating patients with cancer are surgery, radiation, and drug therapy, including chemotherapy, hormone therapy, biologic therapy (such as monoclonal and bispecific antibodies), immunotherapy, cell-based therapy and targeted therapy, or a combination of any such methods. There are a variety of available drug therapies marketed for cancer. In many cases, these drugs are administered in combination to enhance efficacy. If any of our product candidates are approved, they may compete with these existing drugs and other therapies, and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94" w:lineRule="exact"/>
        <w:rPr>
          <w:sz w:val="20"/>
          <w:szCs w:val="20"/>
          <w:color w:val="auto"/>
        </w:rPr>
      </w:pPr>
    </w:p>
    <w:p>
      <w:pPr>
        <w:ind w:right="20" w:firstLine="584"/>
        <w:spacing w:after="0" w:line="256" w:lineRule="auto"/>
        <w:rPr>
          <w:sz w:val="20"/>
          <w:szCs w:val="20"/>
          <w:color w:val="auto"/>
        </w:rPr>
      </w:pPr>
      <w:r>
        <w:rPr>
          <w:rFonts w:ascii="Times New Roman" w:cs="Times New Roman" w:eastAsia="Times New Roman" w:hAnsi="Times New Roman"/>
          <w:sz w:val="18"/>
          <w:szCs w:val="18"/>
          <w:color w:val="auto"/>
        </w:rPr>
        <w:t>Many of our competitors, either alone or with their collaborators, have significantly greater resources,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significant competitors, particularly through collaborative arrangements with large and established companies. Additionally, mergers and acquisitions may result in even more resources being concentrated in our competitors.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ind w:right="200" w:firstLine="584"/>
        <w:spacing w:after="0" w:line="258" w:lineRule="auto"/>
        <w:rPr>
          <w:sz w:val="20"/>
          <w:szCs w:val="20"/>
          <w:color w:val="auto"/>
        </w:rPr>
      </w:pPr>
      <w:r>
        <w:rPr>
          <w:rFonts w:ascii="Times New Roman" w:cs="Times New Roman" w:eastAsia="Times New Roman" w:hAnsi="Times New Roman"/>
          <w:sz w:val="18"/>
          <w:szCs w:val="18"/>
          <w:color w:val="auto"/>
        </w:rPr>
        <w:t>Attracting and retaining qualified and experienced employees in research and development, clinical, manufacturing, regulatory, quality and other positions is crucial to our ability to compete effectively. Competition for these employees is intense in the pharmaceutical industry in which we operate. Our ability to recruit and retain such employees depends on a number of factors, including the growth of our organization, the culture and work environment we have created, our organizational values and goals and our corporate philosophy; talent development and career opportunities; and compensation and benefits.</w:t>
      </w:r>
    </w:p>
    <w:p>
      <w:pPr>
        <w:spacing w:after="0" w:line="183" w:lineRule="exact"/>
        <w:rPr>
          <w:sz w:val="20"/>
          <w:szCs w:val="20"/>
          <w:color w:val="auto"/>
        </w:rPr>
      </w:pPr>
    </w:p>
    <w:p>
      <w:pPr>
        <w:ind w:firstLine="584"/>
        <w:spacing w:after="0" w:line="266" w:lineRule="auto"/>
        <w:rPr>
          <w:sz w:val="20"/>
          <w:szCs w:val="20"/>
          <w:color w:val="auto"/>
        </w:rPr>
      </w:pPr>
      <w:r>
        <w:rPr>
          <w:rFonts w:ascii="Times New Roman" w:cs="Times New Roman" w:eastAsia="Times New Roman" w:hAnsi="Times New Roman"/>
          <w:sz w:val="18"/>
          <w:szCs w:val="18"/>
          <w:color w:val="auto"/>
        </w:rPr>
        <w:t>As of December 31, 2025, we had 137 full-time employees. 97 employees are engaged in research and development and 40 are engaged in business development, finance, legal, and general management and administration. None of our employees are represented by labor unions or covered by collective bargaining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Acquisition and Employee Development</w:t>
      </w:r>
    </w:p>
    <w:p>
      <w:pPr>
        <w:spacing w:after="0" w:line="229" w:lineRule="exact"/>
        <w:rPr>
          <w:sz w:val="20"/>
          <w:szCs w:val="20"/>
          <w:color w:val="auto"/>
        </w:rPr>
      </w:pPr>
    </w:p>
    <w:p>
      <w:pPr>
        <w:ind w:right="40" w:firstLine="584"/>
        <w:spacing w:after="0" w:line="282" w:lineRule="auto"/>
        <w:rPr>
          <w:sz w:val="20"/>
          <w:szCs w:val="20"/>
          <w:color w:val="auto"/>
        </w:rPr>
      </w:pPr>
      <w:r>
        <w:rPr>
          <w:rFonts w:ascii="Times New Roman" w:cs="Times New Roman" w:eastAsia="Times New Roman" w:hAnsi="Times New Roman"/>
          <w:sz w:val="18"/>
          <w:szCs w:val="18"/>
          <w:color w:val="auto"/>
        </w:rPr>
        <w:t>Our principal talent acquisition goal is to attract, retain, and develop the highest quality talent. As we build our organization beyond drug discovery and drug development, our goals have been extended to include establishing an employee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6" w:name="page37"/>
    <w:bookmarkEnd w:id="36"/>
    <w:p>
      <w:pPr>
        <w:ind w:right="60"/>
        <w:spacing w:after="0" w:line="255" w:lineRule="auto"/>
        <w:rPr>
          <w:sz w:val="20"/>
          <w:szCs w:val="20"/>
          <w:color w:val="auto"/>
        </w:rPr>
      </w:pPr>
      <w:r>
        <w:rPr>
          <w:rFonts w:ascii="Times New Roman" w:cs="Times New Roman" w:eastAsia="Times New Roman" w:hAnsi="Times New Roman"/>
          <w:sz w:val="18"/>
          <w:szCs w:val="18"/>
          <w:color w:val="auto"/>
        </w:rPr>
        <w:t>base that will allow us to efficiently move our pipeline products through clinical trials, regulatory approvals and into the markets where we can help patients and their families and, simultaneously, to have employees that provide diverse backgrounds and ideas, are trained to operate and act at the highest standards of ethics and integrity, and are dedicated to achieve the highest level of innovation and to advance precision oncology treatments through the use of synthetic lethality. To support our talent acquisition, our human resources programs are designed to develop talent to prepare them for leadership positions in the future; reward employees through competitive benefits programs, including competitive pay, incentive compensation, and an equity program that aligns the incentives of our employees with the interests of our shareholders; enhance our culture through efforts aimed at making the workplace engaging and inclusive; and retain and develop talent that embody our core values.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w:t>
      </w:r>
    </w:p>
    <w:p>
      <w:pPr>
        <w:spacing w:after="0" w:line="229" w:lineRule="exact"/>
        <w:rPr>
          <w:sz w:val="20"/>
          <w:szCs w:val="20"/>
          <w:color w:val="auto"/>
        </w:rPr>
      </w:pPr>
    </w:p>
    <w:p>
      <w:pPr>
        <w:ind w:right="20" w:firstLine="584"/>
        <w:spacing w:after="0" w:line="258" w:lineRule="auto"/>
        <w:rPr>
          <w:sz w:val="20"/>
          <w:szCs w:val="20"/>
          <w:color w:val="auto"/>
        </w:rPr>
      </w:pPr>
      <w:r>
        <w:rPr>
          <w:rFonts w:ascii="Times New Roman" w:cs="Times New Roman" w:eastAsia="Times New Roman" w:hAnsi="Times New Roman"/>
          <w:sz w:val="18"/>
          <w:szCs w:val="18"/>
          <w:color w:val="auto"/>
        </w:rPr>
        <w:t>Our employees represent a broad set of backgrounds, perspectives and experiences. We attribute a significant aspect of our early growth and success to the diversity that our employees bring with them to their professional roles. We view our culture, which includes a commitment to diversity, equity and inclusion, as the foundation upon which we are building a leading synthetic lethality business that strives to make advances in oncology care, all with the objective of benefiting patients. We are focused on building a work environment in which employees can express themselves and have a voice in how we operate.</w:t>
      </w:r>
    </w:p>
    <w:p>
      <w:pPr>
        <w:spacing w:after="0" w:line="183"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Our commitment to diversity, equity, inclusion, and belonging is an integral part of our corporate culture, embedded within our overall operational framework. We view diversity through a broad lens that encompasses cultural, ethnic, gender, sexual orientation, experiences, world views, and backgrounds, with the goal of fostering a truly inclusive environment. Our recruiting program also aims to ensure that our workforce reflects a wide range of experiences, backgrounds and perspectives. We regularly highlight our employees' diverse backgrounds, experiences, and traditions through in-office events, ensuring that inclusiveness is a daily practice. Our inclusive environment is further supported by multiple forums that encourage employees to share their opinions, including engagement surveys and Tips for Tango (an initiative that was instituted to allow employees to submit suggestions to improve any aspect of our work environment, work processes or culture). Utilizing insights from these activities, we are committed to fostering a workplace where inclusiveness and belonging are foundational.</w:t>
      </w:r>
    </w:p>
    <w:p>
      <w:pPr>
        <w:spacing w:after="0" w:line="192" w:lineRule="exact"/>
        <w:rPr>
          <w:sz w:val="20"/>
          <w:szCs w:val="20"/>
          <w:color w:val="auto"/>
        </w:rPr>
      </w:pPr>
    </w:p>
    <w:p>
      <w:pPr>
        <w:jc w:val="both"/>
        <w:ind w:right="360" w:firstLine="584"/>
        <w:spacing w:after="0" w:line="266" w:lineRule="auto"/>
        <w:rPr>
          <w:sz w:val="20"/>
          <w:szCs w:val="20"/>
          <w:color w:val="auto"/>
        </w:rPr>
      </w:pPr>
      <w:r>
        <w:rPr>
          <w:rFonts w:ascii="Times New Roman" w:cs="Times New Roman" w:eastAsia="Times New Roman" w:hAnsi="Times New Roman"/>
          <w:sz w:val="18"/>
          <w:szCs w:val="18"/>
          <w:color w:val="auto"/>
        </w:rPr>
        <w:t>Further, the Nominating and Corporate Governance Committee charter sets forth specific guidelines that the Committee will use in evaluating future individuals for nomination to the Board of Directors. Among the identified factors the Committee is to consider in nominating a candidate is the diversity of a candidate. The Board recognizes that diversity plays an important role in its functioning and operations.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These and similar programs are important to develop a sense of belonging for all employees and for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229" w:lineRule="exact"/>
        <w:rPr>
          <w:sz w:val="20"/>
          <w:szCs w:val="20"/>
          <w:color w:val="auto"/>
        </w:rPr>
      </w:pPr>
    </w:p>
    <w:p>
      <w:pPr>
        <w:ind w:right="60" w:firstLine="584"/>
        <w:spacing w:after="0" w:line="277" w:lineRule="auto"/>
        <w:rPr>
          <w:sz w:val="20"/>
          <w:szCs w:val="20"/>
          <w:color w:val="auto"/>
        </w:rPr>
      </w:pPr>
      <w:r>
        <w:rPr>
          <w:rFonts w:ascii="Times New Roman" w:cs="Times New Roman" w:eastAsia="Times New Roman" w:hAnsi="Times New Roman"/>
          <w:sz w:val="17"/>
          <w:szCs w:val="17"/>
          <w:color w:val="auto"/>
        </w:rPr>
        <w:t>We survey our employees on an annual basis to assess the overall engagement of our workforce, and compare our engagement results against prior year results, as well as a set of benchmark companies in the biotech sector and of similar size (as measured by number of employees). We compare both our internal and comparative results to assess our employee engagement performance during the preceding year and to determine areas of focus going forward. We leverage an engagement task force that consists of employees from each of our functional business areas, with the oversight of a member of the management team, to obtain detailed feedback on the survey results and to generate and implement proposals to improve the employee experience.</w:t>
      </w:r>
    </w:p>
    <w:p>
      <w:pPr>
        <w:spacing w:after="0" w:line="168" w:lineRule="exact"/>
        <w:rPr>
          <w:sz w:val="20"/>
          <w:szCs w:val="20"/>
          <w:color w:val="auto"/>
        </w:rPr>
      </w:pPr>
    </w:p>
    <w:p>
      <w:pPr>
        <w:ind w:right="100" w:firstLine="584"/>
        <w:spacing w:after="0" w:line="261" w:lineRule="auto"/>
        <w:rPr>
          <w:sz w:val="20"/>
          <w:szCs w:val="20"/>
          <w:color w:val="auto"/>
        </w:rPr>
      </w:pPr>
      <w:r>
        <w:rPr>
          <w:rFonts w:ascii="Times New Roman" w:cs="Times New Roman" w:eastAsia="Times New Roman" w:hAnsi="Times New Roman"/>
          <w:sz w:val="18"/>
          <w:szCs w:val="18"/>
          <w:color w:val="auto"/>
        </w:rPr>
        <w:t>We implemented a number of initiatives in response to employee feedback from the 2024 engagement survey, including: (i) completing follow-up focus groups and a targeted survey to better understand associates’ comfort with speaking up and to identify opportunities to strengthen openness and dialogue; (ii) establishing a standardized process to increase transparency around associate departures; and (iii) implementing a clearly defined and equitable promotions process, which was communicated company-wide in October 2025.</w:t>
      </w:r>
    </w:p>
    <w:p>
      <w:pPr>
        <w:spacing w:after="0" w:line="180" w:lineRule="exact"/>
        <w:rPr>
          <w:sz w:val="20"/>
          <w:szCs w:val="20"/>
          <w:color w:val="auto"/>
        </w:rPr>
      </w:pPr>
    </w:p>
    <w:p>
      <w:pPr>
        <w:ind w:right="40" w:firstLine="584"/>
        <w:spacing w:after="0" w:line="261" w:lineRule="auto"/>
        <w:rPr>
          <w:sz w:val="20"/>
          <w:szCs w:val="20"/>
          <w:color w:val="auto"/>
        </w:rPr>
      </w:pPr>
      <w:r>
        <w:rPr>
          <w:rFonts w:ascii="Times New Roman" w:cs="Times New Roman" w:eastAsia="Times New Roman" w:hAnsi="Times New Roman"/>
          <w:sz w:val="18"/>
          <w:szCs w:val="18"/>
          <w:color w:val="auto"/>
        </w:rPr>
        <w:t>In our most recent engagement survey, conducted in 2025, results continued to be generally higher than our benchmark dataset, supporting our view that overall employee engagement remains strong. The survey also highlighted areas of strength, including managers’ demonstrated care for associate well-being, associates’ understanding of how their work contributes to Company goals, and the Company’s commitment to social responsibility, including community support and sustainability.</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7" w:name="page38"/>
    <w:bookmarkEnd w:id="37"/>
    <w:p>
      <w:pPr>
        <w:ind w:firstLine="584"/>
        <w:spacing w:after="0" w:line="258" w:lineRule="auto"/>
        <w:rPr>
          <w:sz w:val="20"/>
          <w:szCs w:val="20"/>
          <w:color w:val="auto"/>
        </w:rPr>
      </w:pPr>
      <w:r>
        <w:rPr>
          <w:rFonts w:ascii="Times New Roman" w:cs="Times New Roman" w:eastAsia="Times New Roman" w:hAnsi="Times New Roman"/>
          <w:sz w:val="18"/>
          <w:szCs w:val="18"/>
          <w:color w:val="auto"/>
        </w:rPr>
        <w:t>As is the case with every survey, we also used the data to identify areas where we want to focus our efforts for improvement, including letting associates know that their feedback is encouraged and will not be viewed negatively. As we did in 2024, we will take these 2025 results and enable actions that will further improve our engagement. We also conduct regular townhall meetings with our employees that are intended to keep our employees updated on important corporate initiatives and to obtain input from employees on these initiatives. We also use periodic employee surveys so we can quickly obtain employee feedback on new programs or policies that are under consideration.</w:t>
      </w:r>
    </w:p>
    <w:p>
      <w:pPr>
        <w:spacing w:after="0" w:line="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9"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and uncertainties described below, together with all other information in this Annual Report on Form 10-K, including our financial statements and the related notes and the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The material and other risks and uncertainties summarized above (See "Summary of Material Risks Associated with Our Business") and described below are not intended to be exhaustive and are not the only ones we face. Additional risks and uncertainties not presently known to us or that we currently deem immaterial may also impair our business operations. This Annual Report on Form 10-K also contains forward-looking statements that involve risks and uncertainties. Our actual results could differ materially from those anticipated in the forward-looking statements as a result of a number of factors, including the risks described below. See also the section titled “Note Regarding Forward-Looking Statements” above.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precision oncology company with a limited operating history.</w:t>
      </w:r>
    </w:p>
    <w:p>
      <w:pPr>
        <w:spacing w:after="0" w:line="121"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We are a precision oncology company with a limited operating history. Biopharmaceutical product development is a highly speculative undertaking and involves a substantial degree of risk. Since the Company's inception, we have devoted substantially all of our efforts to organizing and staffing our company, acquiring and developing intellectual property, business planning, raising capital, conducting discovery, research and development activities (including conducting clinical trials), and providing general and administrative support for these operations. We have no products approved for commercial sale and therefore have never generated any revenue from product sales, and we do not expect to in the foreseeable future. The revenue that we have generated from our collaboration agreement is also not sufficient to fund our operations. We have not obtained regulatory approvals to market and sell any of our product candidates, and there is no assurance that we will obtain approvals in the future. The FDA has cleared five of our IND applications (TNG908, vopimetostat, TNG260, TNG348 and TNG456); however, we have since discontinued development of TNG908 and TNG348. Our other product candidates are still in preclinical development. We expect to continue to incur significant expenses and operating losses over the next several years and for the foreseeable future. Our prior losses, combined with expected future losses, have had and will continue to have an adverse effect on cash and cash equivalent holdings, accumulated deficit, stockholders’ equity and working capital. If we were to expend our cash resources more quickly than we anticipate as we advance into and through the regulatory approval process for our product candidates, our cash runway may be shorter than the target we may disclose from time to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our inception and anticipate that we will continue to incur losses for the foreseeable future.</w:t>
      </w:r>
    </w:p>
    <w:p>
      <w:pPr>
        <w:spacing w:after="0" w:line="121" w:lineRule="exact"/>
        <w:rPr>
          <w:sz w:val="20"/>
          <w:szCs w:val="20"/>
          <w:color w:val="auto"/>
        </w:rPr>
      </w:pPr>
    </w:p>
    <w:p>
      <w:pPr>
        <w:ind w:right="140" w:firstLine="576"/>
        <w:spacing w:after="0" w:line="254"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As of December 31, 2025, we had an accumulated deficit of $603.2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in connection with the continuation of clinical trials of our product candidates. In addition, if we obtain regulatory approval for our product candidates, we will incur significant sales, marketing and manufacturing expenses.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our operating results to fluctuate significantly in the future as our business advances</w:t>
      </w:r>
    </w:p>
    <w:p>
      <w:pPr>
        <w:spacing w:after="0" w:line="121" w:lineRule="exact"/>
        <w:rPr>
          <w:sz w:val="20"/>
          <w:szCs w:val="20"/>
          <w:color w:val="auto"/>
        </w:rPr>
      </w:pPr>
    </w:p>
    <w:p>
      <w:pPr>
        <w:ind w:right="140" w:firstLine="576"/>
        <w:spacing w:after="0" w:line="261" w:lineRule="auto"/>
        <w:rPr>
          <w:sz w:val="20"/>
          <w:szCs w:val="20"/>
          <w:color w:val="auto"/>
        </w:rPr>
      </w:pPr>
      <w:r>
        <w:rPr>
          <w:rFonts w:ascii="Times New Roman" w:cs="Times New Roman" w:eastAsia="Times New Roman" w:hAnsi="Times New Roman"/>
          <w:sz w:val="18"/>
          <w:szCs w:val="18"/>
          <w:color w:val="auto"/>
        </w:rPr>
        <w:t>The amount of our future losses is uncertain and our quarterly and annual operating results may fluctuate significantly or may fall below the expectations of investors or securities analysts, each of which may cause our stock price to fluctuate or decline. Our quarterly and annual operating results may fluctuate significantly in the future due to a variety of factors, many of which are outside of our control and may be difficult to predict, including the following:</w:t>
      </w:r>
    </w:p>
    <w:p>
      <w:pPr>
        <w:spacing w:after="0" w:line="72" w:lineRule="exact"/>
        <w:rPr>
          <w:sz w:val="20"/>
          <w:szCs w:val="20"/>
          <w:color w:val="auto"/>
        </w:rPr>
      </w:pPr>
    </w:p>
    <w:p>
      <w:pPr>
        <w:jc w:val="both"/>
        <w:ind w:left="760" w:right="20" w:firstLine="230"/>
        <w:spacing w:after="0" w:line="266" w:lineRule="auto"/>
        <w:rPr>
          <w:sz w:val="20"/>
          <w:szCs w:val="20"/>
          <w:color w:val="auto"/>
        </w:rPr>
      </w:pPr>
      <w:r>
        <w:rPr>
          <w:rFonts w:ascii="Times New Roman" w:cs="Times New Roman" w:eastAsia="Times New Roman" w:hAnsi="Times New Roman"/>
          <w:sz w:val="18"/>
          <w:szCs w:val="18"/>
          <w:color w:val="auto"/>
        </w:rPr>
        <w:t>the timing and success or failure of ongoing and future clinical trials for our product candidates or competing product candidates, or any other change in the competitive landscape of our industry, including consolidation among our competitors or partners (such as the acquisition of Mirati by Bristol Myers Squibb in January 2024);</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9" w:name="page40"/>
    <w:bookmarkEnd w:id="39"/>
    <w:p>
      <w:pPr>
        <w:ind w:left="760" w:right="160" w:firstLine="230"/>
        <w:spacing w:after="0" w:line="282" w:lineRule="auto"/>
        <w:rPr>
          <w:sz w:val="20"/>
          <w:szCs w:val="20"/>
          <w:color w:val="auto"/>
        </w:rPr>
      </w:pPr>
      <w:r>
        <w:rPr>
          <w:rFonts w:ascii="Times New Roman" w:cs="Times New Roman" w:eastAsia="Times New Roman" w:hAnsi="Times New Roman"/>
          <w:sz w:val="18"/>
          <w:szCs w:val="18"/>
          <w:color w:val="auto"/>
        </w:rPr>
        <w:t>our ability to obtain INDs for our pipeline product candidates, successfully open clinical trial sites and recruit and retain subjects for clinical trials (including combination trials), and any delays caused by difficulties in connection with such efforts;</w:t>
      </w:r>
    </w:p>
    <w:p>
      <w:pPr>
        <w:spacing w:after="0" w:line="53" w:lineRule="exact"/>
        <w:rPr>
          <w:sz w:val="20"/>
          <w:szCs w:val="20"/>
          <w:color w:val="auto"/>
        </w:rPr>
      </w:pPr>
    </w:p>
    <w:p>
      <w:pPr>
        <w:ind w:left="760" w:right="60" w:firstLine="230"/>
        <w:spacing w:after="0" w:line="282" w:lineRule="auto"/>
        <w:rPr>
          <w:sz w:val="20"/>
          <w:szCs w:val="20"/>
          <w:color w:val="auto"/>
        </w:rPr>
      </w:pPr>
      <w:r>
        <w:rPr>
          <w:rFonts w:ascii="Times New Roman" w:cs="Times New Roman" w:eastAsia="Times New Roman" w:hAnsi="Times New Roman"/>
          <w:sz w:val="18"/>
          <w:szCs w:val="18"/>
          <w:color w:val="auto"/>
        </w:rPr>
        <w:t>our ability to obtain regulatory approval for the marketing and sale of our product candidates, and the timing and scope of any such approvals we may receive;</w:t>
      </w:r>
    </w:p>
    <w:p>
      <w:pPr>
        <w:spacing w:after="0" w:line="53" w:lineRule="exact"/>
        <w:rPr>
          <w:sz w:val="20"/>
          <w:szCs w:val="20"/>
          <w:color w:val="auto"/>
        </w:rPr>
      </w:pPr>
    </w:p>
    <w:p>
      <w:pPr>
        <w:ind w:left="760" w:right="520" w:firstLine="230"/>
        <w:spacing w:after="0" w:line="282" w:lineRule="auto"/>
        <w:rPr>
          <w:sz w:val="20"/>
          <w:szCs w:val="20"/>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product candidates and any future product candidates and research-stage programs, any of which may change from time to time;</w:t>
      </w:r>
    </w:p>
    <w:p>
      <w:pPr>
        <w:spacing w:after="0" w:line="53" w:lineRule="exact"/>
        <w:rPr>
          <w:sz w:val="20"/>
          <w:szCs w:val="20"/>
          <w:color w:val="auto"/>
        </w:rPr>
      </w:pPr>
    </w:p>
    <w:p>
      <w:pPr>
        <w:ind w:left="760" w:right="60" w:firstLine="230"/>
        <w:spacing w:after="0" w:line="282" w:lineRule="auto"/>
        <w:rPr>
          <w:sz w:val="20"/>
          <w:szCs w:val="20"/>
          <w:color w:val="auto"/>
        </w:rPr>
      </w:pPr>
      <w:r>
        <w:rPr>
          <w:rFonts w:ascii="Times New Roman" w:cs="Times New Roman" w:eastAsia="Times New Roman" w:hAnsi="Times New Roman"/>
          <w:sz w:val="18"/>
          <w:szCs w:val="18"/>
          <w:color w:val="auto"/>
        </w:rPr>
        <w:t>the cost of manufacturing our product candidates and products (should they receive regulatory approval), which may vary depending on FDA and other comparable foreign regulatory requirements, the quantity of production and the terms of our agreements with manufacturers;</w:t>
      </w:r>
    </w:p>
    <w:p>
      <w:pPr>
        <w:spacing w:after="0" w:line="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expenditures that we will or may incur to identify, research and develop additional product candidates;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level of demand for our product candidates (should they receive regulatory approval), which may vary significantly from our expectations;</w:t>
      </w:r>
    </w:p>
    <w:p>
      <w:pPr>
        <w:spacing w:after="0" w:line="117" w:lineRule="exact"/>
        <w:rPr>
          <w:sz w:val="20"/>
          <w:szCs w:val="20"/>
          <w:color w:val="auto"/>
        </w:rPr>
      </w:pPr>
    </w:p>
    <w:p>
      <w:pPr>
        <w:ind w:left="760" w:right="120" w:firstLine="230"/>
        <w:spacing w:after="0" w:line="282" w:lineRule="auto"/>
        <w:rPr>
          <w:sz w:val="20"/>
          <w:szCs w:val="20"/>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53" w:lineRule="exact"/>
        <w:rPr>
          <w:sz w:val="20"/>
          <w:szCs w:val="20"/>
          <w:color w:val="auto"/>
        </w:rPr>
      </w:pPr>
    </w:p>
    <w:p>
      <w:pPr>
        <w:ind w:left="760" w:right="580" w:firstLine="230"/>
        <w:spacing w:after="0" w:line="282" w:lineRule="auto"/>
        <w:rPr>
          <w:sz w:val="20"/>
          <w:szCs w:val="20"/>
          <w:color w:val="auto"/>
        </w:rPr>
      </w:pPr>
      <w:r>
        <w:rPr>
          <w:rFonts w:ascii="Times New Roman" w:cs="Times New Roman" w:eastAsia="Times New Roman" w:hAnsi="Times New Roman"/>
          <w:sz w:val="18"/>
          <w:szCs w:val="18"/>
          <w:color w:val="auto"/>
        </w:rPr>
        <w:t>the changing and volatile U.S. and global economic environments, including as a result of the efforts to reduce spending on healthcare generally and pharmaceuticals in particular; and</w:t>
      </w:r>
    </w:p>
    <w:p>
      <w:pPr>
        <w:spacing w:after="0" w:line="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sz w:val="20"/>
          <w:szCs w:val="20"/>
          <w:color w:val="auto"/>
        </w:rPr>
      </w:pPr>
    </w:p>
    <w:p>
      <w:pPr>
        <w:ind w:right="180" w:firstLine="576"/>
        <w:spacing w:after="0" w:line="258" w:lineRule="auto"/>
        <w:rPr>
          <w:sz w:val="20"/>
          <w:szCs w:val="20"/>
          <w:color w:val="auto"/>
        </w:rPr>
      </w:pPr>
      <w:r>
        <w:rPr>
          <w:rFonts w:ascii="Times New Roman" w:cs="Times New Roman" w:eastAsia="Times New Roman" w:hAnsi="Times New Roman"/>
          <w:sz w:val="18"/>
          <w:szCs w:val="18"/>
          <w:color w:val="auto"/>
        </w:rPr>
        <w:t>As a result, comparing our operating results on a period-to-period basis may not be meaningful. This variability and unpredictability could also result in our failing to meet the expectations of industry or financial analysts or investors for any period. If our clinical data, revenue or operating results fail to meet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financial or operational guidance we may provide.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products approved for commercial sale and have not generated any revenue from product sales.</w:t>
      </w:r>
    </w:p>
    <w:p>
      <w:pPr>
        <w:spacing w:after="0" w:line="121" w:lineRule="exact"/>
        <w:rPr>
          <w:sz w:val="20"/>
          <w:szCs w:val="20"/>
          <w:color w:val="auto"/>
        </w:rPr>
      </w:pPr>
    </w:p>
    <w:p>
      <w:pPr>
        <w:ind w:right="60" w:firstLine="576"/>
        <w:spacing w:after="0" w:line="266"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any revenue from product sales, and we do not expect to generate any revenue from the sale of products in the near future. Our ability to generate revenue depends on a number of factors, including, but not limited to, our ability to:</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successfully complete our planned preclinical studies for our novel precision oncology research and development programs;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timely file INDs for our programs, and obtain clearance of these INDs to allow for commencement of such future clinical trials;</w:t>
      </w:r>
    </w:p>
    <w:p>
      <w:pPr>
        <w:spacing w:after="0" w:line="117" w:lineRule="exact"/>
        <w:rPr>
          <w:sz w:val="20"/>
          <w:szCs w:val="20"/>
          <w:color w:val="auto"/>
        </w:rPr>
      </w:pPr>
    </w:p>
    <w:p>
      <w:pPr>
        <w:ind w:left="760" w:firstLine="230"/>
        <w:spacing w:after="0" w:line="282" w:lineRule="auto"/>
        <w:rPr>
          <w:sz w:val="20"/>
          <w:szCs w:val="20"/>
          <w:color w:val="auto"/>
        </w:rPr>
      </w:pPr>
      <w:r>
        <w:rPr>
          <w:rFonts w:ascii="Times New Roman" w:cs="Times New Roman" w:eastAsia="Times New Roman" w:hAnsi="Times New Roman"/>
          <w:sz w:val="18"/>
          <w:szCs w:val="18"/>
          <w:color w:val="auto"/>
        </w:rPr>
        <w:t>timely complete patient enrollment and patient dosing in our current and future clinical trials (including our current trials of vopimetostat (as a monotherapy and in combination), TNG456 (as a monotherapy and in combination), and TNG260;</w:t>
      </w:r>
    </w:p>
    <w:p>
      <w:pPr>
        <w:spacing w:after="0" w:line="53" w:lineRule="exact"/>
        <w:rPr>
          <w:sz w:val="20"/>
          <w:szCs w:val="20"/>
          <w:color w:val="auto"/>
        </w:rPr>
      </w:pPr>
    </w:p>
    <w:p>
      <w:pPr>
        <w:ind w:left="760" w:right="240" w:firstLine="230"/>
        <w:spacing w:after="0" w:line="282" w:lineRule="auto"/>
        <w:rPr>
          <w:sz w:val="20"/>
          <w:szCs w:val="20"/>
          <w:color w:val="auto"/>
        </w:rPr>
      </w:pPr>
      <w:r>
        <w:rPr>
          <w:rFonts w:ascii="Times New Roman" w:cs="Times New Roman" w:eastAsia="Times New Roman" w:hAnsi="Times New Roman"/>
          <w:sz w:val="18"/>
          <w:szCs w:val="18"/>
          <w:color w:val="auto"/>
        </w:rPr>
        <w:t>successfully complete our ongoing clinical trials and any future clinical trials we may initiate (including, in each case, combination clinical trials);</w:t>
      </w:r>
    </w:p>
    <w:p>
      <w:pPr>
        <w:spacing w:after="0" w:line="53" w:lineRule="exact"/>
        <w:rPr>
          <w:sz w:val="20"/>
          <w:szCs w:val="20"/>
          <w:color w:val="auto"/>
        </w:rPr>
      </w:pPr>
    </w:p>
    <w:p>
      <w:pPr>
        <w:ind w:left="760" w:right="180" w:firstLine="230"/>
        <w:spacing w:after="0" w:line="282" w:lineRule="auto"/>
        <w:rPr>
          <w:sz w:val="20"/>
          <w:szCs w:val="20"/>
          <w:color w:val="auto"/>
        </w:rPr>
      </w:pPr>
      <w:r>
        <w:rPr>
          <w:rFonts w:ascii="Times New Roman" w:cs="Times New Roman" w:eastAsia="Times New Roman" w:hAnsi="Times New Roman"/>
          <w:sz w:val="18"/>
          <w:szCs w:val="18"/>
          <w:color w:val="auto"/>
        </w:rPr>
        <w:t>successfully enroll the patients with specific cancers and prior treatment that are the focus of our clinical trials, such as patients with limited prior treatment lines in pancreatic and lung cancer for our ongoing monotherapy and combination trials for vopimetostat;</w:t>
      </w:r>
    </w:p>
    <w:p>
      <w:pPr>
        <w:spacing w:after="0" w:line="53" w:lineRule="exact"/>
        <w:rPr>
          <w:sz w:val="20"/>
          <w:szCs w:val="20"/>
          <w:color w:val="auto"/>
        </w:rPr>
      </w:pPr>
    </w:p>
    <w:p>
      <w:pPr>
        <w:ind w:left="760" w:right="300" w:firstLine="230"/>
        <w:spacing w:after="0" w:line="282" w:lineRule="auto"/>
        <w:rPr>
          <w:sz w:val="20"/>
          <w:szCs w:val="20"/>
          <w:color w:val="auto"/>
        </w:rPr>
      </w:pPr>
      <w:r>
        <w:rPr>
          <w:rFonts w:ascii="Times New Roman" w:cs="Times New Roman" w:eastAsia="Times New Roman" w:hAnsi="Times New Roman"/>
          <w:sz w:val="18"/>
          <w:szCs w:val="18"/>
          <w:color w:val="auto"/>
        </w:rPr>
        <w:t>initiate and successfully complete all safety and efficacy studies required to obtain U.S. and foreign regulatory approval for the sale of our product candidates and obtain approval of our products by regulatory authorities;</w:t>
      </w:r>
    </w:p>
    <w:p>
      <w:pPr>
        <w:spacing w:after="0" w:line="53" w:lineRule="exact"/>
        <w:rPr>
          <w:sz w:val="20"/>
          <w:szCs w:val="20"/>
          <w:color w:val="auto"/>
        </w:rPr>
      </w:pPr>
    </w:p>
    <w:p>
      <w:pPr>
        <w:ind w:left="980" w:right="1920"/>
        <w:spacing w:after="0" w:line="375" w:lineRule="auto"/>
        <w:rPr>
          <w:sz w:val="20"/>
          <w:szCs w:val="20"/>
          <w:color w:val="auto"/>
        </w:rPr>
      </w:pPr>
      <w:r>
        <w:rPr>
          <w:rFonts w:ascii="Times New Roman" w:cs="Times New Roman" w:eastAsia="Times New Roman" w:hAnsi="Times New Roman"/>
          <w:sz w:val="18"/>
          <w:szCs w:val="18"/>
          <w:color w:val="auto"/>
        </w:rPr>
        <w:t>make and maintain arrangements with third-party manufacturers for clinical supply and commercial manufacturing; obtain and maintain patent and/or trade secret protection or regulatory exclusivity for our product candidates;</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launch commercial sales of our products, if and when approved, whether alone or in collaboration with others;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ind w:left="760" w:right="380" w:firstLine="230"/>
        <w:spacing w:after="0" w:line="282" w:lineRule="auto"/>
        <w:rPr>
          <w:sz w:val="20"/>
          <w:szCs w:val="20"/>
          <w:color w:val="auto"/>
        </w:rPr>
      </w:pPr>
      <w:r>
        <w:rPr>
          <w:rFonts w:ascii="Times New Roman" w:cs="Times New Roman" w:eastAsia="Times New Roman" w:hAnsi="Times New Roman"/>
          <w:sz w:val="18"/>
          <w:szCs w:val="18"/>
          <w:color w:val="auto"/>
        </w:rPr>
        <w:t>obtain and maintain acceptance of our products, if and when approved for marketing, by patients, the medical community and third-party payors;</w:t>
      </w:r>
    </w:p>
    <w:p>
      <w:pPr>
        <w:spacing w:after="0" w:line="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position our products to effectively compete with other therapies;</w:t>
      </w:r>
    </w:p>
    <w:p>
      <w:pPr>
        <w:spacing w:after="0" w:line="117" w:lineRule="exact"/>
        <w:rPr>
          <w:sz w:val="20"/>
          <w:szCs w:val="20"/>
          <w:color w:val="auto"/>
        </w:rPr>
      </w:pPr>
    </w:p>
    <w:p>
      <w:pPr>
        <w:ind w:left="980" w:right="520"/>
        <w:spacing w:after="0" w:line="375" w:lineRule="auto"/>
        <w:rPr>
          <w:sz w:val="20"/>
          <w:szCs w:val="20"/>
          <w:color w:val="auto"/>
        </w:rPr>
      </w:pPr>
      <w:r>
        <w:rPr>
          <w:rFonts w:ascii="Times New Roman" w:cs="Times New Roman" w:eastAsia="Times New Roman" w:hAnsi="Times New Roman"/>
          <w:sz w:val="18"/>
          <w:szCs w:val="18"/>
          <w:color w:val="auto"/>
        </w:rPr>
        <w:t>obtain and maintain healthcare coverage and adequate reimbursement for our products, if and when approved by regulatory authorities; enforce and defend intellectual property rights and claims; and</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maintain a continued acceptable safety profile of our products following approval.</w:t>
      </w:r>
    </w:p>
    <w:p>
      <w:pPr>
        <w:spacing w:after="0" w:line="22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51"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The development of pharmaceutical products is capital-intensive. We are currently advancing our precision oncology programs through clinical and preclinical development. We are enrolling patients in multiple Phase 1/2 clinical trials, each of which is evaluating safety and efficacy in multiple indications. We expect our expenses to significantly increase as we continue to advance and complete clinical trials (including multiple combination clinical trials and our pivotal trial), and seek regulatory approval for, our product candidates, including in combination with other therapeutics. Further, we continue our research efforts to identify and advance additional precision oncology compounds that may benefit patients. Even though we have successfully raised capital in the past, including most recently by raising $225.0 million in aggregate gross proceeds from the underwritten offering and concurrent private placement of common shares and pre-funded warrants to purchase common shares in October 2025 and proceeds of $62.1 million from our "at the market" stock offering program during the first quarter of 2026, and through March 2, 2026, we will still be required to raise substantial additional funding in the future in order to continue to fund our operations and advance our clinical trial programs.</w:t>
      </w:r>
    </w:p>
    <w:p>
      <w:pPr>
        <w:spacing w:after="0" w:line="188"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In addition,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we presently anticipate. Furthermore, we have, and will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87" w:lineRule="exact"/>
        <w:rPr>
          <w:sz w:val="20"/>
          <w:szCs w:val="20"/>
          <w:color w:val="auto"/>
        </w:rPr>
      </w:pPr>
    </w:p>
    <w:p>
      <w:pPr>
        <w:jc w:val="both"/>
        <w:ind w:right="20" w:firstLine="584"/>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on hand as of December 31, 2025 will enable us to fund our operating expenses and capital expenditure requirements at least into 2028. However, our future capital requirements will depend on and could increase significantly as a result of many factors, including:</w:t>
      </w:r>
    </w:p>
    <w:p>
      <w:pPr>
        <w:spacing w:after="0" w:line="176" w:lineRule="exact"/>
        <w:rPr>
          <w:sz w:val="20"/>
          <w:szCs w:val="20"/>
          <w:color w:val="auto"/>
        </w:rPr>
      </w:pPr>
    </w:p>
    <w:p>
      <w:pPr>
        <w:ind w:left="760" w:right="60" w:firstLine="230"/>
        <w:spacing w:after="0" w:line="282" w:lineRule="auto"/>
        <w:rPr>
          <w:sz w:val="20"/>
          <w:szCs w:val="20"/>
          <w:color w:val="auto"/>
        </w:rPr>
      </w:pPr>
      <w:r>
        <w:rPr>
          <w:rFonts w:ascii="Times New Roman" w:cs="Times New Roman" w:eastAsia="Times New Roman" w:hAnsi="Times New Roman"/>
          <w:sz w:val="18"/>
          <w:szCs w:val="18"/>
          <w:color w:val="auto"/>
        </w:rPr>
        <w:t>the scope, progress, results and costs of product discovery, preclinical and clinical development, and clinical trials for our product candidates, including recruiting patients for and conducting multiple planned clinical trials;</w:t>
      </w:r>
    </w:p>
    <w:p>
      <w:pPr>
        <w:spacing w:after="0" w:line="53" w:lineRule="exact"/>
        <w:rPr>
          <w:sz w:val="20"/>
          <w:szCs w:val="20"/>
          <w:color w:val="auto"/>
        </w:rPr>
      </w:pPr>
    </w:p>
    <w:p>
      <w:pPr>
        <w:ind w:left="760" w:right="20" w:firstLine="230"/>
        <w:spacing w:after="0" w:line="282" w:lineRule="auto"/>
        <w:rPr>
          <w:sz w:val="20"/>
          <w:szCs w:val="20"/>
          <w:color w:val="auto"/>
        </w:rPr>
      </w:pPr>
      <w:r>
        <w:rPr>
          <w:rFonts w:ascii="Times New Roman" w:cs="Times New Roman" w:eastAsia="Times New Roman" w:hAnsi="Times New Roman"/>
          <w:sz w:val="18"/>
          <w:szCs w:val="18"/>
          <w:color w:val="auto"/>
        </w:rPr>
        <w:t>the potential additional expenses attributable to adjusting our development plans if needed (including any supply-related matters or changes to clinical trial protocols);</w:t>
      </w:r>
    </w:p>
    <w:p>
      <w:pPr>
        <w:spacing w:after="0" w:line="53" w:lineRule="exact"/>
        <w:rPr>
          <w:sz w:val="20"/>
          <w:szCs w:val="20"/>
          <w:color w:val="auto"/>
        </w:rPr>
      </w:pPr>
    </w:p>
    <w:p>
      <w:pPr>
        <w:ind w:left="980" w:right="4480"/>
        <w:spacing w:after="0" w:line="397" w:lineRule="auto"/>
        <w:rPr>
          <w:sz w:val="20"/>
          <w:szCs w:val="20"/>
          <w:color w:val="auto"/>
        </w:rPr>
      </w:pPr>
      <w:r>
        <w:rPr>
          <w:rFonts w:ascii="Times New Roman" w:cs="Times New Roman" w:eastAsia="Times New Roman" w:hAnsi="Times New Roman"/>
          <w:sz w:val="17"/>
          <w:szCs w:val="17"/>
          <w:color w:val="auto"/>
        </w:rPr>
        <w:t>the scope, prioritization and number of our research and development programs; the costs, timing and outcome of regulatory review of our product candidates;</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117" w:lineRule="exact"/>
        <w:rPr>
          <w:sz w:val="20"/>
          <w:szCs w:val="20"/>
          <w:color w:val="auto"/>
        </w:rPr>
      </w:pPr>
    </w:p>
    <w:p>
      <w:pPr>
        <w:ind w:left="760" w:right="100" w:firstLine="230"/>
        <w:spacing w:after="0" w:line="282" w:lineRule="auto"/>
        <w:rPr>
          <w:sz w:val="20"/>
          <w:szCs w:val="20"/>
          <w:color w:val="auto"/>
        </w:rPr>
      </w:pPr>
      <w:r>
        <w:rPr>
          <w:rFonts w:ascii="Times New Roman" w:cs="Times New Roman" w:eastAsia="Times New Roman" w:hAnsi="Times New Roman"/>
          <w:sz w:val="18"/>
          <w:szCs w:val="18"/>
          <w:color w:val="auto"/>
        </w:rPr>
        <w:t>the achievement of milestones or occurrence of other developments that trigger payments under our existing collaboration agreements or any additional collaboration agreements we may establish;</w:t>
      </w:r>
    </w:p>
    <w:p>
      <w:pPr>
        <w:spacing w:after="0" w:line="53" w:lineRule="exact"/>
        <w:rPr>
          <w:sz w:val="20"/>
          <w:szCs w:val="20"/>
          <w:color w:val="auto"/>
        </w:rPr>
      </w:pPr>
    </w:p>
    <w:p>
      <w:pPr>
        <w:ind w:left="760" w:right="340" w:firstLine="230"/>
        <w:spacing w:after="0" w:line="282" w:lineRule="auto"/>
        <w:rPr>
          <w:sz w:val="20"/>
          <w:szCs w:val="20"/>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timing of the release of initial, interim, or final clinical trial data for our current or future clinical trials;</w:t>
      </w:r>
    </w:p>
    <w:p>
      <w:pPr>
        <w:spacing w:after="0" w:line="117" w:lineRule="exact"/>
        <w:rPr>
          <w:sz w:val="20"/>
          <w:szCs w:val="20"/>
          <w:color w:val="auto"/>
        </w:rPr>
      </w:pPr>
    </w:p>
    <w:p>
      <w:pPr>
        <w:ind w:left="980" w:right="1700"/>
        <w:spacing w:after="0" w:line="375" w:lineRule="auto"/>
        <w:rPr>
          <w:sz w:val="20"/>
          <w:szCs w:val="20"/>
          <w:color w:val="auto"/>
        </w:rPr>
      </w:pPr>
      <w:r>
        <w:rPr>
          <w:rFonts w:ascii="Times New Roman" w:cs="Times New Roman" w:eastAsia="Times New Roman" w:hAnsi="Times New Roman"/>
          <w:sz w:val="18"/>
          <w:szCs w:val="18"/>
          <w:color w:val="auto"/>
        </w:rPr>
        <w:t>the extent to which we acquire or in-license other product candidates and technologies and make payments thereunder</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the costs of securing manufacturing arrangements for clinical and commercial production;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ind w:left="760"/>
        <w:spacing w:after="0"/>
        <w:rPr>
          <w:sz w:val="20"/>
          <w:szCs w:val="20"/>
          <w:color w:val="auto"/>
        </w:rPr>
      </w:pPr>
      <w:r>
        <w:rPr>
          <w:rFonts w:ascii="Times New Roman" w:cs="Times New Roman" w:eastAsia="Times New Roman" w:hAnsi="Times New Roman"/>
          <w:sz w:val="18"/>
          <w:szCs w:val="18"/>
          <w:color w:val="auto"/>
        </w:rPr>
        <w:t>the cost of acquiring or supplying therapies to be used in combination clinical trials;</w:t>
      </w:r>
    </w:p>
    <w:p>
      <w:pPr>
        <w:spacing w:after="0" w:line="117" w:lineRule="exact"/>
        <w:rPr>
          <w:sz w:val="20"/>
          <w:szCs w:val="20"/>
          <w:color w:val="auto"/>
        </w:rPr>
      </w:pPr>
    </w:p>
    <w:p>
      <w:pPr>
        <w:ind w:left="980" w:right="620"/>
        <w:spacing w:after="0" w:line="375" w:lineRule="auto"/>
        <w:rPr>
          <w:sz w:val="20"/>
          <w:szCs w:val="20"/>
          <w:color w:val="auto"/>
        </w:rPr>
      </w:pPr>
      <w:r>
        <w:rPr>
          <w:rFonts w:ascii="Times New Roman" w:cs="Times New Roman" w:eastAsia="Times New Roman" w:hAnsi="Times New Roman"/>
          <w:sz w:val="18"/>
          <w:szCs w:val="18"/>
          <w:color w:val="auto"/>
        </w:rPr>
        <w:t>our ability to hire and retain skilled scientific and operational personnel to meet our development, clinical and commercial objectives; costs related to the development of any companion diagnostics we may use in the future; and</w:t>
      </w:r>
    </w:p>
    <w:p>
      <w:pPr>
        <w:spacing w:after="0" w:line="1" w:lineRule="exact"/>
        <w:rPr>
          <w:sz w:val="20"/>
          <w:szCs w:val="20"/>
          <w:color w:val="auto"/>
        </w:rPr>
      </w:pPr>
    </w:p>
    <w:p>
      <w:pPr>
        <w:ind w:left="760" w:right="840" w:firstLine="230"/>
        <w:spacing w:after="0" w:line="282" w:lineRule="auto"/>
        <w:rPr>
          <w:sz w:val="20"/>
          <w:szCs w:val="20"/>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approvals to market our product candidates.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commercial revenue, if any, will be derived from sales of products that we do not expect to be commercially available for many years, if at 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will need to continue to rely on additional financing and/or collaboration agreements to fund our business objectives.</w:t>
      </w:r>
    </w:p>
    <w:p>
      <w:pPr>
        <w:spacing w:after="0" w:line="207" w:lineRule="exact"/>
        <w:rPr>
          <w:sz w:val="20"/>
          <w:szCs w:val="20"/>
          <w:color w:val="auto"/>
        </w:rPr>
      </w:pPr>
    </w:p>
    <w:p>
      <w:pPr>
        <w:ind w:right="40" w:firstLine="576"/>
        <w:spacing w:after="0" w:line="266" w:lineRule="auto"/>
        <w:rPr>
          <w:sz w:val="20"/>
          <w:szCs w:val="20"/>
          <w:color w:val="auto"/>
        </w:rPr>
      </w:pPr>
      <w:r>
        <w:rPr>
          <w:rFonts w:ascii="Times New Roman" w:cs="Times New Roman" w:eastAsia="Times New Roman" w:hAnsi="Times New Roman"/>
          <w:sz w:val="18"/>
          <w:szCs w:val="18"/>
          <w:color w:val="auto"/>
        </w:rPr>
        <w:t>As a result of disruptions in the financial markets in general, and the challenges facing biopharmaceutical stock prices and market capitalizations in recent years in particular, equity and debt financing may be more difficult to obtain and may have a material adverse effect on our ability to meet our fundraising needs. We cannot guarantee that future financing will be available in sufficient amounts or on terms acceptable to us, if at all.</w:t>
      </w:r>
    </w:p>
    <w:p>
      <w:pPr>
        <w:spacing w:after="0" w:line="176" w:lineRule="exact"/>
        <w:rPr>
          <w:sz w:val="20"/>
          <w:szCs w:val="20"/>
          <w:color w:val="auto"/>
        </w:rPr>
      </w:pPr>
    </w:p>
    <w:p>
      <w:pPr>
        <w:ind w:right="80" w:firstLine="576"/>
        <w:spacing w:after="0" w:line="261"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17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one or a combination of private and public equity offerings (such as the underwritten offering and concurrent private placement of common shares and pre-funded warrants in October 2025 and sales of common stock under an "at-the-market" stock offering program in in the first quarter of 2026), debt financings, collaborations, strategic alliances and licensing arrangements.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the ownership interest of our existing common stockholders will be diluted, and the terms of those securities may include liquidation or other preferences that may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repurchase shares of our common stock,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197" w:lineRule="exact"/>
        <w:rPr>
          <w:sz w:val="20"/>
          <w:szCs w:val="20"/>
          <w:color w:val="auto"/>
        </w:rPr>
      </w:pPr>
    </w:p>
    <w:p>
      <w:pPr>
        <w:ind w:right="80" w:firstLine="576"/>
        <w:spacing w:after="0" w:line="258" w:lineRule="auto"/>
        <w:rPr>
          <w:sz w:val="20"/>
          <w:szCs w:val="20"/>
          <w:color w:val="auto"/>
        </w:rPr>
      </w:pPr>
      <w:r>
        <w:rPr>
          <w:rFonts w:ascii="Times New Roman" w:cs="Times New Roman" w:eastAsia="Times New Roman" w:hAnsi="Times New Roman"/>
          <w:sz w:val="18"/>
          <w:szCs w:val="18"/>
          <w:color w:val="auto"/>
        </w:rPr>
        <w:t>We also could be required to seek funds through arrangements with additional collaborators or otherwise at an earlier stage than otherwise would be desirable. If we raise funds through additional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our product candidates that we would otherwise prefer to develop and market ourselves, any of which may have a material adverse effect on our business, operating results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Precision Oncology and Other Programs and Product Candidates</w:t>
      </w:r>
    </w:p>
    <w:p>
      <w:pPr>
        <w:spacing w:after="0" w:line="225"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51" w:lineRule="exact"/>
        <w:rPr>
          <w:sz w:val="20"/>
          <w:szCs w:val="20"/>
          <w:color w:val="auto"/>
        </w:rPr>
      </w:pPr>
    </w:p>
    <w:p>
      <w:pPr>
        <w:ind w:right="320" w:firstLine="576"/>
        <w:spacing w:after="0" w:line="261" w:lineRule="auto"/>
        <w:rPr>
          <w:sz w:val="20"/>
          <w:szCs w:val="20"/>
          <w:color w:val="auto"/>
        </w:rPr>
      </w:pPr>
      <w:r>
        <w:rPr>
          <w:rFonts w:ascii="Times New Roman" w:cs="Times New Roman" w:eastAsia="Times New Roman" w:hAnsi="Times New Roman"/>
          <w:sz w:val="18"/>
          <w:szCs w:val="18"/>
          <w:color w:val="auto"/>
        </w:rPr>
        <w:t>We have not yet demonstrated our ability to complete large-scale, pivotal clinical trials, obtain regulatory approvals, manufacture a commercial scale product or arrange for a third party to do so on our behalf, or conduct sales and marketing activities necessary for successful commercialization. Although we have received FDA clearance of five IND applications (TNG908, vopimetostat, TNG260, TNG348, and TNG456), we have since discontinued development of TNG348 and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ind w:right="60"/>
        <w:spacing w:after="0" w:line="253" w:lineRule="auto"/>
        <w:rPr>
          <w:sz w:val="20"/>
          <w:szCs w:val="20"/>
          <w:color w:val="auto"/>
        </w:rPr>
      </w:pPr>
      <w:r>
        <w:rPr>
          <w:rFonts w:ascii="Times New Roman" w:cs="Times New Roman" w:eastAsia="Times New Roman" w:hAnsi="Times New Roman"/>
          <w:sz w:val="18"/>
          <w:szCs w:val="18"/>
          <w:color w:val="auto"/>
        </w:rPr>
        <w:t>TNG908. We may not be able to file any future INDs for any of our other product candidates on the timelines we expect, if at all. Further, timelines for developing and filing INDs are subject to significant uncertainties and projected timelines can be delayed. Moreover, we cannot be sure that submission of an IND will result in the FDA allowing clinical trials to begin, or that, once begun, issues will not arise that require us to suspend or terminate clinical trials.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imposition of stricter approval conditions than we currently expect. Successful completion of our clinical trials is a prerequisite to submitting an NDA to the FDA, a Marketing Authorization Application, or MAA, to the European Medicines Agency, or EMA, or other marketing applications to regulatory authorities in other jurisdictions, for each product candidate and, consequently, the regulatory approval of each product candidate. While the INDs for TNG908, vopimetostat, TNG260, TNG348, and TNG456 were cleared by the FDA, such clearance does not ensure that an adequate number of patients will be enrolled on a timely basis, or at all or that the clinical trials will be completed on time, or at all. For example, in May 2024, we announced that we were discontinuing development of our TNG348 program due to liver toxicity observed in the dose escalation portion of our Phase 1/2 clinical trial, and in November 2024, we announced that we were discontinuing development of TNG908 to fully resource vopimetostat and TNG456 development.</w:t>
      </w:r>
    </w:p>
    <w:p>
      <w:pPr>
        <w:spacing w:after="0" w:line="136" w:lineRule="exact"/>
        <w:rPr>
          <w:sz w:val="20"/>
          <w:szCs w:val="20"/>
          <w:color w:val="auto"/>
        </w:rPr>
      </w:pPr>
    </w:p>
    <w:p>
      <w:pPr>
        <w:ind w:firstLine="585"/>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preclinical studies or clinical trials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and/or efficacy concerns, we may, among other things:</w:t>
      </w:r>
    </w:p>
    <w:p>
      <w:pPr>
        <w:spacing w:after="0" w:line="68" w:lineRule="exact"/>
        <w:rPr>
          <w:sz w:val="20"/>
          <w:szCs w:val="20"/>
          <w:color w:val="auto"/>
        </w:rPr>
      </w:pPr>
    </w:p>
    <w:p>
      <w:pPr>
        <w:ind w:left="980" w:right="4320"/>
        <w:spacing w:after="0" w:line="375" w:lineRule="auto"/>
        <w:rPr>
          <w:sz w:val="20"/>
          <w:szCs w:val="20"/>
          <w:color w:val="auto"/>
        </w:rPr>
      </w:pPr>
      <w:r>
        <w:rPr>
          <w:rFonts w:ascii="Times New Roman" w:cs="Times New Roman" w:eastAsia="Times New Roman" w:hAnsi="Times New Roman"/>
          <w:sz w:val="18"/>
          <w:szCs w:val="18"/>
          <w:color w:val="auto"/>
        </w:rPr>
        <w:t>be delayed in seeking or obtaining regulatory approval for our product candidates; not obtain regulatory approval at all;</w:t>
      </w:r>
    </w:p>
    <w:p>
      <w:pPr>
        <w:spacing w:after="0" w:line="1" w:lineRule="exact"/>
        <w:rPr>
          <w:sz w:val="20"/>
          <w:szCs w:val="20"/>
          <w:color w:val="auto"/>
        </w:rPr>
      </w:pPr>
    </w:p>
    <w:p>
      <w:pPr>
        <w:ind w:left="980" w:right="2440"/>
        <w:spacing w:after="0" w:line="375" w:lineRule="auto"/>
        <w:rPr>
          <w:sz w:val="20"/>
          <w:szCs w:val="20"/>
          <w:color w:val="auto"/>
        </w:rPr>
      </w:pPr>
      <w:r>
        <w:rPr>
          <w:rFonts w:ascii="Times New Roman" w:cs="Times New Roman" w:eastAsia="Times New Roman" w:hAnsi="Times New Roman"/>
          <w:sz w:val="18"/>
          <w:szCs w:val="18"/>
          <w:color w:val="auto"/>
        </w:rPr>
        <w:t>obtain regulatory approval for indications or patient populations that are not as broad as intended or desired; be subject to post-marketing testing requirements; or</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have the product removed from the market after obtaining regulatory approval.</w:t>
      </w:r>
    </w:p>
    <w:p>
      <w:pPr>
        <w:spacing w:after="0" w:line="22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67" w:lineRule="exact"/>
        <w:rPr>
          <w:sz w:val="20"/>
          <w:szCs w:val="20"/>
          <w:color w:val="auto"/>
        </w:rPr>
      </w:pPr>
    </w:p>
    <w:p>
      <w:pPr>
        <w:ind w:right="100" w:firstLine="576"/>
        <w:spacing w:after="0" w:line="253" w:lineRule="auto"/>
        <w:rPr>
          <w:sz w:val="20"/>
          <w:szCs w:val="20"/>
          <w:color w:val="auto"/>
        </w:rPr>
      </w:pPr>
      <w:r>
        <w:rPr>
          <w:rFonts w:ascii="Times New Roman" w:cs="Times New Roman" w:eastAsia="Times New Roman" w:hAnsi="Times New Roman"/>
          <w:sz w:val="18"/>
          <w:szCs w:val="18"/>
          <w:color w:val="auto"/>
        </w:rPr>
        <w:t>The discovery and development of oncology therapeutics for patients with genetically defined or biomarker-driven cancers is a rapidly evolving area, and the scientific discoveries that form the basis for our efforts to discover and develop product candidates are relatively new. Our proprietary functional genomics discovery approach is based on the genetic concept of synthetic lethality. The scientific evidence to support the feasibility of developing product candidates based on these discoveries is both preliminary and limited. Although we believe, based on our preclinical work, that the genetic markers targeted by our programs drive the formation and spread of certain cancers, clinical results may not confirm this hypothesis or may only confirm it for certain alterations or certain tumor types. The patient populations for our product candidates (and our combination clinical trials)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with specific targets, we cannot be certain that the resulting patient populations with each mutation will be as large as we anticipate, large enough to allow us to successfully obtain approval for each such mutation and commercialize our product candidates and achieve profitability.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product development involves a lengthy and expensive process, with an uncertain outcome.</w:t>
      </w:r>
    </w:p>
    <w:p>
      <w:pPr>
        <w:spacing w:after="0" w:line="121" w:lineRule="exact"/>
        <w:rPr>
          <w:sz w:val="20"/>
          <w:szCs w:val="20"/>
          <w:color w:val="auto"/>
        </w:rPr>
      </w:pPr>
    </w:p>
    <w:p>
      <w:pPr>
        <w:ind w:right="60" w:firstLine="576"/>
        <w:spacing w:after="0" w:line="254" w:lineRule="auto"/>
        <w:rPr>
          <w:sz w:val="20"/>
          <w:szCs w:val="20"/>
          <w:color w:val="auto"/>
        </w:rPr>
      </w:pPr>
      <w:r>
        <w:rPr>
          <w:rFonts w:ascii="Times New Roman" w:cs="Times New Roman" w:eastAsia="Times New Roman" w:hAnsi="Times New Roman"/>
          <w:sz w:val="18"/>
          <w:szCs w:val="18"/>
          <w:color w:val="auto"/>
        </w:rPr>
        <w:t>Our preclinical studies, our ongoing clinical trials and future clinical trials may not be successful. It is impossible to predict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in humans. Clinical testing is expensive, difficult to design and implement, can take many years to complete and outcomes are uncertain. A failure of one or more clinical trials can occur at any stage of testing. For example, in May 2024, we announced that we were discontinuing development of our TNG348 program due to liver toxicity observed in the dose escalation portion of our Phase 1/2 clinical trial. The outcome of preclinical development testing and early clinical trials may not be predictive of the success of later clinical trials, and interim or preliminary results of a clinical trial do not necessarily predict final results (or be indicative of safety and efficacy if commercialized and used in a broader population). Moreover, preclinical and clinical</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3" w:name="page44"/>
    <w:bookmarkEnd w:id="43"/>
    <w:p>
      <w:pPr>
        <w:ind w:right="80"/>
        <w:spacing w:after="0" w:line="282" w:lineRule="auto"/>
        <w:rPr>
          <w:sz w:val="20"/>
          <w:szCs w:val="20"/>
          <w:color w:val="auto"/>
        </w:rPr>
      </w:pPr>
      <w:r>
        <w:rPr>
          <w:rFonts w:ascii="Times New Roman" w:cs="Times New Roman" w:eastAsia="Times New Roman" w:hAnsi="Times New Roman"/>
          <w:sz w:val="18"/>
          <w:szCs w:val="18"/>
          <w:color w:val="auto"/>
        </w:rPr>
        <w:t>data are often susceptible to varying interpretations and analyses, and many companies that have believed their product candidates performed satisfactorily in preclinical studies and clinical trials have nonetheless failed to obtain regulatory approval of their product candidates.</w:t>
      </w:r>
    </w:p>
    <w:p>
      <w:pPr>
        <w:spacing w:after="0" w:line="15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third parties are unable to successfully develop screening technology for biomarkers that enable patient selection and/or target engagement, or experience significant delays in doing so, we may be unable to commercialize our product candidates or we may not realize the full commercial potential of our product candidates.</w:t>
      </w:r>
    </w:p>
    <w:p>
      <w:pPr>
        <w:spacing w:after="0" w:line="175"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A key component of our strategy includes the use of biomarker testing to guide patient selection for our product candidates and/or target engagement for our product candidates. We rely on third-parties to provide this technology. It is not always the case, however, that the biomarker we have identified for patient selection and/or target engagement is included in a commercially available test offered by biomarker testing providers. If not already commercially available, we may collaborate with biomarker assay development companies for the development of biomarkers associated with our product candidates. We may have difficulty in establishing or maintaining such development relationships, and we will face competition from other companies in establishing these collaborations.</w:t>
      </w:r>
    </w:p>
    <w:p>
      <w:pPr>
        <w:spacing w:after="0" w:line="18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There are also several risks associated with biomarker identification and validation. We, in collaboration with any diagnostic partners, may not be able to identify predictive pharmacodynamic biomarkers for one or more of our programs. We may not be able to validate potential biomarkers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certain genetic mutations) or their functional relevance in relevant in vitro or in vivo models. Data analytics and information from databases that we rely on for identifying or validating some of our biomarker-target relationships may not accurately reflect potential patient populations. Potential biomarkers, even if validated preclinically, may not be functionally effective or validated in human clinical trials.</w:t>
      </w:r>
    </w:p>
    <w:p>
      <w:pPr>
        <w:spacing w:after="0" w:line="183"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If biomarker assay development companies experience any delays developing and launching the biomarkers we have identified for patient selection and/or target engagement, our clinical trials may be delayed or may not identify sufficient patients to complete the trial and our clinical trials may be unsuccessful and our therapies will not advance to approval.</w:t>
      </w:r>
    </w:p>
    <w:p>
      <w:pPr>
        <w:spacing w:after="0" w:line="64"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validate, develop and obtain regulatory approval for diagnostic tests for our product candidates that require or would commercially benefit from such tests, or experience significant delays in doing so, we may not realize the full commercial potential of these product candidates.</w:t>
      </w:r>
    </w:p>
    <w:p>
      <w:pPr>
        <w:spacing w:after="0" w:line="67" w:lineRule="exact"/>
        <w:rPr>
          <w:sz w:val="20"/>
          <w:szCs w:val="20"/>
          <w:color w:val="auto"/>
        </w:rPr>
      </w:pPr>
    </w:p>
    <w:p>
      <w:pPr>
        <w:ind w:right="60" w:firstLine="576"/>
        <w:spacing w:after="0" w:line="254" w:lineRule="auto"/>
        <w:rPr>
          <w:sz w:val="20"/>
          <w:szCs w:val="20"/>
          <w:color w:val="auto"/>
        </w:rPr>
      </w:pPr>
      <w:r>
        <w:rPr>
          <w:rFonts w:ascii="Times New Roman" w:cs="Times New Roman" w:eastAsia="Times New Roman" w:hAnsi="Times New Roman"/>
          <w:sz w:val="18"/>
          <w:szCs w:val="18"/>
          <w:color w:val="auto"/>
        </w:rPr>
        <w:t>In connection with the clinical development of our product candidates for certain indications, we may engage third parties to develop or otherwise obtain access to in vitro companion diagnostic tests to identify patient subsets within a disease category who may derive selective and meaningful benefit from our product candidates. Such companion diagnostics may be used during our clinical trials as well as in connection with the commercialization of our products that receive regulatory approval. To be successful, we or our collaborators will need to address a number of scientific, technical, regulatory and logistical challenges in connection with such diagnostic tests. The FDA and comparable foreign regulatory authorities regulate in vitro companion diagnostics as medical devices and, under that regulatory framework, will likely require the conduct of clinical trials to demonstrate the safety and effectiveness of any diagnostics we or third parties may develop, which we expect will require separate regulatory clearance or approval prior to commercialization.</w:t>
      </w:r>
    </w:p>
    <w:p>
      <w:pPr>
        <w:spacing w:after="0" w:line="192"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We intend to rely on third parties for the design, development and manufacture of companion diagnostic tests for our therapeutic product candidates that may require such tests. If we enter into such collaborative agreements, we will be dependent on the sustained cooperation and effort of our future collaborators in developing and obtaining approval for these companion diagnostics. We must characterize the selectivity, specificity, sensitivity, reproducibility, analytical validation, and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clearance or approval for, manufacturing and commercializing companion diagnostics similar to those we face with respect to our therapeutic product candidates themselves, including issues with achieving regulatory clearance or approval, production of sufficient quantities at commercial scale and with appropriate quality standards, and in gaining market acceptance. If we (or any third party we may engage) are unable to successfully develop companion diagnostics for these therapeutic product candidates, or experience delays in doing so, the development and commercialization of these therapeutic product candidates may be adversely affected, these therapeutic product candidates may not obtain regulatory approval, and we may not realize the full commercial potential of any of these therapeutic products that obtain regulatory approval.</w:t>
      </w:r>
    </w:p>
    <w:p>
      <w:pPr>
        <w:spacing w:after="0" w:line="18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Initial, interim and top-line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ind w:right="40" w:firstLine="576"/>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initial, interim or top-line data from our current and future clinical trials, which is based on a preliminary analysis of then-available data, and the results and related findings and conclusions are subject to change following a more comprehensive review of the data, including audit and verification procedures, and as results from additional clinical trial participants become available and trial participants spend additional time on therapy. For example, we may report responses in certain patients that are unconfirmed at the time and which do not ultimately result in confirmed responses to treatment after follow-up evaluations. We may also make assumptions, estimations, calculations and conclusions as part of our analyses of data, and we may not have received or had the opportunity to fully and carefully evaluate all data. As a result, initial, interim and top-line data should be viewed with caution until the final data are available and fully analyzed. In addition, we may report interim analyses of only certain endpoints rather than all endpoints in a clinical trial. Interim data from clinical trials that we may complete are subject to the risk that one or more of the clinical outcomes may materially change as patient enrollment continues and more patient data become available. Adverse differences between initial or interim data and final data could significantly harm our business prospects and may cause the price of our common stock to fluctuate or decline (and we may be subject to securities litigation that can be costly and time-consuming).</w:t>
      </w:r>
    </w:p>
    <w:p>
      <w:pPr>
        <w:spacing w:after="0" w:line="192" w:lineRule="exact"/>
        <w:rPr>
          <w:sz w:val="20"/>
          <w:szCs w:val="20"/>
          <w:color w:val="auto"/>
        </w:rPr>
      </w:pPr>
    </w:p>
    <w:p>
      <w:pPr>
        <w:ind w:right="220" w:firstLine="576"/>
        <w:spacing w:after="0" w:line="258" w:lineRule="auto"/>
        <w:rPr>
          <w:sz w:val="20"/>
          <w:szCs w:val="20"/>
          <w:color w:val="auto"/>
        </w:rPr>
      </w:pPr>
      <w:r>
        <w:rPr>
          <w:rFonts w:ascii="Times New Roman" w:cs="Times New Roman" w:eastAsia="Times New Roman" w:hAnsi="Times New Roman"/>
          <w:sz w:val="18"/>
          <w:szCs w:val="18"/>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the scope of product label, and commercialization of any approved product.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183" w:lineRule="exact"/>
        <w:rPr>
          <w:sz w:val="20"/>
          <w:szCs w:val="20"/>
          <w:color w:val="auto"/>
        </w:rPr>
      </w:pPr>
    </w:p>
    <w:p>
      <w:pPr>
        <w:ind w:right="120" w:firstLine="576"/>
        <w:spacing w:after="0" w:line="256" w:lineRule="auto"/>
        <w:rPr>
          <w:sz w:val="20"/>
          <w:szCs w:val="20"/>
          <w:color w:val="auto"/>
        </w:rPr>
      </w:pPr>
      <w:r>
        <w:rPr>
          <w:rFonts w:ascii="Times New Roman" w:cs="Times New Roman" w:eastAsia="Times New Roman" w:hAnsi="Times New Roman"/>
          <w:sz w:val="18"/>
          <w:szCs w:val="18"/>
          <w:color w:val="auto"/>
        </w:rPr>
        <w:t xml:space="preserve">We may from time to time indicate the intent to publicly disclose certain clinical trial data at a future date. We have, for example, noted that in 2026 we will provide a clinical update on the lung cohort of the vopimetostat monotherapy clinical trial and initial data from the Phase 1/2 combination clinical trial with RAS(ON) inhibitors from RevMed. Due to the factors described above, and elsewhere in these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we may be unable to report data on or before the time indicated to investors, we may not have the data to provide the information indicative of safety or efficacy, the data may not be sufficiently mature or the number of patients with a specific histology may be inadequate to draw conclusions about the effectiveness of the therapy, and even if we do provide such clinical trial data, the final results from that phase of the clinical trial may be different from what we disclose initially.</w:t>
      </w:r>
    </w:p>
    <w:p>
      <w:pPr>
        <w:spacing w:after="0" w:line="187" w:lineRule="exact"/>
        <w:rPr>
          <w:sz w:val="20"/>
          <w:szCs w:val="20"/>
          <w:color w:val="auto"/>
        </w:rPr>
      </w:pPr>
    </w:p>
    <w:p>
      <w:pPr>
        <w:ind w:right="60" w:firstLine="576"/>
        <w:spacing w:after="0" w:line="266" w:lineRule="auto"/>
        <w:rPr>
          <w:sz w:val="20"/>
          <w:szCs w:val="20"/>
          <w:color w:val="auto"/>
        </w:rPr>
      </w:pPr>
      <w:r>
        <w:rPr>
          <w:rFonts w:ascii="Times New Roman" w:cs="Times New Roman" w:eastAsia="Times New Roman" w:hAnsi="Times New Roman"/>
          <w:sz w:val="18"/>
          <w:szCs w:val="18"/>
          <w:color w:val="auto"/>
        </w:rPr>
        <w:t>If the initial, interim or top-line data that we report differ from final or actual results, or if others, including regulatory authorities, disagree with the conclusions reached, our ability to obtain approval for, and commercialize, our product candidates may be significantly impaired, which could materially harm our business, operating results, prospects or financial condition.</w:t>
      </w:r>
    </w:p>
    <w:p>
      <w:pPr>
        <w:spacing w:after="0" w:line="176" w:lineRule="exact"/>
        <w:rPr>
          <w:sz w:val="20"/>
          <w:szCs w:val="20"/>
          <w:color w:val="auto"/>
        </w:rPr>
      </w:pPr>
    </w:p>
    <w:p>
      <w:pPr>
        <w:ind w:right="100" w:firstLine="576"/>
        <w:spacing w:after="0" w:line="282" w:lineRule="auto"/>
        <w:rPr>
          <w:sz w:val="20"/>
          <w:szCs w:val="20"/>
          <w:color w:val="auto"/>
        </w:rPr>
      </w:pPr>
      <w:r>
        <w:rPr>
          <w:rFonts w:ascii="Times New Roman" w:cs="Times New Roman" w:eastAsia="Times New Roman" w:hAnsi="Times New Roman"/>
          <w:sz w:val="18"/>
          <w:szCs w:val="18"/>
          <w:color w:val="auto"/>
        </w:rPr>
        <w:t>Finally, even if the data provided from the clinical trial is favorable with respect to safety and efficacy, such data may not meet the expectations of our investors and our stock price may decline (and such decline may be material).</w:t>
      </w:r>
    </w:p>
    <w:p>
      <w:pPr>
        <w:spacing w:after="0" w:line="158" w:lineRule="exact"/>
        <w:rPr>
          <w:sz w:val="20"/>
          <w:szCs w:val="20"/>
          <w:color w:val="auto"/>
        </w:rPr>
      </w:pPr>
    </w:p>
    <w:p>
      <w:pPr>
        <w:ind w:right="1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51"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8"/>
          <w:szCs w:val="18"/>
          <w:color w:val="auto"/>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 the following:</w:t>
      </w:r>
    </w:p>
    <w:p>
      <w:pPr>
        <w:spacing w:after="0" w:line="75" w:lineRule="exact"/>
        <w:rPr>
          <w:sz w:val="20"/>
          <w:szCs w:val="20"/>
          <w:color w:val="auto"/>
        </w:rPr>
      </w:pPr>
    </w:p>
    <w:p>
      <w:pPr>
        <w:ind w:left="760" w:right="460" w:firstLine="230"/>
        <w:spacing w:after="0" w:line="282" w:lineRule="auto"/>
        <w:rPr>
          <w:sz w:val="20"/>
          <w:szCs w:val="20"/>
          <w:color w:val="auto"/>
        </w:rPr>
      </w:pPr>
      <w:r>
        <w:rPr>
          <w:rFonts w:ascii="Times New Roman" w:cs="Times New Roman" w:eastAsia="Times New Roman" w:hAnsi="Times New Roman"/>
          <w:sz w:val="18"/>
          <w:szCs w:val="18"/>
          <w:color w:val="auto"/>
        </w:rPr>
        <w:t>we may receive feedback from regulatory authorities that require us to modify the design or implementation of our preclinical studies or clinical trials or to delay or terminate a clinical trial;</w:t>
      </w:r>
    </w:p>
    <w:p>
      <w:pPr>
        <w:spacing w:after="0" w:line="53" w:lineRule="exact"/>
        <w:rPr>
          <w:sz w:val="20"/>
          <w:szCs w:val="20"/>
          <w:color w:val="auto"/>
        </w:rPr>
      </w:pPr>
    </w:p>
    <w:p>
      <w:pPr>
        <w:ind w:left="760" w:right="540" w:firstLine="230"/>
        <w:spacing w:after="0" w:line="282" w:lineRule="auto"/>
        <w:rPr>
          <w:sz w:val="20"/>
          <w:szCs w:val="20"/>
          <w:color w:val="auto"/>
        </w:rPr>
      </w:pPr>
      <w:r>
        <w:rPr>
          <w:rFonts w:ascii="Times New Roman" w:cs="Times New Roman" w:eastAsia="Times New Roman" w:hAnsi="Times New Roman"/>
          <w:sz w:val="18"/>
          <w:szCs w:val="18"/>
          <w:color w:val="auto"/>
        </w:rPr>
        <w:t>regulators, IRBs, or ethics committees may delay or may not authorize us or our investigators to commence a clinical trial or conduct a clinical trial at a prospective trial site;</w:t>
      </w:r>
    </w:p>
    <w:p>
      <w:pPr>
        <w:spacing w:after="0" w:line="53" w:lineRule="exact"/>
        <w:rPr>
          <w:sz w:val="20"/>
          <w:szCs w:val="20"/>
          <w:color w:val="auto"/>
        </w:rPr>
      </w:pPr>
    </w:p>
    <w:p>
      <w:pPr>
        <w:jc w:val="both"/>
        <w:ind w:left="760" w:right="260" w:firstLine="230"/>
        <w:spacing w:after="0" w:line="312" w:lineRule="auto"/>
        <w:rPr>
          <w:sz w:val="20"/>
          <w:szCs w:val="20"/>
          <w:color w:val="auto"/>
        </w:rPr>
      </w:pPr>
      <w:r>
        <w:rPr>
          <w:rFonts w:ascii="Times New Roman" w:cs="Times New Roman" w:eastAsia="Times New Roman" w:hAnsi="Times New Roman"/>
          <w:sz w:val="17"/>
          <w:szCs w:val="17"/>
          <w:color w:val="auto"/>
        </w:rPr>
        <w:t>we may experience delays in reaching, or fail to reach, agreement on acceptable terms with prospective trial sites and prospective CROs to conduct our trials, the terms of which can be subject to extensive negotiation and may vary significantly among different trial sites and CROs;</w:t>
      </w:r>
    </w:p>
    <w:p>
      <w:pPr>
        <w:spacing w:after="0" w:line="31" w:lineRule="exact"/>
        <w:rPr>
          <w:sz w:val="20"/>
          <w:szCs w:val="20"/>
          <w:color w:val="auto"/>
        </w:rPr>
      </w:pPr>
    </w:p>
    <w:p>
      <w:pPr>
        <w:ind w:left="760" w:right="480" w:firstLine="230"/>
        <w:spacing w:after="0" w:line="266" w:lineRule="auto"/>
        <w:rPr>
          <w:sz w:val="20"/>
          <w:szCs w:val="20"/>
          <w:color w:val="auto"/>
        </w:rPr>
      </w:pPr>
      <w:r>
        <w:rPr>
          <w:rFonts w:ascii="Times New Roman" w:cs="Times New Roman" w:eastAsia="Times New Roman" w:hAnsi="Times New Roman"/>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ind w:left="760" w:firstLine="230"/>
        <w:spacing w:after="0" w:line="282" w:lineRule="auto"/>
        <w:rPr>
          <w:sz w:val="20"/>
          <w:szCs w:val="20"/>
          <w:color w:val="auto"/>
        </w:rPr>
      </w:pPr>
      <w:r>
        <w:rPr>
          <w:rFonts w:ascii="Times New Roman" w:cs="Times New Roman" w:eastAsia="Times New Roman" w:hAnsi="Times New Roman"/>
          <w:sz w:val="18"/>
          <w:szCs w:val="18"/>
          <w:color w:val="auto"/>
        </w:rPr>
        <w:t>preclinical studies or clinical trials of our product candidates may not produce differentiated or clinically significant results across tumor types or indications;</w:t>
      </w:r>
    </w:p>
    <w:p>
      <w:pPr>
        <w:spacing w:after="0" w:line="53" w:lineRule="exact"/>
        <w:rPr>
          <w:sz w:val="20"/>
          <w:szCs w:val="20"/>
          <w:color w:val="auto"/>
        </w:rPr>
      </w:pPr>
    </w:p>
    <w:p>
      <w:pPr>
        <w:ind w:left="760" w:right="20" w:firstLine="230"/>
        <w:spacing w:after="0" w:line="261" w:lineRule="auto"/>
        <w:rPr>
          <w:sz w:val="20"/>
          <w:szCs w:val="20"/>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we may fail to enroll patients with certain cancer indications, such as pancreatic and lung cancer, that we are focusing on in connection with vopimetostat (and GBM, which is our focus for TNG456), or participants may drop out of these clinical trials or fail to return for post-treatment follow-up at a higher rate than we anticipate;</w:t>
      </w:r>
    </w:p>
    <w:p>
      <w:pPr>
        <w:spacing w:after="0" w:line="71" w:lineRule="exact"/>
        <w:rPr>
          <w:sz w:val="20"/>
          <w:szCs w:val="20"/>
          <w:color w:val="auto"/>
        </w:rPr>
      </w:pPr>
    </w:p>
    <w:p>
      <w:pPr>
        <w:ind w:left="760" w:firstLine="230"/>
        <w:spacing w:after="0" w:line="266" w:lineRule="auto"/>
        <w:rPr>
          <w:sz w:val="20"/>
          <w:szCs w:val="20"/>
          <w:color w:val="auto"/>
        </w:rPr>
      </w:pPr>
      <w:r>
        <w:rPr>
          <w:rFonts w:ascii="Times New Roman" w:cs="Times New Roman" w:eastAsia="Times New Roman" w:hAnsi="Times New Roman"/>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w:t>
      </w:r>
    </w:p>
    <w:p>
      <w:pPr>
        <w:spacing w:after="0" w:line="67" w:lineRule="exact"/>
        <w:rPr>
          <w:sz w:val="20"/>
          <w:szCs w:val="20"/>
          <w:color w:val="auto"/>
        </w:rPr>
      </w:pPr>
    </w:p>
    <w:p>
      <w:pPr>
        <w:ind w:left="760" w:right="200" w:firstLine="185"/>
        <w:spacing w:after="0" w:line="282" w:lineRule="auto"/>
        <w:rPr>
          <w:sz w:val="20"/>
          <w:szCs w:val="20"/>
          <w:color w:val="auto"/>
        </w:rPr>
      </w:pPr>
      <w:r>
        <w:rPr>
          <w:rFonts w:ascii="Times New Roman" w:cs="Times New Roman" w:eastAsia="Times New Roman" w:hAnsi="Times New Roman"/>
          <w:sz w:val="18"/>
          <w:szCs w:val="18"/>
          <w:color w:val="auto"/>
        </w:rPr>
        <w:t>our clinical trial sites or investigators may deviate from the clinical trial protocol or drop out of the trial, which may require that we add new clinical trial sites or investigators in order to ensure our trials generate statistically significant results;</w:t>
      </w:r>
    </w:p>
    <w:p>
      <w:pPr>
        <w:spacing w:after="0" w:line="53" w:lineRule="exact"/>
        <w:rPr>
          <w:sz w:val="20"/>
          <w:szCs w:val="20"/>
          <w:color w:val="auto"/>
        </w:rPr>
      </w:pPr>
    </w:p>
    <w:p>
      <w:pPr>
        <w:ind w:left="760" w:right="180" w:firstLine="230"/>
        <w:spacing w:after="0" w:line="266" w:lineRule="auto"/>
        <w:rPr>
          <w:sz w:val="20"/>
          <w:szCs w:val="20"/>
          <w:color w:val="auto"/>
        </w:rPr>
      </w:pPr>
      <w:r>
        <w:rPr>
          <w:rFonts w:ascii="Times New Roman" w:cs="Times New Roman" w:eastAsia="Times New Roman" w:hAnsi="Times New Roman"/>
          <w:sz w:val="18"/>
          <w:szCs w:val="18"/>
          <w:color w:val="auto"/>
        </w:rPr>
        <w:t>we may elect to, or regulators,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67" w:lineRule="exact"/>
        <w:rPr>
          <w:sz w:val="20"/>
          <w:szCs w:val="20"/>
          <w:color w:val="auto"/>
        </w:rPr>
      </w:pPr>
    </w:p>
    <w:p>
      <w:pPr>
        <w:ind w:left="760" w:right="640" w:firstLine="230"/>
        <w:spacing w:after="0" w:line="282" w:lineRule="auto"/>
        <w:rPr>
          <w:sz w:val="20"/>
          <w:szCs w:val="20"/>
          <w:color w:val="auto"/>
        </w:rPr>
      </w:pPr>
      <w:r>
        <w:rPr>
          <w:rFonts w:ascii="Times New Roman" w:cs="Times New Roman" w:eastAsia="Times New Roman" w:hAnsi="Times New Roman"/>
          <w:sz w:val="18"/>
          <w:szCs w:val="18"/>
          <w:color w:val="auto"/>
        </w:rPr>
        <w:t>the cost of clinical trials of our product candidates or of our product candidates in combination with other manufacturer’s commercial products or product candidates may be greater than we anticipate;</w:t>
      </w:r>
    </w:p>
    <w:p>
      <w:pPr>
        <w:spacing w:after="0" w:line="53" w:lineRule="exact"/>
        <w:rPr>
          <w:sz w:val="20"/>
          <w:szCs w:val="20"/>
          <w:color w:val="auto"/>
        </w:rPr>
      </w:pPr>
    </w:p>
    <w:p>
      <w:pPr>
        <w:ind w:left="760" w:right="80" w:firstLine="230"/>
        <w:spacing w:after="0" w:line="282" w:lineRule="auto"/>
        <w:rPr>
          <w:sz w:val="20"/>
          <w:szCs w:val="20"/>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including our combination clinical trials, of our product candidates (alone or in combination) may be insufficient or inadequate;</w:t>
      </w:r>
    </w:p>
    <w:p>
      <w:pPr>
        <w:spacing w:after="0" w:line="53" w:lineRule="exact"/>
        <w:rPr>
          <w:sz w:val="20"/>
          <w:szCs w:val="20"/>
          <w:color w:val="auto"/>
        </w:rPr>
      </w:pPr>
    </w:p>
    <w:p>
      <w:pPr>
        <w:ind w:left="760" w:right="220" w:firstLine="230"/>
        <w:spacing w:after="0" w:line="261" w:lineRule="auto"/>
        <w:rPr>
          <w:sz w:val="20"/>
          <w:szCs w:val="20"/>
          <w:color w:val="auto"/>
        </w:rPr>
      </w:pPr>
      <w:r>
        <w:rPr>
          <w:rFonts w:ascii="Times New Roman" w:cs="Times New Roman" w:eastAsia="Times New Roman" w:hAnsi="Times New Roman"/>
          <w:sz w:val="18"/>
          <w:szCs w:val="18"/>
          <w:color w:val="auto"/>
        </w:rPr>
        <w:t>our product candidates (or our product candidates in combination with other products or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w:t>
      </w:r>
    </w:p>
    <w:p>
      <w:pPr>
        <w:spacing w:after="0" w:line="71" w:lineRule="exact"/>
        <w:rPr>
          <w:sz w:val="20"/>
          <w:szCs w:val="20"/>
          <w:color w:val="auto"/>
        </w:rPr>
      </w:pPr>
    </w:p>
    <w:p>
      <w:pPr>
        <w:ind w:left="760" w:right="180" w:firstLine="230"/>
        <w:spacing w:after="0" w:line="282" w:lineRule="auto"/>
        <w:rPr>
          <w:sz w:val="20"/>
          <w:szCs w:val="20"/>
          <w:color w:val="auto"/>
        </w:rPr>
      </w:pPr>
      <w:r>
        <w:rPr>
          <w:rFonts w:ascii="Times New Roman" w:cs="Times New Roman" w:eastAsia="Times New Roman" w:hAnsi="Times New Roman"/>
          <w:sz w:val="18"/>
          <w:szCs w:val="18"/>
          <w:color w:val="auto"/>
        </w:rPr>
        <w:t>regulators may revise the requirements for approving our product candidates, (alone or in combination), or such requirements may not be as we anticipate; and</w:t>
      </w:r>
    </w:p>
    <w:p>
      <w:pPr>
        <w:spacing w:after="0" w:line="53" w:lineRule="exact"/>
        <w:rPr>
          <w:sz w:val="20"/>
          <w:szCs w:val="20"/>
          <w:color w:val="auto"/>
        </w:rPr>
      </w:pPr>
    </w:p>
    <w:p>
      <w:pPr>
        <w:ind w:left="760" w:right="60" w:firstLine="230"/>
        <w:spacing w:after="0" w:line="282" w:lineRule="auto"/>
        <w:rPr>
          <w:sz w:val="20"/>
          <w:szCs w:val="20"/>
          <w:color w:val="auto"/>
        </w:rPr>
      </w:pPr>
      <w:r>
        <w:rPr>
          <w:rFonts w:ascii="Times New Roman" w:cs="Times New Roman" w:eastAsia="Times New Roman" w:hAnsi="Times New Roman"/>
          <w:sz w:val="18"/>
          <w:szCs w:val="18"/>
          <w:color w:val="auto"/>
        </w:rPr>
        <w:t>regulatory developments may occur with respect to our competitors’ products, including any developments, litigation or public concern about the safety of such products.</w:t>
      </w:r>
    </w:p>
    <w:p>
      <w:pPr>
        <w:spacing w:after="0" w:line="162" w:lineRule="exact"/>
        <w:rPr>
          <w:sz w:val="20"/>
          <w:szCs w:val="20"/>
          <w:color w:val="auto"/>
        </w:rPr>
      </w:pPr>
    </w:p>
    <w:p>
      <w:pPr>
        <w:ind w:right="80" w:firstLine="576"/>
        <w:spacing w:after="0" w:line="254"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at which such trials are being conducted, by the Data Safety Monitoring Board, or DSMB,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188" w:lineRule="exact"/>
        <w:rPr>
          <w:sz w:val="20"/>
          <w:szCs w:val="20"/>
          <w:color w:val="auto"/>
        </w:rPr>
      </w:pPr>
    </w:p>
    <w:p>
      <w:pPr>
        <w:ind w:right="40" w:firstLine="576"/>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current or future clinical trials have, and in the future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189" w:lineRule="exact"/>
        <w:rPr>
          <w:sz w:val="20"/>
          <w:szCs w:val="20"/>
          <w:color w:val="auto"/>
        </w:rPr>
      </w:pPr>
    </w:p>
    <w:p>
      <w:pPr>
        <w:ind w:right="240" w:firstLine="576"/>
        <w:spacing w:after="0" w:line="266"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ind w:right="340"/>
        <w:spacing w:after="0" w:line="266" w:lineRule="auto"/>
        <w:rPr>
          <w:sz w:val="20"/>
          <w:szCs w:val="20"/>
          <w:color w:val="auto"/>
        </w:rPr>
      </w:pPr>
      <w:r>
        <w:rPr>
          <w:rFonts w:ascii="Times New Roman" w:cs="Times New Roman" w:eastAsia="Times New Roman" w:hAnsi="Times New Roman"/>
          <w:sz w:val="18"/>
          <w:szCs w:val="18"/>
          <w:color w:val="auto"/>
        </w:rPr>
        <w:t>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1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ind w:right="60" w:firstLine="576"/>
        <w:spacing w:after="0" w:line="254" w:lineRule="auto"/>
        <w:rPr>
          <w:sz w:val="20"/>
          <w:szCs w:val="20"/>
          <w:color w:val="auto"/>
        </w:rPr>
      </w:pPr>
      <w:r>
        <w:rPr>
          <w:rFonts w:ascii="Times New Roman" w:cs="Times New Roman" w:eastAsia="Times New Roman" w:hAnsi="Times New Roman"/>
          <w:sz w:val="18"/>
          <w:szCs w:val="18"/>
          <w:color w:val="auto"/>
        </w:rPr>
        <w:t>We may not be able to initiate, continue or complete clinical trials for our product candidates if we are unable to locate and enroll a sufficient number of eligible patients to participate in these trials, including our planned pivotal trial, as required by the FDA or comparable foreign regulatory authorities, or as needed to provide appropriate statistical power for a given trial. In particular, because we are focused on patients with specific genetic mutations for the development of our precision oncology programs and because some of the indications we are pursuing, including pancreatic cancer in connection with vopimetostat and GBM in connection with TNG456, are orphan indications that have small populations, our ability to enroll eligible patients may be limited or may result in slower enrollment than we anticipate. We also may experience slower enrollment as a result of limited trial populations due to clinical trials run by us or our competitors or other factors beyond our control. Delays in enrollment may affect the timing of any results or data announcements from our trials (as well as the timing for dose escalation and dose expansion) and therefore the regulatory approval (if any) for any of our product candidates may extend beyond the period we have targeted or beyond the timeline expected by investors.</w:t>
      </w:r>
    </w:p>
    <w:p>
      <w:pPr>
        <w:spacing w:after="0" w:line="188" w:lineRule="exact"/>
        <w:rPr>
          <w:sz w:val="20"/>
          <w:szCs w:val="20"/>
          <w:color w:val="auto"/>
        </w:rPr>
      </w:pPr>
    </w:p>
    <w:p>
      <w:pPr>
        <w:ind w:right="180" w:firstLine="576"/>
        <w:spacing w:after="0" w:line="261" w:lineRule="auto"/>
        <w:rPr>
          <w:sz w:val="20"/>
          <w:szCs w:val="20"/>
          <w:color w:val="auto"/>
        </w:rPr>
      </w:pPr>
      <w:r>
        <w:rPr>
          <w:rFonts w:ascii="Times New Roman" w:cs="Times New Roman" w:eastAsia="Times New Roman" w:hAnsi="Times New Roman"/>
          <w:sz w:val="18"/>
          <w:szCs w:val="18"/>
          <w:color w:val="auto"/>
        </w:rPr>
        <w:t>The patient eligibility criteria defined in our trial protocols, including biomarker-driven identification or the number of prior treatment lines, may limit the patient populations eligible for our clinical trials to a greater extent than competing clinical trials for the same indication that do not have biomarker-driven patient eligibility criteria. We also rely on the willingness and ability of clinicians to screen their patients for biomarkers to indicate which patients may be eligible for enrollment in our clinical trials.</w:t>
      </w:r>
    </w:p>
    <w:p>
      <w:pPr>
        <w:spacing w:after="0" w:line="180"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In addition, some of our competitors have ongoing clinical trials for product candidates that aim to treat the same indications as our product candidates, and patients who would otherwise be eligible for our clinical trials may choose instead to enroll in clinical trials of our competitors’ product candidates (for example, multiple INDs for other companies have been cleared by the FDA for clinical trials of MTA-cooperative PRMT5 inhibitors for the treatment of cancer patients, and such trials have already enrolled patients and those trials are using some of the same clinical trial sites that we use). Further, the target patient population eligible for the vopimetostat and TNG456 clinical trials overlap. In particular, each of these clinical trials has arms that are expected to aim to enroll patients with lung cancer. As a result, our own trials may compete to enroll patients among a limited population and thus each of our own trials may experience delays or limited enrollment or we may be compelled to explore enrollment in new countries to gain access to an expanded patient population.</w:t>
      </w:r>
    </w:p>
    <w:p>
      <w:pPr>
        <w:spacing w:after="0" w:line="192"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In addition to the competitive clinical trial environment, the eligibility criteria of our clinical trials will further limit the pool of available study participants as we will require that patients have specific characteristics that we can measure to assure their cancer is either severe enough or not too advanced to include them in a study. The process of finding patients may prove costly. We also may not be able to identify, recruit or enroll a sufficient number of patients (or sufficient patients who have limited lines of prior therapy) to complete our clinical studies, including our planned pivotal trial,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unavailable or unwilling to participate in our studies for any reason, the timeline for recruiting patients, conducting studies, reporting initial and final trial results and obtaining regulatory approval of potential products may be delayed.</w:t>
      </w:r>
    </w:p>
    <w:p>
      <w:pPr>
        <w:spacing w:after="0" w:line="192"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Further, if we are unable to identify patients with the targeted genetic mutations for our clinical trials, it could compromise our ability to seek designations under applicable FDA expedited review and development programs, including Breakthrough Therapy Designation and Fast Track Designation (to the extent these are available to us), or otherwise seek to accelerate clinical development and regulatory timelines. Patient enrollment may be affected by other factors, including:</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sz w:val="20"/>
          <w:szCs w:val="20"/>
          <w:color w:val="auto"/>
        </w:rPr>
      </w:pPr>
    </w:p>
    <w:p>
      <w:pPr>
        <w:ind w:left="980" w:right="3120"/>
        <w:spacing w:after="0" w:line="375" w:lineRule="auto"/>
        <w:rPr>
          <w:sz w:val="20"/>
          <w:szCs w:val="20"/>
          <w:color w:val="auto"/>
        </w:rPr>
      </w:pPr>
      <w:r>
        <w:rPr>
          <w:rFonts w:ascii="Times New Roman" w:cs="Times New Roman" w:eastAsia="Times New Roman" w:hAnsi="Times New Roman"/>
          <w:sz w:val="18"/>
          <w:szCs w:val="18"/>
          <w:color w:val="auto"/>
        </w:rPr>
        <w:t>the efforts to obtain and maintain patient consents and facilitate timely enrollment in clinical trials; the ability to monitor patients adequately during and after treatment;</w:t>
      </w:r>
    </w:p>
    <w:p>
      <w:pPr>
        <w:spacing w:after="0" w:line="1" w:lineRule="exact"/>
        <w:rPr>
          <w:sz w:val="20"/>
          <w:szCs w:val="20"/>
          <w:color w:val="auto"/>
        </w:rPr>
      </w:pPr>
    </w:p>
    <w:p>
      <w:pPr>
        <w:ind w:left="980" w:right="3240"/>
        <w:spacing w:after="0" w:line="375" w:lineRule="auto"/>
        <w:rPr>
          <w:sz w:val="20"/>
          <w:szCs w:val="20"/>
          <w:color w:val="auto"/>
        </w:rPr>
      </w:pPr>
      <w:r>
        <w:rPr>
          <w:rFonts w:ascii="Times New Roman" w:cs="Times New Roman" w:eastAsia="Times New Roman" w:hAnsi="Times New Roman"/>
          <w:sz w:val="18"/>
          <w:szCs w:val="18"/>
          <w:color w:val="auto"/>
        </w:rPr>
        <w:t>the ability to recruit clinical trial investigators with the appropriate competencies and experience; reporting of the initial results of any of our clinical trials; and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47" w:name="page48"/>
    <w:bookmarkEnd w:id="47"/>
    <w:p>
      <w:pPr>
        <w:ind w:left="760" w:right="80" w:firstLine="230"/>
        <w:spacing w:after="0" w:line="282" w:lineRule="auto"/>
        <w:rPr>
          <w:sz w:val="20"/>
          <w:szCs w:val="20"/>
          <w:color w:val="auto"/>
        </w:rPr>
      </w:pPr>
      <w:r>
        <w:rPr>
          <w:rFonts w:ascii="Times New Roman" w:cs="Times New Roman" w:eastAsia="Times New Roman" w:hAnsi="Times New Roman"/>
          <w:sz w:val="18"/>
          <w:szCs w:val="18"/>
          <w:color w:val="auto"/>
        </w:rPr>
        <w:t>factors we may not be able to control, including the impacts of any epidemics or pandemics, which may limit patients, principal investigators or staff or clinical site availability.</w:t>
      </w:r>
    </w:p>
    <w:p>
      <w:pPr>
        <w:spacing w:after="0" w:line="158"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our current and future product candidates are being used in combination or we anticipate could be used in combination with third-party drugs or biologics, some of which are still in development, and we have limited or no control over the supply, regulatory status, or regulatory approval of such other drugs or biologics.</w:t>
      </w:r>
    </w:p>
    <w:p>
      <w:pPr>
        <w:spacing w:after="0" w:line="67" w:lineRule="exact"/>
        <w:rPr>
          <w:sz w:val="20"/>
          <w:szCs w:val="20"/>
          <w:color w:val="auto"/>
        </w:rPr>
      </w:pPr>
    </w:p>
    <w:p>
      <w:pPr>
        <w:ind w:right="60" w:firstLine="576"/>
        <w:spacing w:after="0" w:line="253" w:lineRule="auto"/>
        <w:rPr>
          <w:sz w:val="20"/>
          <w:szCs w:val="20"/>
          <w:color w:val="auto"/>
        </w:rPr>
      </w:pPr>
      <w:r>
        <w:rPr>
          <w:rFonts w:ascii="Times New Roman" w:cs="Times New Roman" w:eastAsia="Times New Roman" w:hAnsi="Times New Roman"/>
          <w:sz w:val="18"/>
          <w:szCs w:val="18"/>
          <w:color w:val="auto"/>
        </w:rPr>
        <w:t>Certain of our current product candidates are being administered or may have the potential to be administered in combination with existing standards of care (such as checkpoint inhibitor immunotherapies, chemotherapies, targeted therapies or radiotherapy) or with other classes of therapeutics agents (such as the RAS(ON) multi- and G12D- inhibitors from RevMed with which we are evaluating vopimetostat in combination clinical trials and abemaciclib, with which we plan to evaluate TNG456 in a combination clinical trial). Our ability to develop and ultimately commercialize our current programs and product candidates and any future programs or product candidates for use in combination with other therapies will depend on our ability to access such drugs or biologics on commercially reasonable terms for the clinical trials and their availability for use with our commercialized product, if approved. We have entered into separate clinical collaboration and supply agreements with RevMed, Lilly, and Erasca, under which we plan to conduct combination clinical trials with RevMed's RAS(ON) multi- and G12D-selective inhibitors, Lilly's abemaciclib and Erasca’s pan-RAS molecular glue, respectively. Additionally, we have purchased pembrolizumab for use in combination with vopimetostat. Nevertheless, we cannot be certain that current or potential future commercial relationships will continue to provide us with a steady supply of such drugs or biologics on commercially reasonable terms, or at all.</w:t>
      </w:r>
    </w:p>
    <w:p>
      <w:pPr>
        <w:spacing w:after="0" w:line="192" w:lineRule="exact"/>
        <w:rPr>
          <w:sz w:val="20"/>
          <w:szCs w:val="20"/>
          <w:color w:val="auto"/>
        </w:rPr>
      </w:pPr>
    </w:p>
    <w:p>
      <w:pPr>
        <w:ind w:right="60" w:firstLine="576"/>
        <w:spacing w:after="0" w:line="261" w:lineRule="auto"/>
        <w:rPr>
          <w:sz w:val="20"/>
          <w:szCs w:val="20"/>
          <w:color w:val="auto"/>
        </w:rPr>
      </w:pPr>
      <w:r>
        <w:rPr>
          <w:rFonts w:ascii="Times New Roman" w:cs="Times New Roman" w:eastAsia="Times New Roman" w:hAnsi="Times New Roman"/>
          <w:sz w:val="18"/>
          <w:szCs w:val="18"/>
          <w:color w:val="auto"/>
        </w:rPr>
        <w:t>Any failure to maintain or enter into new commercial relationships, or the expense of purchasing checkpoint inhibitor immunotherapies or other potential combination or comparator therapies in the market, may delay our development timelines, increase our costs and jeopardize our ability to develop our current product candidates and any future product candidates as commercially viable therapies. If any of these circumstances occur, our business, financial condition, operating results, stock price and commercial prospects may be materially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combination therapies may present more or different challenges than development of single agent therapies.</w:t>
      </w:r>
    </w:p>
    <w:p>
      <w:pPr>
        <w:spacing w:after="0" w:line="229" w:lineRule="exact"/>
        <w:rPr>
          <w:sz w:val="20"/>
          <w:szCs w:val="20"/>
          <w:color w:val="auto"/>
        </w:rPr>
      </w:pPr>
    </w:p>
    <w:p>
      <w:pPr>
        <w:ind w:firstLine="495"/>
        <w:spacing w:after="0" w:line="253" w:lineRule="auto"/>
        <w:rPr>
          <w:sz w:val="20"/>
          <w:szCs w:val="20"/>
          <w:color w:val="auto"/>
        </w:rPr>
      </w:pPr>
      <w:r>
        <w:rPr>
          <w:rFonts w:ascii="Times New Roman" w:cs="Times New Roman" w:eastAsia="Times New Roman" w:hAnsi="Times New Roman"/>
          <w:sz w:val="18"/>
          <w:szCs w:val="18"/>
          <w:color w:val="auto"/>
        </w:rPr>
        <w:t>We have several ongoing and planned clinical trials testing the safety and efficacy of combination therapies, including: evaluating (i) vopimetostat in multiple different combinations, including with each of RevMed's RAS(ON) multi- and G12D- selective inhibitors, and with pembrolizumab and (ii) TNG456 with abemaciclib. We plan to evaluate vopimetostat with Erasca’s pan-RAS molecular glue. The clinical development of combination therapies may be more complex than the development of single agent therapies and generally requires that we are able to describe and demonstrate the contribution of each product to the safety and efficacy of the combination as a whole. This requirement may make the design and conduct of clinical trials more complex (which may cause delays in the trial or require additional data to be collected and analyzed, which, in turn, may limit any patent protection or regulatory exclusivity periods we have to market the product candidate). In addition, we expect this would increase the anticipated costs that we incur in connection with seeking regulatory approval of the combination or in commercializing a combination therapy. Further, the FDA's "combination rule" prohibits the FDA approving a fixed-dose combination product unless each component of a proposed drug product contributes to the claimed effects and the dosage of each component (amount, frequency, duration) is safe and effective for the intended population. This typically requires a clinical factorial study, designed to assess the effects attributable to each drug in the combination product, particularly when the ingredients are directed at the same sign or symptom of the disease or condition. Moreover, the applicable requirements for approval of a combination therapy may differ from country to country.</w:t>
      </w:r>
    </w:p>
    <w:p>
      <w:pPr>
        <w:spacing w:after="0" w:line="190"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In the event that our product candidates fail to demonstrate sufficient safety and efficacy or establish their contribution to the claimed effects of a combination therapies, we would need to identify alternatives. In the event we are unable to do so or are unable to do so on commercially reasonable terms, our business and prospects would be materially harmed.</w:t>
      </w:r>
    </w:p>
    <w:p>
      <w:pPr>
        <w:spacing w:after="0" w:line="176"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Moreover, following product approval of a combination therapy, the FDA or comparable foreign regulatory authorities may require that products used in conjunction with each other be cross labeled for combined use. To the extent that we do not have rights to the other product, this may require us to work with a third party to satisfy such a requirement (which we may be unable to do on reasonable terms, or at all). Moreover, developments related to the other product may impact our clinical trials for the combination as well as our commercial prospects should we receive regulatory approval. Such developments may include changes to the other product’s safety or efficacy profile, changes to the availability of the other product, quality, manufacturing and supply issues with respect to the other product, and changes to the standard of care.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Results from earlier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72"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Any results from our earlier preclinical studies of our programs or our product candidates may not necessarily be predictive of the results from later preclinical studies and clinical trials.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112"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pharmacokinetic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51" w:lineRule="exact"/>
        <w:rPr>
          <w:sz w:val="20"/>
          <w:szCs w:val="20"/>
          <w:color w:val="auto"/>
        </w:rPr>
      </w:pPr>
    </w:p>
    <w:p>
      <w:pPr>
        <w:ind w:right="40" w:firstLine="576"/>
        <w:spacing w:after="0" w:line="252"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products, we must demonstrate through lengthy, complex and expensive preclinical studies and clinical trials that our product candidates are both safe and effective for use in each target indication. Clinical trials are expensive and can take many years to complete, and outcomes are inherently uncertain. Failure can occur at any time during the clinical trial process. Because our precision oncology programs and our product candidates are in early stages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nonclinical studies and initial clinical trials. If the results of our current and future preclinical studies and clinical trials are inconclusive with respect to the safety, pharmacokinetics or efficacy of our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There may be side effects experienced during clinical trials in connection with the use of oncology therapies. Results of our trials could reveal a high and unacceptable severity and prevalence of side effects as a result of the use of our therapy (or due to other factors). In such an event, we could decide to suspend or terminate a trial or program, or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 Product liability claims can be expensive to defend and result in significant damages and harm to our reputation. While we do have insurance to cover certain product liability claims, including in connection with certain injury during clinical trials, the coverage may not cover all injuries, be sufficient to cover all expenses related to any injury and we may be required to pay damages from our own resources and the amount of such damages may be significant.</w:t>
      </w:r>
    </w:p>
    <w:p>
      <w:pPr>
        <w:spacing w:after="0" w:line="108" w:lineRule="exact"/>
        <w:rPr>
          <w:sz w:val="20"/>
          <w:szCs w:val="20"/>
          <w:color w:val="auto"/>
        </w:rPr>
      </w:pPr>
    </w:p>
    <w:p>
      <w:pPr>
        <w:ind w:right="20" w:firstLine="576"/>
        <w:spacing w:after="0" w:line="254" w:lineRule="auto"/>
        <w:rPr>
          <w:sz w:val="20"/>
          <w:szCs w:val="20"/>
          <w:color w:val="auto"/>
        </w:rPr>
      </w:pPr>
      <w:r>
        <w:rPr>
          <w:rFonts w:ascii="Times New Roman" w:cs="Times New Roman" w:eastAsia="Times New Roman" w:hAnsi="Times New Roman"/>
          <w:sz w:val="18"/>
          <w:szCs w:val="18"/>
          <w:color w:val="auto"/>
        </w:rPr>
        <w:t>Further, our product candidates could cause undesirable side effects in clinical trials. If side effects are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For example, in May 2024, we announced that we were discontinuing development of our TNG348 program due to liver toxicity observed in the dose escalation portion of our Phase 1/2 clinical trial. In addition, our product candidates could cause undesirable side effects that we have not yet observed. Many compounds that initially showed promise in early-stage testing for treating cancer have later been found to cause side effects that prevented further development of the compound. There can be no assurance that any of our current or future clinical trials will ultimately be successful or support further clinical development or regulatory approval of any of our product candidates.</w:t>
      </w:r>
    </w:p>
    <w:p>
      <w:pPr>
        <w:spacing w:after="0" w:line="124" w:lineRule="exact"/>
        <w:rPr>
          <w:sz w:val="20"/>
          <w:szCs w:val="20"/>
          <w:color w:val="auto"/>
        </w:rPr>
      </w:pPr>
    </w:p>
    <w:p>
      <w:pPr>
        <w:ind w:right="200" w:firstLine="576"/>
        <w:spacing w:after="0" w:line="282" w:lineRule="auto"/>
        <w:rPr>
          <w:sz w:val="20"/>
          <w:szCs w:val="20"/>
          <w:color w:val="auto"/>
        </w:rPr>
      </w:pPr>
      <w:r>
        <w:rPr>
          <w:rFonts w:ascii="Times New Roman" w:cs="Times New Roman" w:eastAsia="Times New Roman" w:hAnsi="Times New Roman"/>
          <w:sz w:val="18"/>
          <w:szCs w:val="18"/>
          <w:color w:val="auto"/>
        </w:rPr>
        <w:t>Certain of our product candidates are being tested, and future product candidates may be used, in combination with one or more cancer therapies. The uncertainty resulting from the use of our product candidates in combination with other cancer</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9" w:name="page50"/>
    <w:bookmarkEnd w:id="49"/>
    <w:p>
      <w:pPr>
        <w:ind w:right="20"/>
        <w:spacing w:after="0" w:line="253" w:lineRule="auto"/>
        <w:rPr>
          <w:sz w:val="20"/>
          <w:szCs w:val="20"/>
          <w:color w:val="auto"/>
        </w:rPr>
      </w:pPr>
      <w:r>
        <w:rPr>
          <w:rFonts w:ascii="Times New Roman" w:cs="Times New Roman" w:eastAsia="Times New Roman" w:hAnsi="Times New Roman"/>
          <w:sz w:val="18"/>
          <w:szCs w:val="18"/>
          <w:color w:val="auto"/>
        </w:rPr>
        <w:t>therapies may make it difficult to accurately predict side effects in future clinical trials or the combination product may cause negative effects resulting from drug-drug interactions in clinical trials. As is the case with many treatments for cancer and rare diseases, it is likely that there may be side effects associated with the use of our product candidates. If significant adverse events or other side effects are observed in the clinical trials of our product candidates or when used in combination with another therapy, we may have difficulty recruiting patients to our clinical trials, patients may drop out of our clinical trials, or we may be required to abandon the trials or our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For example, in May 2024, we announced that we were discontinuing development of our TNG348 program due to liver toxicity observed in the dose escalation portion of our Phase 1/2 clinical trial. Even if the side effects do not preclude the monotherapy or the combination products from obtaining or maintaining regulatory approval, undesirable side effects may inhibit market acceptance of the approved combination products due to their tolerability versus other therapies. Any of these developments could materially harm our business, operating results, financial condition and prospects.</w:t>
      </w:r>
    </w:p>
    <w:p>
      <w:pPr>
        <w:spacing w:after="0" w:line="188"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67" w:lineRule="exact"/>
        <w:rPr>
          <w:sz w:val="20"/>
          <w:szCs w:val="20"/>
          <w:color w:val="auto"/>
        </w:rPr>
      </w:pPr>
    </w:p>
    <w:p>
      <w:pPr>
        <w:ind w:right="80" w:firstLine="576"/>
        <w:spacing w:after="0" w:line="261" w:lineRule="auto"/>
        <w:rPr>
          <w:sz w:val="20"/>
          <w:szCs w:val="20"/>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which may result in uncertainty regarding our current and future development efforts and ability to obtain regulatory approval for such candidates. We select programs for cancer driver targets based on what we believe are compelling biological rationales. We explore new programs based on extensive preclinical data analysis which sometimes cannot predict efficacy or safety in humans.</w:t>
      </w:r>
    </w:p>
    <w:p>
      <w:pPr>
        <w:spacing w:after="0" w:line="99"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Some of our product candidates utilize novel binding locations, which may result in greater research and development expenses, regulatory issues that could delay or prevent drug candidate development and approval, or discovery of unknown or unanticipated adverse effects. We utilize structural biology in tight integration with our medicinal chemistry and biology capabilities to predict and design the compounds that we believe will achieve the most desirable characteristics, including potency, selectivity, bioavailability, and drug-like properties. A disruption in any of these capabilities may have significant adverse effects in our ability to expand our pipeline of product candidates, and we cannot predict whether we will continue to have access to these capabilities in the future to support our pipeline development. In addition, there can be no assurance that we will be able to identify, design and synthesize the necessary compounds or that these or other problems related to the development of product candidates will not arise in the future, which may cause significant delays or raise problems we may not be able to resolve.</w:t>
      </w:r>
    </w:p>
    <w:p>
      <w:pPr>
        <w:spacing w:after="0" w:line="138"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and to identify clinical trial investigators to use our product candidates in trials. If our inhibitors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Any such events could adversely impact our business prospects, operating results and financial condition.</w:t>
      </w:r>
    </w:p>
    <w:p>
      <w:pPr>
        <w:spacing w:after="0" w:line="19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clinical trials for our product candidates outside the United States, and the FDA and comparable foreign regulatory authorities may not accept data from such trials.</w:t>
      </w:r>
    </w:p>
    <w:p>
      <w:pPr>
        <w:spacing w:after="0" w:line="51"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We currently conduct certain clinical trials outside the United States, and expect we will continue to do so in the future, and these jurisdictions may include countries in Europe, Asia, Australia or other foreign jurisdictions. For example, we are conducting clinical trials for vopimetostat in France and Spain and anticipate expanding to additional geographies for our upcoming pivotal trial. The acceptance of trial data from clinical trials conducted outside the United States by the FDA, or comparable foreign regulatory authorities,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pursuant to Good Clinical Practices, or GCP, regulations; and (iii) the data may be considered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50" w:name="page51"/>
    <w:bookmarkEnd w:id="50"/>
    <w:p>
      <w:pPr>
        <w:spacing w:after="0" w:line="254" w:lineRule="auto"/>
        <w:rPr>
          <w:sz w:val="20"/>
          <w:szCs w:val="20"/>
          <w:color w:val="auto"/>
        </w:rPr>
      </w:pPr>
      <w:r>
        <w:rPr>
          <w:rFonts w:ascii="Times New Roman" w:cs="Times New Roman" w:eastAsia="Times New Roman" w:hAnsi="Times New Roman"/>
          <w:sz w:val="18"/>
          <w:szCs w:val="18"/>
          <w:color w:val="auto"/>
        </w:rPr>
        <w:t>valid without the need for an on-site inspection by the FDA, or if the FDA considers such inspection to be necessary, the FDA is able to validate the data through on-site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approval being significantly delayed, or not receiving regulatory approval or clearance for commercialization in the applicable jurisdiction.</w:t>
      </w:r>
    </w:p>
    <w:p>
      <w:pPr>
        <w:spacing w:after="0" w:line="18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identify viable new product candidates for clinical development for a number of reasons. If we fail to identify additional product candidates, our business could be materially harmed.</w:t>
      </w:r>
    </w:p>
    <w:p>
      <w:pPr>
        <w:spacing w:after="0" w:line="51" w:lineRule="exact"/>
        <w:rPr>
          <w:sz w:val="20"/>
          <w:szCs w:val="20"/>
          <w:color w:val="auto"/>
        </w:rPr>
      </w:pPr>
    </w:p>
    <w:p>
      <w:pPr>
        <w:ind w:right="60" w:firstLine="584"/>
        <w:spacing w:after="0" w:line="258" w:lineRule="auto"/>
        <w:rPr>
          <w:sz w:val="20"/>
          <w:szCs w:val="20"/>
          <w:color w:val="auto"/>
        </w:rPr>
      </w:pPr>
      <w:r>
        <w:rPr>
          <w:rFonts w:ascii="Times New Roman" w:cs="Times New Roman" w:eastAsia="Times New Roman" w:hAnsi="Times New Roman"/>
          <w:sz w:val="18"/>
          <w:szCs w:val="18"/>
          <w:color w:val="auto"/>
        </w:rPr>
        <w:t>The ongoing success of businesses in the biopharmaceutical industry depends, to a large extent, on the ability to continue to introduce new products, especially as exclusivity rights to approved therapies or in certain indications expire. Research programs to pursue the development of our existing and planned product candidates for new or additional indications and to identify new product candidates and disease targets require substantial technical, financial and human resources whether or not they are ultimately successful. Our target screening technology and research programs may fail to yield potential products for clinical development for a number of reasons, including:</w:t>
      </w:r>
    </w:p>
    <w:p>
      <w:pPr>
        <w:spacing w:after="0" w:line="75" w:lineRule="exact"/>
        <w:rPr>
          <w:sz w:val="20"/>
          <w:szCs w:val="20"/>
          <w:color w:val="auto"/>
        </w:rPr>
      </w:pPr>
    </w:p>
    <w:p>
      <w:pPr>
        <w:ind w:left="760" w:right="80" w:firstLine="230"/>
        <w:spacing w:after="0" w:line="261" w:lineRule="auto"/>
        <w:rPr>
          <w:sz w:val="20"/>
          <w:szCs w:val="20"/>
          <w:color w:val="auto"/>
        </w:rPr>
      </w:pPr>
      <w:r>
        <w:rPr>
          <w:rFonts w:ascii="Times New Roman" w:cs="Times New Roman" w:eastAsia="Times New Roman" w:hAnsi="Times New Roman"/>
          <w:sz w:val="18"/>
          <w:szCs w:val="18"/>
          <w:color w:val="auto"/>
        </w:rPr>
        <w:t>the research methodology used may not be successful in identifying potential indications and/or product candidates (or the development of a chemical compound or formulation that has the desired safety and efficacy cannot be developed);</w:t>
      </w:r>
    </w:p>
    <w:p>
      <w:pPr>
        <w:ind w:left="760" w:right="120" w:firstLine="230"/>
        <w:spacing w:after="0" w:line="250" w:lineRule="auto"/>
        <w:rPr>
          <w:sz w:val="20"/>
          <w:szCs w:val="20"/>
          <w:color w:val="auto"/>
        </w:rPr>
      </w:pPr>
      <w:r>
        <w:rPr>
          <w:rFonts w:ascii="Times New Roman" w:cs="Times New Roman" w:eastAsia="Times New Roman" w:hAnsi="Times New Roman"/>
          <w:sz w:val="18"/>
          <w:szCs w:val="18"/>
          <w:color w:val="auto"/>
        </w:rPr>
        <w:t>potential product candidates may, after further study, be shown to have harmful adverse effects or other characteristics that indicate they are unlikely to be effective products; or</w:t>
      </w:r>
    </w:p>
    <w:p>
      <w:pPr>
        <w:ind w:left="760" w:right="80" w:firstLine="230"/>
        <w:spacing w:after="0" w:line="255" w:lineRule="auto"/>
        <w:rPr>
          <w:sz w:val="20"/>
          <w:szCs w:val="20"/>
          <w:color w:val="auto"/>
        </w:rPr>
      </w:pPr>
      <w:r>
        <w:rPr>
          <w:rFonts w:ascii="Times New Roman" w:cs="Times New Roman" w:eastAsia="Times New Roman" w:hAnsi="Times New Roman"/>
          <w:sz w:val="18"/>
          <w:szCs w:val="18"/>
          <w:color w:val="auto"/>
        </w:rPr>
        <w:t>it may take greater human and financial resources than we possess to identify additional therapeutic opportunities for our product candidates or to develop suitable potential product candidates through internal research programs, thereby limiting our ability to develop, diversify and expand our potential product portfolio.</w:t>
      </w:r>
    </w:p>
    <w:p>
      <w:pPr>
        <w:spacing w:after="0" w:line="186" w:lineRule="exact"/>
        <w:rPr>
          <w:sz w:val="20"/>
          <w:szCs w:val="20"/>
          <w:color w:val="auto"/>
        </w:rPr>
      </w:pPr>
    </w:p>
    <w:p>
      <w:pPr>
        <w:ind w:right="60" w:firstLine="576"/>
        <w:spacing w:after="0" w:line="261" w:lineRule="auto"/>
        <w:rPr>
          <w:sz w:val="20"/>
          <w:szCs w:val="20"/>
          <w:color w:val="auto"/>
        </w:rPr>
      </w:pPr>
      <w:r>
        <w:rPr>
          <w:rFonts w:ascii="Times New Roman" w:cs="Times New Roman" w:eastAsia="Times New Roman" w:hAnsi="Times New Roman"/>
          <w:sz w:val="18"/>
          <w:szCs w:val="18"/>
          <w:color w:val="auto"/>
        </w:rPr>
        <w:t>Because we have limited financial and human resources, we intend to initially focus on research programs and product candidates for a limited set of indications. As a result, we may forego or delay pursuit of opportunities of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180" w:lineRule="exact"/>
        <w:rPr>
          <w:sz w:val="20"/>
          <w:szCs w:val="20"/>
          <w:color w:val="auto"/>
        </w:rPr>
      </w:pPr>
    </w:p>
    <w:p>
      <w:pPr>
        <w:ind w:right="240" w:firstLine="576"/>
        <w:spacing w:after="0" w:line="282" w:lineRule="auto"/>
        <w:rPr>
          <w:sz w:val="20"/>
          <w:szCs w:val="20"/>
          <w:color w:val="auto"/>
        </w:rPr>
      </w:pPr>
      <w:r>
        <w:rPr>
          <w:rFonts w:ascii="Times New Roman" w:cs="Times New Roman" w:eastAsia="Times New Roman" w:hAnsi="Times New Roman"/>
          <w:sz w:val="18"/>
          <w:szCs w:val="18"/>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w:t>
      </w:r>
    </w:p>
    <w:p>
      <w:pPr>
        <w:spacing w:after="0" w:line="158" w:lineRule="exact"/>
        <w:rPr>
          <w:sz w:val="20"/>
          <w:szCs w:val="20"/>
          <w:color w:val="auto"/>
        </w:rPr>
      </w:pPr>
    </w:p>
    <w:p>
      <w:pPr>
        <w:jc w:val="both"/>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51"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Although we received FDA clearance of five of our IND applications for each of TNG908, vopimetostat, TNG260, TNG348, and TNG456, we have since discontinued development in TNG348 and TNG908.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pharmacokinetics, side effects, toxicities or other characteristics that may preclude our obtaining regulatory approval or prevent or limit commercial use. In addition, regulatory</w:t>
      </w:r>
    </w:p>
    <w:p>
      <w:pPr>
        <w:spacing w:after="0" w:line="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51" w:name="page52"/>
    <w:bookmarkEnd w:id="51"/>
    <w:p>
      <w:pPr>
        <w:ind w:right="180"/>
        <w:spacing w:after="0" w:line="266" w:lineRule="auto"/>
        <w:rPr>
          <w:sz w:val="20"/>
          <w:szCs w:val="20"/>
          <w:color w:val="auto"/>
        </w:rPr>
      </w:pPr>
      <w:r>
        <w:rPr>
          <w:rFonts w:ascii="Times New Roman" w:cs="Times New Roman" w:eastAsia="Times New Roman" w:hAnsi="Times New Roman"/>
          <w:sz w:val="18"/>
          <w:szCs w:val="18"/>
          <w:color w:val="auto"/>
        </w:rPr>
        <w:t>authorities may find fault with our manufacturing process or facilities or that of third-party contract manufacturers. We and our third-party manufacturers that we expect to rely on for commercial production of our therapies, if approved, may also face greater than expected difficulty in manufacturing our product candidates.</w:t>
      </w:r>
    </w:p>
    <w:p>
      <w:pPr>
        <w:spacing w:after="0" w:line="68" w:lineRule="exact"/>
        <w:rPr>
          <w:sz w:val="20"/>
          <w:szCs w:val="20"/>
          <w:color w:val="auto"/>
        </w:rPr>
      </w:pPr>
    </w:p>
    <w:p>
      <w:pPr>
        <w:ind w:right="180" w:firstLine="584"/>
        <w:spacing w:after="0" w:line="254"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United States and foreign jurisdictions,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premarket approval application, or PMA, or equivalent application types, may cause delays in the approval or rejection of an application. The FDA and comparable foreign regulatory authorities have substantial discretion in the approval process and may refuse to accept any application or may decide that our data are insufficient for approval and require additional preclinical, clinical or other studies. Our product candidates could be delayed in receiving, or fail to receive, regulatory approval for many reasons, including the following:</w:t>
      </w:r>
    </w:p>
    <w:p>
      <w:pPr>
        <w:spacing w:after="0" w:line="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sz w:val="20"/>
          <w:szCs w:val="20"/>
          <w:color w:val="auto"/>
        </w:rPr>
      </w:pPr>
    </w:p>
    <w:p>
      <w:pPr>
        <w:ind w:left="760" w:right="160" w:firstLine="230"/>
        <w:spacing w:after="0" w:line="282" w:lineRule="auto"/>
        <w:rPr>
          <w:sz w:val="20"/>
          <w:szCs w:val="20"/>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 or a related companion diagnostic is suitable to identify appropriate patient populations;</w:t>
      </w:r>
    </w:p>
    <w:p>
      <w:pPr>
        <w:spacing w:after="0" w:line="53" w:lineRule="exact"/>
        <w:rPr>
          <w:sz w:val="20"/>
          <w:szCs w:val="20"/>
          <w:color w:val="auto"/>
        </w:rPr>
      </w:pPr>
    </w:p>
    <w:p>
      <w:pPr>
        <w:ind w:left="760" w:right="60" w:firstLine="230"/>
        <w:spacing w:after="0" w:line="282" w:lineRule="auto"/>
        <w:rPr>
          <w:sz w:val="20"/>
          <w:szCs w:val="20"/>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sz w:val="20"/>
          <w:szCs w:val="20"/>
          <w:color w:val="auto"/>
        </w:rPr>
      </w:pPr>
    </w:p>
    <w:p>
      <w:pPr>
        <w:ind w:left="760" w:right="780" w:firstLine="230"/>
        <w:spacing w:after="0" w:line="282" w:lineRule="auto"/>
        <w:rPr>
          <w:sz w:val="20"/>
          <w:szCs w:val="20"/>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53" w:lineRule="exact"/>
        <w:rPr>
          <w:sz w:val="20"/>
          <w:szCs w:val="20"/>
          <w:color w:val="auto"/>
        </w:rPr>
      </w:pPr>
    </w:p>
    <w:p>
      <w:pPr>
        <w:ind w:left="760" w:firstLine="230"/>
        <w:spacing w:after="0" w:line="282" w:lineRule="auto"/>
        <w:rPr>
          <w:sz w:val="20"/>
          <w:szCs w:val="20"/>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w:t>
      </w:r>
    </w:p>
    <w:p>
      <w:pPr>
        <w:spacing w:after="0" w:line="53" w:lineRule="exact"/>
        <w:rPr>
          <w:sz w:val="20"/>
          <w:szCs w:val="20"/>
          <w:color w:val="auto"/>
        </w:rPr>
      </w:pPr>
    </w:p>
    <w:p>
      <w:pPr>
        <w:ind w:left="760" w:right="220" w:firstLine="230"/>
        <w:spacing w:after="0" w:line="282" w:lineRule="auto"/>
        <w:rPr>
          <w:sz w:val="20"/>
          <w:szCs w:val="20"/>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such that our clinical data are insufficient for approval; and</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due to the factors identified above in this and other risk factors;</w:t>
      </w:r>
    </w:p>
    <w:p>
      <w:pPr>
        <w:spacing w:after="0" w:line="225" w:lineRule="exact"/>
        <w:rPr>
          <w:sz w:val="20"/>
          <w:szCs w:val="20"/>
          <w:color w:val="auto"/>
        </w:rPr>
      </w:pPr>
    </w:p>
    <w:p>
      <w:pPr>
        <w:ind w:right="260" w:firstLine="576"/>
        <w:spacing w:after="0" w:line="256" w:lineRule="auto"/>
        <w:rPr>
          <w:sz w:val="20"/>
          <w:szCs w:val="20"/>
          <w:color w:val="auto"/>
        </w:rPr>
      </w:pPr>
      <w:r>
        <w:rPr>
          <w:rFonts w:ascii="Times New Roman" w:cs="Times New Roman" w:eastAsia="Times New Roman" w:hAnsi="Times New Roman"/>
          <w:sz w:val="18"/>
          <w:szCs w:val="18"/>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or may require extensive health economics and outcomes analysis to determine if the product candidate provides health outcomes consistent with the costs of the therapy. Any of the foregoing scenarios could materially harm the commercial prospects for our product candidates.</w:t>
      </w:r>
    </w:p>
    <w:p>
      <w:pPr>
        <w:spacing w:after="0" w:line="187" w:lineRule="exact"/>
        <w:rPr>
          <w:sz w:val="20"/>
          <w:szCs w:val="20"/>
          <w:color w:val="auto"/>
        </w:rPr>
      </w:pPr>
    </w:p>
    <w:p>
      <w:pPr>
        <w:ind w:right="760" w:firstLine="576"/>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158" w:lineRule="exact"/>
        <w:rPr>
          <w:sz w:val="20"/>
          <w:szCs w:val="20"/>
          <w:color w:val="auto"/>
        </w:rPr>
      </w:pPr>
    </w:p>
    <w:p>
      <w:pPr>
        <w:ind w:right="4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Public health crises, such as a pandemic, epidemic, or outbreak of an infectious disease, may materially and adversely affect our business and our financial results and could cause a disruption to the development of our product candidates and the initiation and completion of clinical trials.</w:t>
      </w:r>
    </w:p>
    <w:p>
      <w:pPr>
        <w:spacing w:after="0" w:line="28" w:lineRule="exact"/>
        <w:rPr>
          <w:sz w:val="20"/>
          <w:szCs w:val="20"/>
          <w:color w:val="auto"/>
        </w:rPr>
      </w:pPr>
    </w:p>
    <w:p>
      <w:pPr>
        <w:ind w:right="120" w:firstLine="576"/>
        <w:spacing w:after="0" w:line="254"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such as COVID-19, could adversely impact our business. The extent to which pandemics or epidemics impacts our operations or those of our third-party partners, including our preclinical studies and clinical trial operations, will depend on future developments, which are highly uncertain and cannot be predicted with confidence and could adversely impact our preclinical or current and future clinical trial operations in the United States and foreign jurisdictions, including our ability to recruit and retain patients and principal investigators and site staff who, as healthcare providers, may have heightened exposure to pandemics or epidemics if an outbreak occurs in their geography. For example, similar to other biopharmaceutical companies, we may experience delays in initiating IND-enabling studies, protocol deviations, delays in enrolling our clinical trials, or dosing of patients in our clinical trials as well as in activating new trial sites. Epidemic or pandemics, such as COVID-19, may also affect employees of third-party CROs located</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ind w:right="100"/>
        <w:spacing w:after="0" w:line="261" w:lineRule="auto"/>
        <w:rPr>
          <w:sz w:val="20"/>
          <w:szCs w:val="20"/>
          <w:color w:val="auto"/>
        </w:rPr>
      </w:pPr>
      <w:r>
        <w:rPr>
          <w:rFonts w:ascii="Times New Roman" w:cs="Times New Roman" w:eastAsia="Times New Roman" w:hAnsi="Times New Roman"/>
          <w:sz w:val="18"/>
          <w:szCs w:val="18"/>
          <w:color w:val="auto"/>
        </w:rPr>
        <w:t>in affected geographies that we expect that we will rely upon to carry out our clinical trials. Any negative impact that a pandemic or epidemic has on patient enrollment or treatment or the execution of clinical trials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80" w:lineRule="exact"/>
        <w:rPr>
          <w:sz w:val="20"/>
          <w:szCs w:val="20"/>
          <w:color w:val="auto"/>
        </w:rPr>
      </w:pPr>
    </w:p>
    <w:p>
      <w:pPr>
        <w:ind w:right="140" w:firstLine="576"/>
        <w:spacing w:after="0" w:line="282" w:lineRule="auto"/>
        <w:rPr>
          <w:sz w:val="20"/>
          <w:szCs w:val="20"/>
          <w:color w:val="auto"/>
        </w:rPr>
      </w:pPr>
      <w:r>
        <w:rPr>
          <w:rFonts w:ascii="Times New Roman" w:cs="Times New Roman" w:eastAsia="Times New Roman" w:hAnsi="Times New Roman"/>
          <w:sz w:val="18"/>
          <w:szCs w:val="18"/>
          <w:color w:val="auto"/>
        </w:rPr>
        <w:t>Additionally, timely enrollment in planned clinical trials and the reporting of clinical trial results is dependent upon clinical trial sites which could be adversely affected by global health matters, such as pandemics.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60" w:firstLine="576"/>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products in the biopharmaceutical and related industries is highly competitive. We compete in the segments of the pharmaceutical, biotechnology, and other related markets that address structural biology-guided chemistry-based drug design to develop therapies in the fields of cancer and genetic diseases. There are many other companies focusing on precision oncology to develop therapies in the fields of cancer and other diseases. Specifically, with respect to vopimetostat and TNG456, we are aware that Bristol Myers Squibb (which acquired Mirati), Amgen, AstraZeneca, BeOne and Abbisko each have a clinical MTA-cooperative PRMT5 inhibitor program that have commenced clinical trials, using the same mechanism of action as vopimetostat and TNG456. Other companies have announced PRMT5 inhibitor programs, including Gilead Sciences and IDEAYA Biosciences, and they may initiate clinical trials in the near future. Additionally, there are other indirect competitors running clinical trials in the PRMT5 inhibition space, including IDEAYA Biosciences, BeOne, Insilico Medicine and Servier Pharmaceuticals, which each have clinical MAT2A inhibitor programs.</w:t>
      </w:r>
    </w:p>
    <w:p>
      <w:pPr>
        <w:spacing w:after="0" w:line="80" w:lineRule="exact"/>
        <w:rPr>
          <w:sz w:val="20"/>
          <w:szCs w:val="20"/>
          <w:color w:val="auto"/>
        </w:rPr>
      </w:pPr>
    </w:p>
    <w:p>
      <w:pPr>
        <w:jc w:val="both"/>
        <w:ind w:right="240" w:firstLine="576"/>
        <w:spacing w:after="0" w:line="266" w:lineRule="auto"/>
        <w:rPr>
          <w:sz w:val="20"/>
          <w:szCs w:val="20"/>
          <w:color w:val="auto"/>
        </w:rPr>
      </w:pPr>
      <w:r>
        <w:rPr>
          <w:rFonts w:ascii="Times New Roman" w:cs="Times New Roman" w:eastAsia="Times New Roman" w:hAnsi="Times New Roman"/>
          <w:sz w:val="18"/>
          <w:szCs w:val="18"/>
          <w:color w:val="auto"/>
        </w:rPr>
        <w:t>We are not aware of any direct competition from other companies developing a similar mechanism as TNG260, our CoREST inhibitor program. Indirect competition may come from LSD1 inhibitor programs that target a different class of HDAC inhibitors than TNG260. We are aware that Jubilant Therapeutics has a LSD1-HDAC6 clinical program.</w:t>
      </w:r>
    </w:p>
    <w:p>
      <w:pPr>
        <w:spacing w:after="0" w:line="176"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All of our programs also compete more broadly across the market for cost-effective and reimbursable cancer treatments. Some of these competitive products and therapies are based on scientific approaches that are the same as or similar to our approach (as noted above), and others are based on entirely different approaches. These companies include divisions of large pharmaceutical companies and biotechnology companies of various sizes, such as Amgen, AstraZeneca, and Bristol Myers Squibb. We face competition with respect to our current product candidates, and expect that we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92" w:lineRule="exact"/>
        <w:rPr>
          <w:sz w:val="20"/>
          <w:szCs w:val="20"/>
          <w:color w:val="auto"/>
        </w:rPr>
      </w:pPr>
    </w:p>
    <w:p>
      <w:pPr>
        <w:ind w:right="80" w:firstLine="576"/>
        <w:spacing w:after="0" w:line="255"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currently approved therapies and new therapies that may become available in the future from segments of the pharmaceutical, biotechnology and other related markets. We believe principal competitive factors to our business include, among other things, our ability to identify biomarkers and third-party genetic and other screening services that include the applicable biomarkers in their test panels, ability to successfully transition research programs into clinical development, and the scalability of the platform, pipeline, and business. The key competitive factors affecting the success of all of our product candidates, if approved, are likely to be their efficacy, safety, convenience, price, level of generic competition and novel competition that utilize the same or similar mechanism of action and availability of reimbursement from government and other third-party payors.</w:t>
      </w:r>
    </w:p>
    <w:p>
      <w:pPr>
        <w:spacing w:after="0" w:line="189" w:lineRule="exact"/>
        <w:rPr>
          <w:sz w:val="20"/>
          <w:szCs w:val="20"/>
          <w:color w:val="auto"/>
        </w:rPr>
      </w:pPr>
    </w:p>
    <w:p>
      <w:pPr>
        <w:ind w:right="40" w:firstLine="576"/>
        <w:spacing w:after="0" w:line="255" w:lineRule="auto"/>
        <w:rPr>
          <w:sz w:val="20"/>
          <w:szCs w:val="20"/>
          <w:color w:val="auto"/>
        </w:rPr>
      </w:pPr>
      <w:r>
        <w:rPr>
          <w:rFonts w:ascii="Times New Roman" w:cs="Times New Roman" w:eastAsia="Times New Roman" w:hAnsi="Times New Roman"/>
          <w:sz w:val="18"/>
          <w:szCs w:val="18"/>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promoting and selling approved products than we do. Mergers and acquisitions in the pharmaceutical, biotechnology and diagnostic industries may result in even more resources being concentrated among a smaller number of our competitors, such as the acquisition of Mirati by Bristol Myers Squibb.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ind w:right="140" w:firstLine="576"/>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(if any) may develop. Our competitors also may obtain FDA or other regulatory approval for their products sooner than we may obtain approval for ours, which could result in our competitors establishing a strong market position before we or our collaborators (if any) are able to enter the market.</w:t>
      </w:r>
    </w:p>
    <w:p>
      <w:pPr>
        <w:spacing w:after="0" w:line="20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will be adversely affected, possibly materially.</w:t>
      </w:r>
    </w:p>
    <w:p>
      <w:pPr>
        <w:spacing w:after="0" w:line="51"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The incidence and prevalence for the target patient populations of our programs and product candidates have not been established with precision. Vopimetostat and TNG456 are both oral small molecule inhibitors of PRMT5. We are developing vopimetostat for the treatment of patients with solid tumors with MTAP deletion, a genetic alteration that occurs in 10% to 15% of all human tumors, with a particular focus on pancreatic and lung cancer. Our next generation, brain-penetrant PRMT5 product candidate is TNG456. Since TNG456 crosses the blood-brain barrier in preclinical non-human primate models, our development program has a particular focus on patients with GBM. Additionally, TNG260 is a first-in-class, CoREST inhibitor, which reverses the immune evasion effect of STK11 loss-of-function mutations. STK11 loss-of-function mutations are a genetic alteration in approximately 20% of lung, 15% of cervical, 10% carcinoma of unknown primary, 5% of breast and 3% of pancreatic cancers. We are also currently or planning to run clinical trials of vopimetostat in combination with multiple different compounds, including RevMed’s RAS(ON) inhibitors and Erasca's pan-RAS molecular glue. Our projections of both the number of people who have these diseases, as well as the subset of people with these diseases who have the potential to benefit from treatment with our product candidates, are based on our and third parties' estimates.</w:t>
      </w:r>
    </w:p>
    <w:p>
      <w:pPr>
        <w:spacing w:after="0" w:line="194" w:lineRule="exact"/>
        <w:rPr>
          <w:sz w:val="20"/>
          <w:szCs w:val="20"/>
          <w:color w:val="auto"/>
        </w:rPr>
      </w:pPr>
    </w:p>
    <w:p>
      <w:pPr>
        <w:ind w:right="60" w:firstLine="576"/>
        <w:spacing w:after="0" w:line="255" w:lineRule="auto"/>
        <w:rPr>
          <w:sz w:val="20"/>
          <w:szCs w:val="20"/>
          <w:color w:val="auto"/>
        </w:rPr>
      </w:pPr>
      <w:r>
        <w:rPr>
          <w:rFonts w:ascii="Times New Roman" w:cs="Times New Roman" w:eastAsia="Times New Roman" w:hAnsi="Times New Roman"/>
          <w:sz w:val="18"/>
          <w:szCs w:val="18"/>
          <w:color w:val="auto"/>
        </w:rPr>
        <w:t>The total addressable market opportunity will ultimately depend upon, among other things, the diagnosis criteria included in the final label (if approved for marketing), the indications for which our product candidates are approved for sale, acceptance by the medical community and patient access, product pricing and reimbursement. The number of patients with the cancers and solid tumors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capital, we must prioritize development of certain product candidates, which may prove to be the wrong choice and may adversely affect our business.</w:t>
      </w:r>
    </w:p>
    <w:p>
      <w:pPr>
        <w:spacing w:after="0" w:line="18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current product candidates or any future product candidates do not achieve broad market acceptance, the revenue that we generate from their sales may be limited, and we may never become profitable.</w:t>
      </w:r>
    </w:p>
    <w:p>
      <w:pPr>
        <w:spacing w:after="0" w:line="51"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certain precision oncology product candidates or immunotherapies and targeted therapies are unsafe, whether related to our or our competitors’ products, our potential future products may not be accepted by the general public or the medical community. Future adverse events in precision oncology, immuno-oncology or the biopharmaceutical industry could also result in greater governmental regulation, stricter labeling requirements and potential regulatory delays in the testing or approvals of our product candidates.</w:t>
      </w:r>
    </w:p>
    <w:p>
      <w:pPr>
        <w:spacing w:after="0" w:line="124" w:lineRule="exact"/>
        <w:rPr>
          <w:sz w:val="20"/>
          <w:szCs w:val="20"/>
          <w:color w:val="auto"/>
        </w:rPr>
      </w:pPr>
    </w:p>
    <w:p>
      <w:pPr>
        <w:ind w:right="20" w:firstLine="584"/>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which will depend on a number of factors, we could be prevented from or significantly delayed in achieving profitability.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continue to rely, on third parties to conduct our clinical trials. If these third parties do not successfully carry out their contractual duties, comply with regulatory requirements or meet expected deadlines, we may</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not be able to obtain regulatory approval for or commercialize our product candidates and our business could be substantially harmed.</w:t>
      </w:r>
    </w:p>
    <w:p>
      <w:pPr>
        <w:spacing w:after="0" w:line="121"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currently rely, and expect to continue to rely, on medical institutions, clinical investigators, contract laboratories and other third parties, such as CROs, to conduct or otherwise support clinical trials for our product candidates, including our current and future Phase 1/2 clinical trials of vopimetostat (as a monotherapy and in combination), TNG260 and TNG456, and for any other product candidates that emerge from our precision oncology programs. We may also rely on academic and private non-academic institutions to conduct and sponsor clinical trials relating to our product candidates.</w:t>
      </w:r>
    </w:p>
    <w:p>
      <w:pPr>
        <w:spacing w:after="0" w:line="75"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Since we rely on third parties for the execution of clinical trials for our product candidates, we control only certain aspects of their activities that will be important for the conduct of the trial (and such control that we do exercise may be based on contractual provisions that may be breached by the third-party). For example, for the Phase 1/2 clinical trials of vopimetostat, TNG456 and TNG260, we are and will rely on the same CRO for the conduct of each of these trials and, depending on the trial, one or a very limited number of manufacturers to manufacture the study drug to be used during the course of the trials. We are responsible for ensuring that each of our clinical trials is conducted and the applicable study drug is manufactured in accordance with the applicable protocol, legal and regulatory requirements and scientific standards, and our reliance on a CRO or CDMO will not relieve us of our regulatory responsibilities. For any violations of laws and regulations during the conduct of our clinical trials, we could be subject to warning letters or enforcement action that may include civil penalties, suspension/hold or termination of trials and other penalties up to and including criminal prosecution.</w:t>
      </w:r>
    </w:p>
    <w:p>
      <w:pPr>
        <w:spacing w:after="0" w:line="124" w:lineRule="exact"/>
        <w:rPr>
          <w:sz w:val="20"/>
          <w:szCs w:val="20"/>
          <w:color w:val="auto"/>
        </w:rPr>
      </w:pPr>
    </w:p>
    <w:p>
      <w:pPr>
        <w:ind w:right="120" w:firstLine="576"/>
        <w:spacing w:after="0" w:line="253" w:lineRule="auto"/>
        <w:rPr>
          <w:sz w:val="20"/>
          <w:szCs w:val="20"/>
          <w:color w:val="auto"/>
        </w:rPr>
      </w:pPr>
      <w:r>
        <w:rPr>
          <w:rFonts w:ascii="Times New Roman" w:cs="Times New Roman" w:eastAsia="Times New Roman" w:hAnsi="Times New Roman"/>
          <w:sz w:val="18"/>
          <w:szCs w:val="18"/>
          <w:color w:val="auto"/>
        </w:rPr>
        <w:t>We, our principal investigators and our CROs are required to comply with regulations, including cGCP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products in clinical development. The FDA enforces GCP regulations through periodic inspections of clinical trial sponsors, principal investigators and trial sites. If we, our principal investigators, clinical trial site staff or our CROs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current or future clinical trials will comply with GCP. In addition, our clinical trials generally must be conducted with product candidates produced under cGMP regulations. Our failure or the failure of our principal investigators, third party manufacturers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06" w:lineRule="exact"/>
        <w:rPr>
          <w:sz w:val="20"/>
          <w:szCs w:val="20"/>
          <w:color w:val="auto"/>
        </w:rPr>
      </w:pPr>
    </w:p>
    <w:p>
      <w:pPr>
        <w:ind w:right="80" w:firstLine="576"/>
        <w:spacing w:after="0" w:line="255" w:lineRule="auto"/>
        <w:rPr>
          <w:sz w:val="20"/>
          <w:szCs w:val="20"/>
          <w:color w:val="auto"/>
        </w:rPr>
      </w:pPr>
      <w:r>
        <w:rPr>
          <w:rFonts w:ascii="Times New Roman" w:cs="Times New Roman" w:eastAsia="Times New Roman" w:hAnsi="Times New Roman"/>
          <w:sz w:val="18"/>
          <w:szCs w:val="18"/>
          <w:color w:val="auto"/>
        </w:rPr>
        <w:t>Although we have designed all of our current Phase 1/2 clinical trials and anticipate that we will design our pivotal trial, the operational details of these trials will be executed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 have staffing difficulties, fail to comply with contractual obligations, experience regulatory compliance issues, undergo changes in priorities or become financially distressed or form relationships with other entities, some of which may be our competitors.</w:t>
      </w:r>
    </w:p>
    <w:p>
      <w:pPr>
        <w:spacing w:after="0" w:line="189" w:lineRule="exact"/>
        <w:rPr>
          <w:sz w:val="20"/>
          <w:szCs w:val="20"/>
          <w:color w:val="auto"/>
        </w:rPr>
      </w:pPr>
    </w:p>
    <w:p>
      <w:pPr>
        <w:ind w:right="100" w:firstLine="576"/>
        <w:spacing w:after="0" w:line="277" w:lineRule="auto"/>
        <w:rPr>
          <w:sz w:val="20"/>
          <w:szCs w:val="20"/>
          <w:color w:val="auto"/>
        </w:rPr>
      </w:pPr>
      <w:r>
        <w:rPr>
          <w:rFonts w:ascii="Times New Roman" w:cs="Times New Roman" w:eastAsia="Times New Roman" w:hAnsi="Times New Roman"/>
          <w:sz w:val="17"/>
          <w:szCs w:val="17"/>
          <w:color w:val="auto"/>
        </w:rPr>
        <w:t>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clinical trial site staff or CROs, we could be required to repeat, extend the duration of, or increase the size of any clinical trials we conduct and this could significantly delay commercialization and require significantly greater expenditures.</w:t>
      </w:r>
    </w:p>
    <w:p>
      <w:pPr>
        <w:spacing w:after="0" w:line="168" w:lineRule="exact"/>
        <w:rPr>
          <w:sz w:val="20"/>
          <w:szCs w:val="20"/>
          <w:color w:val="auto"/>
        </w:rPr>
      </w:pPr>
    </w:p>
    <w:p>
      <w:pPr>
        <w:ind w:right="120" w:firstLine="576"/>
        <w:spacing w:after="0" w:line="261" w:lineRule="auto"/>
        <w:rPr>
          <w:sz w:val="20"/>
          <w:szCs w:val="20"/>
          <w:color w:val="auto"/>
        </w:rPr>
      </w:pPr>
      <w:r>
        <w:rPr>
          <w:rFonts w:ascii="Times New Roman" w:cs="Times New Roman" w:eastAsia="Times New Roman" w:hAnsi="Times New Roman"/>
          <w:sz w:val="18"/>
          <w:szCs w:val="18"/>
          <w:color w:val="auto"/>
        </w:rPr>
        <w:t>If any of our relationships with these third-party principal investigators, clinical trial sites or CROs terminate, we may not be able to enter into arrangements with alternative investigators (or clinical trial sites) and CROs at all, or on terms that are acceptable to us. If principal investigators, sites or CROs do not successfully carry out their contractual obligations or meet expected deadlines, if they need to be replaced or if the quality or accuracy of the clinical data they obtain is compromised due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5" w:name="page56"/>
    <w:bookmarkEnd w:id="55"/>
    <w:p>
      <w:pPr>
        <w:ind w:right="100"/>
        <w:spacing w:after="0" w:line="258" w:lineRule="auto"/>
        <w:rPr>
          <w:sz w:val="20"/>
          <w:szCs w:val="20"/>
          <w:color w:val="auto"/>
        </w:rPr>
      </w:pPr>
      <w:r>
        <w:rPr>
          <w:rFonts w:ascii="Times New Roman" w:cs="Times New Roman" w:eastAsia="Times New Roman" w:hAnsi="Times New Roman"/>
          <w:sz w:val="18"/>
          <w:szCs w:val="18"/>
          <w:color w:val="auto"/>
        </w:rPr>
        <w:t>to the failure to adhere to our clinical protocols, regulatory requirements, failure to properly enter patient information into trial databases, or for other reasons, any clinical trials such principal investigators, sites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future revenue, if any, could be delayed.</w:t>
      </w:r>
    </w:p>
    <w:p>
      <w:pPr>
        <w:spacing w:after="0" w:line="179"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collaborations and we may seek to establish additional collaborations in the future, and we might not realize the anticipated benefits of such collaborations. If we are not able to establish additional collaborations on commercially reasonable terms, or at all, we may have to alter our development and commercialization plans.</w:t>
      </w:r>
    </w:p>
    <w:p>
      <w:pPr>
        <w:spacing w:after="0" w:line="67" w:lineRule="exact"/>
        <w:rPr>
          <w:sz w:val="20"/>
          <w:szCs w:val="20"/>
          <w:color w:val="auto"/>
        </w:rPr>
      </w:pPr>
    </w:p>
    <w:p>
      <w:pPr>
        <w:ind w:right="160" w:firstLine="584"/>
        <w:spacing w:after="0" w:line="266" w:lineRule="auto"/>
        <w:rPr>
          <w:sz w:val="20"/>
          <w:szCs w:val="20"/>
          <w:color w:val="auto"/>
        </w:rPr>
      </w:pPr>
      <w:r>
        <w:rPr>
          <w:rFonts w:ascii="Times New Roman" w:cs="Times New Roman" w:eastAsia="Times New Roman" w:hAnsi="Times New Roman"/>
          <w:sz w:val="18"/>
          <w:szCs w:val="18"/>
          <w:color w:val="auto"/>
        </w:rPr>
        <w:t>Our product development programs and the potential commercialization of our product candidates will require substantial additional cash to fund expenses. For some of our product candidates, we may decide to collaborate with other pharmaceutical and biotechnology companies, like our existing collaboration with Gilead, for the development and potential commercialization of those product candidates.</w:t>
      </w:r>
    </w:p>
    <w:p>
      <w:pPr>
        <w:spacing w:after="0" w:line="68"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as well as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80" w:lineRule="exact"/>
        <w:rPr>
          <w:sz w:val="20"/>
          <w:szCs w:val="20"/>
          <w:color w:val="auto"/>
        </w:rPr>
      </w:pPr>
    </w:p>
    <w:p>
      <w:pPr>
        <w:ind w:right="60" w:firstLine="584"/>
        <w:spacing w:after="0" w:line="266" w:lineRule="auto"/>
        <w:rPr>
          <w:sz w:val="20"/>
          <w:szCs w:val="20"/>
          <w:color w:val="auto"/>
        </w:rPr>
      </w:pPr>
      <w:r>
        <w:rPr>
          <w:rFonts w:ascii="Times New Roman" w:cs="Times New Roman" w:eastAsia="Times New Roman" w:hAnsi="Times New Roman"/>
          <w:sz w:val="18"/>
          <w:szCs w:val="18"/>
          <w:color w:val="auto"/>
        </w:rPr>
        <w:t>We may also be restricted under collaboration agreements from entering into future agreements on certain terms with other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68" w:lineRule="exact"/>
        <w:rPr>
          <w:sz w:val="20"/>
          <w:szCs w:val="20"/>
          <w:color w:val="auto"/>
        </w:rPr>
      </w:pPr>
    </w:p>
    <w:p>
      <w:pPr>
        <w:ind w:right="20" w:firstLine="584"/>
        <w:spacing w:after="0" w:line="255"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and it may be difficult to recruit and retain the expertise needed to launch and commercialize a new drug therapy. If we do not have sufficient funds, we may not be able to further develop our product candidates or bring them to market and generate product revenue.</w:t>
      </w:r>
    </w:p>
    <w:p>
      <w:pPr>
        <w:spacing w:after="0" w:line="81" w:lineRule="exact"/>
        <w:rPr>
          <w:sz w:val="20"/>
          <w:szCs w:val="20"/>
          <w:color w:val="auto"/>
        </w:rPr>
      </w:pPr>
    </w:p>
    <w:p>
      <w:pPr>
        <w:jc w:val="both"/>
        <w:ind w:right="120" w:firstLine="584"/>
        <w:spacing w:after="0" w:line="261" w:lineRule="auto"/>
        <w:rPr>
          <w:sz w:val="20"/>
          <w:szCs w:val="20"/>
          <w:color w:val="auto"/>
        </w:rPr>
      </w:pPr>
      <w:r>
        <w:rPr>
          <w:rFonts w:ascii="Times New Roman" w:cs="Times New Roman" w:eastAsia="Times New Roman" w:hAnsi="Times New Roman"/>
          <w:sz w:val="18"/>
          <w:szCs w:val="18"/>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Research, development, commercialization and/or strategic collaborations, including the existing collaboration that we have with Gilead, are subject to numerous risks that may impact the success of a collaboration, which include the following:</w:t>
      </w:r>
    </w:p>
    <w:p>
      <w:pPr>
        <w:spacing w:after="0" w:line="72" w:lineRule="exact"/>
        <w:rPr>
          <w:sz w:val="20"/>
          <w:szCs w:val="20"/>
          <w:color w:val="auto"/>
        </w:rPr>
      </w:pPr>
    </w:p>
    <w:p>
      <w:pPr>
        <w:ind w:left="760" w:right="240" w:firstLine="230"/>
        <w:spacing w:after="0" w:line="282" w:lineRule="auto"/>
        <w:rPr>
          <w:sz w:val="20"/>
          <w:szCs w:val="20"/>
          <w:color w:val="auto"/>
        </w:rPr>
      </w:pPr>
      <w:r>
        <w:rPr>
          <w:rFonts w:ascii="Times New Roman" w:cs="Times New Roman" w:eastAsia="Times New Roman" w:hAnsi="Times New Roman"/>
          <w:sz w:val="18"/>
          <w:szCs w:val="18"/>
          <w:color w:val="auto"/>
        </w:rPr>
        <w:t>collaborators may have significant control or discretion in determining the efforts and resources that they will apply to a collaboration, and might not commit sufficient efforts and resources or might misapply those efforts and resources;</w:t>
      </w:r>
    </w:p>
    <w:p>
      <w:pPr>
        <w:spacing w:after="0" w:line="53" w:lineRule="exact"/>
        <w:rPr>
          <w:sz w:val="20"/>
          <w:szCs w:val="20"/>
          <w:color w:val="auto"/>
        </w:rPr>
      </w:pPr>
    </w:p>
    <w:p>
      <w:pPr>
        <w:ind w:left="760" w:firstLine="230"/>
        <w:spacing w:after="0" w:line="282" w:lineRule="auto"/>
        <w:rPr>
          <w:sz w:val="20"/>
          <w:szCs w:val="20"/>
          <w:color w:val="auto"/>
        </w:rPr>
      </w:pPr>
      <w:r>
        <w:rPr>
          <w:rFonts w:ascii="Times New Roman" w:cs="Times New Roman" w:eastAsia="Times New Roman" w:hAnsi="Times New Roman"/>
          <w:sz w:val="18"/>
          <w:szCs w:val="18"/>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53" w:lineRule="exact"/>
        <w:rPr>
          <w:sz w:val="20"/>
          <w:szCs w:val="20"/>
          <w:color w:val="auto"/>
        </w:rPr>
      </w:pPr>
    </w:p>
    <w:p>
      <w:pPr>
        <w:ind w:left="760" w:right="200" w:firstLine="230"/>
        <w:spacing w:after="0" w:line="289" w:lineRule="auto"/>
        <w:rPr>
          <w:sz w:val="20"/>
          <w:szCs w:val="20"/>
          <w:color w:val="auto"/>
        </w:rPr>
      </w:pPr>
      <w:r>
        <w:rPr>
          <w:rFonts w:ascii="Times New Roman" w:cs="Times New Roman" w:eastAsia="Times New Roman" w:hAnsi="Times New Roman"/>
          <w:sz w:val="17"/>
          <w:szCs w:val="17"/>
          <w:color w:val="auto"/>
        </w:rPr>
        <w:t>collaborators might not pursue research, development and/or commercialization of collaboration product candidates or might elect not to continue or renew research, development and/or commercialization programs based on nonclinical and/or clinical trial results, changes in their strategic focus, availability of funding or other factors, such as a business combination that diverts resources or creates competing priorities;</w:t>
      </w:r>
    </w:p>
    <w:p>
      <w:pPr>
        <w:spacing w:after="0" w:line="49" w:lineRule="exact"/>
        <w:rPr>
          <w:sz w:val="20"/>
          <w:szCs w:val="20"/>
          <w:color w:val="auto"/>
        </w:rPr>
      </w:pPr>
    </w:p>
    <w:p>
      <w:pPr>
        <w:ind w:left="760" w:right="400" w:firstLine="230"/>
        <w:spacing w:after="0" w:line="282" w:lineRule="auto"/>
        <w:rPr>
          <w:sz w:val="20"/>
          <w:szCs w:val="20"/>
          <w:color w:val="auto"/>
        </w:rPr>
      </w:pPr>
      <w:r>
        <w:rPr>
          <w:rFonts w:ascii="Times New Roman" w:cs="Times New Roman" w:eastAsia="Times New Roman" w:hAnsi="Times New Roman"/>
          <w:sz w:val="18"/>
          <w:szCs w:val="18"/>
          <w:color w:val="auto"/>
        </w:rPr>
        <w:t>collaborators might delay, provide insufficient resources to, or modify or stop research or clinical development for collaboration product candidates or require a new formulation of a product candidate for clinical testing;</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56" w:name="page57"/>
    <w:bookmarkEnd w:id="56"/>
    <w:p>
      <w:pPr>
        <w:ind w:left="760" w:right="180" w:firstLine="230"/>
        <w:spacing w:after="0" w:line="282" w:lineRule="auto"/>
        <w:rPr>
          <w:sz w:val="20"/>
          <w:szCs w:val="20"/>
          <w:color w:val="auto"/>
        </w:rPr>
      </w:pPr>
      <w:r>
        <w:rPr>
          <w:rFonts w:ascii="Times New Roman" w:cs="Times New Roman" w:eastAsia="Times New Roman" w:hAnsi="Times New Roman"/>
          <w:sz w:val="18"/>
          <w:szCs w:val="18"/>
          <w:color w:val="auto"/>
        </w:rPr>
        <w:t>collaborators with sales, marketing and distribution rights to one or more product candidates might not commit sufficient resources to sales, marketing and distribution or might otherwise fail to successfully commercialize those collaboration product candidates;</w:t>
      </w:r>
    </w:p>
    <w:p>
      <w:pPr>
        <w:spacing w:after="0" w:line="53" w:lineRule="exact"/>
        <w:rPr>
          <w:sz w:val="20"/>
          <w:szCs w:val="20"/>
          <w:color w:val="auto"/>
        </w:rPr>
      </w:pPr>
    </w:p>
    <w:p>
      <w:pPr>
        <w:ind w:left="760" w:right="600" w:firstLine="230"/>
        <w:spacing w:after="0" w:line="282" w:lineRule="auto"/>
        <w:rPr>
          <w:sz w:val="20"/>
          <w:szCs w:val="20"/>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54" w:lineRule="exact"/>
        <w:rPr>
          <w:sz w:val="20"/>
          <w:szCs w:val="20"/>
          <w:color w:val="auto"/>
        </w:rPr>
      </w:pPr>
    </w:p>
    <w:p>
      <w:pPr>
        <w:ind w:left="760" w:right="160" w:hanging="3"/>
        <w:spacing w:after="0" w:line="282" w:lineRule="auto"/>
        <w:tabs>
          <w:tab w:leader="none" w:pos="8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might arise regarding the ownership of inventions and know-how resulting from the joint creation or use of either party's intellectual property in connection with the collaboration (or with other third-parties we engage in connection with sponsored research);</w:t>
      </w:r>
    </w:p>
    <w:p>
      <w:pPr>
        <w:spacing w:after="0" w:line="54" w:lineRule="exact"/>
        <w:rPr>
          <w:sz w:val="20"/>
          <w:szCs w:val="20"/>
          <w:color w:val="auto"/>
        </w:rPr>
      </w:pPr>
    </w:p>
    <w:p>
      <w:pPr>
        <w:jc w:val="both"/>
        <w:ind w:left="760" w:right="240" w:firstLine="230"/>
        <w:spacing w:after="0" w:line="266" w:lineRule="auto"/>
        <w:rPr>
          <w:sz w:val="20"/>
          <w:szCs w:val="20"/>
          <w:color w:val="auto"/>
        </w:rPr>
      </w:pPr>
      <w:r>
        <w:rPr>
          <w:rFonts w:ascii="Times New Roman" w:cs="Times New Roman" w:eastAsia="Times New Roman" w:hAnsi="Times New Roman"/>
          <w:sz w:val="18"/>
          <w:szCs w:val="18"/>
          <w:color w:val="auto"/>
        </w:rPr>
        <w:t>collaborators might not properly maintain or defend our intellectual property rights (or jointly owned or developed intellectual property) or might use our intellectual property improperly or in a way that jeopardizes our intellectual property or the potential commercial benefit of our product candidates or exposes us to potential liability;</w:t>
      </w:r>
    </w:p>
    <w:p>
      <w:pPr>
        <w:spacing w:after="0" w:line="67" w:lineRule="exact"/>
        <w:rPr>
          <w:sz w:val="20"/>
          <w:szCs w:val="20"/>
          <w:color w:val="auto"/>
        </w:rPr>
      </w:pPr>
    </w:p>
    <w:p>
      <w:pPr>
        <w:ind w:left="760" w:right="60" w:firstLine="230"/>
        <w:spacing w:after="0" w:line="282" w:lineRule="auto"/>
        <w:rPr>
          <w:sz w:val="20"/>
          <w:szCs w:val="20"/>
          <w:color w:val="auto"/>
        </w:rPr>
      </w:pPr>
      <w:r>
        <w:rPr>
          <w:rFonts w:ascii="Times New Roman" w:cs="Times New Roman" w:eastAsia="Times New Roman" w:hAnsi="Times New Roman"/>
          <w:sz w:val="18"/>
          <w:szCs w:val="18"/>
          <w:color w:val="auto"/>
        </w:rPr>
        <w:t>collaboration activities might result in the collaborator having intellectual property covering our activities or product candidates, which could limit our rights or ability to research, develop and/or commercialize our product candidates;</w:t>
      </w:r>
    </w:p>
    <w:p>
      <w:pPr>
        <w:spacing w:after="0" w:line="53" w:lineRule="exact"/>
        <w:rPr>
          <w:sz w:val="20"/>
          <w:szCs w:val="20"/>
          <w:color w:val="auto"/>
        </w:rPr>
      </w:pPr>
    </w:p>
    <w:p>
      <w:pPr>
        <w:ind w:left="760" w:right="20" w:firstLine="230"/>
        <w:spacing w:after="0" w:line="282" w:lineRule="auto"/>
        <w:rPr>
          <w:sz w:val="20"/>
          <w:szCs w:val="20"/>
          <w:color w:val="auto"/>
        </w:rPr>
      </w:pPr>
      <w:r>
        <w:rPr>
          <w:rFonts w:ascii="Times New Roman" w:cs="Times New Roman" w:eastAsia="Times New Roman" w:hAnsi="Times New Roman"/>
          <w:sz w:val="18"/>
          <w:szCs w:val="18"/>
          <w:color w:val="auto"/>
        </w:rPr>
        <w:t>collaborators might not be in compliance with laws applicable to their activities under the collaboration, which could impact the collaboration and us;</w:t>
      </w:r>
    </w:p>
    <w:p>
      <w:pPr>
        <w:spacing w:after="0" w:line="53" w:lineRule="exact"/>
        <w:rPr>
          <w:sz w:val="20"/>
          <w:szCs w:val="20"/>
          <w:color w:val="auto"/>
        </w:rPr>
      </w:pPr>
    </w:p>
    <w:p>
      <w:pPr>
        <w:ind w:left="760" w:firstLine="230"/>
        <w:spacing w:after="0" w:line="282" w:lineRule="auto"/>
        <w:rPr>
          <w:sz w:val="20"/>
          <w:szCs w:val="20"/>
          <w:color w:val="auto"/>
        </w:rPr>
      </w:pPr>
      <w:r>
        <w:rPr>
          <w:rFonts w:ascii="Times New Roman" w:cs="Times New Roman" w:eastAsia="Times New Roman" w:hAnsi="Times New Roman"/>
          <w:sz w:val="18"/>
          <w:szCs w:val="18"/>
          <w:color w:val="auto"/>
        </w:rPr>
        <w:t>disputes might arise between a collaborator and us that could cause a delay or termination of the collaboration or result in costly litigation that diverts management attention and resources; and</w:t>
      </w:r>
    </w:p>
    <w:p>
      <w:pPr>
        <w:spacing w:after="0" w:line="53" w:lineRule="exact"/>
        <w:rPr>
          <w:sz w:val="20"/>
          <w:szCs w:val="20"/>
          <w:color w:val="auto"/>
        </w:rPr>
      </w:pPr>
    </w:p>
    <w:p>
      <w:pPr>
        <w:ind w:left="760" w:right="660" w:firstLine="230"/>
        <w:spacing w:after="0" w:line="282" w:lineRule="auto"/>
        <w:rPr>
          <w:sz w:val="20"/>
          <w:szCs w:val="20"/>
          <w:color w:val="auto"/>
        </w:rPr>
      </w:pPr>
      <w:r>
        <w:rPr>
          <w:rFonts w:ascii="Times New Roman" w:cs="Times New Roman" w:eastAsia="Times New Roman" w:hAnsi="Times New Roman"/>
          <w:sz w:val="18"/>
          <w:szCs w:val="18"/>
          <w:color w:val="auto"/>
        </w:rPr>
        <w:t>collaborations might be terminated, which could result in a need for additional capital to pursue further research, development and/or commercialization of our product candidates.</w:t>
      </w:r>
    </w:p>
    <w:p>
      <w:pPr>
        <w:spacing w:after="0" w:line="94" w:lineRule="exact"/>
        <w:rPr>
          <w:sz w:val="20"/>
          <w:szCs w:val="20"/>
          <w:color w:val="auto"/>
        </w:rPr>
      </w:pPr>
    </w:p>
    <w:p>
      <w:pPr>
        <w:ind w:right="140" w:firstLine="576"/>
        <w:spacing w:after="0" w:line="261" w:lineRule="auto"/>
        <w:rPr>
          <w:sz w:val="20"/>
          <w:szCs w:val="20"/>
          <w:color w:val="auto"/>
        </w:rPr>
      </w:pPr>
      <w:r>
        <w:rPr>
          <w:rFonts w:ascii="Times New Roman" w:cs="Times New Roman" w:eastAsia="Times New Roman" w:hAnsi="Times New Roman"/>
          <w:sz w:val="18"/>
          <w:szCs w:val="18"/>
          <w:color w:val="auto"/>
        </w:rPr>
        <w:t>In addition, funding provided by a collaborator might not be sufficient to advance product candidates under the collaboration. For example, although Gilead provided us with $175.0 million upfront payments and a $20.0 million equity investment in connection with our collaboration, we have since truncated the research term of this collaboration and anticipate that we will need additional funding to advance product candidates prior to receiving any milestones from the collaboration agreement with Gilead.</w:t>
      </w:r>
    </w:p>
    <w:p>
      <w:pPr>
        <w:spacing w:after="0" w:line="180" w:lineRule="exact"/>
        <w:rPr>
          <w:sz w:val="20"/>
          <w:szCs w:val="20"/>
          <w:color w:val="auto"/>
        </w:rPr>
      </w:pPr>
    </w:p>
    <w:p>
      <w:pPr>
        <w:ind w:right="160" w:firstLine="576"/>
        <w:spacing w:after="0" w:line="256" w:lineRule="auto"/>
        <w:rPr>
          <w:sz w:val="20"/>
          <w:szCs w:val="20"/>
          <w:color w:val="auto"/>
        </w:rPr>
      </w:pPr>
      <w:r>
        <w:rPr>
          <w:rFonts w:ascii="Times New Roman" w:cs="Times New Roman" w:eastAsia="Times New Roman" w:hAnsi="Times New Roman"/>
          <w:sz w:val="18"/>
          <w:szCs w:val="18"/>
          <w:color w:val="auto"/>
        </w:rPr>
        <w:t>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(or abandon a different program to allocate resources to the program rejected by the collaborator), the development of the relevant product candidate could be significantly delayed, and our cash expenditures could increase significantly if we are to continue research, development and/or commercialization of the relevant product candidates.</w:t>
      </w:r>
    </w:p>
    <w:p>
      <w:pPr>
        <w:spacing w:after="0" w:line="187"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8"/>
          <w:szCs w:val="18"/>
          <w:color w:val="auto"/>
        </w:rPr>
        <w:t>Additionally, disagreements between parties to a collaboration arrangement regarding clinical development and commercialization matters can lead to delays in the development process or commercializing of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83" w:lineRule="exact"/>
        <w:rPr>
          <w:sz w:val="20"/>
          <w:szCs w:val="20"/>
          <w:color w:val="auto"/>
        </w:rPr>
      </w:pPr>
    </w:p>
    <w:p>
      <w:pPr>
        <w:ind w:right="200" w:firstLine="576"/>
        <w:spacing w:after="0" w:line="282" w:lineRule="auto"/>
        <w:rPr>
          <w:sz w:val="20"/>
          <w:szCs w:val="20"/>
          <w:color w:val="auto"/>
        </w:rPr>
      </w:pPr>
      <w:r>
        <w:rPr>
          <w:rFonts w:ascii="Times New Roman" w:cs="Times New Roman" w:eastAsia="Times New Roman" w:hAnsi="Times New Roman"/>
          <w:sz w:val="18"/>
          <w:szCs w:val="18"/>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15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contract with a limited number of third parties for the manufacture of our product candidates for preclinical development and clinical testing and expect to continue to do so for clinical testing and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72" w:lineRule="exact"/>
        <w:rPr>
          <w:sz w:val="20"/>
          <w:szCs w:val="20"/>
          <w:color w:val="auto"/>
        </w:rPr>
      </w:pPr>
    </w:p>
    <w:p>
      <w:pPr>
        <w:ind w:right="40" w:firstLine="576"/>
        <w:spacing w:after="0" w:line="261"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We rely, and expect to continue to rely, on third parties for the manufacture of our product candidates for preclinical development and clinical testing, as well as for the commercial manufacture of our products if any of our product candidates receive regulatory approval. In some cases, we rely on one party or two parties to manufacture our preclinical and clinical</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7" w:name="page58"/>
    <w:bookmarkEnd w:id="57"/>
    <w:p>
      <w:pPr>
        <w:ind w:right="220"/>
        <w:spacing w:after="0" w:line="261" w:lineRule="auto"/>
        <w:rPr>
          <w:sz w:val="20"/>
          <w:szCs w:val="20"/>
          <w:color w:val="auto"/>
        </w:rPr>
      </w:pPr>
      <w:r>
        <w:rPr>
          <w:rFonts w:ascii="Times New Roman" w:cs="Times New Roman" w:eastAsia="Times New Roman" w:hAnsi="Times New Roman"/>
          <w:sz w:val="18"/>
          <w:szCs w:val="18"/>
          <w:color w:val="auto"/>
        </w:rPr>
        <w:t>products and we exercise limited direct control over these manufacturers (and it would be time consuming and expensive to move production to any new manufacturers, if we were able to do so at all). This reliance on third parties increases the risk that we will not have sufficient quantities of our product candidates or products, if approved, or such quantities at an acceptable cost or quality, which could delay, prevent or impair our development or commercialization efforts.</w:t>
      </w:r>
    </w:p>
    <w:p>
      <w:pPr>
        <w:spacing w:after="0" w:line="180" w:lineRule="exact"/>
        <w:rPr>
          <w:sz w:val="20"/>
          <w:szCs w:val="20"/>
          <w:color w:val="auto"/>
        </w:rPr>
      </w:pPr>
    </w:p>
    <w:p>
      <w:pPr>
        <w:ind w:right="100" w:firstLine="576"/>
        <w:spacing w:after="0" w:line="254"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be inspected by the FDA pursuant to pre-approval inspections that will be conducted after we submit our NDA applications to the FDA. We do not control the manufacturing process of, and will be completely dependent on, our contract manufacturers for compliance with cGMP in connection with the manufacture of our product candidates. If our contract manufacturers cannot successfully manufacture material that conforms to our specifications and the strict regulatory requirements of the FDA or other regulatory agencies, they will not be able to pass regulatory inspections and/or maintain regulatory compliance for their manufacturing facilities. In addition, we have no control over the ability of our contract manufacturers to maintain adequate quality control, quality assurance and qualified personnel. If the FDA or a comparable foreign regulatory agency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188"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color w:val="auto"/>
        </w:rPr>
        <w:t>If any CDMO with whom we contract fails to perform its obligations, we may be forced to enter into an agreement with a different CDMO, which we may not be able to do on reasonable terms, or at all, and such new agreement may result in significantly greater costs to us. In such scenario, our supply of study drug for clinical trials could be disrupted or delayed significantly as we establish alternative supply sources. In some cases, the technical skills or processes required to manufacture our products or product candidates may be unique or proprietary to the original CDMO and we may have difficulty, or there may be contractual restrictions prohibiting us from, transferring such skills or processes to a back-up or alternate supplier, or we may be unable to transfer such skills or processes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agency. The delays associated with the verification of a new CDMO could negatively affect our ability to develop product candidates or commercialize our products in a timely manner or within budget. This would increase our reliance on such CDMO or require us to obtain a license from such CDMO in order to have another CDMO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97" w:lineRule="exact"/>
        <w:rPr>
          <w:sz w:val="20"/>
          <w:szCs w:val="20"/>
          <w:color w:val="auto"/>
        </w:rPr>
      </w:pPr>
    </w:p>
    <w:p>
      <w:pPr>
        <w:ind w:right="20" w:firstLine="576"/>
        <w:spacing w:after="0" w:line="261" w:lineRule="auto"/>
        <w:rPr>
          <w:sz w:val="20"/>
          <w:szCs w:val="20"/>
          <w:color w:val="auto"/>
        </w:rPr>
      </w:pPr>
      <w:r>
        <w:rPr>
          <w:rFonts w:ascii="Times New Roman" w:cs="Times New Roman" w:eastAsia="Times New Roman" w:hAnsi="Times New Roman"/>
          <w:sz w:val="18"/>
          <w:szCs w:val="18"/>
          <w:color w:val="auto"/>
        </w:rPr>
        <w:t>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180" w:lineRule="exact"/>
        <w:rPr>
          <w:sz w:val="20"/>
          <w:szCs w:val="20"/>
          <w:color w:val="auto"/>
        </w:rPr>
      </w:pPr>
    </w:p>
    <w:p>
      <w:pPr>
        <w:ind w:right="60" w:firstLine="576"/>
        <w:spacing w:after="0" w:line="266"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approved products for access to manufacturing facilities. There are a limited number of manufacturers that operate under cGMP regulations and that might be capable of manufacturing for us.</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active pharmaceutical ingredients and drug product to be used in our product candidates are our sole sources of supply, and the loss of any of these suppliers could significantly harm our business.</w:t>
      </w:r>
    </w:p>
    <w:p>
      <w:pPr>
        <w:spacing w:after="0" w:line="51" w:lineRule="exact"/>
        <w:rPr>
          <w:sz w:val="20"/>
          <w:szCs w:val="20"/>
          <w:color w:val="auto"/>
        </w:rPr>
      </w:pPr>
    </w:p>
    <w:p>
      <w:pPr>
        <w:ind w:right="100" w:firstLine="576"/>
        <w:spacing w:after="0" w:line="254" w:lineRule="auto"/>
        <w:rPr>
          <w:sz w:val="20"/>
          <w:szCs w:val="20"/>
          <w:color w:val="auto"/>
        </w:rPr>
      </w:pPr>
      <w:r>
        <w:rPr>
          <w:rFonts w:ascii="Times New Roman" w:cs="Times New Roman" w:eastAsia="Times New Roman" w:hAnsi="Times New Roman"/>
          <w:sz w:val="18"/>
          <w:szCs w:val="18"/>
          <w:color w:val="auto"/>
        </w:rPr>
        <w:t>The API we use and that we may continue to use in all of our product candidates is supplied to us from one supplier. The drug product used in our product candidates is supplied by two manufacturers (and the manufacturer that produces the API is also one of the two suppliers of the drug product used in our current clinical trials). Our ability to successfully develop our product candidates, and to ultimately supply our commercial products in quantities (if approved by regulatory authorities) sufficient to meet the market demand (and to meet requirements in connection with our ongoing and planned clinical trials), depends in part on our ability to obtain the API and drug product for these products in accordance with regulatory requirements and in sufficient quantities for clinical testing and commercialization, when applicable. We are also unable to predict how changing global economic conditions or global health concerns, as well as potential supply chain disruptions or cost increases related thereto, will affect our third-party suppliers and manufacturers. The risks related to global economic and political changes and supply chain disruption could have a material impact since one of our two CDMOs is located in China.</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spacing w:after="0" w:line="255" w:lineRule="auto"/>
        <w:rPr>
          <w:sz w:val="20"/>
          <w:szCs w:val="20"/>
          <w:color w:val="auto"/>
        </w:rPr>
      </w:pPr>
      <w:r>
        <w:rPr>
          <w:rFonts w:ascii="Times New Roman" w:cs="Times New Roman" w:eastAsia="Times New Roman" w:hAnsi="Times New Roman"/>
          <w:sz w:val="18"/>
          <w:szCs w:val="18"/>
          <w:color w:val="auto"/>
        </w:rPr>
        <w:t>Further, this CDMO, which is our sole supplier of API for the drugs used in our clinical trials, is affiliated with WuXi AppTec, and WuXi AppTec has been the subject of proposed Congressional legislation that, if enacted or if the subject of similar executive or administrative action, could restrict WuXi's business in the United States or the ability of businesses in the United States to conduct business with WuXi on national security grounds. We have started the process to locate an alternate producer of API, but there is no guarantee that we can identify and engage an alternate producer or manufacturer in time so as not to disrupt our clinical trials, on terms that are acceptable to us (including financial terms), or at all. Any negative impact of the ability of our CDMOs to deliver API and/or drug product due to political actions, supply chain disruptions or otherwise, may have a material adverse impact on our results of operations or financial condition.</w:t>
      </w:r>
    </w:p>
    <w:p>
      <w:pPr>
        <w:spacing w:after="0" w:line="189" w:lineRule="exact"/>
        <w:rPr>
          <w:sz w:val="20"/>
          <w:szCs w:val="20"/>
          <w:color w:val="auto"/>
        </w:rPr>
      </w:pPr>
    </w:p>
    <w:p>
      <w:pPr>
        <w:ind w:right="80" w:firstLine="576"/>
        <w:spacing w:after="0" w:line="256" w:lineRule="auto"/>
        <w:rPr>
          <w:sz w:val="20"/>
          <w:szCs w:val="20"/>
          <w:color w:val="auto"/>
        </w:rPr>
      </w:pPr>
      <w:r>
        <w:rPr>
          <w:rFonts w:ascii="Times New Roman" w:cs="Times New Roman" w:eastAsia="Times New Roman" w:hAnsi="Times New Roman"/>
          <w:sz w:val="18"/>
          <w:szCs w:val="18"/>
          <w:color w:val="auto"/>
        </w:rPr>
        <w:t>For all of our product candidates, we intend to identify and qualify additional manufacturers to provide such API and drug product prior to submission of an NDA to the FDA and/or an MAA to the EMA. We are not certain, however, that our single-source suppliers or limited number of suppliers will be able to meet our demand for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products on a timely basis in the past, they may subordinate our needs in the future to their other customers or may experience operating disruptions.</w:t>
      </w:r>
    </w:p>
    <w:p>
      <w:pPr>
        <w:spacing w:after="0" w:line="187"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Establishing additional or replacement suppliers for the API and drug product used in our product candidates and clinical trials, if required, may not be accomplished quickly (or at all). If we are able to find a replacement supplier, such replacement supplier would need to be qualified and may require additional regulatory inspection or approval, which could result in further delay. While we seek to maintain adequate inventory of the API and drug product used in our product candidates and clinical trials, any interruption or delay in the supply of components or materials, or our inability to obtain such API and drug product from alternate sources at acceptable prices in a timely manner could impede, delay, limit or prevent our development efforts, which could harm our business, results of operations, financial condition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obtain new patents, maintain our existing patents and protect the confidentiality and proprietary nature of our trade secrets and other intellectual property, our business and competitive position may be harmed.</w:t>
      </w:r>
    </w:p>
    <w:p>
      <w:pPr>
        <w:spacing w:after="0" w:line="51" w:lineRule="exact"/>
        <w:rPr>
          <w:sz w:val="20"/>
          <w:szCs w:val="20"/>
          <w:color w:val="auto"/>
        </w:rPr>
      </w:pPr>
    </w:p>
    <w:p>
      <w:pPr>
        <w:ind w:right="380" w:firstLine="576"/>
        <w:spacing w:after="0" w:line="282"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patent and regulatory protections for our products candidates, to preserve our trade secrets and other proprietary rights and to prevent third parties from infringing on our rights and our proprietary technology.</w:t>
      </w:r>
    </w:p>
    <w:p>
      <w:pPr>
        <w:spacing w:after="0" w:line="162" w:lineRule="exact"/>
        <w:rPr>
          <w:sz w:val="20"/>
          <w:szCs w:val="20"/>
          <w:color w:val="auto"/>
        </w:rPr>
      </w:pPr>
    </w:p>
    <w:p>
      <w:pPr>
        <w:ind w:right="80" w:firstLine="576"/>
        <w:spacing w:after="0" w:line="266" w:lineRule="auto"/>
        <w:rPr>
          <w:sz w:val="20"/>
          <w:szCs w:val="20"/>
          <w:color w:val="auto"/>
        </w:rPr>
      </w:pPr>
      <w:r>
        <w:rPr>
          <w:rFonts w:ascii="Times New Roman" w:cs="Times New Roman" w:eastAsia="Times New Roman" w:hAnsi="Times New Roman"/>
          <w:sz w:val="18"/>
          <w:szCs w:val="18"/>
          <w:color w:val="auto"/>
        </w:rPr>
        <w:t>We have procured patent rights, through both ownership and license, that cover our product candidates, and expect to apply for additional patent protections in the future. However, our patent applications may not result in the issuance of patents in the U.S. or other countries. In addition, a patent may be issued in one country, but a counterpart patent may not be issued in another country, which is not uncommon in the biopharmaceutical industry.</w:t>
      </w:r>
    </w:p>
    <w:p>
      <w:pPr>
        <w:spacing w:after="0" w:line="176" w:lineRule="exact"/>
        <w:rPr>
          <w:sz w:val="20"/>
          <w:szCs w:val="20"/>
          <w:color w:val="auto"/>
        </w:rPr>
      </w:pPr>
    </w:p>
    <w:p>
      <w:pPr>
        <w:ind w:right="80" w:firstLine="576"/>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that are due to be paid to the United States Patent and Trademark Office, or USPTO, and foreign countries may require the payment of maintenance fees or patent annuities during the lifetime of a patent application and/or any subsequent patent that issues from the application. The USPTO and various foreign governmental patent agencies require compliance with a number of procedural, documentary, fee payment and other similar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Such noncompliance can result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Such an event could have a material adverse effect on our business.</w:t>
      </w:r>
    </w:p>
    <w:p>
      <w:pPr>
        <w:spacing w:after="0" w:line="188" w:lineRule="exact"/>
        <w:rPr>
          <w:sz w:val="20"/>
          <w:szCs w:val="20"/>
          <w:color w:val="auto"/>
        </w:rPr>
      </w:pPr>
    </w:p>
    <w:p>
      <w:pPr>
        <w:ind w:right="40" w:firstLine="576"/>
        <w:spacing w:after="0" w:line="255" w:lineRule="auto"/>
        <w:rPr>
          <w:sz w:val="20"/>
          <w:szCs w:val="20"/>
          <w:color w:val="auto"/>
        </w:rPr>
      </w:pPr>
      <w:r>
        <w:rPr>
          <w:rFonts w:ascii="Times New Roman" w:cs="Times New Roman" w:eastAsia="Times New Roman" w:hAnsi="Times New Roman"/>
          <w:sz w:val="18"/>
          <w:szCs w:val="18"/>
          <w:color w:val="auto"/>
        </w:rPr>
        <w:t>Even if a patent is issued, that is not conclusive as to its inventorship, scope, validity or enforceability and therefore that patent may not afford adequate (or any) protection for our product candidates or future approved products or technology. On the basis of such inconclusiveness, third parties may challenge our patents. Furthermore, patents have a limited lifespan. In the United States and most other jurisdictions in which we have undertaken patent filings, the natural expiration of a patent is generally twenty years after it is filed, assuming all maintenance fees are paid. Given the amount of time required for the development, testing and regulatory review of new product candidates, patents protecting such candidates might expire before or shortly after such candidates are commercialized. Delays in our clinical trials or regulatory approval process may further reduce the effective patent protection period for our products, as patents generally expire 20 years from their earliest filing</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ind w:right="80"/>
        <w:spacing w:after="0" w:line="258" w:lineRule="auto"/>
        <w:rPr>
          <w:sz w:val="20"/>
          <w:szCs w:val="20"/>
          <w:color w:val="auto"/>
        </w:rPr>
      </w:pPr>
      <w:r>
        <w:rPr>
          <w:rFonts w:ascii="Times New Roman" w:cs="Times New Roman" w:eastAsia="Times New Roman" w:hAnsi="Times New Roman"/>
          <w:sz w:val="18"/>
          <w:szCs w:val="18"/>
          <w:color w:val="auto"/>
        </w:rPr>
        <w:t>date regardless of when regulatory approval is obtained. As a result, patents we may own or in-license may not provide us with adequate and continuing patent protection sufficient to exclude others from commercializing drugs similar or identical to our current or future product candidates, including generic versions of our drugs. Nor can we be certain that we will obtain any patent term extension as permitted under the “Hatch-Waxman Amendments” which permit a patent restoration term of up to five years as compensation for patent term lost during product development and the FDA regulatory review process.</w:t>
      </w:r>
    </w:p>
    <w:p>
      <w:pPr>
        <w:spacing w:after="0" w:line="183" w:lineRule="exact"/>
        <w:rPr>
          <w:sz w:val="20"/>
          <w:szCs w:val="20"/>
          <w:color w:val="auto"/>
        </w:rPr>
      </w:pPr>
    </w:p>
    <w:p>
      <w:pPr>
        <w:ind w:right="120" w:firstLine="576"/>
        <w:spacing w:after="0" w:line="261" w:lineRule="auto"/>
        <w:rPr>
          <w:sz w:val="20"/>
          <w:szCs w:val="20"/>
          <w:color w:val="auto"/>
        </w:rPr>
      </w:pPr>
      <w:r>
        <w:rPr>
          <w:rFonts w:ascii="Times New Roman" w:cs="Times New Roman" w:eastAsia="Times New Roman" w:hAnsi="Times New Roman"/>
          <w:sz w:val="18"/>
          <w:szCs w:val="18"/>
          <w:color w:val="auto"/>
        </w:rPr>
        <w:t>If any of our patents are narrowed, invalidated, revoked or become unenforceable, competitors may develop and market products similar or identical to ours that do not conflict with or infringe our patents rights, which could have a material adverse effect on our financial condition. Even if we obtain and maintain patents, our business may be significantly harmed if the patents are not broad enough to protect our products from copycat, generic or similar products.</w:t>
      </w:r>
    </w:p>
    <w:p>
      <w:pPr>
        <w:spacing w:after="0" w:line="180" w:lineRule="exact"/>
        <w:rPr>
          <w:sz w:val="20"/>
          <w:szCs w:val="20"/>
          <w:color w:val="auto"/>
        </w:rPr>
      </w:pPr>
    </w:p>
    <w:p>
      <w:pPr>
        <w:ind w:right="60" w:firstLine="576"/>
        <w:spacing w:after="0" w:line="261" w:lineRule="auto"/>
        <w:rPr>
          <w:sz w:val="20"/>
          <w:szCs w:val="20"/>
          <w:color w:val="auto"/>
        </w:rPr>
      </w:pPr>
      <w:r>
        <w:rPr>
          <w:rFonts w:ascii="Times New Roman" w:cs="Times New Roman" w:eastAsia="Times New Roman" w:hAnsi="Times New Roman"/>
          <w:sz w:val="18"/>
          <w:szCs w:val="18"/>
          <w:color w:val="auto"/>
        </w:rPr>
        <w:t>In addition, if there are challenges to our intellectual property by third parties, we may in the future enter into agreements with those parties that provide certain intellectual property rights to our future marketed products or products in our pipeline. If we do enter into such agreements, we may not be the exclusive provider of a therapy and, as a result, we expect that any potential revenue from the sales of such therapies would be materially and negatively impacted.</w:t>
      </w:r>
    </w:p>
    <w:p>
      <w:pPr>
        <w:spacing w:after="0" w:line="180"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or were involved in generating our proprietary know-how, information or technology to assign or grant similar rights to the inventions they make in the course of their work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87" w:lineRule="exact"/>
        <w:rPr>
          <w:sz w:val="20"/>
          <w:szCs w:val="20"/>
          <w:color w:val="auto"/>
        </w:rPr>
      </w:pPr>
    </w:p>
    <w:p>
      <w:pPr>
        <w:ind w:right="140" w:firstLine="576"/>
        <w:spacing w:after="0" w:line="256" w:lineRule="auto"/>
        <w:rPr>
          <w:sz w:val="20"/>
          <w:szCs w:val="20"/>
          <w:color w:val="auto"/>
        </w:rPr>
      </w:pPr>
      <w:r>
        <w:rPr>
          <w:rFonts w:ascii="Times New Roman" w:cs="Times New Roman" w:eastAsia="Times New Roman" w:hAnsi="Times New Roman"/>
          <w:sz w:val="18"/>
          <w:szCs w:val="18"/>
          <w:color w:val="auto"/>
        </w:rPr>
        <w:t>We have, and expect that we will continue, to finance or collaborate in research and development projects conducted by third parties, including government organizations, hospitals, universities or other educational or research institutions, or other for-profit companies. Such third parties may be unwilling to grant us certain rights to technology or products developed through such projects. Certain collaborators may only grant us a right to obtain a license to technology developed in a collaboration, and we may not be able to negotiate a license or the license may require an upfront or royalty payment on terms that are acceptable to us, or at all. Disputes may also arise as to the rights to technology or products developed in collaboration with such third parties and we may not be able to secure the proprietary rights to any technology generated in such collaboration.</w:t>
      </w:r>
    </w:p>
    <w:p>
      <w:pPr>
        <w:spacing w:after="0" w:line="187"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Significant legal questions exist concerning the extent and scope of patent protection for biopharmaceutical products and processes in the U.S. and elsewhere. Accordingly, there is no certainty that patent applications owned or licensed by us will issue as patents, or that our issued patents will afford meaningful protection against competitors. Once issued, patents are subject to challenge through both administrative and judicial proceedings in the U.S. and certain other countries. Such proceedings include re-examinations, inter partes reviews, post-grant reviews and interference proceedings before the USPTO, as well as opposition proceedings before the European Patent Office and other non-U.S. patent offices. Certain countries have laws that provide stronger bases for challenging third party patent rights than are available to challenge patents in other countries. Therefore, we may be able to defend our patents against a third-party claim in one country but counterpart patents may be invalidated in other countries and we may be able to invalidate a third-party patent in one country but not invalidate its counterpart patents in other countries. Further, in jurisdictions outside the United States,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Litigation may be required to enforce, defend or obtain our patent and other intellectual property rights. Any administrative proceeding or litigation could require a significant commitment of our resources and, depending on outcome, could adversely affect the scope, validity or enforceability of certain of our patent or other proprietary rights.</w:t>
      </w:r>
    </w:p>
    <w:p>
      <w:pPr>
        <w:spacing w:after="0" w:line="187" w:lineRule="exact"/>
        <w:rPr>
          <w:sz w:val="20"/>
          <w:szCs w:val="20"/>
          <w:color w:val="auto"/>
        </w:rPr>
      </w:pPr>
    </w:p>
    <w:p>
      <w:pPr>
        <w:ind w:right="40" w:firstLine="576"/>
        <w:spacing w:after="0" w:line="254"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at least 18 months after the earliest priority date of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0" w:name="page61"/>
    <w:bookmarkEnd w:id="60"/>
    <w:p>
      <w:pPr>
        <w:ind w:right="220"/>
        <w:spacing w:after="0" w:line="266" w:lineRule="auto"/>
        <w:rPr>
          <w:sz w:val="20"/>
          <w:szCs w:val="20"/>
          <w:color w:val="auto"/>
        </w:rPr>
      </w:pPr>
      <w:r>
        <w:rPr>
          <w:rFonts w:ascii="Times New Roman" w:cs="Times New Roman" w:eastAsia="Times New Roman" w:hAnsi="Times New Roman"/>
          <w:sz w:val="18"/>
          <w:szCs w:val="18"/>
          <w:color w:val="auto"/>
        </w:rPr>
        <w:t>patent rights cannot be predicted with any certainty. Additionally, obtaining broad patent protection for certain method-of-use claims and combination therapies may be challenging due to the existing body of scientific knowledge in these areas, and any patents that do issue may be subject to challenge or may be designed around by competitors.</w:t>
      </w:r>
    </w:p>
    <w:p>
      <w:pPr>
        <w:spacing w:after="0" w:line="176" w:lineRule="exact"/>
        <w:rPr>
          <w:sz w:val="20"/>
          <w:szCs w:val="20"/>
          <w:color w:val="auto"/>
        </w:rPr>
      </w:pPr>
    </w:p>
    <w:p>
      <w:pPr>
        <w:ind w:right="20" w:firstLine="576"/>
        <w:spacing w:after="0" w:line="254" w:lineRule="auto"/>
        <w:rPr>
          <w:sz w:val="20"/>
          <w:szCs w:val="20"/>
          <w:color w:val="auto"/>
        </w:rPr>
      </w:pPr>
      <w:r>
        <w:rPr>
          <w:rFonts w:ascii="Times New Roman" w:cs="Times New Roman" w:eastAsia="Times New Roman" w:hAnsi="Times New Roman"/>
          <w:sz w:val="18"/>
          <w:szCs w:val="18"/>
          <w:color w:val="auto"/>
        </w:rPr>
        <w:t>If we obtain marketing approval for multiple indications using the same drug product and dosage form, and those indications are covered by different method-of-treatment patents with different expiration dates (for example, patents covering single-agent use versus combination therapy, or patents covering different diseases or patient populations), the commercial value of our later-expiring method-of-treatment patents may be significantly limited. Once the earliest method-of-treatment patent expires, generic manufacturers may enter the market under Section viii carve-outs that exclude only the specific patented methods from their approved labeling while still marketing the identical compound for non-patented indications. Because physicians may prescribe our products for any approved indication regardless of the generic's label, and because pharmacy benefit managers and formularies may substitute generic versions regardless of the intended indication, generic entry following expiration of our first method-of-treatment patent could result in substantial revenue erosion across all indications, including those still covered by later-expiring method-of-treatment or combination therapy patents. This could significantly limit our ability to maintain market exclusivity through patent life-cycle management strategies.</w:t>
      </w:r>
    </w:p>
    <w:p>
      <w:pPr>
        <w:spacing w:after="0" w:line="188"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Some of the sensitive technology, techniques and proprietary compounds used in our business are protected as trade secrets. Among other things, we enter into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(or for which we determine we will not seek patent protection). Although we seek to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 (or that the terms of such agreements are enforceable). In our business, we rely on collaboration with, or discuss the potential for collaboration with, suppliers, outside scientists, research organizations and other biopharmaceutical companies. Collaboration and discussion of potential collaboration or inadvertent disclosure of a trade secret present a strong risk of exposing our trade secrets. If our trade secrets were exposed, we may lose the protection and potential exclusive rights afforded by trade secret law, and such exposure may likely help our competitors and allow them to access technology without restriction and adversely affect our business prospects.</w:t>
      </w:r>
    </w:p>
    <w:p>
      <w:pPr>
        <w:spacing w:after="0" w:line="201"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In some instances, a delay in filing patent applications could adversely impact patentability, for example if certain information is disclosed prior to the filing of a patent application. Under certain circumstances, use of the compounds in clinical trials could be interpreted as a public use and negatively impact our ability to obtain patent protection for certain inventions. Due to expense of patent filings, we also may not file in every jurisdiction in which patents may be issued (and, therefore, we may not be able to assert patents rights in every country in the future).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or access from or to third parties. Therefore, these patents and applications may not be prosecuted and enforced in a manner consistent with the best interests of our business.</w:t>
      </w:r>
    </w:p>
    <w:p>
      <w:pPr>
        <w:spacing w:after="0" w:line="192" w:lineRule="exact"/>
        <w:rPr>
          <w:sz w:val="20"/>
          <w:szCs w:val="20"/>
          <w:color w:val="auto"/>
        </w:rPr>
      </w:pPr>
    </w:p>
    <w:p>
      <w:pPr>
        <w:ind w:right="100" w:firstLine="576"/>
        <w:spacing w:after="0" w:line="266" w:lineRule="auto"/>
        <w:rPr>
          <w:sz w:val="20"/>
          <w:szCs w:val="20"/>
          <w:color w:val="auto"/>
        </w:rPr>
      </w:pPr>
      <w:r>
        <w:rPr>
          <w:rFonts w:ascii="Times New Roman" w:cs="Times New Roman" w:eastAsia="Times New Roman" w:hAnsi="Times New Roman"/>
          <w:sz w:val="18"/>
          <w:szCs w:val="18"/>
          <w:color w:val="auto"/>
        </w:rPr>
        <w:t>Similarly, trademarks and trade names we utilize in our business may be challenged, infringed, diluted or declared generic or determined to be infringing on other marks. These marks can be important for name recognition in markets. If we are unable to secure and protect our trademarks and trade names, our business could be harmed.</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found to be infringing third party patents, we may be forced to pay damages to the patent owner and/or obtain a license to continue the manufacture, sale or development of our products. If we cannot obtain a license, we may be prevented from the manufacture, sale or development of our products or product candidates, which may adversely affect our business.</w:t>
      </w:r>
    </w:p>
    <w:p>
      <w:pPr>
        <w:spacing w:after="0" w:line="67" w:lineRule="exact"/>
        <w:rPr>
          <w:sz w:val="20"/>
          <w:szCs w:val="20"/>
          <w:color w:val="auto"/>
        </w:rPr>
      </w:pPr>
    </w:p>
    <w:p>
      <w:pPr>
        <w:ind w:right="240" w:firstLine="576"/>
        <w:spacing w:after="0" w:line="266" w:lineRule="auto"/>
        <w:rPr>
          <w:sz w:val="20"/>
          <w:szCs w:val="20"/>
          <w:color w:val="auto"/>
        </w:rPr>
      </w:pPr>
      <w:r>
        <w:rPr>
          <w:rFonts w:ascii="Times New Roman" w:cs="Times New Roman" w:eastAsia="Times New Roman" w:hAnsi="Times New Roman"/>
          <w:sz w:val="18"/>
          <w:szCs w:val="18"/>
          <w:color w:val="auto"/>
        </w:rPr>
        <w:t>Parts of our technology, techniques, proprietary compounds and potential product candidates, including those which are or may be in-licensed or developed in collaboration with third parties, may be found to infringe patents owned by or granted to others. We may in the future receive notices claiming our products (if approved) and product candidates infringe third party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1" w:name="page62"/>
    <w:bookmarkEnd w:id="61"/>
    <w:p>
      <w:pPr>
        <w:ind w:right="40"/>
        <w:spacing w:after="0" w:line="282" w:lineRule="auto"/>
        <w:rPr>
          <w:sz w:val="20"/>
          <w:szCs w:val="20"/>
          <w:color w:val="auto"/>
        </w:rPr>
      </w:pPr>
      <w:r>
        <w:rPr>
          <w:rFonts w:ascii="Times New Roman" w:cs="Times New Roman" w:eastAsia="Times New Roman" w:hAnsi="Times New Roman"/>
          <w:sz w:val="18"/>
          <w:szCs w:val="18"/>
          <w:color w:val="auto"/>
        </w:rPr>
        <w:t>patents (and we have received and may in the future receive notices offering the right to license certain technology to us) and third parties may in the future file civil lawsuits against us claiming infringement of their intellectual property rights.</w:t>
      </w:r>
    </w:p>
    <w:p>
      <w:pPr>
        <w:spacing w:after="0" w:line="162" w:lineRule="exact"/>
        <w:rPr>
          <w:sz w:val="20"/>
          <w:szCs w:val="20"/>
          <w:color w:val="auto"/>
        </w:rPr>
      </w:pPr>
    </w:p>
    <w:p>
      <w:pPr>
        <w:ind w:right="60" w:firstLine="576"/>
        <w:spacing w:after="0" w:line="261" w:lineRule="auto"/>
        <w:rPr>
          <w:sz w:val="20"/>
          <w:szCs w:val="20"/>
          <w:color w:val="auto"/>
        </w:rPr>
      </w:pPr>
      <w:r>
        <w:rPr>
          <w:rFonts w:ascii="Times New Roman" w:cs="Times New Roman" w:eastAsia="Times New Roman" w:hAnsi="Times New Roman"/>
          <w:sz w:val="18"/>
          <w:szCs w:val="18"/>
          <w:color w:val="auto"/>
        </w:rPr>
        <w:t>Third parties may claim that the manufacture, use or sale of our products or product candidates infringes patents owned or granted to such third parties. We may become aware of patents owned by third parties that might be claimed by such third parties to be infringed by the development, use, manufacture and commercialization of our products (if approved) or our investigational compounds. In such cases we may take certain actions with respect to some of these, for example we may try to invalidate the third-party patents or obtain licenses to a technology or invention.</w:t>
      </w:r>
    </w:p>
    <w:p>
      <w:pPr>
        <w:spacing w:after="0" w:line="180" w:lineRule="exact"/>
        <w:rPr>
          <w:sz w:val="20"/>
          <w:szCs w:val="20"/>
          <w:color w:val="auto"/>
        </w:rPr>
      </w:pPr>
    </w:p>
    <w:p>
      <w:pPr>
        <w:ind w:right="100" w:firstLine="576"/>
        <w:spacing w:after="0" w:line="254" w:lineRule="auto"/>
        <w:rPr>
          <w:sz w:val="20"/>
          <w:szCs w:val="20"/>
          <w:color w:val="auto"/>
        </w:rPr>
      </w:pPr>
      <w:r>
        <w:rPr>
          <w:rFonts w:ascii="Times New Roman" w:cs="Times New Roman" w:eastAsia="Times New Roman" w:hAnsi="Times New Roman"/>
          <w:sz w:val="18"/>
          <w:szCs w:val="18"/>
          <w:color w:val="auto"/>
        </w:rPr>
        <w:t>Any holder of patents covering similar or identical technology to our technology could sue us for damages, which may be material in amount, and seek to prevent us from manufacturing, selling or developing our products (and we may be, in certain cases, prevented from initiating product launches in certain jurisdictions or be required to withdraw the product from the market after it has been launched). Intellectual property disputes can be costly and time consuming to defend and there is no guarantee that we would prevail in such lawsuit. If we believe we cannot successfully defend against certain infringement claims, we may seek to invalidate the patent or seek a license to the technology prior to or during legal actions in order to reduce the risks in connection with the product launches (or at a later time after product introduction) and to reduce further costs and the risk of a court determination that our technology, techniques, proprietary compounds or potential product candidates infringe the third party’s patents. A required license may be costly or may not be available on acceptable terms, if at all. A costly license, or inability to obtain a necessary license, could have a material adverse effect on our business.</w:t>
      </w:r>
    </w:p>
    <w:p>
      <w:pPr>
        <w:spacing w:after="0" w:line="188"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In some instances, we believe we may prevail in a patent infringement action. There can, however, be no assurance that the court will agree with our position or that it will decide any infringement case in our favor. Nor can we be certain that, if we do not prevail in litigation, we may be able to obtain a license to any third-party patent on commercially reasonable terms (or at all); successfully develop non-infringing alternatives on a timely basis (or at all); or license alternative non-infringing technology, if any exists, on commercially reasonable terms (or at all). Any impediment to our ability to manufacture, use or sell approved forms of our future products (if approved by regulatory authorities) or our product candidates could have a material adverse effect on our business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possible that we could lose market exclusivity for a product earlier than expected, which may harm our competitive position.</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 our industry, much of an innovative product’s commercial value is realized while it has market exclusivity.</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Market exclusivity for our future products (if approved for sale by regulatory authorities) will likely depend in large part on patent rights and certain regulatory forms of protection. As noted above, patent protection can be uncertain as to the validity, scope and enforceability of many issued patents. Absent relevant patent protection for a product, once regulatory exclusivity periods expire, generic versions of the product can be approved and marketed.</w:t>
      </w:r>
    </w:p>
    <w:p>
      <w:pPr>
        <w:spacing w:after="0" w:line="186" w:lineRule="exact"/>
        <w:rPr>
          <w:sz w:val="20"/>
          <w:szCs w:val="20"/>
          <w:color w:val="auto"/>
        </w:rPr>
      </w:pPr>
    </w:p>
    <w:p>
      <w:pPr>
        <w:ind w:right="220" w:firstLine="576"/>
        <w:spacing w:after="0" w:line="273" w:lineRule="auto"/>
        <w:rPr>
          <w:sz w:val="20"/>
          <w:szCs w:val="20"/>
          <w:color w:val="auto"/>
        </w:rPr>
      </w:pPr>
      <w:r>
        <w:rPr>
          <w:rFonts w:ascii="Times New Roman" w:cs="Times New Roman" w:eastAsia="Times New Roman" w:hAnsi="Times New Roman"/>
          <w:sz w:val="17"/>
          <w:szCs w:val="17"/>
          <w:color w:val="auto"/>
        </w:rPr>
        <w:t>The market exclusivity of our products may be impacted by competitive products that are either innovative or generic copies. In our industry, the risk of generic challenges has been increasing. U.S. law includes an approval pathway for generic versions of innovative small molecule products. Under the pathway, the FDA may approve products that are generic copies of innovative small molecule therapies on the basis of less extensive data than is required for a full new drug application. The law provides a mechanism to challenge the patents that protect an innovator’s products. Such litigation may begin as early as four years after the innovative small molecule product is first approved by the FDA. Pathways for generic products also exist in many other markets, including Europe and Japan. Competition, including from generics approved for marketing, would likely result in a decrease in volume of sales of our products, as well as a decrease in prices and lower margins for our products (if approved for marketing by regulatory authorities).</w:t>
      </w:r>
    </w:p>
    <w:p>
      <w:pPr>
        <w:spacing w:after="0" w:line="16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51" w:lineRule="exact"/>
        <w:rPr>
          <w:sz w:val="20"/>
          <w:szCs w:val="20"/>
          <w:color w:val="auto"/>
        </w:rPr>
      </w:pPr>
    </w:p>
    <w:p>
      <w:pPr>
        <w:ind w:right="100" w:firstLine="576"/>
        <w:spacing w:after="0" w:line="254" w:lineRule="auto"/>
        <w:rPr>
          <w:sz w:val="20"/>
          <w:szCs w:val="20"/>
          <w:color w:val="auto"/>
        </w:rPr>
      </w:pPr>
      <w:r>
        <w:rPr>
          <w:rFonts w:ascii="Times New Roman" w:cs="Times New Roman" w:eastAsia="Times New Roman" w:hAnsi="Times New Roman"/>
          <w:sz w:val="18"/>
          <w:szCs w:val="18"/>
          <w:color w:val="auto"/>
        </w:rPr>
        <w:t>Competitors may infringe any patents we may own or in-license, our trade secrets or other proprietary rights. In addition, any patents or other proprietary rights we may own or in-license also may become involved in inventorship, priority, validity or unenforceability disputes. To counter infringement or unauthorized use, we may be required to file infringement claims, which can be expensive and time-consuming to litigate. We may not prevail in any lawsuits that we initiate, and the damages or other remedies awarded, if any, may not be commercially meaningful (and we may not be able to prevent the commercialization of any competitor product or a generic).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(relating to conduct used in connection with obtaining regulatory approval of a medical device or drug). There is also the risk that, even if the validity of these patents is upheld, the court may refuse to stop the other party from using the technology at issue on the</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ind w:right="140"/>
        <w:spacing w:after="0" w:line="256" w:lineRule="auto"/>
        <w:rPr>
          <w:sz w:val="20"/>
          <w:szCs w:val="20"/>
          <w:color w:val="auto"/>
        </w:rPr>
      </w:pPr>
      <w:r>
        <w:rPr>
          <w:rFonts w:ascii="Times New Roman" w:cs="Times New Roman" w:eastAsia="Times New Roman" w:hAnsi="Times New Roman"/>
          <w:sz w:val="18"/>
          <w:szCs w:val="18"/>
          <w:color w:val="auto"/>
        </w:rPr>
        <w:t>grounds that any patents we may own or in-license do not cover the technology in question or that such third party’s activities do not infringe our patent applications or any patents we may own or in-license (or any other proprietary rights we may own). An adverse result in any litigation or defense proceedings could put one or more of any patents we may own or in-license at risk of being invalidated, held unenforceable, or interpreted narrowly and could put our patent applications at risk of not issuing. Uncertainties resulting from the initiation and continuation of patent litigation or other proceedings relating to our proprietary rights could have a material adverse effect on our ability to compete in the marketplace and may negatively impact our stock price.</w:t>
      </w:r>
    </w:p>
    <w:p>
      <w:pPr>
        <w:spacing w:after="0" w:line="187" w:lineRule="exact"/>
        <w:rPr>
          <w:sz w:val="20"/>
          <w:szCs w:val="20"/>
          <w:color w:val="auto"/>
        </w:rPr>
      </w:pPr>
    </w:p>
    <w:p>
      <w:pPr>
        <w:ind w:right="80" w:firstLine="576"/>
        <w:spacing w:after="0" w:line="255"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(or technology covered under current patent applications) and could require us to cease using the related technology or to attempt to license rights to it from the prevailing party. Our business could be harmed if the prevailing party does not offer us a license on commercially reasonable terms, or at all.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w:t>
      </w:r>
    </w:p>
    <w:p>
      <w:pPr>
        <w:spacing w:after="0" w:line="189" w:lineRule="exact"/>
        <w:rPr>
          <w:sz w:val="20"/>
          <w:szCs w:val="20"/>
          <w:color w:val="auto"/>
        </w:rPr>
      </w:pPr>
    </w:p>
    <w:p>
      <w:pPr>
        <w:ind w:right="160" w:firstLine="576"/>
        <w:spacing w:after="0" w:line="258" w:lineRule="auto"/>
        <w:rPr>
          <w:sz w:val="20"/>
          <w:szCs w:val="20"/>
          <w:color w:val="auto"/>
        </w:rPr>
      </w:pPr>
      <w:r>
        <w:rPr>
          <w:rFonts w:ascii="Times New Roman" w:cs="Times New Roman" w:eastAsia="Times New Roman" w:hAnsi="Times New Roman"/>
          <w:sz w:val="18"/>
          <w:szCs w:val="18"/>
          <w:color w:val="auto"/>
        </w:rPr>
        <w:t>Even in cases in which we or our licensors or strategic partners initiate legal proceedings against a third party to enforce a patent covering one of our current or future product candidates, the defendant could (and in pharmaceutical patent litigation the defendant often does) make a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If such counterclaims are successful, the exclusivity related to the product may be lost and our business would be harmed.</w:t>
      </w:r>
    </w:p>
    <w:p>
      <w:pPr>
        <w:spacing w:after="0" w:line="17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51" w:lineRule="exact"/>
        <w:rPr>
          <w:sz w:val="20"/>
          <w:szCs w:val="20"/>
          <w:color w:val="auto"/>
        </w:rPr>
      </w:pPr>
    </w:p>
    <w:p>
      <w:pPr>
        <w:ind w:right="60" w:firstLine="576"/>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research and development activities or any future sales, marketing, patient support or distribution activities. We may not have sufficient financial or other resources to conduct such litigation or proceedings adequately (and we may decline to initiate litigation against a potential infringing party because the cost of the litigation and use of cash resources may be determined to not be in the best interests of the company at such time).</w:t>
      </w:r>
    </w:p>
    <w:p>
      <w:pPr>
        <w:spacing w:after="0" w:line="18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75"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our results of operations and the success of our business. We cannot assure you that our current or future product candidates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or research institutions.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ind w:right="660" w:firstLine="584"/>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its intellectual property rights, we may face a number of issues, including, but not limited to:</w:t>
      </w:r>
    </w:p>
    <w:p>
      <w:pPr>
        <w:spacing w:after="0" w:line="54" w:lineRule="exact"/>
        <w:rPr>
          <w:sz w:val="20"/>
          <w:szCs w:val="20"/>
          <w:color w:val="auto"/>
        </w:rPr>
      </w:pPr>
    </w:p>
    <w:p>
      <w:pPr>
        <w:ind w:left="760" w:right="280" w:firstLine="230"/>
        <w:spacing w:after="0" w:line="266" w:lineRule="auto"/>
        <w:rPr>
          <w:sz w:val="20"/>
          <w:szCs w:val="20"/>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67" w:lineRule="exact"/>
        <w:rPr>
          <w:sz w:val="20"/>
          <w:szCs w:val="20"/>
          <w:color w:val="auto"/>
        </w:rPr>
      </w:pPr>
    </w:p>
    <w:p>
      <w:pPr>
        <w:ind w:left="760" w:right="80" w:firstLine="230"/>
        <w:spacing w:after="0" w:line="266" w:lineRule="auto"/>
        <w:rPr>
          <w:sz w:val="20"/>
          <w:szCs w:val="20"/>
          <w:color w:val="auto"/>
        </w:rPr>
      </w:pPr>
      <w:r>
        <w:rPr>
          <w:rFonts w:ascii="Times New Roman" w:cs="Times New Roman" w:eastAsia="Times New Roman" w:hAnsi="Times New Roman"/>
          <w:sz w:val="18"/>
          <w:szCs w:val="18"/>
          <w:color w:val="auto"/>
        </w:rPr>
        <w:t>a court prohibiting us from developing, manufacturing, marketing or selling our current product candidates, including vopimetostat, TNG456 or TNG260 or future product candidates, or from using our proprietary technologies, unless the third party licenses its product, process or other rights to us, which it is not required to do, on commercially reasonable terms or at all;</w:t>
      </w:r>
    </w:p>
    <w:p>
      <w:pPr>
        <w:spacing w:after="0" w:line="67" w:lineRule="exact"/>
        <w:rPr>
          <w:sz w:val="20"/>
          <w:szCs w:val="20"/>
          <w:color w:val="auto"/>
        </w:rPr>
      </w:pPr>
    </w:p>
    <w:p>
      <w:pPr>
        <w:ind w:left="760" w:right="120" w:firstLine="230"/>
        <w:spacing w:after="0" w:line="266" w:lineRule="auto"/>
        <w:rPr>
          <w:sz w:val="20"/>
          <w:szCs w:val="20"/>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processes or other rights, or the license to us may be non-exclusive, which would permit third parties to use the same intellectual property to compete with us;</w:t>
      </w:r>
    </w:p>
    <w:p>
      <w:pPr>
        <w:spacing w:after="0" w:line="67" w:lineRule="exact"/>
        <w:rPr>
          <w:sz w:val="20"/>
          <w:szCs w:val="20"/>
          <w:color w:val="auto"/>
        </w:rPr>
      </w:pPr>
    </w:p>
    <w:p>
      <w:pPr>
        <w:ind w:left="760" w:right="340" w:firstLine="230"/>
        <w:spacing w:after="0" w:line="282" w:lineRule="auto"/>
        <w:rPr>
          <w:sz w:val="20"/>
          <w:szCs w:val="20"/>
          <w:color w:val="auto"/>
        </w:rPr>
      </w:pPr>
      <w:r>
        <w:rPr>
          <w:rFonts w:ascii="Times New Roman" w:cs="Times New Roman" w:eastAsia="Times New Roman" w:hAnsi="Times New Roman"/>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53" w:lineRule="exact"/>
        <w:rPr>
          <w:sz w:val="20"/>
          <w:szCs w:val="20"/>
          <w:color w:val="auto"/>
        </w:rPr>
      </w:pPr>
    </w:p>
    <w:p>
      <w:pPr>
        <w:ind w:left="760" w:right="20" w:firstLine="230"/>
        <w:spacing w:after="0" w:line="256" w:lineRule="auto"/>
        <w:rPr>
          <w:sz w:val="20"/>
          <w:szCs w:val="20"/>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8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or obtain intellectual property protection.</w:t>
      </w:r>
    </w:p>
    <w:p>
      <w:pPr>
        <w:spacing w:after="0" w:line="67"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We may not be able to (or we may decide not to) pursue patent coverage of our current or future product candidates and technologies in all countries. Filing, prosecuting and defending patents on current or future product candidates and technologies in all countries throughout the world would be prohibitively expensive, and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intellectual property rights enforcement is not as strong as that in the United States.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192" w:lineRule="exact"/>
        <w:rPr>
          <w:sz w:val="20"/>
          <w:szCs w:val="20"/>
          <w:color w:val="auto"/>
        </w:rPr>
      </w:pPr>
    </w:p>
    <w:p>
      <w:pPr>
        <w:ind w:right="20" w:firstLine="576"/>
        <w:spacing w:after="0" w:line="256"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7" w:lineRule="exact"/>
        <w:rPr>
          <w:sz w:val="20"/>
          <w:szCs w:val="20"/>
          <w:color w:val="auto"/>
        </w:rPr>
      </w:pPr>
    </w:p>
    <w:p>
      <w:pPr>
        <w:jc w:val="both"/>
        <w:ind w:right="100" w:firstLine="576"/>
        <w:spacing w:after="0" w:line="266"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4" w:name="page65"/>
    <w:bookmarkEnd w:id="64"/>
    <w:p>
      <w:pPr>
        <w:ind w:right="840"/>
        <w:spacing w:after="0" w:line="282" w:lineRule="auto"/>
        <w:rPr>
          <w:sz w:val="20"/>
          <w:szCs w:val="20"/>
          <w:color w:val="auto"/>
        </w:rPr>
      </w:pPr>
      <w:r>
        <w:rPr>
          <w:rFonts w:ascii="Times New Roman" w:cs="Times New Roman" w:eastAsia="Times New Roman" w:hAnsi="Times New Roman"/>
          <w:sz w:val="18"/>
          <w:szCs w:val="18"/>
          <w:color w:val="auto"/>
        </w:rPr>
        <w:t>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162" w:lineRule="exact"/>
        <w:rPr>
          <w:sz w:val="20"/>
          <w:szCs w:val="20"/>
          <w:color w:val="auto"/>
        </w:rPr>
      </w:pPr>
    </w:p>
    <w:p>
      <w:pPr>
        <w:ind w:right="40" w:firstLine="576"/>
        <w:spacing w:after="0" w:line="254" w:lineRule="auto"/>
        <w:rPr>
          <w:sz w:val="20"/>
          <w:szCs w:val="20"/>
          <w:color w:val="auto"/>
        </w:rPr>
      </w:pPr>
      <w:r>
        <w:rPr>
          <w:rFonts w:ascii="Times New Roman" w:cs="Times New Roman" w:eastAsia="Times New Roman" w:hAnsi="Times New Roman"/>
          <w:sz w:val="18"/>
          <w:szCs w:val="18"/>
          <w:color w:val="auto"/>
        </w:rPr>
        <w:t>Our European patents and patent applications could be challenged in the recently created Unified Patent Court, or UPC, for the European Union. We may decide to opt out of our European patents and patent applications from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 Under the UPC, a granted European patent would be valid and enforceable in numerous European countries. A successful invalidity challenge to a European patent under the UPC would result in loss of patent protection in those European countries. Accordingly, a single proceeding under the UPC could result in the partial or complete loss of patent protection in numerous European countries, rather than in each validated European country separately as such patents have historically been adjudicated. Such a loss of patent protection could have a material adverse impact on our business and our ability to commercialize our technology and product candidates and, resultantly, on our business, financial condition, prospects and results of operations.</w:t>
      </w:r>
    </w:p>
    <w:p>
      <w:pPr>
        <w:spacing w:after="0" w:line="18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51" w:lineRule="exact"/>
        <w:rPr>
          <w:sz w:val="20"/>
          <w:szCs w:val="20"/>
          <w:color w:val="auto"/>
        </w:rPr>
      </w:pPr>
    </w:p>
    <w:p>
      <w:pPr>
        <w:ind w:right="80" w:firstLine="576"/>
        <w:spacing w:after="0" w:line="256" w:lineRule="auto"/>
        <w:rPr>
          <w:sz w:val="20"/>
          <w:szCs w:val="20"/>
          <w:color w:val="auto"/>
        </w:rPr>
      </w:pPr>
      <w:r>
        <w:rPr>
          <w:rFonts w:ascii="Times New Roman" w:cs="Times New Roman" w:eastAsia="Times New Roman" w:hAnsi="Times New Roman"/>
          <w:sz w:val="18"/>
          <w:szCs w:val="18"/>
          <w:color w:val="auto"/>
        </w:rPr>
        <w:t>We may from time to time be party to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187" w:lineRule="exact"/>
        <w:rPr>
          <w:sz w:val="20"/>
          <w:szCs w:val="20"/>
          <w:color w:val="auto"/>
        </w:rPr>
      </w:pPr>
    </w:p>
    <w:p>
      <w:pPr>
        <w:ind w:right="60" w:firstLine="584"/>
        <w:spacing w:after="0" w:line="261" w:lineRule="auto"/>
        <w:rPr>
          <w:sz w:val="20"/>
          <w:szCs w:val="20"/>
          <w:color w:val="auto"/>
        </w:rPr>
      </w:pPr>
      <w:r>
        <w:rPr>
          <w:rFonts w:ascii="Times New Roman" w:cs="Times New Roman" w:eastAsia="Times New Roman" w:hAnsi="Times New Roman"/>
          <w:sz w:val="18"/>
          <w:szCs w:val="18"/>
          <w:color w:val="auto"/>
        </w:rPr>
        <w:t>Further, the terms of these agreements can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w:t>
      </w:r>
    </w:p>
    <w:p>
      <w:pPr>
        <w:spacing w:after="0" w:line="180" w:lineRule="exact"/>
        <w:rPr>
          <w:sz w:val="20"/>
          <w:szCs w:val="20"/>
          <w:color w:val="auto"/>
        </w:rPr>
      </w:pPr>
    </w:p>
    <w:p>
      <w:pPr>
        <w:ind w:right="20" w:firstLine="584"/>
        <w:spacing w:after="0" w:line="258" w:lineRule="auto"/>
        <w:rPr>
          <w:sz w:val="20"/>
          <w:szCs w:val="20"/>
          <w:color w:val="auto"/>
        </w:rPr>
      </w:pPr>
      <w:r>
        <w:rPr>
          <w:rFonts w:ascii="Times New Roman" w:cs="Times New Roman" w:eastAsia="Times New Roman" w:hAnsi="Times New Roman"/>
          <w:sz w:val="18"/>
          <w:szCs w:val="18"/>
          <w:color w:val="auto"/>
        </w:rPr>
        <w:t>Any termination of these licenses, or if the underlying patents or intellectual property or proprietary rights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or similar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183" w:lineRule="exact"/>
        <w:rPr>
          <w:sz w:val="20"/>
          <w:szCs w:val="20"/>
          <w:color w:val="auto"/>
        </w:rPr>
      </w:pPr>
    </w:p>
    <w:p>
      <w:pPr>
        <w:ind w:firstLine="584"/>
        <w:spacing w:after="0" w:line="255" w:lineRule="auto"/>
        <w:rPr>
          <w:sz w:val="20"/>
          <w:szCs w:val="20"/>
          <w:color w:val="auto"/>
        </w:rPr>
      </w:pPr>
      <w:r>
        <w:rPr>
          <w:rFonts w:ascii="Times New Roman" w:cs="Times New Roman" w:eastAsia="Times New Roman" w:hAnsi="Times New Roman"/>
          <w:sz w:val="18"/>
          <w:szCs w:val="18"/>
          <w:color w:val="auto"/>
        </w:rPr>
        <w:t>Certain of our collaboration agreements involve jointly-owned intellectual property, and in some cases our collaboration partners control the prosecution and maintenance of patent applications and patents covering jointly-developed inventions. We may have limited input or control over the form, content, or timing of patent applications filed by our collaboration partners, and such applications may not be prosecuted in a manner consistent with our best interests. Additionally, jointly-owned intellectual property may be difficult to enforce, and the procedures for licensing or assigning such rights may be more complex than for solely-owned intellectual property. If our collaboration partners fail to adequately prosecute or maintain jointly-owned patents, or if disputes arise regarding ownership of improvements or the scope of rights granted under our collaboration agreements, our competitive position could be materially harmed.</w:t>
      </w:r>
    </w:p>
    <w:p>
      <w:pPr>
        <w:spacing w:after="0" w:line="189" w:lineRule="exact"/>
        <w:rPr>
          <w:sz w:val="20"/>
          <w:szCs w:val="20"/>
          <w:color w:val="auto"/>
        </w:rPr>
      </w:pPr>
    </w:p>
    <w:p>
      <w:pPr>
        <w:ind w:right="140" w:firstLine="584"/>
        <w:spacing w:after="0" w:line="261" w:lineRule="auto"/>
        <w:rPr>
          <w:sz w:val="20"/>
          <w:szCs w:val="20"/>
          <w:color w:val="auto"/>
        </w:rPr>
      </w:pPr>
      <w:r>
        <w:rPr>
          <w:rFonts w:ascii="Times New Roman" w:cs="Times New Roman" w:eastAsia="Times New Roman" w:hAnsi="Times New Roman"/>
          <w:sz w:val="18"/>
          <w:szCs w:val="18"/>
          <w:color w:val="auto"/>
        </w:rPr>
        <w:t>Certain of our product candidates are being developed in combination with compounds owned or controlled by our collaboration partners. Our ability to develop and commercialize these combination therapies depends on our continued access to our partners' compounds and on the maintenance of our collaboration agreements. If any such collaboration is terminated, or if our partners fail to perform their obligations, our access to compounds that are essential to our combination therapy strategies may become more difficult or costly to obtain.</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Disputes may also arise between us and licensors regarding intellectual property subject to a license agreement, including:</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65" w:name="page66"/>
    <w:bookmarkEnd w:id="65"/>
    <w:p>
      <w:pPr>
        <w:ind w:left="760"/>
        <w:spacing w:after="0"/>
        <w:rPr>
          <w:sz w:val="20"/>
          <w:szCs w:val="20"/>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sz w:val="20"/>
          <w:szCs w:val="20"/>
          <w:color w:val="auto"/>
        </w:rPr>
      </w:pPr>
    </w:p>
    <w:p>
      <w:pPr>
        <w:ind w:left="760" w:right="120" w:firstLine="230"/>
        <w:spacing w:after="0" w:line="282" w:lineRule="auto"/>
        <w:rPr>
          <w:sz w:val="20"/>
          <w:szCs w:val="20"/>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is not subject to the licensing agreement;</w:t>
      </w:r>
    </w:p>
    <w:p>
      <w:pPr>
        <w:spacing w:after="0" w:line="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sz w:val="20"/>
          <w:szCs w:val="20"/>
          <w:color w:val="auto"/>
        </w:rPr>
      </w:pPr>
    </w:p>
    <w:p>
      <w:pPr>
        <w:ind w:left="760" w:right="480" w:firstLine="230"/>
        <w:spacing w:after="0" w:line="282" w:lineRule="auto"/>
        <w:rPr>
          <w:sz w:val="20"/>
          <w:szCs w:val="20"/>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priority of invention of any patented technology; and</w:t>
      </w:r>
    </w:p>
    <w:p>
      <w:pPr>
        <w:spacing w:after="0" w:line="117" w:lineRule="exact"/>
        <w:rPr>
          <w:sz w:val="20"/>
          <w:szCs w:val="20"/>
          <w:color w:val="auto"/>
        </w:rPr>
      </w:pPr>
    </w:p>
    <w:p>
      <w:pPr>
        <w:ind w:left="760" w:right="140" w:firstLine="230"/>
        <w:spacing w:after="0" w:line="282" w:lineRule="auto"/>
        <w:rPr>
          <w:sz w:val="20"/>
          <w:szCs w:val="20"/>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future licensors and us and our partners and collaborators.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current or future product candidates.</w:t>
      </w:r>
    </w:p>
    <w:p>
      <w:pPr>
        <w:spacing w:after="0" w:line="121"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 xml:space="preserve">Patent reform legislation in the United States and other countries, including the Leahy-Smith America Invents Act, or Leahy-Smith Act, signed into law on September 16, 2011, could increase uncertainties of the scope of our patent protection and the costs related to obtaining and enforcing our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22" w:lineRule="exact"/>
        <w:rPr>
          <w:sz w:val="20"/>
          <w:szCs w:val="20"/>
          <w:color w:val="auto"/>
        </w:rPr>
      </w:pPr>
    </w:p>
    <w:p>
      <w:pPr>
        <w:jc w:val="both"/>
        <w:ind w:right="80" w:firstLine="576"/>
        <w:spacing w:after="0" w:line="266" w:lineRule="auto"/>
        <w:rPr>
          <w:sz w:val="20"/>
          <w:szCs w:val="20"/>
          <w:color w:val="auto"/>
        </w:rPr>
      </w:pPr>
      <w:r>
        <w:rPr>
          <w:rFonts w:ascii="Times New Roman" w:cs="Times New Roman" w:eastAsia="Times New Roman" w:hAnsi="Times New Roman"/>
          <w:sz w:val="18"/>
          <w:szCs w:val="18"/>
          <w:color w:val="auto"/>
        </w:rPr>
        <w:t>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w:t>
      </w:r>
    </w:p>
    <w:p>
      <w:pPr>
        <w:spacing w:after="0" w:line="95" w:lineRule="exact"/>
        <w:rPr>
          <w:sz w:val="20"/>
          <w:szCs w:val="20"/>
          <w:color w:val="auto"/>
        </w:rPr>
      </w:pPr>
    </w:p>
    <w:p>
      <w:pPr>
        <w:ind w:right="40" w:firstLine="576"/>
        <w:spacing w:after="0" w:line="272" w:lineRule="auto"/>
        <w:rPr>
          <w:sz w:val="20"/>
          <w:szCs w:val="20"/>
          <w:color w:val="auto"/>
        </w:rPr>
      </w:pPr>
      <w:r>
        <w:rPr>
          <w:rFonts w:ascii="Times New Roman" w:cs="Times New Roman" w:eastAsia="Times New Roman" w:hAnsi="Times New Roman"/>
          <w:sz w:val="17"/>
          <w:szCs w:val="17"/>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rights under patents that we might obtain in the future. Further, other countries and jurisdictions, such as the European Union, periodically review their intellectual property laws and they may also take similar actions that impact the laws and regulations governing patents and they may implement changes that could weaken our ability to obtain new patents or to enforce our rights under patents that we might obtain in the future.</w:t>
      </w:r>
    </w:p>
    <w:p>
      <w:pPr>
        <w:spacing w:after="0" w:line="16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51"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identification of third-party patent rights that may be relevant to our operations is difficult because patent searching is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spacing w:after="0" w:line="253" w:lineRule="auto"/>
        <w:rPr>
          <w:sz w:val="20"/>
          <w:szCs w:val="20"/>
          <w:color w:val="auto"/>
        </w:rPr>
      </w:pPr>
      <w:r>
        <w:rPr>
          <w:rFonts w:ascii="Times New Roman" w:cs="Times New Roman" w:eastAsia="Times New Roman" w:hAnsi="Times New Roman"/>
          <w:sz w:val="18"/>
          <w:szCs w:val="18"/>
          <w:color w:val="auto"/>
        </w:rPr>
        <w:t>imperfect due to, for example, differences in terminology among patents or incomplete databases. Additionally, pending patent applications that have been published can, subject to certain limitations, be later amended in a manner that could cover our current or future product candidates or technologies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or use certain technologies. We may incorrectly determine that our current or future product candidates or technologies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current or future product candidates or use certain technologies. Our failure to identify and correctly interpret relevant patents may negatively impact our ability to develop and market our current or future product candidates or use certain technologies.</w:t>
      </w:r>
    </w:p>
    <w:p>
      <w:pPr>
        <w:spacing w:after="0" w:line="194" w:lineRule="exact"/>
        <w:rPr>
          <w:sz w:val="20"/>
          <w:szCs w:val="20"/>
          <w:color w:val="auto"/>
        </w:rPr>
      </w:pPr>
    </w:p>
    <w:p>
      <w:pPr>
        <w:ind w:right="20" w:firstLine="576"/>
        <w:spacing w:after="0" w:line="266"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which can result in the adverse consequences related to infringement as described in the preceding risk factors.</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51" w:lineRule="exact"/>
        <w:rPr>
          <w:sz w:val="20"/>
          <w:szCs w:val="20"/>
          <w:color w:val="auto"/>
        </w:rPr>
      </w:pPr>
    </w:p>
    <w:p>
      <w:pPr>
        <w:ind w:firstLine="584"/>
        <w:spacing w:after="0" w:line="26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any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72" w:lineRule="exact"/>
        <w:rPr>
          <w:sz w:val="20"/>
          <w:szCs w:val="20"/>
          <w:color w:val="auto"/>
        </w:rPr>
      </w:pPr>
    </w:p>
    <w:p>
      <w:pPr>
        <w:ind w:left="760" w:right="20" w:firstLine="230"/>
        <w:spacing w:after="0" w:line="282" w:lineRule="auto"/>
        <w:rPr>
          <w:sz w:val="20"/>
          <w:szCs w:val="20"/>
          <w:color w:val="auto"/>
        </w:rPr>
      </w:pPr>
      <w:r>
        <w:rPr>
          <w:rFonts w:ascii="Times New Roman" w:cs="Times New Roman" w:eastAsia="Times New Roman" w:hAnsi="Times New Roman"/>
          <w:sz w:val="18"/>
          <w:szCs w:val="18"/>
          <w:color w:val="auto"/>
        </w:rPr>
        <w:t>patents, should they issue, that we may own or in-license, may not provide us with any competitive advantages, may be narrowed in scope, or may be challenged and held invalid or unenforceable;</w:t>
      </w:r>
    </w:p>
    <w:p>
      <w:pPr>
        <w:spacing w:after="0" w:line="53" w:lineRule="exact"/>
        <w:rPr>
          <w:sz w:val="20"/>
          <w:szCs w:val="20"/>
          <w:color w:val="auto"/>
        </w:rPr>
      </w:pPr>
    </w:p>
    <w:p>
      <w:pPr>
        <w:ind w:left="760" w:right="20" w:firstLine="230"/>
        <w:spacing w:after="0" w:line="266" w:lineRule="auto"/>
        <w:rPr>
          <w:sz w:val="20"/>
          <w:szCs w:val="20"/>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67" w:lineRule="exact"/>
        <w:rPr>
          <w:sz w:val="20"/>
          <w:szCs w:val="20"/>
          <w:color w:val="auto"/>
        </w:rPr>
      </w:pPr>
    </w:p>
    <w:p>
      <w:pPr>
        <w:ind w:left="760" w:right="460" w:firstLine="230"/>
        <w:spacing w:after="0" w:line="282" w:lineRule="auto"/>
        <w:rPr>
          <w:sz w:val="20"/>
          <w:szCs w:val="20"/>
          <w:color w:val="auto"/>
        </w:rPr>
      </w:pPr>
      <w:r>
        <w:rPr>
          <w:rFonts w:ascii="Times New Roman" w:cs="Times New Roman" w:eastAsia="Times New Roman" w:hAnsi="Times New Roman"/>
          <w:sz w:val="18"/>
          <w:szCs w:val="18"/>
          <w:color w:val="auto"/>
        </w:rPr>
        <w:t>we, or our future licensors or collaborators, might not have been the first to make the inventions or to file the patent covered by a patent application that we own or may in-license;</w:t>
      </w:r>
    </w:p>
    <w:p>
      <w:pPr>
        <w:spacing w:after="0" w:line="53" w:lineRule="exact"/>
        <w:rPr>
          <w:sz w:val="20"/>
          <w:szCs w:val="20"/>
          <w:color w:val="auto"/>
        </w:rPr>
      </w:pPr>
    </w:p>
    <w:p>
      <w:pPr>
        <w:ind w:left="760" w:right="680" w:firstLine="230"/>
        <w:spacing w:after="0" w:line="282" w:lineRule="auto"/>
        <w:rPr>
          <w:sz w:val="20"/>
          <w:szCs w:val="20"/>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spacing w:after="0" w:line="53" w:lineRule="exact"/>
        <w:rPr>
          <w:sz w:val="20"/>
          <w:szCs w:val="20"/>
          <w:color w:val="auto"/>
        </w:rPr>
      </w:pPr>
    </w:p>
    <w:p>
      <w:pPr>
        <w:jc w:val="both"/>
        <w:ind w:left="760" w:right="180" w:firstLine="230"/>
        <w:spacing w:after="0" w:line="266" w:lineRule="auto"/>
        <w:rPr>
          <w:sz w:val="20"/>
          <w:szCs w:val="20"/>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67" w:lineRule="exact"/>
        <w:rPr>
          <w:sz w:val="20"/>
          <w:szCs w:val="20"/>
          <w:color w:val="auto"/>
        </w:rPr>
      </w:pPr>
    </w:p>
    <w:p>
      <w:pPr>
        <w:ind w:left="760" w:right="320" w:firstLine="230"/>
        <w:spacing w:after="0" w:line="282" w:lineRule="auto"/>
        <w:rPr>
          <w:sz w:val="20"/>
          <w:szCs w:val="20"/>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trade secrets or know-how;</w:t>
      </w:r>
    </w:p>
    <w:p>
      <w:pPr>
        <w:spacing w:after="0" w:line="53" w:lineRule="exact"/>
        <w:rPr>
          <w:sz w:val="20"/>
          <w:szCs w:val="20"/>
          <w:color w:val="auto"/>
        </w:rPr>
      </w:pPr>
    </w:p>
    <w:p>
      <w:pPr>
        <w:ind w:left="980" w:right="2800"/>
        <w:spacing w:after="0" w:line="375" w:lineRule="auto"/>
        <w:rPr>
          <w:sz w:val="20"/>
          <w:szCs w:val="20"/>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 we may not develop or in-license additional proprietary technologies that are patentable; and</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commercial success depends on gaining regulatory approval for new products and obtaining approvals for new indications.</w:t>
      </w:r>
    </w:p>
    <w:p>
      <w:pPr>
        <w:spacing w:after="0" w:line="121" w:lineRule="exact"/>
        <w:rPr>
          <w:sz w:val="20"/>
          <w:szCs w:val="20"/>
          <w:color w:val="auto"/>
        </w:rPr>
      </w:pPr>
    </w:p>
    <w:p>
      <w:pPr>
        <w:ind w:right="260" w:firstLine="576"/>
        <w:spacing w:after="0" w:line="282" w:lineRule="auto"/>
        <w:rPr>
          <w:sz w:val="20"/>
          <w:szCs w:val="20"/>
          <w:color w:val="auto"/>
        </w:rPr>
      </w:pPr>
      <w:r>
        <w:rPr>
          <w:rFonts w:ascii="Times New Roman" w:cs="Times New Roman" w:eastAsia="Times New Roman" w:hAnsi="Times New Roman"/>
          <w:sz w:val="18"/>
          <w:szCs w:val="18"/>
          <w:color w:val="auto"/>
        </w:rPr>
        <w:t>We invest significant amounts in developing new products and technologies. Our success and revenue growth, if any, will depend in part on our identification, development, approval by regulatory authorities and commercialization of new</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7" w:name="page68"/>
    <w:bookmarkEnd w:id="67"/>
    <w:p>
      <w:pPr>
        <w:spacing w:after="0" w:line="266" w:lineRule="auto"/>
        <w:rPr>
          <w:sz w:val="20"/>
          <w:szCs w:val="20"/>
          <w:color w:val="auto"/>
        </w:rPr>
      </w:pPr>
      <w:r>
        <w:rPr>
          <w:rFonts w:ascii="Times New Roman" w:cs="Times New Roman" w:eastAsia="Times New Roman" w:hAnsi="Times New Roman"/>
          <w:sz w:val="18"/>
          <w:szCs w:val="18"/>
          <w:color w:val="auto"/>
        </w:rPr>
        <w:t>products and technologies, and approval of additional indications by regulatory authorities for our products under development. Product development is very expensive, takes significant time and involves a high degree of risk. Only a small number of research and development programs result in the approval and commercialization of a product.</w:t>
      </w:r>
    </w:p>
    <w:p>
      <w:pPr>
        <w:spacing w:after="0" w:line="176" w:lineRule="exact"/>
        <w:rPr>
          <w:sz w:val="20"/>
          <w:szCs w:val="20"/>
          <w:color w:val="auto"/>
        </w:rPr>
      </w:pPr>
    </w:p>
    <w:p>
      <w:pPr>
        <w:jc w:val="both"/>
        <w:ind w:right="160" w:firstLine="584"/>
        <w:spacing w:after="0" w:line="266" w:lineRule="auto"/>
        <w:rPr>
          <w:sz w:val="20"/>
          <w:szCs w:val="20"/>
          <w:color w:val="auto"/>
        </w:rPr>
      </w:pPr>
      <w:r>
        <w:rPr>
          <w:rFonts w:ascii="Times New Roman" w:cs="Times New Roman" w:eastAsia="Times New Roman" w:hAnsi="Times New Roman"/>
          <w:sz w:val="18"/>
          <w:szCs w:val="18"/>
          <w:color w:val="auto"/>
        </w:rPr>
        <w:t>Our ability to grow our business may be adversely affected if we are delayed or unable to successfully develop the products in our pipeline, gain regulatory approval of such product candidates, expand the indications that may be treated by such product candidates, or gain regulatory approval to sell and market such product candidates in additional jurisdictions.</w:t>
      </w:r>
    </w:p>
    <w:p>
      <w:pPr>
        <w:spacing w:after="0" w:line="176" w:lineRule="exact"/>
        <w:rPr>
          <w:sz w:val="20"/>
          <w:szCs w:val="20"/>
          <w:color w:val="auto"/>
        </w:rPr>
      </w:pPr>
    </w:p>
    <w:p>
      <w:pPr>
        <w:ind w:firstLine="584"/>
        <w:spacing w:after="0" w:line="266" w:lineRule="auto"/>
        <w:rPr>
          <w:sz w:val="20"/>
          <w:szCs w:val="20"/>
          <w:color w:val="auto"/>
        </w:rPr>
      </w:pPr>
      <w:r>
        <w:rPr>
          <w:rFonts w:ascii="Times New Roman" w:cs="Times New Roman" w:eastAsia="Times New Roman" w:hAnsi="Times New Roman"/>
          <w:sz w:val="18"/>
          <w:szCs w:val="18"/>
          <w:color w:val="auto"/>
        </w:rPr>
        <w:t>We must also maintain all such regulatory approvals for the period of time that we sell the product in each such jurisdiction. Our failure to obtain, or a delay in obtaining, approval or our failure to maintain approvals once obtained, will prevent us from selling products and generating revenues for those products in such jurisdiction where we do not hold such approvals.</w:t>
      </w:r>
    </w:p>
    <w:p>
      <w:pPr>
        <w:spacing w:after="0" w:line="17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ind w:right="40" w:firstLine="576"/>
        <w:spacing w:after="0" w:line="255" w:lineRule="auto"/>
        <w:rPr>
          <w:sz w:val="20"/>
          <w:szCs w:val="20"/>
          <w:color w:val="auto"/>
        </w:rPr>
      </w:pPr>
      <w:r>
        <w:rPr>
          <w:rFonts w:ascii="Times New Roman" w:cs="Times New Roman" w:eastAsia="Times New Roman" w:hAnsi="Times New Roman"/>
          <w:sz w:val="18"/>
          <w:szCs w:val="18"/>
          <w:color w:val="auto"/>
        </w:rPr>
        <w:t>Assuming that our product candidates prove to be safe and effective in clinical trials, we expect that we will file for marketing approval for such product candidates in the United States and 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fail to receive applicable regulatory approvals, our target market will be reduced and our ability to realize the full market potential of our product candidates will be harmed and future potential revenue may be less than expected by investors and analysts.</w:t>
      </w:r>
    </w:p>
    <w:p>
      <w:pPr>
        <w:spacing w:after="0" w:line="189" w:lineRule="exact"/>
        <w:rPr>
          <w:sz w:val="20"/>
          <w:szCs w:val="20"/>
          <w:color w:val="auto"/>
        </w:rPr>
      </w:pPr>
    </w:p>
    <w:p>
      <w:pPr>
        <w:ind w:right="180" w:firstLine="576"/>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regulatory approval of a product candidate, comparable regulatory authorities in foreign jurisdictions must also approve the manufacturing, sale, marketing and promotion of the product candidate in those countries. On the other hand, a failure or delay in obtaining regulatory approval in one jurisdiction may have a negative effect on the regulatory approval process in others.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1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51" w:lineRule="exact"/>
        <w:rPr>
          <w:sz w:val="20"/>
          <w:szCs w:val="20"/>
          <w:color w:val="auto"/>
        </w:rPr>
      </w:pPr>
    </w:p>
    <w:p>
      <w:pPr>
        <w:ind w:right="80" w:firstLine="576"/>
        <w:spacing w:after="0" w:line="254"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or life-threatening condition and, if approved, the product would provide a significant improvement in safety or effectiveness, the FDA may designate the product candidate for priority review. A priority review designation means that the goal for the FDA to review an application is six months from the date of filing, rather than the standard review period of ten months from the date of filing.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8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51" w:lineRule="exact"/>
        <w:rPr>
          <w:sz w:val="20"/>
          <w:szCs w:val="20"/>
          <w:color w:val="auto"/>
        </w:rPr>
      </w:pPr>
    </w:p>
    <w:p>
      <w:pPr>
        <w:ind w:right="80" w:firstLine="576"/>
        <w:spacing w:after="0" w:line="258"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certain of our product candidates, and we may be unsuccessful in obtaining such designation. Regulatory authorities in some jurisdictions, including the United States and Europe, may designate drugs for relatively small patient populations as orphan drugs. Under the Orphan Drug Act, the FDA may designate a drug as an orphan drug if it is a product intended to treat a rare disease or condition, which is generally defined as a patient population of fewer than 200,000 individuals annually in the United States, or a patient population of</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8" w:name="page69"/>
    <w:bookmarkEnd w:id="68"/>
    <w:p>
      <w:pPr>
        <w:ind w:right="20"/>
        <w:spacing w:after="0" w:line="261" w:lineRule="auto"/>
        <w:rPr>
          <w:sz w:val="20"/>
          <w:szCs w:val="20"/>
          <w:color w:val="auto"/>
        </w:rPr>
      </w:pPr>
      <w:r>
        <w:rPr>
          <w:rFonts w:ascii="Times New Roman" w:cs="Times New Roman" w:eastAsia="Times New Roman" w:hAnsi="Times New Roman"/>
          <w:sz w:val="18"/>
          <w:szCs w:val="18"/>
          <w:color w:val="auto"/>
        </w:rPr>
        <w:t>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 The FDA granted Orphan Drug Designation to vopimetostat for the treatment of soft tissue sarcoma and of pancreatic cancer, and to TNG456 for the treatment of malignant glioma.</w:t>
      </w:r>
    </w:p>
    <w:p>
      <w:pPr>
        <w:spacing w:after="0" w:line="180" w:lineRule="exact"/>
        <w:rPr>
          <w:sz w:val="20"/>
          <w:szCs w:val="20"/>
          <w:color w:val="auto"/>
        </w:rPr>
      </w:pPr>
    </w:p>
    <w:p>
      <w:pPr>
        <w:ind w:right="40" w:firstLine="576"/>
        <w:spacing w:after="0" w:line="255" w:lineRule="auto"/>
        <w:rPr>
          <w:sz w:val="20"/>
          <w:szCs w:val="20"/>
          <w:color w:val="auto"/>
        </w:rPr>
      </w:pPr>
      <w:r>
        <w:rPr>
          <w:rFonts w:ascii="Times New Roman" w:cs="Times New Roman" w:eastAsia="Times New Roman" w:hAnsi="Times New Roman"/>
          <w:sz w:val="18"/>
          <w:szCs w:val="18"/>
          <w:color w:val="auto"/>
        </w:rPr>
        <w:t>Similarly, in the European Union, the European Commission, upon the recommendation of the EMA’s Committee for Orphan Medicinal Products, grants orphan designation in respect of products that are intended for the diagnosis, prevention or treatment of life-threatening or chronically debilitating conditions affecting not more than five in 10,000 persons in the European Union and for which no satisfactory method of diagnosis, prevention, or treatment has been authorized (or the product would be a significant benefit to those affected if a method already exists). Additionally, designation may be granted for products intended for the diagnosis, prevention, or treatment of a life-threatening, seriously debilitating or serious and chronic condition and when, without incentives, it is unlikely that sales of the product in the European Union would be sufficient to justify the necessary investment in developing the product. In the European Union, orphan designation entitles a party to financial incentives such as reduction of fees or fee waivers.</w:t>
      </w:r>
    </w:p>
    <w:p>
      <w:pPr>
        <w:spacing w:after="0" w:line="189" w:lineRule="exact"/>
        <w:rPr>
          <w:sz w:val="20"/>
          <w:szCs w:val="20"/>
          <w:color w:val="auto"/>
        </w:rPr>
      </w:pPr>
    </w:p>
    <w:p>
      <w:pPr>
        <w:ind w:right="100" w:firstLine="576"/>
        <w:spacing w:after="0" w:line="256"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the European Union. The exclusivity period in the European Union can be reduced to six years if, at the end of the fifth year, it is established that a product no longer meets the criteria for orphan designation, including where it is shown that the product is sufficiently profitable so that market exclusivity is no longer justified.</w:t>
      </w:r>
    </w:p>
    <w:p>
      <w:pPr>
        <w:spacing w:after="0" w:line="187"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Obtaining orphan drug exclusivity may not effectively protect a product candidate from competition because different products having different chemical compositions can be approved for the same condition and the same therapies can be approved for different conditions but used off-label. Even after an orphan drug is approved, the FDA can subsequently approve the same product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Orphan drug designation neither shortens the development time or regulatory review time of a product nor gives the product any advantage in the regulatory review or approval process. While we may seek orphan drug designation for our other product candidates, we may never receive such designations. Even if we do receive such designations, there is no guarantee that we will enjoy the benefits of those designations.</w:t>
      </w:r>
    </w:p>
    <w:p>
      <w:pPr>
        <w:spacing w:after="0" w:line="19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67"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We may seek a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may also be eligible for rolling review,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and rescind the designation or decide that the time period for FDA review or approval will not be shortened.</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9" w:name="page70"/>
    <w:bookmarkEnd w:id="69"/>
    <w:p>
      <w:pPr>
        <w:ind w:firstLine="576"/>
        <w:spacing w:after="0" w:line="256" w:lineRule="auto"/>
        <w:rPr>
          <w:sz w:val="20"/>
          <w:szCs w:val="20"/>
          <w:color w:val="auto"/>
        </w:rPr>
      </w:pPr>
      <w:r>
        <w:rPr>
          <w:rFonts w:ascii="Times New Roman" w:cs="Times New Roman" w:eastAsia="Times New Roman" w:hAnsi="Times New Roman"/>
          <w:sz w:val="18"/>
          <w:szCs w:val="18"/>
          <w:color w:val="auto"/>
        </w:rPr>
        <w:t>If a drug is intended for the treatment of a serious or life-threatening condition and preclinical or clinical data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accelerated approval of our current or future product candidates using the FDA’s accelerated approval pathway. 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67" w:lineRule="exact"/>
        <w:rPr>
          <w:sz w:val="20"/>
          <w:szCs w:val="20"/>
          <w:color w:val="auto"/>
        </w:rPr>
      </w:pPr>
    </w:p>
    <w:p>
      <w:pPr>
        <w:ind w:right="60" w:firstLine="576"/>
        <w:spacing w:after="0" w:line="252" w:lineRule="auto"/>
        <w:rPr>
          <w:sz w:val="20"/>
          <w:szCs w:val="20"/>
          <w:color w:val="auto"/>
        </w:rPr>
      </w:pPr>
      <w:r>
        <w:rPr>
          <w:rFonts w:ascii="Times New Roman" w:cs="Times New Roman" w:eastAsia="Times New Roman" w:hAnsi="Times New Roman"/>
          <w:sz w:val="18"/>
          <w:szCs w:val="18"/>
          <w:color w:val="auto"/>
        </w:rPr>
        <w:t>We may seek accelerated approval of our current or future product candidates, where applicable,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may require that a sponsor of a drug receiving accelerated approval perform adequate and well-controlled post-marketing clinical trials. These confirmatory trials must be completed with due diligence. Under the Food and Drug Omnibus Reform Act of 2022, or FDORA, the FDA is permitted to require that a post-approval confirmatory study or studies be under way prior to approval or, in limited circumstances, within a specified time period after the date accelerated approval was granted.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Even if we seek to utilize the accelerated approval pathway, we may not be able to obtain accelerated approval. Even if we do receive accelerated approval, we may not experience a faster development or regulatory review or approval process, and receiving accelerated approval does not provide assurance of traditional FDA approval.</w:t>
      </w:r>
    </w:p>
    <w:p>
      <w:pPr>
        <w:spacing w:after="0" w:line="18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51" w:lineRule="exact"/>
        <w:rPr>
          <w:sz w:val="20"/>
          <w:szCs w:val="20"/>
          <w:color w:val="auto"/>
        </w:rPr>
      </w:pPr>
    </w:p>
    <w:p>
      <w:pPr>
        <w:ind w:right="100" w:firstLine="576"/>
        <w:spacing w:after="0" w:line="253" w:lineRule="auto"/>
        <w:rPr>
          <w:sz w:val="20"/>
          <w:szCs w:val="20"/>
          <w:color w:val="auto"/>
        </w:rPr>
      </w:pPr>
      <w:r>
        <w:rPr>
          <w:rFonts w:ascii="Times New Roman" w:cs="Times New Roman" w:eastAsia="Times New Roman" w:hAnsi="Times New Roman"/>
          <w:sz w:val="18"/>
          <w:szCs w:val="18"/>
          <w:color w:val="auto"/>
        </w:rPr>
        <w:t>The FDA, the EMA and regulatory authorities in other countries have expressed interest in further regulating biotechnology products. Agencies at both the federal and state level in the United States, as well as U.S. Congressional committees and other governments or governing agencies, have also expressed interest in further regulating the biotechnology industry and the pharmaceutical industry, in particular. Such governmental action or actions may delay or prevent commercialization of some or all of our product candidates. Adverse developments in clinical trials of products conducted by us or by others may cause the FDA or other oversight bodies to change the requirements for conducting clinical trials or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3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U.S. government agencies or the EMA or comparable foreign regulatory authorities, including from government shut downs, or other disruptions to these agencies’ operations, including significant leadership, personnel, and policy changes,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0" w:name="page71"/>
    <w:bookmarkEnd w:id="70"/>
    <w:p>
      <w:pPr>
        <w:ind w:firstLine="576"/>
        <w:spacing w:after="0" w:line="258" w:lineRule="auto"/>
        <w:rPr>
          <w:sz w:val="20"/>
          <w:szCs w:val="20"/>
          <w:color w:val="auto"/>
        </w:rPr>
      </w:pPr>
      <w:r>
        <w:rPr>
          <w:rFonts w:ascii="Times New Roman" w:cs="Times New Roman" w:eastAsia="Times New Roman" w:hAnsi="Times New Roman"/>
          <w:sz w:val="18"/>
          <w:szCs w:val="18"/>
          <w:color w:val="auto"/>
        </w:rPr>
        <w:t>The ability of the FDA, the EMA or comparable foreign regulatory authorities to review and approve new products can be affected by a variety of factors, including government priorities and funding levels, ability to hire and retain key personnel and accept the payment of user fees, and enact statutory, regulatory and policy changes. Average review times at the FDA or other regulatory authorities have fluctuated in recent years as a result. Disruptions at the FDA and other agencies may also slow the time necessary for new product candidates to be reviewed and/or approved by necessary government agencies, which would adversely affect our business.</w:t>
      </w:r>
    </w:p>
    <w:p>
      <w:pPr>
        <w:spacing w:after="0" w:line="183"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Government funding of the SEC and other government agencies on which our operations may rely, and those that provide funding for research and development activities that is required by third parties we enter into agreements with, is subject to the political process, which is inherently fluid and unpredictable. For example, the U.S. government has shut down several times and certain regulatory agencies, such as the FDA and the SEC, in some instances have had to furlough critical FDA, SEC and other government employees and stop or delay critical activities. A prolonged government shutdown, significant leadership, personnel, and/or policy changes, or other substantial modification in agency activities (including due to global health concerns, the policies of the Trump administration, and/or geopolitical factors) could significantly impact the ability of the FDA to timely review and process our regulatory submissions, which could have a material adverse effect on our business. Also, state governments may seek to address or react to changes at the federal level with changes to their regulatory frameworks in a manner that could impact our operations.</w:t>
      </w:r>
    </w:p>
    <w:p>
      <w:pPr>
        <w:spacing w:after="0" w:line="192" w:lineRule="exact"/>
        <w:rPr>
          <w:sz w:val="20"/>
          <w:szCs w:val="20"/>
          <w:color w:val="auto"/>
        </w:rPr>
      </w:pPr>
    </w:p>
    <w:p>
      <w:pPr>
        <w:ind w:right="400" w:firstLine="576"/>
        <w:spacing w:after="0" w:line="282" w:lineRule="auto"/>
        <w:rPr>
          <w:sz w:val="20"/>
          <w:szCs w:val="20"/>
          <w:color w:val="auto"/>
        </w:rPr>
      </w:pPr>
      <w:r>
        <w:rPr>
          <w:rFonts w:ascii="Times New Roman" w:cs="Times New Roman" w:eastAsia="Times New Roman" w:hAnsi="Times New Roman"/>
          <w:sz w:val="18"/>
          <w:szCs w:val="18"/>
          <w:color w:val="auto"/>
        </w:rPr>
        <w:t>Further, in our operations as a public company, future government shutdowns could impact our ability to access the public markets and obtain necessary capital in order to properly capitalize and continue our operations.</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regulatory policies may change, and additional government regulations may be enacted that could prevent, limit or delay regulatory approval of our product candidates.</w:t>
      </w:r>
    </w:p>
    <w:p>
      <w:pPr>
        <w:spacing w:after="0" w:line="15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June 2024, the U.S. Supreme Court overruled the Chevron doctrine, which gives deference to regulatory agencies’ statutory interpretations in litigation against federal government agencies, such as the FDA, where the law is ambiguous. This decision may result in more lawsuits against the FDA to challenge longstanding decisions and policies of the FDA,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21" w:lineRule="exact"/>
        <w:rPr>
          <w:sz w:val="20"/>
          <w:szCs w:val="20"/>
          <w:color w:val="auto"/>
        </w:rPr>
      </w:pPr>
    </w:p>
    <w:p>
      <w:pPr>
        <w:ind w:right="20" w:firstLine="576"/>
        <w:spacing w:after="0" w:line="256"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and statutes could impact our business in the future by requiring, for example: (i) changes to our manufacturing arrangements; (ii) changes to the method in which drug prices are determined for Medicare and Medicaid participants or other potential patients in the U.S. (or by which drug prices are determined in other countries and regions), (iii) additions or modifications to product labeling (if, and when, a product is approved for sale); (iv) the recall or discontinuation of our products (if any products are approved by applicable regulatory authorities); or (v) additional record-keeping requirements. If any such changes were to be imposed, they could adversely affect the operation of our business. For additional information, see the section entitled “Business – Current and future healthcare reform legislation.”</w:t>
      </w:r>
    </w:p>
    <w:p>
      <w:pPr>
        <w:spacing w:after="0" w:line="187" w:lineRule="exact"/>
        <w:rPr>
          <w:sz w:val="20"/>
          <w:szCs w:val="20"/>
          <w:color w:val="auto"/>
        </w:rPr>
      </w:pPr>
    </w:p>
    <w:p>
      <w:pPr>
        <w:ind w:right="460" w:firstLine="584"/>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pharmacy benefit managers, managed care organizations and other payers of healthcare services to contain or reduce costs of healthcare may adversely affect:</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sz w:val="20"/>
          <w:szCs w:val="20"/>
          <w:color w:val="auto"/>
        </w:rPr>
      </w:pPr>
    </w:p>
    <w:p>
      <w:pPr>
        <w:ind w:left="980" w:right="3560"/>
        <w:spacing w:after="0" w:line="375" w:lineRule="auto"/>
        <w:rPr>
          <w:sz w:val="20"/>
          <w:szCs w:val="20"/>
          <w:color w:val="auto"/>
        </w:rPr>
      </w:pPr>
      <w:r>
        <w:rPr>
          <w:rFonts w:ascii="Times New Roman" w:cs="Times New Roman" w:eastAsia="Times New Roman" w:hAnsi="Times New Roman"/>
          <w:sz w:val="18"/>
          <w:szCs w:val="18"/>
          <w:color w:val="auto"/>
        </w:rPr>
        <w:t>the ability to set a price that we believe is fair for any of our product candidates, if approved; our ability to generate revenues and achieve or maintain profitability;</w:t>
      </w:r>
    </w:p>
    <w:p>
      <w:pPr>
        <w:spacing w:after="0" w:line="1" w:lineRule="exact"/>
        <w:rPr>
          <w:sz w:val="20"/>
          <w:szCs w:val="20"/>
          <w:color w:val="auto"/>
        </w:rPr>
      </w:pPr>
    </w:p>
    <w:p>
      <w:pPr>
        <w:ind w:left="980" w:right="6680"/>
        <w:spacing w:after="0" w:line="407" w:lineRule="auto"/>
        <w:rPr>
          <w:sz w:val="20"/>
          <w:szCs w:val="20"/>
          <w:color w:val="auto"/>
        </w:rPr>
      </w:pPr>
      <w:r>
        <w:rPr>
          <w:rFonts w:ascii="Times New Roman" w:cs="Times New Roman" w:eastAsia="Times New Roman" w:hAnsi="Times New Roman"/>
          <w:sz w:val="18"/>
          <w:szCs w:val="18"/>
          <w:color w:val="auto"/>
        </w:rPr>
        <w:t>the level of taxes that we are required to pay; and the availability of capital.</w:t>
      </w:r>
    </w:p>
    <w:p>
      <w:pPr>
        <w:spacing w:after="0" w:line="54"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marketing approval, as well as subject us to more stringent product labeling and post-marketing testing and other requirements.</w:t>
      </w:r>
    </w:p>
    <w:p>
      <w:pPr>
        <w:spacing w:after="0" w:line="225" w:lineRule="exact"/>
        <w:rPr>
          <w:sz w:val="20"/>
          <w:szCs w:val="20"/>
          <w:color w:val="auto"/>
        </w:rPr>
      </w:pPr>
    </w:p>
    <w:p>
      <w:pPr>
        <w:ind w:right="20" w:firstLine="576"/>
        <w:spacing w:after="0" w:line="255"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or IRA, which, among other provisions, included several measures intended to lower the cost of prescription drugs and related healthcare reforms. This includes a provision that small molecule drugs can be chosen for price setting seven years after first approved by the FDA with the set price taking effect two years later, only nine years after the medicine was initially approved. This is far earlier than the time before small molecule medicines typically face generic competition. As a result, if we were to have one or more of our small molecule drugs approved by the FDA, under the IRA, we could be forced to sell our products at a lower price for CMS programs for several years earlier than would otherwise be the case. In addition, because this could result in lower future cash flows in those years, the valuation of the company could be negatively impacted.</w:t>
      </w:r>
    </w:p>
    <w:p>
      <w:pPr>
        <w:spacing w:after="0" w:line="189"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color w:val="auto"/>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Inflation Reduction Act that creates a distinction between small molecule and large molecule products for purposes of determining when a drug may be eligible for drug price negotiation. On May 12, 2025, the Trump Administration published Executive Order 14297, “Delivering Most-Favored-Nation Prescription Drug Pricing to American Patients” which generally, among other things, directs the federal government to establish and communicate most-favored-nation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most-favored-nation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including by suppressing the price of pharmaceutical products below fair market value in foreign countries.” Notably, a similar “Most Favored Nation” pricing rule enacted under the first Trump Administration was subject to an injunction resulting from judicial challenges to the rule, which was formally rescinded by the former Biden Administration in August 2021.</w:t>
      </w:r>
    </w:p>
    <w:p>
      <w:pPr>
        <w:spacing w:after="0" w:line="197" w:lineRule="exact"/>
        <w:rPr>
          <w:sz w:val="20"/>
          <w:szCs w:val="20"/>
          <w:color w:val="auto"/>
        </w:rPr>
      </w:pPr>
    </w:p>
    <w:p>
      <w:pPr>
        <w:ind w:right="200" w:firstLine="576"/>
        <w:spacing w:after="0" w:line="258" w:lineRule="auto"/>
        <w:rPr>
          <w:sz w:val="20"/>
          <w:szCs w:val="20"/>
          <w:color w:val="auto"/>
        </w:rPr>
      </w:pPr>
      <w:r>
        <w:rPr>
          <w:rFonts w:ascii="Times New Roman" w:cs="Times New Roman" w:eastAsia="Times New Roman" w:hAnsi="Times New Roman"/>
          <w:sz w:val="18"/>
          <w:szCs w:val="18"/>
          <w:color w:val="auto"/>
        </w:rPr>
        <w:t>Further, reductions in reimbursement from Medicare and other government programs may also result in reductions in payments from private payers.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implemented regulations designed to encourage importation of drugs from other countries and bulk purchasing.</w:t>
      </w:r>
    </w:p>
    <w:p>
      <w:pPr>
        <w:spacing w:after="0" w:line="183" w:lineRule="exact"/>
        <w:rPr>
          <w:sz w:val="20"/>
          <w:szCs w:val="20"/>
          <w:color w:val="auto"/>
        </w:rPr>
      </w:pPr>
    </w:p>
    <w:p>
      <w:pPr>
        <w:ind w:right="100" w:firstLine="576"/>
        <w:spacing w:after="0" w:line="255" w:lineRule="auto"/>
        <w:rPr>
          <w:sz w:val="20"/>
          <w:szCs w:val="20"/>
          <w:color w:val="auto"/>
        </w:rPr>
      </w:pPr>
      <w:r>
        <w:rPr>
          <w:rFonts w:ascii="Times New Roman" w:cs="Times New Roman" w:eastAsia="Times New Roman" w:hAnsi="Times New Roman"/>
          <w:sz w:val="18"/>
          <w:szCs w:val="18"/>
          <w:color w:val="auto"/>
        </w:rPr>
        <w:t>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Recent CMS proposals, including the GLOBE, GUARD, and GENEROUS, could materially impact the Company’s revenue.</w:t>
      </w:r>
    </w:p>
    <w:p>
      <w:pPr>
        <w:spacing w:after="0" w:line="189" w:lineRule="exact"/>
        <w:rPr>
          <w:sz w:val="20"/>
          <w:szCs w:val="20"/>
          <w:color w:val="auto"/>
        </w:rPr>
      </w:pPr>
    </w:p>
    <w:p>
      <w:pPr>
        <w:ind w:right="80" w:firstLine="576"/>
        <w:spacing w:after="0" w:line="258" w:lineRule="auto"/>
        <w:rPr>
          <w:sz w:val="20"/>
          <w:szCs w:val="20"/>
          <w:color w:val="auto"/>
        </w:rPr>
      </w:pPr>
      <w:r>
        <w:rPr>
          <w:rFonts w:ascii="Times New Roman" w:cs="Times New Roman" w:eastAsia="Times New Roman" w:hAnsi="Times New Roman"/>
          <w:sz w:val="18"/>
          <w:szCs w:val="18"/>
          <w:color w:val="auto"/>
        </w:rPr>
        <w:t>We expect that additional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Additionally, we expect to experience pricing pressures in connection with the sale of any future approved product candidates due to the trend toward managed healthcare, including pharmacy benefit managers, the increasing influence of health maintenance organizations, cost containment initiatives and additional legislative changes.</w:t>
      </w:r>
    </w:p>
    <w:p>
      <w:pPr>
        <w:spacing w:after="0" w:line="179"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drugs and decrease our ability to generate revenue.</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2" w:name="page73"/>
    <w:bookmarkEnd w:id="72"/>
    <w:p>
      <w:pPr>
        <w:ind w:firstLine="584"/>
        <w:spacing w:after="0" w:line="258" w:lineRule="auto"/>
        <w:rPr>
          <w:sz w:val="20"/>
          <w:szCs w:val="20"/>
          <w:color w:val="auto"/>
        </w:rPr>
      </w:pPr>
      <w:r>
        <w:rPr>
          <w:rFonts w:ascii="Times New Roman" w:cs="Times New Roman" w:eastAsia="Times New Roman" w:hAnsi="Times New Roman"/>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For more information regarding insurance coverage and reimbursement please see “Business – Government Regulation – Insurance Coverage and Reimbursement.”</w:t>
      </w:r>
    </w:p>
    <w:p>
      <w:pPr>
        <w:spacing w:after="0" w:line="183" w:lineRule="exact"/>
        <w:rPr>
          <w:sz w:val="20"/>
          <w:szCs w:val="20"/>
          <w:color w:val="auto"/>
        </w:rPr>
      </w:pPr>
    </w:p>
    <w:p>
      <w:pPr>
        <w:ind w:right="80" w:firstLine="576"/>
        <w:spacing w:after="0" w:line="266" w:lineRule="auto"/>
        <w:rPr>
          <w:sz w:val="20"/>
          <w:szCs w:val="20"/>
          <w:color w:val="auto"/>
        </w:rPr>
      </w:pPr>
      <w:r>
        <w:rPr>
          <w:rFonts w:ascii="Times New Roman" w:cs="Times New Roman" w:eastAsia="Times New Roman" w:hAnsi="Times New Roman"/>
          <w:sz w:val="18"/>
          <w:szCs w:val="18"/>
          <w:color w:val="auto"/>
        </w:rPr>
        <w:t>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68" w:lineRule="exact"/>
        <w:rPr>
          <w:sz w:val="20"/>
          <w:szCs w:val="20"/>
          <w:color w:val="auto"/>
        </w:rPr>
      </w:pPr>
    </w:p>
    <w:p>
      <w:pPr>
        <w:ind w:left="980" w:right="7400"/>
        <w:spacing w:after="0" w:line="397" w:lineRule="auto"/>
        <w:rPr>
          <w:sz w:val="20"/>
          <w:szCs w:val="20"/>
          <w:color w:val="auto"/>
        </w:rPr>
      </w:pPr>
      <w:r>
        <w:rPr>
          <w:rFonts w:ascii="Times New Roman" w:cs="Times New Roman" w:eastAsia="Times New Roman" w:hAnsi="Times New Roman"/>
          <w:sz w:val="17"/>
          <w:szCs w:val="17"/>
          <w:color w:val="auto"/>
        </w:rPr>
        <w:t>a covered benefit under its health plan; safe, effective and medically necessary; appropriate for the specific patient;</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cost-effective; and</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right="240" w:firstLine="576"/>
        <w:spacing w:after="0" w:line="261" w:lineRule="auto"/>
        <w:rPr>
          <w:sz w:val="20"/>
          <w:szCs w:val="20"/>
          <w:color w:val="auto"/>
        </w:rPr>
      </w:pPr>
      <w:r>
        <w:rPr>
          <w:rFonts w:ascii="Times New Roman" w:cs="Times New Roman" w:eastAsia="Times New Roman" w:hAnsi="Times New Roman"/>
          <w:sz w:val="18"/>
          <w:szCs w:val="18"/>
          <w:color w:val="auto"/>
        </w:rPr>
        <w:t>Even if we obtain coverage for our product candidates by a third-party payor, the resulting reimbursement payment rates may not be adequate or may require co-payments that patients find unacceptably high. We cannot be sure that coverage and reimbursement in the U.S., the European Union or elsewhere will be available for our product candidates or any product that we may develop, and any reimbursement that may become available may be decreased or eliminated in the future.</w:t>
      </w:r>
    </w:p>
    <w:p>
      <w:pPr>
        <w:spacing w:after="0" w:line="180"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newly-approved products. In the U.S., third-party payors, and governmental healthcare plans, such as the Medicare and Medicaid programs, play an important role in determining the extent to which new drugs and biologics will be covered. The Medicare and Medicaid programs increasingly are used as models in the U.S.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We cannot predict at this time what third-party payors will decide with respect to the coverage and reimbursement for our product candidates. Outside the U.S., international operations are generally subject to extensive governmental price controls and other market regulations, and we believe the increasing emphasis on cost-containment initiatives in Europe and other foreign jurisdictions will put pressure on the pricing and usage of our product candidates (if approved by regulators).</w:t>
      </w:r>
    </w:p>
    <w:p>
      <w:pPr>
        <w:spacing w:after="0" w:line="192" w:lineRule="exact"/>
        <w:rPr>
          <w:sz w:val="20"/>
          <w:szCs w:val="20"/>
          <w:color w:val="auto"/>
        </w:rPr>
      </w:pPr>
    </w:p>
    <w:p>
      <w:pPr>
        <w:ind w:right="120" w:firstLine="576"/>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183"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67" w:lineRule="exact"/>
        <w:rPr>
          <w:sz w:val="20"/>
          <w:szCs w:val="20"/>
          <w:color w:val="auto"/>
        </w:rPr>
      </w:pPr>
    </w:p>
    <w:p>
      <w:pPr>
        <w:ind w:right="20" w:firstLine="576"/>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may obtain regulatory approval. Our future arrangements with third-party payors, healthcare providers,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See the section entitled “</w:t>
      </w:r>
      <w:r>
        <w:rPr>
          <w:rFonts w:ascii="Times New Roman" w:cs="Times New Roman" w:eastAsia="Times New Roman" w:hAnsi="Times New Roman"/>
          <w:sz w:val="18"/>
          <w:szCs w:val="18"/>
          <w:i w:val="1"/>
          <w:iCs w:val="1"/>
          <w:color w:val="auto"/>
        </w:rPr>
        <w:t>Business – Other healthcare laws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00" w:firstLine="576"/>
        <w:spacing w:after="0" w:line="282"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spacing w:after="0" w:line="254" w:lineRule="auto"/>
        <w:rPr>
          <w:sz w:val="20"/>
          <w:szCs w:val="20"/>
          <w:color w:val="auto"/>
        </w:rPr>
      </w:pPr>
      <w:r>
        <w:rPr>
          <w:rFonts w:ascii="Times New Roman" w:cs="Times New Roman" w:eastAsia="Times New Roman" w:hAnsi="Times New Roman"/>
          <w:sz w:val="18"/>
          <w:szCs w:val="18"/>
          <w:color w:val="auto"/>
        </w:rPr>
        <w:t>practices do not comply with current or future statutes, regulations or case law involving applicable fraud and abuse or other healthcare laws and regulations. If our operations, including future sales of our product candidates (following regulatory approval of such therapy) by us or third-parties that we engage, were to be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and the curtailment or restructuring of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 and imprisonment.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above occur, our ability to operate our business and our results of operations could be adversely affected.</w:t>
      </w:r>
    </w:p>
    <w:p>
      <w:pPr>
        <w:spacing w:after="0" w:line="1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right="20" w:firstLine="576"/>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appropriately licensed and permitted third parties for the disposal of these materials and wastes. We cannot, however,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7" w:lineRule="exact"/>
        <w:rPr>
          <w:sz w:val="20"/>
          <w:szCs w:val="20"/>
          <w:color w:val="auto"/>
        </w:rPr>
      </w:pPr>
    </w:p>
    <w:p>
      <w:pPr>
        <w:ind w:right="20" w:firstLine="576"/>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7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72" w:lineRule="exact"/>
        <w:rPr>
          <w:sz w:val="20"/>
          <w:szCs w:val="20"/>
          <w:color w:val="auto"/>
        </w:rPr>
      </w:pPr>
    </w:p>
    <w:p>
      <w:pPr>
        <w:ind w:right="160" w:firstLine="584"/>
        <w:spacing w:after="0" w:line="252"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will require surveillance to monitor the safety and efficacy of the product candidate. 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 and GCPs for any clinical trials that we conduct post-approval and pharmacovigilance reporting obligations. Manufacturers and other entities involved in the manufacture and distribution of approved drugs, and those supplying products, ingredients, and components of them, are required to register their establishments with the FDA and certain state agencies, and are subject to periodic announced and unannounced inspections by the FDA and certain state agencies for compliance with cGMP requirements and other regulatory requirements, including applicable product tracking and tracing requirements.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include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8" w:lineRule="exact"/>
        <w:rPr>
          <w:sz w:val="20"/>
          <w:szCs w:val="20"/>
          <w:color w:val="auto"/>
        </w:rPr>
      </w:pPr>
    </w:p>
    <w:p>
      <w:pPr>
        <w:ind w:left="760" w:right="120" w:firstLine="230"/>
        <w:spacing w:after="0" w:line="282" w:lineRule="auto"/>
        <w:rPr>
          <w:sz w:val="20"/>
          <w:szCs w:val="20"/>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53" w:lineRule="exact"/>
        <w:rPr>
          <w:sz w:val="20"/>
          <w:szCs w:val="20"/>
          <w:color w:val="auto"/>
        </w:rPr>
      </w:pPr>
    </w:p>
    <w:p>
      <w:pPr>
        <w:jc w:val="center"/>
        <w:ind w:left="5540" w:right="340" w:hanging="4547"/>
        <w:spacing w:after="0" w:line="407" w:lineRule="auto"/>
        <w:rPr>
          <w:sz w:val="20"/>
          <w:szCs w:val="20"/>
          <w:color w:val="auto"/>
        </w:rPr>
      </w:pPr>
      <w:r>
        <w:rPr>
          <w:rFonts w:ascii="Times New Roman" w:cs="Times New Roman" w:eastAsia="Times New Roman" w:hAnsi="Times New Roman"/>
          <w:sz w:val="18"/>
          <w:szCs w:val="18"/>
          <w:color w:val="auto"/>
        </w:rPr>
        <w:t>manufacturing delays and supply disruptions where regulatory inspections identify observations of noncompliance requiring remediation;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4" w:name="page75"/>
    <w:bookmarkEnd w:id="74"/>
    <w:p>
      <w:pPr>
        <w:ind w:left="760" w:right="540" w:firstLine="230"/>
        <w:spacing w:after="0" w:line="282" w:lineRule="auto"/>
        <w:rPr>
          <w:sz w:val="20"/>
          <w:szCs w:val="20"/>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117" w:lineRule="exact"/>
        <w:rPr>
          <w:sz w:val="20"/>
          <w:szCs w:val="20"/>
          <w:color w:val="auto"/>
        </w:rPr>
      </w:pPr>
    </w:p>
    <w:p>
      <w:pPr>
        <w:ind w:left="980" w:right="3360"/>
        <w:spacing w:after="0" w:line="375" w:lineRule="auto"/>
        <w:rPr>
          <w:sz w:val="20"/>
          <w:szCs w:val="20"/>
          <w:color w:val="auto"/>
        </w:rPr>
      </w:pPr>
      <w:r>
        <w:rPr>
          <w:rFonts w:ascii="Times New Roman" w:cs="Times New Roman" w:eastAsia="Times New Roman" w:hAnsi="Times New Roman"/>
          <w:sz w:val="18"/>
          <w:szCs w:val="18"/>
          <w:color w:val="auto"/>
        </w:rPr>
        <w:t>requirements to conduct additional post-market clinical trials to assess the safety of the product; clinical trial holds;</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fines, FDA Form 483s, untitled letters, warning letters or other regulatory enforcement action;</w:t>
      </w:r>
    </w:p>
    <w:p>
      <w:pPr>
        <w:spacing w:after="0" w:line="117" w:lineRule="exact"/>
        <w:rPr>
          <w:sz w:val="20"/>
          <w:szCs w:val="20"/>
          <w:color w:val="auto"/>
        </w:rPr>
      </w:pPr>
    </w:p>
    <w:p>
      <w:pPr>
        <w:ind w:left="760" w:right="540" w:firstLine="230"/>
        <w:spacing w:after="0" w:line="282" w:lineRule="auto"/>
        <w:rPr>
          <w:sz w:val="20"/>
          <w:szCs w:val="20"/>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53" w:lineRule="exact"/>
        <w:rPr>
          <w:sz w:val="20"/>
          <w:szCs w:val="20"/>
          <w:color w:val="auto"/>
        </w:rPr>
      </w:pPr>
    </w:p>
    <w:p>
      <w:pPr>
        <w:ind w:left="980" w:right="4060"/>
        <w:spacing w:after="0" w:line="407" w:lineRule="auto"/>
        <w:rPr>
          <w:sz w:val="20"/>
          <w:szCs w:val="20"/>
          <w:color w:val="auto"/>
        </w:rPr>
      </w:pPr>
      <w:r>
        <w:rPr>
          <w:rFonts w:ascii="Times New Roman" w:cs="Times New Roman" w:eastAsia="Times New Roman" w:hAnsi="Times New Roman"/>
          <w:sz w:val="18"/>
          <w:szCs w:val="18"/>
          <w:color w:val="auto"/>
        </w:rPr>
        <w:t>product seizure or detention, or refusal to permit the import or export of products; and injunctions or the imposition of civil or criminal penalties.</w:t>
      </w:r>
    </w:p>
    <w:p>
      <w:pPr>
        <w:spacing w:after="0" w:line="54"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governmental laws or regulations may be enacted that could prevent, limit or delay regulatory approval of our product candidates. In addition, FDA guidance and policies are often revised or reinterpreted by the agency in ways that may significantly affect the manner in which drug products are regulated and marketed.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data collection is governed by restrictive regulations governing the use, processing and cross-border transfer of personal information.</w:t>
      </w:r>
    </w:p>
    <w:p>
      <w:pPr>
        <w:spacing w:after="0" w:line="121" w:lineRule="exact"/>
        <w:rPr>
          <w:sz w:val="20"/>
          <w:szCs w:val="20"/>
          <w:color w:val="auto"/>
        </w:rPr>
      </w:pPr>
    </w:p>
    <w:p>
      <w:pPr>
        <w:ind w:right="20" w:firstLine="576"/>
        <w:spacing w:after="0" w:line="254" w:lineRule="auto"/>
        <w:rPr>
          <w:sz w:val="20"/>
          <w:szCs w:val="20"/>
          <w:color w:val="auto"/>
        </w:rPr>
      </w:pPr>
      <w:r>
        <w:rPr>
          <w:rFonts w:ascii="Times New Roman" w:cs="Times New Roman" w:eastAsia="Times New Roman" w:hAnsi="Times New Roman"/>
          <w:sz w:val="18"/>
          <w:szCs w:val="18"/>
          <w:color w:val="auto"/>
        </w:rPr>
        <w:t>We are conducting and plan to conduct additional clinical trials and enroll subjects in our current or future clinical trials in the U.S. and Europe (and elsewhere), and therefore we will be subject to privacy restrictions. The collection, use, storage, disclosure, transfer, or other processing of personal data regarding individuals in the EEA, including personal health data, is subject to the EU GDPR and similarly, processing of personal data regarding individuals in the UK is subject to the UK General Data Protection Regulation and the UK Data Protection Act 2018, or UK GDPR (and together with the EU GDPR, the GDPR). The GDPR is wide-ranging in scope and imposes numerous requirements on companies that process personal data, including strict requirements relating to processing health and other sensitive data, ensuring that there is a legal basis or condition to justify the processing of personal data, stringent requirements relating to the consent of the individuals to whom the personal data relates (where applicable), providing information to individuals regarding data processing activities, implementing safeguards to protect the security and confidentiality of personal data, providing notification of data breaches, and taking certain measures when engaging third-party processors.</w:t>
      </w:r>
    </w:p>
    <w:p>
      <w:pPr>
        <w:spacing w:after="0" w:line="188" w:lineRule="exact"/>
        <w:rPr>
          <w:sz w:val="20"/>
          <w:szCs w:val="20"/>
          <w:color w:val="auto"/>
        </w:rPr>
      </w:pPr>
    </w:p>
    <w:p>
      <w:pPr>
        <w:ind w:right="20" w:firstLine="576"/>
        <w:spacing w:after="0" w:line="256"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outside of the EEA and UK to countries that do not ensure an adequate level of protection, like the United States in certain circumstances unless a valid GDPR transfer mechanism (for example, the European Commission approved Standard Contractual Clauses, or SCCs, and the UK International Data Transfer Agreement/Addendum, or UK IDTA) has been put in place). Where relying on the SCCs or UK IDTA for data transfers, we may also be required to carry out transfer impact assessments to assess whether the recipient is subject to local laws which allow public authority access to personal data. Any inability to transfer personal data from the EEA and UK to the United States in compliance with data protection laws may impede our ability to conduct trials and may adversely affect our business and financial position.</w:t>
      </w:r>
    </w:p>
    <w:p>
      <w:pPr>
        <w:spacing w:after="0" w:line="187" w:lineRule="exact"/>
        <w:rPr>
          <w:sz w:val="20"/>
          <w:szCs w:val="20"/>
          <w:color w:val="auto"/>
        </w:rPr>
      </w:pPr>
    </w:p>
    <w:p>
      <w:pPr>
        <w:ind w:right="60" w:firstLine="576"/>
        <w:spacing w:after="0" w:line="254" w:lineRule="auto"/>
        <w:rPr>
          <w:sz w:val="20"/>
          <w:szCs w:val="20"/>
          <w:color w:val="auto"/>
        </w:rPr>
      </w:pPr>
      <w:r>
        <w:rPr>
          <w:rFonts w:ascii="Times New Roman" w:cs="Times New Roman" w:eastAsia="Times New Roman" w:hAnsi="Times New Roman"/>
          <w:sz w:val="18"/>
          <w:szCs w:val="18"/>
          <w:color w:val="auto"/>
        </w:rPr>
        <w:t>Failure to comply with the GDPR, and any supplemental EEA Member State or UK national data protection laws which may apply by virtue of the location of the individuals whose personal data we collect, may result in substantial penalties to which we could be subject in the event of any non-compliance, including potential fines of up to the greater of €20 million (£17.5 million under the UK GDPR) or up to 4% of our total worldwide annual turnover for more serious offenses. The GDPR also confers a private right of action on data subjects and consumer associations to lodge complaints with supervisory authorities, seek judicial remedies, and obtain compensation for damages resulting from violations of the GDPR. While we have implemented procedures to comply with the GDPR, maintaining ongoing compliance with these regulations will be a rigorous and time-intensive process that we expect will increase our cost of doing business and require us to continue to change certain of our business practices, and despite those efforts, there is a risk that we may be subject to fines and penalties, litigation, and reputational harm in connection with our European activities. Further, many countries interpret the application of the provisions of the EU GDPR in a different manner, making compliance in certain countries and across the EEA challenging.</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ind w:right="80" w:firstLine="576"/>
        <w:spacing w:after="0" w:line="253" w:lineRule="auto"/>
        <w:rPr>
          <w:sz w:val="20"/>
          <w:szCs w:val="20"/>
          <w:color w:val="auto"/>
        </w:rPr>
      </w:pPr>
      <w:r>
        <w:rPr>
          <w:rFonts w:ascii="Times New Roman" w:cs="Times New Roman" w:eastAsia="Times New Roman" w:hAnsi="Times New Roman"/>
          <w:sz w:val="18"/>
          <w:szCs w:val="18"/>
          <w:color w:val="auto"/>
        </w:rPr>
        <w:t>The UK’s data protection regime is independent from but aligned to the EU’s data protection regime. Although the UK is regarded as a third country under the EU’s GDPR, the European Commission has issued a decision recognizing the UK as providing adequate protection under the EU GDPR (Adequacy Decision) and, therefore, transfers of personal data originating in the EEA to the UK remain unrestricted. The UK government has confirmed that personal data transfers from the UK to the EEA remain free flowing. However, the UK government is planning to reform its data protection law with the Data (Use and Access) Bill, which it introduced to Parliament on October 24, 2024. If passed, the final version of the UK Bill may have the effect of further altering the similarities between the UK and EEA data protection regime and threaten the UK adequacy decision from the European Commission. The respective provisions and enforcement of the EU GDPR and UK GDPR may further diverge in the future and create additional regulatory challenges and uncertainties.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w:t>
      </w:r>
    </w:p>
    <w:p>
      <w:pPr>
        <w:spacing w:after="0" w:line="19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51" w:lineRule="exact"/>
        <w:rPr>
          <w:sz w:val="20"/>
          <w:szCs w:val="20"/>
          <w:color w:val="auto"/>
        </w:rPr>
      </w:pPr>
    </w:p>
    <w:p>
      <w:pPr>
        <w:ind w:right="20" w:firstLine="576"/>
        <w:spacing w:after="0" w:line="255" w:lineRule="auto"/>
        <w:rPr>
          <w:sz w:val="20"/>
          <w:szCs w:val="20"/>
          <w:color w:val="auto"/>
        </w:rPr>
      </w:pPr>
      <w:r>
        <w:rPr>
          <w:rFonts w:ascii="Times New Roman" w:cs="Times New Roman" w:eastAsia="Times New Roman" w:hAnsi="Times New Roman"/>
          <w:sz w:val="18"/>
          <w:szCs w:val="18"/>
          <w:color w:val="auto"/>
        </w:rPr>
        <w:t>As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9" w:lineRule="exact"/>
        <w:rPr>
          <w:sz w:val="20"/>
          <w:szCs w:val="20"/>
          <w:color w:val="auto"/>
        </w:rPr>
      </w:pPr>
    </w:p>
    <w:p>
      <w:pPr>
        <w:jc w:val="both"/>
        <w:ind w:right="60" w:firstLine="576"/>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80" w:lineRule="exact"/>
        <w:rPr>
          <w:sz w:val="20"/>
          <w:szCs w:val="20"/>
          <w:color w:val="auto"/>
        </w:rPr>
      </w:pPr>
    </w:p>
    <w:p>
      <w:pPr>
        <w:ind w:right="40" w:firstLine="576"/>
        <w:spacing w:after="0" w:line="258"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83" w:lineRule="exact"/>
        <w:rPr>
          <w:sz w:val="20"/>
          <w:szCs w:val="20"/>
          <w:color w:val="auto"/>
        </w:rPr>
      </w:pPr>
    </w:p>
    <w:p>
      <w:pPr>
        <w:jc w:val="both"/>
        <w:ind w:right="100" w:firstLine="584"/>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political, trade, regulatory developments, and other circumstances beyond our control, could have a material adverse effect on our financial condition or results of operations.</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operate globally and, if approved, we may sell our products in countries throughout the world. Significant political, trade, or regulatory developments in the jurisdictions in which we conduct clinical trials, where we may seek to obtain approval of our products or where may sell our products (if approved by regulatory authorities for sale), such as those stemming from the change in U.S. federal administration, are difficult to predict and may have a material adverse effect on us and our operations. Similarly, changes in U.S. federal policy that affect the geopolitical landscape could give rise to circumstances outside our control that could have negative impacts on our business operations. For example, on February 1, 2025, the U.S. imposed a 25% tariff on imports from Canada and Mexico, which were subsequently suspended for a period of one month, and a 10% additional tariff on imports from China (we obtain certain drug product and API from vendors in China and our sole supplier of API is located in China). Historically, tariffs have led to increased trade and political tensions.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6" w:name="page77"/>
    <w:bookmarkEnd w:id="76"/>
    <w:p>
      <w:pPr>
        <w:ind w:right="140"/>
        <w:spacing w:after="0" w:line="282" w:lineRule="auto"/>
        <w:rPr>
          <w:sz w:val="20"/>
          <w:szCs w:val="20"/>
          <w:color w:val="auto"/>
        </w:rPr>
      </w:pPr>
      <w:r>
        <w:rPr>
          <w:rFonts w:ascii="Times New Roman" w:cs="Times New Roman" w:eastAsia="Times New Roman" w:hAnsi="Times New Roman"/>
          <w:sz w:val="18"/>
          <w:szCs w:val="18"/>
          <w:color w:val="auto"/>
        </w:rPr>
        <w:t>financial markets. Any changes in political, trade, regulatory, and economic conditions, including U.S. trade policies, could have a material adverse effect on our financial condition 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Anticipated Growth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experienced scientists and to attract, retain and motivate qualified personnel.</w:t>
      </w:r>
    </w:p>
    <w:p>
      <w:pPr>
        <w:spacing w:after="0" w:line="121" w:lineRule="exact"/>
        <w:rPr>
          <w:sz w:val="20"/>
          <w:szCs w:val="20"/>
          <w:color w:val="auto"/>
        </w:rPr>
      </w:pPr>
    </w:p>
    <w:p>
      <w:pPr>
        <w:ind w:right="120" w:firstLine="576"/>
        <w:spacing w:after="0" w:line="255" w:lineRule="auto"/>
        <w:rPr>
          <w:sz w:val="20"/>
          <w:szCs w:val="20"/>
          <w:color w:val="auto"/>
        </w:rPr>
      </w:pPr>
      <w:r>
        <w:rPr>
          <w:rFonts w:ascii="Times New Roman" w:cs="Times New Roman" w:eastAsia="Times New Roman" w:hAnsi="Times New Roman"/>
          <w:sz w:val="18"/>
          <w:szCs w:val="18"/>
          <w:color w:val="auto"/>
        </w:rPr>
        <w:t>We are highly dependent on many of our key employees and members of our executive management team as well as the other principal members of our management, scientific and clinical team. Although we have entered into employment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clinical trial and commercialization strategies.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9"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clinical, medical, regulatory, manufacturing and sales and marketing personnel is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medical and clinical personnel from universities and research institutions. Failure to provide evidence of safety and efficacy of our product candidates in clinical trials and advance such candidates into registrational clinical trials, or delays experienced in such clinical trials, may make it more challenging to recruit and retain qualified scientific personnel.</w:t>
      </w:r>
    </w:p>
    <w:p>
      <w:pPr>
        <w:spacing w:after="0" w:line="194" w:lineRule="exact"/>
        <w:rPr>
          <w:sz w:val="20"/>
          <w:szCs w:val="20"/>
          <w:color w:val="auto"/>
        </w:rPr>
      </w:pPr>
    </w:p>
    <w:p>
      <w:pPr>
        <w:ind w:right="100" w:firstLine="576"/>
        <w:spacing w:after="0" w:line="258" w:lineRule="auto"/>
        <w:rPr>
          <w:sz w:val="20"/>
          <w:szCs w:val="20"/>
          <w:color w:val="auto"/>
        </w:rPr>
      </w:pPr>
      <w:r>
        <w:rPr>
          <w:rFonts w:ascii="Times New Roman" w:cs="Times New Roman" w:eastAsia="Times New Roman" w:hAnsi="Times New Roman"/>
          <w:sz w:val="18"/>
          <w:szCs w:val="18"/>
          <w:color w:val="auto"/>
        </w:rPr>
        <w:t>In particular, we have experienced a very competitive hiring environment in Boston and Cambridge, Massachusetts.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17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technology systems from cyberattacks, cyber intrusions or otherwise which could result in damage to our information technology system and unauthorized disclosure or use of confidential or proprietary information, including personal data.</w:t>
      </w:r>
    </w:p>
    <w:p>
      <w:pPr>
        <w:spacing w:after="0" w:line="159" w:lineRule="exact"/>
        <w:rPr>
          <w:sz w:val="20"/>
          <w:szCs w:val="20"/>
          <w:color w:val="auto"/>
        </w:rPr>
      </w:pPr>
    </w:p>
    <w:p>
      <w:pPr>
        <w:ind w:right="40" w:firstLine="576"/>
        <w:spacing w:after="0" w:line="261" w:lineRule="auto"/>
        <w:rPr>
          <w:sz w:val="20"/>
          <w:szCs w:val="20"/>
          <w:color w:val="auto"/>
        </w:rPr>
      </w:pPr>
      <w:r>
        <w:rPr>
          <w:rFonts w:ascii="Times New Roman" w:cs="Times New Roman" w:eastAsia="Times New Roman" w:hAnsi="Times New Roman"/>
          <w:sz w:val="18"/>
          <w:szCs w:val="18"/>
          <w:color w:val="auto"/>
        </w:rPr>
        <w:t>We rely on information technology systems that we or our third-party providers operate to process, transmit and store electronic health information in our day-to-day operations. In connection with our clinical trials, we (and our third party processors assisting with the clinical trials) may have access to or store clinical and health information of the patients participating in the trials and such information may be accessed as result of a cyberattack, cyber intrusion or otherwise.</w:t>
      </w:r>
    </w:p>
    <w:p>
      <w:pPr>
        <w:spacing w:after="0" w:line="180"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Like other companies in our industry, we, and our third-party vendors, have experienced threats and cybersecurity incidents relating to our information technology systems and infrastructure. A security breach, incident or compromise, whether through a successful cyberattack, cyber intrusion or otherwise,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ransomware, the theft, fraud, and subsequent misuse of employee credentials, wrongful conduct by insider employees or vendors, computer viruses, attacks enhanced or facilitated by AI, denial-of-service attacks, social engineering tactics (including phishing), wrongful intrusion, data breaches, or other means to threaten the security, confidentiality, integrity and availability of our information technology systems and data. A security incident, data breach, or compromise, whether through a successful cyberattack or otherwise, could cause serious negative consequences for us, including, without limitation, the disruption of operations, the misappropriation of confidential business information, including the compounds we are developing, our screening platform</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7" w:name="page78"/>
    <w:bookmarkEnd w:id="77"/>
    <w:p>
      <w:pPr>
        <w:spacing w:after="0" w:line="253" w:lineRule="auto"/>
        <w:rPr>
          <w:sz w:val="20"/>
          <w:szCs w:val="20"/>
          <w:color w:val="auto"/>
        </w:rPr>
      </w:pPr>
      <w:r>
        <w:rPr>
          <w:rFonts w:ascii="Times New Roman" w:cs="Times New Roman" w:eastAsia="Times New Roman" w:hAnsi="Times New Roman"/>
          <w:sz w:val="18"/>
          <w:szCs w:val="18"/>
          <w:color w:val="auto"/>
        </w:rPr>
        <w:t>technology, financial information, trade secrets, financial loss and the disclosure of corporate strategic plans. Attempts to disrupt or gain unauthorized access to our and our third-party service providers’ information systems from malicious third parties or insider threats may incorporate widely varying and frequently changing tactics, which may be enhanced or facilitated by AI. Although we have implemented various measures designed to protect our information technology systems, there can be no assurance that our efforts will prevent security breaches, incidents or other compromises that would result in business, legal, financial or reputational harm to us, or would have a material adverse effect on our results of operations and financial condition. Any failure to prevent or mitigate security breaches, incidents or compromises could lead to improper access to, use of, or disclosure of our proprietary or confidential information (including clinical data or patients’ personal data) and could result in significant liability under various data protection laws, including state (e.g., state breach notification laws), federal (e.g., HIPAA, as amended by HITECH), and international laws (e.g., the GDPR) and may cause a material adverse impact to our reputation, affect our ability to continue existing clinical trials and conduct new clinical trials and potentially disrupt our business.</w:t>
      </w:r>
    </w:p>
    <w:p>
      <w:pPr>
        <w:spacing w:after="0" w:line="194"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We rely on our third-party providers to implement effective security measures and identify and correct for any such failures, deficiencies or breaches of our systems.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cyber-attacks and any such attacks could result in the losses described above as well as disputes with physicians, patients and our partners and collaborators, regulatory sanctions or penalties, increases in operating and other expenses or lost revenue or other adverse consequences, any of which could have a material adverse effect on our business, results of operations, financial condition, prospects and cash flows. Any failure by such third parties to prevent or mitigate security breaches, incidents or compromises, or any improper access to or disclosure of proprietary or confidential information, could have adverse consequences for our business and our reputation. If we are unable to prevent or mitigate the impact of such security breaches, incidents, or other compromises, we could be exposed to litigation and governmental investigations and related fines and penalties.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breach.</w:t>
      </w:r>
    </w:p>
    <w:p>
      <w:pPr>
        <w:spacing w:after="0" w:line="190"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Certain state laws govern the privacy and security of health information, many of which are not preempted by HIPAA and differ from each other in significant ways, thus complicating compliance efforts. In California, for example, the California Consumer Privacy Act, or CCPA (and its amendments), requires covered businesses to comply with specific privacy and security obligations regarding their handling of personal information of California residents, such as providing the ability to opt-out of certain sales or transfers of their personal information to third parties. The CCPA provides for civil penalties for violations, as well as a private right of action for certain types of data breaches. Similarly comprehensive privacy laws have been passed in numerous other U.S. states which contain several key differences in their scope, application and enforcement. Several states have passed laws specifically regulating consumer health information. For example, Washington State’s My Health My Data Act regulates the collection and sharing of consumer health data, which is broadly defined under the law, and includes a private right of action, which could increase the risk of litigation. Similar consumer health laws are in force in Connecticut and Nevada, while other states have proposed or passed legislation that regulates the privacy and security of certain specific types of personal information, including biometric data.</w:t>
      </w:r>
    </w:p>
    <w:p>
      <w:pPr>
        <w:spacing w:after="0" w:line="194" w:lineRule="exact"/>
        <w:rPr>
          <w:sz w:val="20"/>
          <w:szCs w:val="20"/>
          <w:color w:val="auto"/>
        </w:rPr>
      </w:pPr>
    </w:p>
    <w:p>
      <w:pPr>
        <w:ind w:right="180" w:firstLine="576"/>
        <w:spacing w:after="0" w:line="258" w:lineRule="auto"/>
        <w:rPr>
          <w:sz w:val="20"/>
          <w:szCs w:val="20"/>
          <w:color w:val="auto"/>
        </w:rPr>
      </w:pPr>
      <w:r>
        <w:rPr>
          <w:rFonts w:ascii="Times New Roman" w:cs="Times New Roman" w:eastAsia="Times New Roman" w:hAnsi="Times New Roman"/>
          <w:sz w:val="18"/>
          <w:szCs w:val="18"/>
          <w:color w:val="auto"/>
        </w:rPr>
        <w:t>Further, the collection and processing of personal information of individuals in the European Economic Area (EEA) and the UK is subject to the EU and UK General Data Protection Regulation (collectively, the “GDPR”). The GDPR applies to companies inside and outside the EEA/UK that offer goods or services to, or monitor the behavior of, individuals in those jurisdictions. It imposes extensive obligations relating to lawful processing, data security, individual rights, accountability, and cross-border data transfers. Violations may result in fines of up to €20 million (£17.5 million under the UK GDPR) or 4% of global annual revenue, whichever is greater, and may give rise to regulatory enforcement actions and private claims for damages.</w:t>
      </w:r>
    </w:p>
    <w:p>
      <w:pPr>
        <w:spacing w:after="0" w:line="183" w:lineRule="exact"/>
        <w:rPr>
          <w:sz w:val="20"/>
          <w:szCs w:val="20"/>
          <w:color w:val="auto"/>
        </w:rPr>
      </w:pPr>
    </w:p>
    <w:p>
      <w:pPr>
        <w:ind w:right="40" w:firstLine="576"/>
        <w:spacing w:after="0" w:line="254" w:lineRule="auto"/>
        <w:rPr>
          <w:sz w:val="20"/>
          <w:szCs w:val="20"/>
          <w:color w:val="auto"/>
        </w:rPr>
      </w:pPr>
      <w:r>
        <w:rPr>
          <w:rFonts w:ascii="Times New Roman" w:cs="Times New Roman" w:eastAsia="Times New Roman" w:hAnsi="Times New Roman"/>
          <w:sz w:val="18"/>
          <w:szCs w:val="18"/>
          <w:color w:val="auto"/>
        </w:rPr>
        <w:t>Additionally in the EU, the NIS 2 Directive, or NIS 2, is replacing the cybersecurity legal framework under the current NIS framework, aiming to ensure a high level of cybersecurity in the region. NIS 2 brings new medium and large organizations providing services in the EU within scope of the legal framework. It extends to additional sectors and expands the list of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greater oversight. The majority of obligations will come into force when national legislation implementing NIS 2 becomes effective in the relevant EU Member State. EU Member States had until 17 October 2024 to transpose NIS 2 into national legislation, although some countries have still not completed the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8" w:name="page79"/>
    <w:bookmarkEnd w:id="78"/>
    <w:p>
      <w:pPr>
        <w:ind w:right="220"/>
        <w:spacing w:after="0" w:line="266" w:lineRule="auto"/>
        <w:rPr>
          <w:sz w:val="20"/>
          <w:szCs w:val="20"/>
          <w:color w:val="auto"/>
        </w:rPr>
      </w:pPr>
      <w:r>
        <w:rPr>
          <w:rFonts w:ascii="Times New Roman" w:cs="Times New Roman" w:eastAsia="Times New Roman" w:hAnsi="Times New Roman"/>
          <w:sz w:val="18"/>
          <w:szCs w:val="18"/>
          <w:color w:val="auto"/>
        </w:rPr>
        <w:t>transposition. As such, the cybersecurity regulatory landscape in the EU is currently fragmented and uncertain. To the extent we are subject to NIS 2, we will require additional investment of our resources in compliance programs and will potentially come under greater regulatory scrutiny. Under NIS 2 companies may be subject to administrative fines of up to the higher amount of €10 million or 2% of worldwide turnover.</w:t>
      </w:r>
    </w:p>
    <w:p>
      <w:pPr>
        <w:spacing w:after="0" w:line="176" w:lineRule="exact"/>
        <w:rPr>
          <w:sz w:val="20"/>
          <w:szCs w:val="20"/>
          <w:color w:val="auto"/>
        </w:rPr>
      </w:pPr>
    </w:p>
    <w:p>
      <w:pPr>
        <w:ind w:right="100" w:firstLine="576"/>
        <w:spacing w:after="0" w:line="254" w:lineRule="auto"/>
        <w:rPr>
          <w:sz w:val="20"/>
          <w:szCs w:val="20"/>
          <w:color w:val="auto"/>
        </w:rPr>
      </w:pPr>
      <w:r>
        <w:rPr>
          <w:rFonts w:ascii="Times New Roman" w:cs="Times New Roman" w:eastAsia="Times New Roman" w:hAnsi="Times New Roman"/>
          <w:sz w:val="18"/>
          <w:szCs w:val="18"/>
          <w:color w:val="auto"/>
        </w:rPr>
        <w:t>These various privacy and security laws may impact our business activities, including our identification of patients who meet the inclusion criteria for our clinical trials, relationships with business partners, and ultimately the marketing and distribution of our products (if approved by regulatory authorities). If we, third-party CMOs, CROs or other contractors or consultants fail to comply with U.S. and international data protection laws and regulations, we could face government enforcement actions (which could include civil or criminal penalties) or private litigation, which would require additional investment of resources, limit our ability to use personal data, and result in adverse publicity which could negatively affect our operating results and business. Claims that we or our third-party service providers have violated individuals’ privacy rights, failed to comply with data protection laws, or breached our contractual obligations, even if we are not found liable, could result in adverse publicity that could harm our business, increase our costs and negatively affect our reputation.</w:t>
      </w:r>
    </w:p>
    <w:p>
      <w:pPr>
        <w:spacing w:after="0" w:line="18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159" w:lineRule="exact"/>
        <w:rPr>
          <w:sz w:val="20"/>
          <w:szCs w:val="20"/>
          <w:color w:val="auto"/>
        </w:rPr>
      </w:pPr>
    </w:p>
    <w:p>
      <w:pPr>
        <w:ind w:right="220" w:firstLine="576"/>
        <w:spacing w:after="0" w:line="254" w:lineRule="auto"/>
        <w:rPr>
          <w:sz w:val="20"/>
          <w:szCs w:val="20"/>
          <w:color w:val="auto"/>
        </w:rPr>
      </w:pPr>
      <w:r>
        <w:rPr>
          <w:rFonts w:ascii="Times New Roman" w:cs="Times New Roman" w:eastAsia="Times New Roman" w:hAnsi="Times New Roman"/>
          <w:sz w:val="18"/>
          <w:szCs w:val="18"/>
          <w:color w:val="auto"/>
        </w:rPr>
        <w:t>We may use, and our vendors may incorporate artificial intelligence, or AI, ,both in our own development and implementation of AI and through the adoption of commercially available tools. The use of AI presents risks and challenges that could adversely impact our business and reputation, including risks relating to cybersecurity, privacy, information technology, confidentiality, intellectual property and others. Specifically, risks related to accuracy, bias, AI hallucinations, discrimination, harmful content, misinformation, fraud, scams, targeted attacks, surveillance, data leakage, bias and inequality, environmental and other harms may flow from our development or use of AI technologies. For example, use of certain AI tools may increase the risk of unauthorized disclosure of confidential information, compromise of proprietary intellectual property, or inadvertent inclusion of third-party intellectual property or other protected material, which could result in disputes or claims of infringement. The rapid evolution of AI will require the application of significant resources to design, develop, test and maintain our products and services to help ensure that AI is implemented in accordance with applicable law and regulation and in a socially responsible manner.</w:t>
      </w:r>
    </w:p>
    <w:p>
      <w:pPr>
        <w:spacing w:after="0" w:line="188" w:lineRule="exact"/>
        <w:rPr>
          <w:sz w:val="20"/>
          <w:szCs w:val="20"/>
          <w:color w:val="auto"/>
        </w:rPr>
      </w:pPr>
    </w:p>
    <w:p>
      <w:pPr>
        <w:ind w:right="120" w:firstLine="576"/>
        <w:spacing w:after="0" w:line="269" w:lineRule="auto"/>
        <w:rPr>
          <w:sz w:val="20"/>
          <w:szCs w:val="20"/>
          <w:color w:val="auto"/>
        </w:rPr>
      </w:pPr>
      <w:r>
        <w:rPr>
          <w:rFonts w:ascii="Times New Roman" w:cs="Times New Roman" w:eastAsia="Times New Roman" w:hAnsi="Times New Roman"/>
          <w:sz w:val="17"/>
          <w:szCs w:val="17"/>
          <w:color w:val="auto"/>
        </w:rPr>
        <w:t>Regulation related to AI is evolving as new laws are implemented globally which could increase the burden and operational cost of compliance, including through requirements related to transparency, accountability, risk management, human oversight, and data governance. Development, use, and deployment of AI technologies could pose cybersecurity, data privacy, IT, intellectual property, regulatory, legal, operational, competitive, reputational, and other risks and challenges that could affect our business. Specifically, risks related to bias, AI hallucinations, discrimination, harmful content, misinformation, fraud, scams, targeted attacks such as model poisoning or data poisoning, surveillance, data leakage, loss of consensus reality, inequality, environmental harms, and other harms may flow from our development, use, or deployment of AI technologies. We expect to see increasing government and supranational regulation related to artificial intelligence use and ethics, which may also significantly increase the burden and cost of research, development and compliance in this area. For example, the EU’s Artificial Intelligence Act (AI Act) — the world’s first comprehensive AI law — entered into force in August 2024, with important sections scheduled to become effective in August 2026. As currently enacted, the AI Act imposes significant obligations on providers and deployers of high risk AI systems and general purpose AI models, and encourages providers and deployers of AI systems to account for EU ethical principles when developing and using AI technology. The scope of requirements depends on legal and risk determinations that rely on legal provisions that have not yet been fully interpreted by courts or regulators, and non-compliance can lead to significant fines.</w:t>
      </w:r>
    </w:p>
    <w:p>
      <w:pPr>
        <w:spacing w:after="0" w:line="179"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In the U.S., the regulatory environment is complex and uncertain. Over the past year, states have advanced, and in some cases passed, dozens of laws focusing on AI governance and regulation, including on deployment of AI in healthcare settings. At the federal level, the current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In addition, there is continued uncertainty regarding the application of existing federal and state legal frameworks to uses and development of AI, and legal norms and market standards regarding AI continue to evolve. For example, various federal and state regulators have issued guidance and focused enforcement efforts on the use of AI in regulated sectors. The U.S. Food and Drug Administration, for example, issued guidance on the use of artificial intelligence in medical devices, requiring detailed risk management and review processes to obtain approvals. If we develop or use AI systems that are governed by the these laws or regulations, we will need to meet higher standards of data quality, transparency, and human oversight, and we would need to adhere to specific, potentially burdensome and costly ethical, accountability, and administrative requirements. We may also be subject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9" w:name="page80"/>
    <w:bookmarkEnd w:id="79"/>
    <w:p>
      <w:pPr>
        <w:ind w:right="120"/>
        <w:spacing w:after="0" w:line="282" w:lineRule="auto"/>
        <w:rPr>
          <w:sz w:val="20"/>
          <w:szCs w:val="20"/>
          <w:color w:val="auto"/>
        </w:rPr>
      </w:pPr>
      <w:r>
        <w:rPr>
          <w:rFonts w:ascii="Times New Roman" w:cs="Times New Roman" w:eastAsia="Times New Roman" w:hAnsi="Times New Roman"/>
          <w:sz w:val="18"/>
          <w:szCs w:val="18"/>
          <w:color w:val="auto"/>
        </w:rPr>
        <w:t>to enforcement or litigation in the event of any perceived non-compliance. Our vendors may in turn incorporate AI tools into their offerings, and the providers of these AI tools may not meet existing or rapidly evolving regulatory or industry standards, including with respect to privacy and data security.</w:t>
      </w:r>
    </w:p>
    <w:p>
      <w:pPr>
        <w:spacing w:after="0" w:line="162" w:lineRule="exact"/>
        <w:rPr>
          <w:sz w:val="20"/>
          <w:szCs w:val="20"/>
          <w:color w:val="auto"/>
        </w:rPr>
      </w:pPr>
    </w:p>
    <w:p>
      <w:pPr>
        <w:ind w:right="80" w:firstLine="576"/>
        <w:spacing w:after="0" w:line="261" w:lineRule="auto"/>
        <w:rPr>
          <w:sz w:val="20"/>
          <w:szCs w:val="20"/>
          <w:color w:val="auto"/>
        </w:rPr>
      </w:pPr>
      <w:r>
        <w:rPr>
          <w:rFonts w:ascii="Times New Roman" w:cs="Times New Roman" w:eastAsia="Times New Roman" w:hAnsi="Times New Roman"/>
          <w:sz w:val="18"/>
          <w:szCs w:val="18"/>
          <w:color w:val="auto"/>
        </w:rPr>
        <w:t>Further, bad actors around the world use increasingly sophisticated methods, including the use of AI,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Any of these outcomes could damage our reputation, result in the loss of valuable property and information, and adversely impact our business.</w:t>
      </w:r>
    </w:p>
    <w:p>
      <w:pPr>
        <w:spacing w:after="0" w:line="180"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We are committed to implementing governance and control measures to mitigate these risks, but there can be no assurance that such measures will adequately prevent or mitigate the adverse effects that the integration and use of AI may have on our business, financial condition and results of operations.</w:t>
      </w:r>
    </w:p>
    <w:p>
      <w:pPr>
        <w:spacing w:after="0" w:line="15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51" w:lineRule="exact"/>
        <w:rPr>
          <w:sz w:val="20"/>
          <w:szCs w:val="20"/>
          <w:color w:val="auto"/>
        </w:rPr>
      </w:pPr>
    </w:p>
    <w:p>
      <w:pPr>
        <w:ind w:right="100" w:firstLine="576"/>
        <w:spacing w:after="0" w:line="255" w:lineRule="auto"/>
        <w:rPr>
          <w:sz w:val="20"/>
          <w:szCs w:val="20"/>
          <w:color w:val="auto"/>
        </w:rPr>
      </w:pPr>
      <w:r>
        <w:rPr>
          <w:rFonts w:ascii="Times New Roman" w:cs="Times New Roman" w:eastAsia="Times New Roman" w:hAnsi="Times New Roman"/>
          <w:sz w:val="18"/>
          <w:szCs w:val="18"/>
          <w:color w:val="auto"/>
        </w:rPr>
        <w:t>As of December 31, 2025, we had 137 full-time employees. We expect to experience significant growth in the number of our employees and the scope of our operations, particularly in the areas of product development and strategy, clinical trial operations, regulatory affairs and, if any of our product candidates receives regulatory approval, sales, medical affairs,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planned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35" w:lineRule="exact"/>
        <w:rPr>
          <w:sz w:val="20"/>
          <w:szCs w:val="20"/>
          <w:color w:val="auto"/>
        </w:rPr>
      </w:pPr>
    </w:p>
    <w:p>
      <w:pPr>
        <w:ind w:right="100" w:firstLine="576"/>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own a significant percentage of our stock and will be able to exert significant control over matters subject to stockholder approval.</w:t>
      </w:r>
    </w:p>
    <w:p>
      <w:pPr>
        <w:spacing w:after="0" w:line="51" w:lineRule="exact"/>
        <w:rPr>
          <w:sz w:val="20"/>
          <w:szCs w:val="20"/>
          <w:color w:val="auto"/>
        </w:rPr>
      </w:pPr>
    </w:p>
    <w:p>
      <w:pPr>
        <w:ind w:right="240" w:firstLine="576"/>
        <w:spacing w:after="0" w:line="254" w:lineRule="auto"/>
        <w:rPr>
          <w:sz w:val="20"/>
          <w:szCs w:val="20"/>
          <w:color w:val="auto"/>
        </w:rPr>
      </w:pPr>
      <w:r>
        <w:rPr>
          <w:rFonts w:ascii="Times New Roman" w:cs="Times New Roman" w:eastAsia="Times New Roman" w:hAnsi="Times New Roman"/>
          <w:sz w:val="18"/>
          <w:szCs w:val="18"/>
          <w:color w:val="auto"/>
        </w:rPr>
        <w:t>Based on our common stock outstanding as of December 31, 2025, a limited number of shareholders hold greater than a majority of our outstanding voting stock. These stockholders, acting together, would be able to significantly influence all matters requiring stockholder approval. For example, these stockholders would be able to significantly influence elections of directors, amendments of our organizational documents, or approval of any merger, sale of assets, or other major corporate transaction. These stockholders may have interests, with respect to their common stock, that are different from those of other investors and the concentration of voting power among these stockholders may have an adverse effect on the price of our common stock. In addition, this concentration of ownership might adversely affect the market price of our common stock by delaying, deferring or preventing a change of control of us, impeding a merger, consolidation, takeover or other business combination involving us or discouraging a potential acquirer from making a tender offer or otherwise attempting to obtain control of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21" w:lineRule="exact"/>
        <w:rPr>
          <w:sz w:val="20"/>
          <w:szCs w:val="20"/>
          <w:color w:val="auto"/>
        </w:rPr>
      </w:pPr>
    </w:p>
    <w:p>
      <w:pPr>
        <w:ind w:right="80" w:firstLine="576"/>
        <w:spacing w:after="0" w:line="256" w:lineRule="auto"/>
        <w:rPr>
          <w:sz w:val="20"/>
          <w:szCs w:val="20"/>
          <w:color w:val="auto"/>
        </w:rPr>
      </w:pPr>
      <w:r>
        <w:rPr>
          <w:rFonts w:ascii="Times New Roman" w:cs="Times New Roman" w:eastAsia="Times New Roman" w:hAnsi="Times New Roman"/>
          <w:sz w:val="18"/>
          <w:szCs w:val="18"/>
          <w:color w:val="auto"/>
        </w:rPr>
        <w:t>Under Sections 382 and 383 of the Internal Revenue Code, as amended, or the Code, if a corporation undergoes an “ownership change” (generally defined as a greater than 50 percentage point change (by value) in the ownership of its equity over a three-year period), the corporation’s ability to use its pre-change net operating loss carryforwards and certain other pre-change tax attributes to offset its post-change income may be limited. We have experienced such ownership changes in the past, and we may experience ownership changes in the future as a result of shifts in our stock ownership, some of which are outside our control. The Company has performed an analysis of ownership changes through December 31, 2021, and determined that on February 6, 2017 and August 17, 2020, ownership changes had occurred. Based on this analysis, the</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80" w:name="page81"/>
    <w:bookmarkEnd w:id="80"/>
    <w:p>
      <w:pPr>
        <w:jc w:val="both"/>
        <w:ind w:right="520"/>
        <w:spacing w:after="0" w:line="261" w:lineRule="auto"/>
        <w:rPr>
          <w:sz w:val="20"/>
          <w:szCs w:val="20"/>
          <w:color w:val="auto"/>
        </w:rPr>
      </w:pPr>
      <w:r>
        <w:rPr>
          <w:rFonts w:ascii="Times New Roman" w:cs="Times New Roman" w:eastAsia="Times New Roman" w:hAnsi="Times New Roman"/>
          <w:sz w:val="18"/>
          <w:szCs w:val="18"/>
          <w:color w:val="auto"/>
        </w:rPr>
        <w:t>Company’s ability to use its pre-change tax attributes to offset federal and state taxable income are subject to annual limitations and a portion of the attributes generated prior to February 6, 2017, will expire unutilized, which could potentially result in an increased future tax liability. The Company previously adjusted its deferred tax assets and valuation allowance balance for the affected tax attribute carryforwards to reflect the expiration of the attributes. There have been no changes to the limitations as of December 31, 2025.</w:t>
      </w:r>
    </w:p>
    <w:p>
      <w:pPr>
        <w:spacing w:after="0" w:line="180"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Federal net operating loss carryforwards generated in taxable years beginning after December 31, 2017 will not be subject to expiration. However, any such net operating loss carryforwards may only offset 80% of our annual taxable income in taxable years beginning after December 31, 2020. There is also a risk that due to regulatory changes, such as suspensions on the use of net operating loss carryforwards or other unforeseen reasons, our existing net operating loss carryforwards could expire or otherwise be unavailable to offset future income tax liabilities, including for state tax purposes. In future years, if and when a net deferred tax asset is recognized related to our net operating loss carryforwards, the changes in the carryforward/carryback periods as well as the new limitation on use of net operating loss carryforwards may significantly impact our valuation allowance assessments for net operating loss carryforwards. For these reasons, we may not be able to utilize some portion of our net operating loss carryforwards, none of which are currently reflected on our balance sheet, even if we attain profitability.</w:t>
      </w:r>
    </w:p>
    <w:p>
      <w:pPr>
        <w:spacing w:after="0" w:line="188"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ind w:right="300" w:firstLine="584"/>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delay or prevent a change of control of our company or changes in our board of directors that our stockholders might consider favorable. Some of these provisions include:</w:t>
      </w:r>
    </w:p>
    <w:p>
      <w:pPr>
        <w:spacing w:after="0" w:line="54" w:lineRule="exact"/>
        <w:rPr>
          <w:sz w:val="20"/>
          <w:szCs w:val="20"/>
          <w:color w:val="auto"/>
        </w:rPr>
      </w:pPr>
    </w:p>
    <w:p>
      <w:pPr>
        <w:ind w:left="760" w:right="40" w:firstLine="230"/>
        <w:spacing w:after="0" w:line="282" w:lineRule="auto"/>
        <w:rPr>
          <w:sz w:val="20"/>
          <w:szCs w:val="20"/>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sz w:val="20"/>
          <w:szCs w:val="20"/>
          <w:color w:val="auto"/>
        </w:rPr>
      </w:pPr>
    </w:p>
    <w:p>
      <w:pPr>
        <w:ind w:left="760" w:right="800" w:firstLine="230"/>
        <w:spacing w:after="0" w:line="282" w:lineRule="auto"/>
        <w:rPr>
          <w:sz w:val="20"/>
          <w:szCs w:val="20"/>
          <w:color w:val="auto"/>
        </w:rPr>
      </w:pPr>
      <w:r>
        <w:rPr>
          <w:rFonts w:ascii="Times New Roman" w:cs="Times New Roman" w:eastAsia="Times New Roman" w:hAnsi="Times New Roman"/>
          <w:sz w:val="18"/>
          <w:szCs w:val="18"/>
          <w:color w:val="auto"/>
        </w:rPr>
        <w:t>a prohibition on stockholder action through written consent, which requires that all stockholder actions be taken at a meeting of our stockholders;</w:t>
      </w:r>
    </w:p>
    <w:p>
      <w:pPr>
        <w:spacing w:after="0" w:line="53" w:lineRule="exact"/>
        <w:rPr>
          <w:sz w:val="20"/>
          <w:szCs w:val="20"/>
          <w:color w:val="auto"/>
        </w:rPr>
      </w:pPr>
    </w:p>
    <w:p>
      <w:pPr>
        <w:ind w:left="760" w:firstLine="230"/>
        <w:spacing w:after="0" w:line="266" w:lineRule="auto"/>
        <w:rPr>
          <w:sz w:val="20"/>
          <w:szCs w:val="20"/>
          <w:color w:val="auto"/>
        </w:rPr>
      </w:pPr>
      <w:r>
        <w:rPr>
          <w:rFonts w:ascii="Times New Roman" w:cs="Times New Roman" w:eastAsia="Times New Roman" w:hAnsi="Times New Roman"/>
          <w:sz w:val="18"/>
          <w:szCs w:val="18"/>
          <w:color w:val="auto"/>
        </w:rPr>
        <w:t>a requirement that special meetings of the stockholders may be called only by the board of directors acting pursuant to a resolution approved by the affirmative vote of a majority of the directors then in office, and special meetings of stockholders may not be called by any other person or persons;</w:t>
      </w:r>
    </w:p>
    <w:p>
      <w:pPr>
        <w:spacing w:after="0" w:line="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117" w:lineRule="exact"/>
        <w:rPr>
          <w:sz w:val="20"/>
          <w:szCs w:val="20"/>
          <w:color w:val="auto"/>
        </w:rPr>
      </w:pPr>
    </w:p>
    <w:p>
      <w:pPr>
        <w:ind w:left="760" w:right="340" w:firstLine="230"/>
        <w:spacing w:after="0" w:line="266" w:lineRule="auto"/>
        <w:rPr>
          <w:sz w:val="20"/>
          <w:szCs w:val="20"/>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then, in addition to any other vote required by law, only upon the approval of not less than 66 2/3% of all outstanding shares of our capital stock then entitled to vote in the election of directors;</w:t>
      </w:r>
    </w:p>
    <w:p>
      <w:pPr>
        <w:spacing w:after="0" w:line="67" w:lineRule="exact"/>
        <w:rPr>
          <w:sz w:val="20"/>
          <w:szCs w:val="20"/>
          <w:color w:val="auto"/>
        </w:rPr>
      </w:pPr>
    </w:p>
    <w:p>
      <w:pPr>
        <w:ind w:left="760" w:right="180" w:firstLine="230"/>
        <w:spacing w:after="0" w:line="282" w:lineRule="auto"/>
        <w:rPr>
          <w:sz w:val="20"/>
          <w:szCs w:val="20"/>
          <w:color w:val="auto"/>
        </w:rPr>
      </w:pPr>
      <w:r>
        <w:rPr>
          <w:rFonts w:ascii="Times New Roman" w:cs="Times New Roman" w:eastAsia="Times New Roman" w:hAnsi="Times New Roman"/>
          <w:sz w:val="18"/>
          <w:szCs w:val="18"/>
          <w:color w:val="auto"/>
        </w:rPr>
        <w:t>supermajority voting requirements to amend our bylaws by stockholder action (unless our board recommends that our stockholders approve such amendment(s)) and to amend specific provisions of our certificate of incorporation; and</w:t>
      </w:r>
    </w:p>
    <w:p>
      <w:pPr>
        <w:spacing w:after="0" w:line="53" w:lineRule="exact"/>
        <w:rPr>
          <w:sz w:val="20"/>
          <w:szCs w:val="20"/>
          <w:color w:val="auto"/>
        </w:rPr>
      </w:pPr>
    </w:p>
    <w:p>
      <w:pPr>
        <w:ind w:left="760" w:right="300" w:firstLine="230"/>
        <w:spacing w:after="0" w:line="282" w:lineRule="auto"/>
        <w:rPr>
          <w:sz w:val="20"/>
          <w:szCs w:val="20"/>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which preferred stock may include rights superior to the rights of the holders of common stock.</w:t>
      </w:r>
    </w:p>
    <w:p>
      <w:pPr>
        <w:spacing w:after="0" w:line="162" w:lineRule="exact"/>
        <w:rPr>
          <w:sz w:val="20"/>
          <w:szCs w:val="20"/>
          <w:color w:val="auto"/>
        </w:rPr>
      </w:pPr>
    </w:p>
    <w:p>
      <w:pPr>
        <w:ind w:right="20" w:firstLine="576"/>
        <w:spacing w:after="0" w:line="258" w:lineRule="auto"/>
        <w:rPr>
          <w:sz w:val="20"/>
          <w:szCs w:val="20"/>
          <w:color w:val="auto"/>
        </w:rPr>
      </w:pPr>
      <w:r>
        <w:rPr>
          <w:rFonts w:ascii="Times New Roman" w:cs="Times New Roman" w:eastAsia="Times New Roman" w:hAnsi="Times New Roman"/>
          <w:sz w:val="18"/>
          <w:szCs w:val="18"/>
          <w:color w:val="auto"/>
        </w:rPr>
        <w:t>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79"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specific courts as the exclusive forum for certain litigation that may be initiated by our stockholders, which could limit our stockholders’ ability to obtain a favorable judicial forum for disputes with us.</w:t>
      </w:r>
    </w:p>
    <w:p>
      <w:pPr>
        <w:spacing w:after="0" w:line="51" w:lineRule="exact"/>
        <w:rPr>
          <w:sz w:val="20"/>
          <w:szCs w:val="20"/>
          <w:color w:val="auto"/>
        </w:rPr>
      </w:pPr>
    </w:p>
    <w:p>
      <w:pPr>
        <w:jc w:val="both"/>
        <w:ind w:right="160" w:firstLine="576"/>
        <w:spacing w:after="0" w:line="261" w:lineRule="auto"/>
        <w:rPr>
          <w:sz w:val="20"/>
          <w:szCs w:val="20"/>
          <w:color w:val="auto"/>
        </w:rPr>
      </w:pPr>
      <w:r>
        <w:rPr>
          <w:rFonts w:ascii="Times New Roman" w:cs="Times New Roman" w:eastAsia="Times New Roman" w:hAnsi="Times New Roman"/>
          <w:sz w:val="18"/>
          <w:szCs w:val="18"/>
          <w:color w:val="auto"/>
        </w:rPr>
        <w:t>Pursuant to our bylaws, unless we consent in writing to the selection of an alternative forum, the Court of Chancery of the State of Delaware shall be the sole and exclusive forum for any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General</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ind w:right="40"/>
        <w:spacing w:after="0" w:line="254" w:lineRule="auto"/>
        <w:rPr>
          <w:sz w:val="20"/>
          <w:szCs w:val="20"/>
          <w:color w:val="auto"/>
        </w:rPr>
      </w:pPr>
      <w:r>
        <w:rPr>
          <w:rFonts w:ascii="Times New Roman" w:cs="Times New Roman" w:eastAsia="Times New Roman" w:hAnsi="Times New Roman"/>
          <w:sz w:val="18"/>
          <w:szCs w:val="18"/>
          <w:color w:val="auto"/>
        </w:rPr>
        <w:t>Corporation Law of the State of Delaware, or the DGCL, or our certificate of incorporation or bylaws (including the interpretation, validity or enforceability thereof), or (iv) any action asserting a claim governed by the internal affairs doctrine. We refer to the foregoing provision as the Delaware Forum Provision. The Delaware Forum Provision will not apply to any causes of action arising under the Securities Act or the Exchange Act. Our bylaws further provide that unless we consent in writing to the selection of an alternative forum, the federal district courts of the United States shall be the sole and exclusive forum for resolving any complaint asserting a cause of action arising under the Securities Act. We refer to such provision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92" w:lineRule="exact"/>
        <w:rPr>
          <w:sz w:val="20"/>
          <w:szCs w:val="20"/>
          <w:color w:val="auto"/>
        </w:rPr>
      </w:pPr>
    </w:p>
    <w:p>
      <w:pPr>
        <w:ind w:right="60" w:firstLine="576"/>
        <w:spacing w:after="0" w:line="253"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in our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While the Delaware Supreme Court and courts in other states have upheld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us and/or our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9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51" w:lineRule="exact"/>
        <w:rPr>
          <w:sz w:val="20"/>
          <w:szCs w:val="20"/>
          <w:color w:val="auto"/>
        </w:rPr>
      </w:pPr>
    </w:p>
    <w:p>
      <w:pPr>
        <w:ind w:right="60" w:firstLine="576"/>
        <w:spacing w:after="0" w:line="253"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and representatives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further increase in time. We have, and we expect we will continue to, engage third parties for clinical trials and/or to obtain necessary permits, licenses, patent registrations, and other regulatory approvals and we can be held liable for the corrupt or other illegal activities of our personnel, agents, representatives or partners, even if we do not explicitly authorize or have prior knowledge of such activities.</w:t>
      </w:r>
    </w:p>
    <w:p>
      <w:pPr>
        <w:spacing w:after="0" w:line="19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51"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2" w:name="page83"/>
    <w:bookmarkEnd w:id="82"/>
    <w:p>
      <w:pPr>
        <w:ind w:right="400"/>
        <w:spacing w:after="0" w:line="266" w:lineRule="auto"/>
        <w:rPr>
          <w:sz w:val="20"/>
          <w:szCs w:val="20"/>
          <w:color w:val="auto"/>
        </w:rPr>
      </w:pPr>
      <w:r>
        <w:rPr>
          <w:rFonts w:ascii="Times New Roman" w:cs="Times New Roman" w:eastAsia="Times New Roman" w:hAnsi="Times New Roman"/>
          <w:sz w:val="18"/>
          <w:szCs w:val="18"/>
          <w:color w:val="auto"/>
        </w:rPr>
        <w:t>imposition of civil, criminal and administrative penalties, damages, monetary fines, imposition of a monitor, possible exclusion from participation in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7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1" w:lineRule="exact"/>
        <w:rPr>
          <w:sz w:val="20"/>
          <w:szCs w:val="20"/>
          <w:color w:val="auto"/>
        </w:rPr>
      </w:pPr>
    </w:p>
    <w:p>
      <w:pPr>
        <w:jc w:val="both"/>
        <w:ind w:right="140" w:firstLine="576"/>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7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purchasers of our common stock.</w:t>
      </w:r>
    </w:p>
    <w:p>
      <w:pPr>
        <w:spacing w:after="0" w:line="51" w:lineRule="exact"/>
        <w:rPr>
          <w:sz w:val="20"/>
          <w:szCs w:val="20"/>
          <w:color w:val="auto"/>
        </w:rPr>
      </w:pPr>
    </w:p>
    <w:p>
      <w:pPr>
        <w:ind w:right="200" w:firstLine="584"/>
        <w:spacing w:after="0" w:line="266" w:lineRule="auto"/>
        <w:rPr>
          <w:sz w:val="20"/>
          <w:szCs w:val="20"/>
          <w:color w:val="auto"/>
        </w:rPr>
      </w:pPr>
      <w:r>
        <w:rPr>
          <w:rFonts w:ascii="Times New Roman" w:cs="Times New Roman" w:eastAsia="Times New Roman" w:hAnsi="Times New Roman"/>
          <w:sz w:val="18"/>
          <w:szCs w:val="18"/>
          <w:color w:val="auto"/>
        </w:rPr>
        <w:t>Our stock price has been and is likely to continue to be volatile.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The market price for our common stock may be influenced by many factors, including:</w:t>
      </w:r>
    </w:p>
    <w:p>
      <w:pPr>
        <w:spacing w:after="0" w:line="68" w:lineRule="exact"/>
        <w:rPr>
          <w:sz w:val="20"/>
          <w:szCs w:val="20"/>
          <w:color w:val="auto"/>
        </w:rPr>
      </w:pPr>
    </w:p>
    <w:p>
      <w:pPr>
        <w:jc w:val="both"/>
        <w:ind w:left="980" w:right="5760"/>
        <w:spacing w:after="0" w:line="375" w:lineRule="auto"/>
        <w:rPr>
          <w:sz w:val="20"/>
          <w:szCs w:val="20"/>
          <w:color w:val="auto"/>
        </w:rPr>
      </w:pPr>
      <w:r>
        <w:rPr>
          <w:rFonts w:ascii="Times New Roman" w:cs="Times New Roman" w:eastAsia="Times New Roman" w:hAnsi="Times New Roman"/>
          <w:sz w:val="18"/>
          <w:szCs w:val="18"/>
          <w:color w:val="auto"/>
        </w:rPr>
        <w:t>the success or failure of competitive products or technologies; advancement of our preclinical programs into clinical testing;</w:t>
      </w:r>
    </w:p>
    <w:p>
      <w:pPr>
        <w:spacing w:after="0" w:line="1" w:lineRule="exact"/>
        <w:rPr>
          <w:sz w:val="20"/>
          <w:szCs w:val="20"/>
          <w:color w:val="auto"/>
        </w:rPr>
      </w:pPr>
    </w:p>
    <w:p>
      <w:pPr>
        <w:ind w:left="980" w:right="1960"/>
        <w:spacing w:after="0" w:line="375" w:lineRule="auto"/>
        <w:rPr>
          <w:sz w:val="20"/>
          <w:szCs w:val="20"/>
          <w:color w:val="auto"/>
        </w:rPr>
      </w:pPr>
      <w:r>
        <w:rPr>
          <w:rFonts w:ascii="Times New Roman" w:cs="Times New Roman" w:eastAsia="Times New Roman" w:hAnsi="Times New Roman"/>
          <w:sz w:val="18"/>
          <w:szCs w:val="18"/>
          <w:color w:val="auto"/>
        </w:rPr>
        <w:t>release of our initial, interim, or final results of clinical trials of our product candidates or those of our competitors; regulatory or legal developments in the United States and other countries;</w:t>
      </w:r>
    </w:p>
    <w:p>
      <w:pPr>
        <w:spacing w:after="0" w:line="1" w:lineRule="exact"/>
        <w:rPr>
          <w:sz w:val="20"/>
          <w:szCs w:val="20"/>
          <w:color w:val="auto"/>
        </w:rPr>
      </w:pPr>
    </w:p>
    <w:p>
      <w:pPr>
        <w:ind w:left="980" w:right="3100"/>
        <w:spacing w:after="0" w:line="375" w:lineRule="auto"/>
        <w:rPr>
          <w:sz w:val="20"/>
          <w:szCs w:val="20"/>
          <w:color w:val="auto"/>
        </w:rPr>
      </w:pPr>
      <w:r>
        <w:rPr>
          <w:rFonts w:ascii="Times New Roman" w:cs="Times New Roman" w:eastAsia="Times New Roman" w:hAnsi="Times New Roman"/>
          <w:sz w:val="18"/>
          <w:szCs w:val="18"/>
          <w:color w:val="auto"/>
        </w:rPr>
        <w:t>developments or disputes concerning patent applications, issued patents or other proprietary rights; the recruitment or departure of key personnel;</w:t>
      </w:r>
    </w:p>
    <w:p>
      <w:pPr>
        <w:spacing w:after="0" w:line="1" w:lineRule="exact"/>
        <w:rPr>
          <w:sz w:val="20"/>
          <w:szCs w:val="20"/>
          <w:color w:val="auto"/>
        </w:rPr>
      </w:pPr>
    </w:p>
    <w:p>
      <w:pPr>
        <w:ind w:left="980" w:right="1180"/>
        <w:spacing w:after="0" w:line="375" w:lineRule="auto"/>
        <w:rPr>
          <w:sz w:val="20"/>
          <w:szCs w:val="20"/>
          <w:color w:val="auto"/>
        </w:rPr>
      </w:pPr>
      <w:r>
        <w:rPr>
          <w:rFonts w:ascii="Times New Roman" w:cs="Times New Roman" w:eastAsia="Times New Roman" w:hAnsi="Times New Roman"/>
          <w:sz w:val="18"/>
          <w:szCs w:val="18"/>
          <w:color w:val="auto"/>
        </w:rPr>
        <w:t>the level of expenses related to any of our programs and product candidates or preclinical and clinical development programs; the results of our efforts to discover, develop, acquire or in-license additional product candidates or products;</w:t>
      </w:r>
    </w:p>
    <w:p>
      <w:pPr>
        <w:spacing w:after="0" w:line="1" w:lineRule="exact"/>
        <w:rPr>
          <w:sz w:val="20"/>
          <w:szCs w:val="20"/>
          <w:color w:val="auto"/>
        </w:rPr>
      </w:pPr>
    </w:p>
    <w:p>
      <w:pPr>
        <w:ind w:left="760" w:right="480" w:firstLine="230"/>
        <w:spacing w:after="0" w:line="282" w:lineRule="auto"/>
        <w:rPr>
          <w:sz w:val="20"/>
          <w:szCs w:val="20"/>
          <w:color w:val="auto"/>
        </w:rPr>
      </w:pPr>
      <w:r>
        <w:rPr>
          <w:rFonts w:ascii="Times New Roman" w:cs="Times New Roman" w:eastAsia="Times New Roman" w:hAnsi="Times New Roman"/>
          <w:sz w:val="18"/>
          <w:szCs w:val="18"/>
          <w:color w:val="auto"/>
        </w:rPr>
        <w:t>actual or anticipated changes in estimates as to financial results, development timelines, data releases or recommendations by securities analysts;</w:t>
      </w:r>
    </w:p>
    <w:p>
      <w:pPr>
        <w:spacing w:after="0" w:line="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sz w:val="20"/>
          <w:szCs w:val="20"/>
          <w:color w:val="auto"/>
        </w:rPr>
      </w:pPr>
    </w:p>
    <w:p>
      <w:pPr>
        <w:ind w:left="980" w:right="3260"/>
        <w:spacing w:after="0" w:line="375" w:lineRule="auto"/>
        <w:rPr>
          <w:sz w:val="20"/>
          <w:szCs w:val="20"/>
          <w:color w:val="auto"/>
        </w:rPr>
      </w:pPr>
      <w:r>
        <w:rPr>
          <w:rFonts w:ascii="Times New Roman" w:cs="Times New Roman" w:eastAsia="Times New Roman" w:hAnsi="Times New Roman"/>
          <w:sz w:val="18"/>
          <w:szCs w:val="18"/>
          <w:color w:val="auto"/>
        </w:rPr>
        <w:t>changes in the structure of healthcare payment systems and third-party reimbursement decisions; market conditions in the pharmaceutical and biotechnology sectors;</w:t>
      </w:r>
    </w:p>
    <w:p>
      <w:pPr>
        <w:spacing w:after="0" w:line="1" w:lineRule="exact"/>
        <w:rPr>
          <w:sz w:val="20"/>
          <w:szCs w:val="20"/>
          <w:color w:val="auto"/>
        </w:rPr>
      </w:pPr>
    </w:p>
    <w:p>
      <w:pPr>
        <w:ind w:left="980" w:right="3900"/>
        <w:spacing w:after="0" w:line="375" w:lineRule="auto"/>
        <w:rPr>
          <w:sz w:val="20"/>
          <w:szCs w:val="20"/>
          <w:color w:val="auto"/>
        </w:rPr>
      </w:pPr>
      <w:r>
        <w:rPr>
          <w:rFonts w:ascii="Times New Roman" w:cs="Times New Roman" w:eastAsia="Times New Roman" w:hAnsi="Times New Roman"/>
          <w:sz w:val="18"/>
          <w:szCs w:val="18"/>
          <w:color w:val="auto"/>
        </w:rPr>
        <w:t>purchases or sales of our securities by our officers, directors or significant shareholders; limited trading volume;</w:t>
      </w:r>
    </w:p>
    <w:p>
      <w:pPr>
        <w:spacing w:after="0" w:line="1" w:lineRule="exact"/>
        <w:rPr>
          <w:sz w:val="20"/>
          <w:szCs w:val="20"/>
          <w:color w:val="auto"/>
        </w:rPr>
      </w:pPr>
    </w:p>
    <w:p>
      <w:pPr>
        <w:ind w:left="980" w:right="6120"/>
        <w:spacing w:after="0" w:line="407" w:lineRule="auto"/>
        <w:rPr>
          <w:sz w:val="20"/>
          <w:szCs w:val="20"/>
          <w:color w:val="auto"/>
        </w:rPr>
      </w:pPr>
      <w:r>
        <w:rPr>
          <w:rFonts w:ascii="Times New Roman" w:cs="Times New Roman" w:eastAsia="Times New Roman" w:hAnsi="Times New Roman"/>
          <w:sz w:val="18"/>
          <w:szCs w:val="18"/>
          <w:color w:val="auto"/>
        </w:rPr>
        <w:t>general economic, industry and market conditions; and the other factors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50"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compliance initiatives.</w:t>
      </w:r>
    </w:p>
    <w:p>
      <w:pPr>
        <w:spacing w:after="0" w:line="51" w:lineRule="exact"/>
        <w:rPr>
          <w:sz w:val="20"/>
          <w:szCs w:val="20"/>
          <w:color w:val="auto"/>
        </w:rPr>
      </w:pPr>
    </w:p>
    <w:p>
      <w:pPr>
        <w:ind w:firstLine="576"/>
        <w:spacing w:after="0" w:line="255" w:lineRule="auto"/>
        <w:rPr>
          <w:sz w:val="20"/>
          <w:szCs w:val="20"/>
          <w:color w:val="auto"/>
        </w:rPr>
      </w:pPr>
      <w:r>
        <w:rPr>
          <w:rFonts w:ascii="Times New Roman" w:cs="Times New Roman" w:eastAsia="Times New Roman" w:hAnsi="Times New Roman"/>
          <w:sz w:val="18"/>
          <w:szCs w:val="18"/>
          <w:color w:val="auto"/>
        </w:rPr>
        <w:t>As a public company, and particularly now that we are no longer an “emerging growth company,” we will incur significant legal, accounting and other expenses that we did not incur as a private company. In addition, the Sarbanes-Oxley Act and rules subsequently implemented by the SEC and The Nasdaq Global Market, or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these rules and regulations have made it more expensive for us to obtain director and officer liability insurance.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3" w:name="page84"/>
    <w:bookmarkEnd w:id="83"/>
    <w:p>
      <w:pPr>
        <w:ind w:firstLine="576"/>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we are required to furnish a report by our management on our internal control over financial reporting, including an attestation report on internal control over financial reporting issued by our independent registered public accounting firm. However, as we are now a smaller reporting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if we are not able to continue to meet these requirements, we may not be able to remain listed on Nasdaq.</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20" w:firstLine="576"/>
        <w:spacing w:after="0" w:line="254"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15" w:lineRule="exact"/>
        <w:rPr>
          <w:sz w:val="20"/>
          <w:szCs w:val="20"/>
          <w:color w:val="auto"/>
        </w:rPr>
      </w:pPr>
    </w:p>
    <w:p>
      <w:pPr>
        <w:ind w:right="200" w:firstLine="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51" w:lineRule="exact"/>
        <w:rPr>
          <w:sz w:val="20"/>
          <w:szCs w:val="20"/>
          <w:color w:val="auto"/>
        </w:rPr>
      </w:pPr>
    </w:p>
    <w:p>
      <w:pPr>
        <w:ind w:right="20" w:firstLine="576"/>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control these analysts. If one or more of the analysts covering our business downgrade their evaluations of our stock, the price target for our stock or publish inaccurate or unfavorable evaluations of our company or our stock, the price of our stock could decline. If one or more of these analysts cease to cover our stock or fail to publish reports covering our company regularly, we could lose visibility in the market for our stock, which in turn could cause our stock price to decline. In addition, if we are the subject of negative publicity, whether from an analyst, academic, industry group or the general or financial press, our stock price may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ind w:right="60" w:firstLine="576"/>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has been and may continue to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could adversely affect our business operations, financial condition and results of operations.</w:t>
      </w:r>
    </w:p>
    <w:p>
      <w:pPr>
        <w:spacing w:after="0" w:line="51" w:lineRule="exact"/>
        <w:rPr>
          <w:sz w:val="20"/>
          <w:szCs w:val="20"/>
          <w:color w:val="auto"/>
        </w:rPr>
      </w:pPr>
    </w:p>
    <w:p>
      <w:pPr>
        <w:ind w:right="180" w:firstLine="576"/>
        <w:spacing w:after="0" w:line="256"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Silicon Valley Bank, or SVB, was closed by the California Department of Financial Protection and Innovation, and Signature Bank and Silvergate Capital Corp. were each swept into receivership. We held certain funds in a deposit account with SVB, and while we were ultimately able to access those funds, we did not have access for a short time leading up to the events in March 2023.</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84" w:name="page85"/>
    <w:bookmarkEnd w:id="84"/>
    <w:p>
      <w:pPr>
        <w:ind w:firstLine="495"/>
        <w:spacing w:after="0" w:line="258"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funding sources in amounts adequate to finance or capitalize our current and projected future business operations could be significantly impaired by factors caused by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spacing w:after="0" w:line="183" w:lineRule="exact"/>
        <w:rPr>
          <w:sz w:val="20"/>
          <w:szCs w:val="20"/>
          <w:color w:val="auto"/>
        </w:rPr>
      </w:pPr>
    </w:p>
    <w:p>
      <w:pPr>
        <w:ind w:right="160" w:firstLine="576"/>
        <w:spacing w:after="0" w:line="266" w:lineRule="auto"/>
        <w:rPr>
          <w:sz w:val="20"/>
          <w:szCs w:val="20"/>
          <w:color w:val="auto"/>
        </w:rPr>
      </w:pPr>
      <w:r>
        <w:rPr>
          <w:rFonts w:ascii="Times New Roman" w:cs="Times New Roman" w:eastAsia="Times New Roman" w:hAnsi="Times New Roman"/>
          <w:sz w:val="18"/>
          <w:szCs w:val="18"/>
          <w:color w:val="auto"/>
        </w:rPr>
        <w:t>In addition, any further deterioration in the macroeconomic economy or financial services industry could lead to losses or defaults by parties with whom we conduct business, which in turn, could have a material adverse effect on our current and/or projected business operations and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tax reform legislation could adversely affect our business and financial condition.</w:t>
      </w:r>
    </w:p>
    <w:p>
      <w:pPr>
        <w:spacing w:after="0" w:line="121"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color w:val="auto"/>
        </w:rPr>
        <w:t>The tax regimes we are subject to or operate under are unsettled and may be subject to significant change. Changes in tax laws or tax rulings, or changes in interpretations of existing laws, could cause us to be subject to additional income-based taxes and non- income taxes (such as payroll, sales, use, value-added, digital tax, net worth, property, and goods and services taxes), which in turn could materially affect our cash and financial position and results of operations. For example, the OBBB was signed into law on July 4, 2025 and made significant changes to U.S. federal tax law. Additionally, new, changed, modified, or newly interpreted or applied tax laws could increase our potential future customers’ and our compliance, operating and other costs, as well as the costs of our products, if approved. For example, under Section 174 of the Internal Revenue Code of 1986, as amended (the “IRC”), in taxable years beginning after December 31, 2021, expenses that are incurred for research and development performed outside the U.S. will be capitalized and amortized, which may have an adverse effect on our cash flow. The OBBB provides that for taxable years beginning after December 31, 2024, expenses that are incurred for research and development performed in the U.S. may, at the taxpayer’s election, be immediately deducted or capitalized and amortized. In addition, the OBBB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As we expand the scale of our business activities, any changes in the U.S. taxation of such activities may increase our effective tax rate and harm our business, financial condition, and results of operations. Complying with these tax laws is complex and the statutes and regulations can be subject to varying interpretation which can make compliance challenging.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21"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United States and other countries recently experienced increased inflation and interest rates increased in response to this inflation. These conditions in the U.S. and global economy have caused significant volatility and uncertainty in U.S. and international markets. A severe or prolonged economic downturn, a marked increase in interest rates and inflation could result in a variety of risks to our business, including, weakened demand for our product candidates (if and when approved by regulatory authorities) and our inability to raise additional capital when needed on acceptable terms, if at all. Changes in U.S. government and other nations’ administrations and their associated shifts in policy and priorities could also impact our operations and market conditions. Our business is sensitive to geopolitical issues, including foreign policy actions taken by governments such as tariffs, sanctions, embargoes, export and import controls, and other trade restrictions, which can affect our operations, cause disruptions to our supply chain, and, ultimately, could adversely affect our business. For example, this presidential administration has initiated or is considering imposing tariffs on certain foreign goods (and we do import certain goods from foreign countries and certain services are performed for our benefit in foreign countries). In response to this action, certain foreign governments, including China’s, have instituted or are considering imposing tariffs on certain U.S. goods, which could impact inflation rate, increase the costs of goods, and adversely affect our business. It remains unclear what the administration or foreign governments will or will not do with respect to tariffs or other international trade agreements and policies.</w:t>
      </w:r>
    </w:p>
    <w:p>
      <w:pPr>
        <w:spacing w:after="0" w:line="79" w:lineRule="exact"/>
        <w:rPr>
          <w:sz w:val="20"/>
          <w:szCs w:val="20"/>
          <w:color w:val="auto"/>
        </w:rPr>
      </w:pPr>
    </w:p>
    <w:p>
      <w:pPr>
        <w:ind w:right="120" w:firstLine="576"/>
        <w:spacing w:after="0" w:line="258" w:lineRule="auto"/>
        <w:rPr>
          <w:sz w:val="20"/>
          <w:szCs w:val="20"/>
          <w:color w:val="auto"/>
        </w:rPr>
      </w:pPr>
      <w:r>
        <w:rPr>
          <w:rFonts w:ascii="Times New Roman" w:cs="Times New Roman" w:eastAsia="Times New Roman" w:hAnsi="Times New Roman"/>
          <w:sz w:val="18"/>
          <w:szCs w:val="18"/>
          <w:color w:val="auto"/>
        </w:rPr>
        <w:t>In addition, our business may be generally exposed to the impact of political or civil unrest or military action, including the current conflict between Russia and Ukraine (where a vendor that performs chemistry related work on our pre-clinical product candidates is located). Other global conflicts, including conflicts in the Middle East, and heightened tensions in the Pacific region, have significantly elevated global geopolitical tensions and security concerns. While we do not otherwise have direct exposure to Ukraine, our business and results of operations may be impacted based upon the events taking place there and economic sanctions, export controls, and other trade restrictions, for instance those that the U.S. Government and other</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5" w:name="page86"/>
    <w:bookmarkEnd w:id="85"/>
    <w:p>
      <w:pPr>
        <w:spacing w:after="0" w:line="261" w:lineRule="auto"/>
        <w:rPr>
          <w:sz w:val="20"/>
          <w:szCs w:val="20"/>
          <w:color w:val="auto"/>
        </w:rPr>
      </w:pPr>
      <w:r>
        <w:rPr>
          <w:rFonts w:ascii="Times New Roman" w:cs="Times New Roman" w:eastAsia="Times New Roman" w:hAnsi="Times New Roman"/>
          <w:sz w:val="18"/>
          <w:szCs w:val="18"/>
          <w:color w:val="auto"/>
        </w:rPr>
        <w:t>nations implemented against Russia in light of its invasion of Ukraine or those relating to the conflict in the Middle East, could directly and indirectly result in the disruption of our business and supply chain. A weak or declining economy could also strain our suppliers and the global supply chain, possibly resulting in supply disruption. Any of the foregoing could harm our business and we cannot anticipate all of the ways in which the current economic climate and financial market conditions could adversely impact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and you may not be able to resell your shares at the price you paid.</w:t>
      </w:r>
    </w:p>
    <w:p>
      <w:pPr>
        <w:spacing w:after="0" w:line="121" w:lineRule="exact"/>
        <w:rPr>
          <w:sz w:val="20"/>
          <w:szCs w:val="20"/>
          <w:color w:val="auto"/>
        </w:rPr>
      </w:pPr>
    </w:p>
    <w:p>
      <w:pPr>
        <w:ind w:right="20" w:firstLine="576"/>
        <w:spacing w:after="0" w:line="282" w:lineRule="auto"/>
        <w:rPr>
          <w:sz w:val="20"/>
          <w:szCs w:val="20"/>
          <w:color w:val="auto"/>
        </w:rPr>
      </w:pPr>
      <w:r>
        <w:rPr>
          <w:rFonts w:ascii="Times New Roman" w:cs="Times New Roman" w:eastAsia="Times New Roman" w:hAnsi="Times New Roman"/>
          <w:sz w:val="18"/>
          <w:szCs w:val="18"/>
          <w:color w:val="auto"/>
        </w:rPr>
        <w:t>Although our common stock is listed on The Nasdaq Global Market, an active trading market for our shares may not be sustained. In the absence of an active trading market for our common stock, investors may be unable to sell their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21" w:lineRule="exact"/>
        <w:rPr>
          <w:sz w:val="20"/>
          <w:szCs w:val="20"/>
          <w:color w:val="auto"/>
        </w:rPr>
      </w:pPr>
    </w:p>
    <w:p>
      <w:pPr>
        <w:ind w:right="200" w:firstLine="576"/>
        <w:spacing w:after="0" w:line="261" w:lineRule="auto"/>
        <w:rPr>
          <w:sz w:val="20"/>
          <w:szCs w:val="20"/>
          <w:color w:val="auto"/>
        </w:rPr>
      </w:pPr>
      <w:r>
        <w:rPr>
          <w:rFonts w:ascii="Times New Roman" w:cs="Times New Roman" w:eastAsia="Times New Roman" w:hAnsi="Times New Roman"/>
          <w:sz w:val="18"/>
          <w:szCs w:val="18"/>
          <w:color w:val="auto"/>
        </w:rPr>
        <w:t>In an effort to protect our business from cybersecurity threats, we maintain and utilize various tools and processes that are designed to identify, assess, and manage cybersecurity risks. Our cybersecurity risk management program, which has been integrated into our enterprise risk management program, is based on the National Institute of Standards and Technology (NIST) Cybersecurity Framework. Our cybersecurity risk management program focuses on monitoring the prevention, detection, mitigation, and remediation of cybersecurity risks and incidents.</w:t>
      </w:r>
    </w:p>
    <w:p>
      <w:pPr>
        <w:spacing w:after="0" w:line="72" w:lineRule="exact"/>
        <w:rPr>
          <w:sz w:val="20"/>
          <w:szCs w:val="20"/>
          <w:color w:val="auto"/>
        </w:rPr>
      </w:pPr>
    </w:p>
    <w:p>
      <w:pPr>
        <w:ind w:right="160" w:firstLine="576"/>
        <w:spacing w:after="0" w:line="254" w:lineRule="auto"/>
        <w:rPr>
          <w:sz w:val="20"/>
          <w:szCs w:val="20"/>
          <w:color w:val="auto"/>
        </w:rPr>
      </w:pPr>
      <w:r>
        <w:rPr>
          <w:rFonts w:ascii="Times New Roman" w:cs="Times New Roman" w:eastAsia="Times New Roman" w:hAnsi="Times New Roman"/>
          <w:sz w:val="18"/>
          <w:szCs w:val="18"/>
          <w:color w:val="auto"/>
        </w:rPr>
        <w:t>There are a number of components of our risk management program. We leverage external third parties for security testing on an annual basis, including penetration testing. We consistently monitor critical risks from cybersecurity threats using automated tools and have a process to implement mitigation plans. Our Security Committee, headed by the Vice President of IT and the Vice President, Legal assesses and monitors any identified security incidents that impact us or our external partners. Furthermore, we assess and review the cybersecurity practices of third parties who have access to our systems and/or process our sensitive information. This assessment may involve requesting Systems and Organization Controls Type 2 reports (SOC2 reports), conversations with our Vice President of IT, and the inclusion of contractual requirements to maintain data protection safeguards and timely notification if the third party experiences a security incident which may have a critical impact on our business or our data. Additionally, we conduct cybersecurity awareness training for employees during onboarding and throughout the year, and we conduct regular phishing simulations in an effort to raise awareness of spoofed or manipulated electronic communications and other cybersecurity threats.</w:t>
      </w:r>
    </w:p>
    <w:p>
      <w:pPr>
        <w:spacing w:after="0" w:line="80" w:lineRule="exact"/>
        <w:rPr>
          <w:sz w:val="20"/>
          <w:szCs w:val="20"/>
          <w:color w:val="auto"/>
        </w:rPr>
      </w:pPr>
    </w:p>
    <w:p>
      <w:pPr>
        <w:ind w:right="120" w:firstLine="576"/>
        <w:spacing w:after="0" w:line="256" w:lineRule="auto"/>
        <w:rPr>
          <w:sz w:val="20"/>
          <w:szCs w:val="20"/>
          <w:color w:val="auto"/>
        </w:rPr>
      </w:pPr>
      <w:r>
        <w:rPr>
          <w:rFonts w:ascii="Times New Roman" w:cs="Times New Roman" w:eastAsia="Times New Roman" w:hAnsi="Times New Roman"/>
          <w:sz w:val="18"/>
          <w:szCs w:val="18"/>
          <w:color w:val="auto"/>
        </w:rPr>
        <w:t>We face a number of cybersecurity risks in connection with our business. Although such risks have not materially affected us, and we do not believe they are reasonably likely to materially affect us, our business strategy, results of operations or financial condition, we could from time to time, experience threats to and security incidents related to our third-party vendors’ information systems. For more information about the cybersecurity risks we face, see the risk factor entitled “We may be unable to adequately protect our information technology systems from cyberattacks, cyber intrusions or otherwise which could result in damage to our information technology systems and unauthorized disclosure or use of confidential or proprietary information, including personal data” in Item 1A- Risk Factors.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1" w:lineRule="exact"/>
        <w:rPr>
          <w:sz w:val="20"/>
          <w:szCs w:val="20"/>
          <w:color w:val="auto"/>
        </w:rPr>
      </w:pPr>
    </w:p>
    <w:p>
      <w:pPr>
        <w:ind w:right="80" w:firstLine="576"/>
        <w:spacing w:after="0" w:line="256" w:lineRule="auto"/>
        <w:rPr>
          <w:sz w:val="20"/>
          <w:szCs w:val="20"/>
          <w:color w:val="auto"/>
        </w:rPr>
      </w:pPr>
      <w:r>
        <w:rPr>
          <w:rFonts w:ascii="Times New Roman" w:cs="Times New Roman" w:eastAsia="Times New Roman" w:hAnsi="Times New Roman"/>
          <w:sz w:val="18"/>
          <w:szCs w:val="18"/>
          <w:color w:val="auto"/>
        </w:rPr>
        <w:t>Our Board of Directors has delegated responsibility for overseeing our policies, practices and assessments with respect to cybersecurity and other information technology risks to the Audit Committee. Our Vice President of IT, under the supervision of our Chief Financial Officer, is responsible for the establishment and maintenance of our cybersecurity risk management program, including the day-to-day oversight of the assessment and management of cybersecurity risks. The Vice President of IT will regularly consult with outside security experts and management to evaluate certain aspects of the cybersecurity risk management program. The Vice President of IT has approximately 15 years of experience in information security and cybersecurity risk management. The IT team also institutes and maintains controls for our systems, applications, and databases.</w:t>
      </w:r>
    </w:p>
    <w:p>
      <w:pPr>
        <w:spacing w:after="0" w:line="79" w:lineRule="exact"/>
        <w:rPr>
          <w:sz w:val="20"/>
          <w:szCs w:val="20"/>
          <w:color w:val="auto"/>
        </w:rPr>
      </w:pPr>
    </w:p>
    <w:p>
      <w:pPr>
        <w:ind w:right="140" w:firstLine="576"/>
        <w:spacing w:after="0" w:line="266" w:lineRule="auto"/>
        <w:rPr>
          <w:sz w:val="20"/>
          <w:szCs w:val="20"/>
          <w:color w:val="auto"/>
        </w:rPr>
      </w:pPr>
      <w:r>
        <w:rPr>
          <w:rFonts w:ascii="Times New Roman" w:cs="Times New Roman" w:eastAsia="Times New Roman" w:hAnsi="Times New Roman"/>
          <w:sz w:val="18"/>
          <w:szCs w:val="18"/>
          <w:color w:val="auto"/>
        </w:rPr>
        <w:t>The Vice President of IT reports on the status of our cybersecurity risk management program to management and our Audit Committee on a periodic basis, which may include a discussion of the results of our annual third party cybersecurity risk assessments and critical updates to our mitigation and remediation efforts.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Our corporate headquarters is located at 201 Brookline Avenue, Boston, Massachusetts, where we lease approximately 64,805 square feet of office and laboratory space. The term of our amended lease with respect to this facility expires on January 31, 2033, however, under certain circumstances, this lease may terminate on an earlier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60" w:firstLine="576"/>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Regardless of outcome, litigation can have an adverse impact on our business, financial condition, results of operations and prospects because of defense and settlement costs, diversion of management resources and other factors.</w:t>
      </w:r>
    </w:p>
    <w:p>
      <w:pPr>
        <w:spacing w:after="0" w:line="68" w:lineRule="exact"/>
        <w:rPr>
          <w:sz w:val="20"/>
          <w:szCs w:val="20"/>
          <w:color w:val="auto"/>
        </w:rPr>
      </w:pPr>
    </w:p>
    <w:p>
      <w:pPr>
        <w:ind w:right="120" w:firstLine="576"/>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litigation or legal proceedings that, in the opinion of our management, are probable to have a material adverse effect on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87" w:name="page88"/>
    <w:bookmarkEnd w:id="8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940"/>
        <w:spacing w:after="0" w:line="440"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common stock currently trades on The Nasdaq Global Market under the symbol "TNGX".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21" w:lineRule="exact"/>
        <w:rPr>
          <w:sz w:val="20"/>
          <w:szCs w:val="20"/>
          <w:color w:val="auto"/>
        </w:rPr>
      </w:pPr>
    </w:p>
    <w:p>
      <w:pPr>
        <w:ind w:right="240" w:firstLine="576"/>
        <w:spacing w:after="0" w:line="282" w:lineRule="auto"/>
        <w:rPr>
          <w:sz w:val="20"/>
          <w:szCs w:val="20"/>
          <w:color w:val="auto"/>
        </w:rPr>
      </w:pPr>
      <w:r>
        <w:rPr>
          <w:rFonts w:ascii="Times New Roman" w:cs="Times New Roman" w:eastAsia="Times New Roman" w:hAnsi="Times New Roman"/>
          <w:sz w:val="18"/>
          <w:szCs w:val="18"/>
          <w:color w:val="auto"/>
        </w:rPr>
        <w:t>As of February 26, 2026, there were approximately 15 stockholders of record of our common stock. Certain shares are held in “street” name and accordingly, the number of beneficial owners of such shares is not known or included in the foregoing number of stockholders of record.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20" w:firstLine="576"/>
        <w:spacing w:after="0" w:line="261" w:lineRule="auto"/>
        <w:rPr>
          <w:sz w:val="20"/>
          <w:szCs w:val="20"/>
          <w:color w:val="auto"/>
        </w:rPr>
      </w:pPr>
      <w:r>
        <w:rPr>
          <w:rFonts w:ascii="Times New Roman" w:cs="Times New Roman" w:eastAsia="Times New Roman" w:hAnsi="Times New Roman"/>
          <w:sz w:val="18"/>
          <w:szCs w:val="18"/>
          <w:color w:val="auto"/>
        </w:rPr>
        <w:t>We currently intend to retain all available funds and future earnings, if any, to fund the development and expansion of our business. We have never declared or paid cash dividends on our common stock, and we do not expect to pay any cash dividends on our common stock in the foreseeable future. Payment of future dividends, if any, on our common stock will be at the discretion of our board of directors after taking into account various factors, including our financial condition, operating results, anticipated cash needs, and other factors that the board of directors may deem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The following performance graph and related information shall not be deemed to be “soliciting material” or to be “filed” with the SEC for purposes of Section 18 of the Exchange Act, nor shall such information be incorporated by reference into any future filing under the Exchange Act or the Securities Act, except to the extent that we specifically incorporate it by reference into such filing.</w:t>
      </w:r>
    </w:p>
    <w:p>
      <w:pPr>
        <w:spacing w:after="0" w:line="108" w:lineRule="exact"/>
        <w:rPr>
          <w:sz w:val="20"/>
          <w:szCs w:val="20"/>
          <w:color w:val="auto"/>
        </w:rPr>
      </w:pPr>
    </w:p>
    <w:p>
      <w:pPr>
        <w:ind w:right="40" w:firstLine="576"/>
        <w:spacing w:after="0" w:line="256" w:lineRule="auto"/>
        <w:rPr>
          <w:sz w:val="20"/>
          <w:szCs w:val="20"/>
          <w:color w:val="auto"/>
        </w:rPr>
      </w:pPr>
      <w:r>
        <w:rPr>
          <w:rFonts w:ascii="Times New Roman" w:cs="Times New Roman" w:eastAsia="Times New Roman" w:hAnsi="Times New Roman"/>
          <w:sz w:val="18"/>
          <w:szCs w:val="18"/>
          <w:color w:val="auto"/>
        </w:rPr>
        <w:t>The following performance graph compares the performance of our common stock to the Nasdaq Composite Index and to the Nasdaq Biotechnology Index from September 3, 2020, the date on which our common stock first began trading on the Nasdaq Global Market, through December 31, 2025. The comparison assumes $100 was invested in our common stock and in each of the foregoing indices after the market closed on September 3, 2020. We have not paid any dividends on our common stock, and no dividends are included in the representation of the performance of our common stock. The stock price performances included in this graph are based on historical results and are not necessarily indicative of, nor intended to, forecast future stock price performance.</w:t>
      </w:r>
    </w:p>
    <w:p>
      <w:pPr>
        <w:spacing w:after="0" w:line="187" w:lineRule="exact"/>
        <w:rPr>
          <w:sz w:val="20"/>
          <w:szCs w:val="20"/>
          <w:color w:val="auto"/>
        </w:rPr>
      </w:pPr>
    </w:p>
    <w:p>
      <w:pPr>
        <w:ind w:right="40" w:firstLine="584"/>
        <w:spacing w:after="0" w:line="258" w:lineRule="auto"/>
        <w:rPr>
          <w:sz w:val="20"/>
          <w:szCs w:val="20"/>
          <w:color w:val="auto"/>
        </w:rPr>
      </w:pPr>
      <w:r>
        <w:rPr>
          <w:rFonts w:ascii="Times New Roman" w:cs="Times New Roman" w:eastAsia="Times New Roman" w:hAnsi="Times New Roman"/>
          <w:sz w:val="18"/>
          <w:szCs w:val="18"/>
          <w:color w:val="auto"/>
        </w:rPr>
        <w:t>We were formerly known as BCTG Acquisition Corp., or BCTG, and were incorporated in Delaware in May 2020 as a special purpose acquisition company, formed for the purpose of effecting a merger, capital stock exchange, asset acquisition, stock purchase, reorganization or other similar business combination. BCTG closed its initial public offering on September 3, 2020 and began trading on the Nasdaq Market on such date. On August 10, 2021, we consummated a merger, pursuant to the Agreement and Plan of Merger, dated as of April 13, 2021, by and among BCTG, BCTG Merger Sub Inc. and Tango Therapeutics Sub, Inc. Upon the consummation of the merger, we changed our name to Tango Therapeutics, Inc.</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576580</wp:posOffset>
            </wp:positionH>
            <wp:positionV relativeFrom="page">
              <wp:posOffset>774700</wp:posOffset>
            </wp:positionV>
            <wp:extent cx="5795010" cy="48088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5795010" cy="4808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5 of Form 10-K regarding equity compensation plans is incorporated herein by reference to Item 12 of Part III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right="280" w:firstLine="57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we did not issue or sell any unregistered securities not previously disclosed in an Annual Report on Form 10-K or in a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9" w:name="page90"/>
    <w:bookmarkEnd w:id="89"/>
    <w:p>
      <w:pPr>
        <w:ind w:left="7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consolidated financial statements and related notes appearing elsewhere in this Annual Report on Form 10-K for the year ended December 31, 2025.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Tango Therapeutics was founded with a clear mission: to discover the next wave of targeted therapies in oncology by addressing the specific genetic alterations that drive cancer. We leverage our state-of-the-art target and drug discovery platforms to identify novel disease-relevant targets and develop medicines tailored to defined patient populations with high unmet medical need. Our novel small molecules are designed to be selectively active in cancer cells with specific genetic alterations, killing those cancer cells while sparing normal cells. We believe our approach will provide the ability to deliver deep, durable target inhibition with favorable tolerability and safety profiles, thus potentially maximizing clinical benefit.</w:t>
      </w:r>
    </w:p>
    <w:p>
      <w:pPr>
        <w:spacing w:after="0" w:line="183" w:lineRule="exact"/>
        <w:rPr>
          <w:sz w:val="20"/>
          <w:szCs w:val="20"/>
          <w:color w:val="auto"/>
        </w:rPr>
      </w:pPr>
    </w:p>
    <w:p>
      <w:pPr>
        <w:jc w:val="both"/>
        <w:ind w:right="300" w:firstLine="749"/>
        <w:spacing w:after="0" w:line="266" w:lineRule="auto"/>
        <w:rPr>
          <w:sz w:val="20"/>
          <w:szCs w:val="20"/>
          <w:color w:val="auto"/>
        </w:rPr>
      </w:pPr>
      <w:r>
        <w:rPr>
          <w:rFonts w:ascii="Times New Roman" w:cs="Times New Roman" w:eastAsia="Times New Roman" w:hAnsi="Times New Roman"/>
          <w:sz w:val="18"/>
          <w:szCs w:val="18"/>
          <w:color w:val="auto"/>
        </w:rPr>
        <w:t>We are currently focused on clinical development of two MTAP-deleted selective PRMT5 inhibitors: vopimetostat (TNG462) for non-CNS cancers, both as a monotherapy and in combination with RAS inhibitors, and TNG456, our next-generation, brain-penetrant PRMT5 inhibitor, for CNS cancers, including glioblastoma (GBM).</w:t>
      </w:r>
    </w:p>
    <w:p>
      <w:pPr>
        <w:spacing w:after="0" w:line="176"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October 2025, we reported positive data from the ongoing Phase 1/2 clinical trial of vopimetostat monotherapy in patients with MTAP-deleted selective cancers, illustrating clinical activity across multiple cancer types with a favorable safety and tolerability profile. Specifically, the data in second-line MTAP-deleted pancreatic cancer demonstrated a median progression free survival (mPFS) of 7.2 months and 25% objective response rate (ORR), supporting the planned initiation of a 2L pivotal trial in this patient population in 2026. The histology selective cohort, which excludes sarcoma, pancreatic and lung cancer patients, also showed positive data, with a mPFS of 9.1 months and 49% ORR. We are evaluating the development path for the histology selective cohort, as well as for selected indications as stand-alone development opportunities. Lastly, emerging data from the lung cancer cohort are consistent with expectations, and we anticipate providing a safety and efficacy update in 2026.</w:t>
      </w:r>
    </w:p>
    <w:p>
      <w:pPr>
        <w:spacing w:after="0" w:line="18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are focused on evaluating the combination of vopimetostat with RAS inhibitors, given the overlap in patient populations, robust preclinical data supporting potential strong combination effect in clinical trials, and favorable clinical efficacy, durability, and safety profiles observed with each drug individually. We believe this approach may enable a development path for chemotherapy-free first-line and potentially second-line therapies for MTAP-deleted/RAS-mutated patients with pancreatic and lung cancer. In June 2025, we treated the first patient in our combination clinical trial evaluating vopimetostat with the RAS(ON) multi-selective inhibitor, daraxonrasib, and RAS(ON) G12D-selective inhibitor, zoldonrasib (Revolution Medicines), which enrolled 30 patients as of December 24, 2025. Both combinations have been well-tolerated to date with exposures in the active range for all compounds with encouraging early efficacy data. We anticipate providing a safety and efficacy update from this trial in 2026. Given the differentiated profile of vopimetostat enabling the potential for efficacious and tolerable RAS inhibitor combinations, in March 2026, we entered into a clinical trial collaboration and supply agreement (CTCSA) with Erasca, Inc., or Erasca, to evaluate vopimetostat in combination with Erasca’s pan-RAS molecular glue, ERAS-0015. Under the terms of the agreement, Tango is the sponsor of the trial and Erasca is supplying ERAS-0015 at no cost.</w:t>
      </w:r>
    </w:p>
    <w:p>
      <w:pPr>
        <w:spacing w:after="0" w:line="127"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TNG456 is a brain-penetrant PRMT5 inhibitor. In May 2025, the first patient was treated with TNG456 in the dose escalation portion of the Phase 1/2 clinical trial to evaluate the safety, pharmacokinetics, pharmacodynamics and antitumor activity of TNG456 as a monotherapy. The trial is currently enrolling patients with MTAP-deleted solid tumors, with a focus on GBM. We anticipate providing a safety and efficacy update from this trial in 2026.</w:t>
      </w:r>
    </w:p>
    <w:p>
      <w:pPr>
        <w:spacing w:after="0" w:line="180"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TNG961 is a novel, potent and selective molecular glue development candidate targeting HBS1L for degradation in solid tumors in FOCAD-deleted/MTAP-deleted cancers. FOCAD deletion occurs in 20-40% of all MTAP-deleted cancers due to the collateral loss with the tumor suppressor gene CDKN2A/B on chromosome 9p21. Cancers with FOCAD loss are dependent on HBS1L for mRNA processing, thus protein synthesis. By degrading HBS1L and disrupting the HBS1L/PELO complex, TNG961 causes tumor regression in FOCAD-deleted preclinical models of multiple histologies. TNG961 is in the IND-enabling phase of development.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0" w:name="page91"/>
    <w:bookmarkEnd w:id="90"/>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TNG260 is a first-in-class CoREST inhibitor. In November 2025, we announced that patients with checkpoint inhibitor resistant STK11 mutant/KRAS wild-type NSCLC receiving clinically active doses of TNG260 plus pembrolizumab had a mPFS of 29 weeks (n=5), more than double the standard of care PFS of ~10 weeks. 80 mg QD of TNG260 was selected for dose expansion, which is ongoing for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Since the Company's inception, we have focused primarily on organizing and staffing our company, business planning, raising capital, discovering product candidates, securing related intellectual property, and conducting research and development activities for our programs. To date, we have funded our operations primarily through equity financings and from the proceeds received from our collaboration agreement with Gilead. Through December 31, 2025, we have raised an aggregate of $1.1 billion from such transactions, including $857.0 million in aggregate gross proceeds from the sale of preferred shares, the closing of our Business Combination, follow-on public and private offerings, and through our "at-the-market" stock offering programs, and $237.1 million through our collaboration with Gilead. Additionally, during the first quarter of 2026, and through March 2, 2026, we have received gross proceeds of $62.1 million from our "at-the-market" stock offering program.</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on hand as of December 31, 2025 of $343.1 million, will enable us to fund our operating expenses and capital expenditure requirements into 2028. Since inception, we have incurred significant operating losses. For the years ended December 31, 2025, 2024, and 2023 our net losses were $101.6 million, $130.3 million, and $101.7 million, respectively. We had an accumulated deficit of $603.2 million as of December 31, 2025. We expect to continue to incur significant and increasing expenses and operating losses for the foreseeable future, as we advance our product candidates through preclinical and clinical development and seek regulatory approvals, manufacture drug product and drug supply, and maintain and expand our intellectual property portfolio. We also expect to hire additional personnel, incur accounting, audit, legal, regulatory, consulting, and other costs associated with maintaining compliance with Nasdaq listing rules and the requirements of the U.S. Securities and Exchange Commission,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194"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18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development, we are unable to predict the timing or amount of increased expenses or when or if we will be able to achieve or maintain profitability. Even if we are able to generate revenues from the sale of our therapies, we may not become profitable. If we fail to become profitable or are unable to sustain profitability on a continuing basis, then we may be unable to continue our operations at planned levels and be forced to reduce our operations.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October 2025, we completed an underwritten offering and a concurrent private placement for the issuance of a total of 22,755,438 shares of common stock at a price of $8.66 per share and pre-funded warrants to purchase 3,226,458 shares of common stock at a purchase price of $8.659 per pre-funded warrant, resulting in gross proceeds of $225.0 million. The pre-funded warrants have an exercise price of $0.001 per share of common stock, are immediately exercisable and will remain exercisable until exercised in full. After deducting expenses related to the offering and private placement of $13.2 million, net proceeds were $211.8 million. Both transactions closed on October 24, 2025. Net proceeds from all financing activities will be used to advance our pipeline and for working capital and other general corporate purposes.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1" w:name="page92"/>
    <w:bookmarkEnd w:id="91"/>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November 2025, we entered into a sales agreement (the Leerink Sales Agreement) with Leerink Partners LLC (Leerink) which permitted us to sell from time to time, at its option, up to an aggregate of $100.0 million of shares of its common stock through Leerink, as sales agent. Sales of the common stock, if any, will be made by methods deemed to be "at-the-market" stock offerings. The Leerink Sales Agreement will terminate upon the earliest of: (a) the sale of $100.0 million of shares of the Company's common stock or (b) the termination of the Leerink Sales Agreement by the Company or Leerink. As of March 2, 2026, we had sold 4,953,078 shares of common stock under this stock offering program for gross proceeds of $62.1 million.</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September 2022, we entered into a sales agreement (the Jefferies Sales Agreement) with Jefferies LLC (Jefferies) which permitted us to sell shares of our common stock through Jefferies, as sales agent. In November 2025, the Jefferies Sales Agreement was terminated. At the time of the termination of the Jefferies Sales Agreement, we had sold 4,001,200 shares of common stock under this stock offering program for gross proceeds of $43.0 million.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Agreements with Gilead Sciences</w:t>
      </w:r>
    </w:p>
    <w:p>
      <w:pPr>
        <w:spacing w:after="0" w:line="22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October 2018, we entered into a collaboration agreement (the 2018 Gilead Agreement) with Gilead Sciences, Inc. (Gilead), under which we received an initial upfront payment of $50.0 million. In August 2020, the 2018 Gilead Agreement was expanded into a broader collaboration via an amended and restated research collaboration and license agreement (the Gilead Agreement), under which we received an upfront payment of $125.0 million. Upfront payments totaling $175.0 million and subsequent research extension fees totaling $24.0 million were recorded as deferred revenue on our balance sheet and recognized as revenue as or when the performance obligation under the contract was satisfied. In June 2024, Gilead licensed a program for a $12.0 million fee, which was recognized as license revenue in the second quarter of 2024.</w:t>
      </w:r>
    </w:p>
    <w:p>
      <w:pPr>
        <w:spacing w:after="0" w:line="18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August 2025, the Company and Gilead mutually agreed to truncate the research term of the collaboration and license agreement from seven to five years, concluding the research portion of the collaboration. There was no financial penalty to the Company as a result, no licensed programs were returned to the Company, all ongoing work at Gilead on licensed programs will continue and agreements for all future milestones and royalties remain in effect. The Company has no future research obligations and the remaining unrecognized deferred revenue balance at the time of truncating the collaboration agreement of $53.8 million was recognized as revenue in the third quarter of 2025.</w:t>
      </w:r>
    </w:p>
    <w:p>
      <w:pPr>
        <w:spacing w:after="0" w:line="183"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all $199.0 million has been recognized as collaboration revenue related to the upfront and research option-extension payments from the Gilead Agreements.</w:t>
      </w:r>
    </w:p>
    <w:p>
      <w:pPr>
        <w:spacing w:after="0" w:line="162"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2024, and 2023, we recognized $62.4 million, $30.0 million, and $31.5 million, respectively, of collaboration revenue associated with the Gilead agreements based on performance completed during each period.</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Refer to Note 2 and Note 3 to our audited consolidated financial statements included elsewhere in this Annual Report on Form 10-K for additional information regarding our revenue recognition accounting policy and our collaboration agreement with Gilead.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drug discovery efforts and the development of our product candidates. We expense research and development costs as incurred, which include:</w:t>
      </w:r>
    </w:p>
    <w:p>
      <w:pPr>
        <w:spacing w:after="0" w:line="54" w:lineRule="exact"/>
        <w:rPr>
          <w:sz w:val="20"/>
          <w:szCs w:val="20"/>
          <w:color w:val="auto"/>
        </w:rPr>
      </w:pPr>
    </w:p>
    <w:p>
      <w:pPr>
        <w:ind w:left="1140" w:right="560" w:hanging="383"/>
        <w:spacing w:after="0" w:line="282"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other related costs for those employees involved in research and development efforts;</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92" w:name="page93"/>
    <w:bookmarkEnd w:id="92"/>
    <w:p>
      <w:pPr>
        <w:ind w:left="1140" w:right="540" w:hanging="383"/>
        <w:spacing w:after="0" w:line="312" w:lineRule="auto"/>
        <w:tabs>
          <w:tab w:leader="none" w:pos="11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external research and development expenses incurred under agreements with contract research organizations, or CROs, vendors and consultants that conduct our preclinical and clinical studies, as well as other development activities related to our product candidates;</w:t>
      </w:r>
    </w:p>
    <w:p>
      <w:pPr>
        <w:spacing w:after="0" w:line="31" w:lineRule="exact"/>
        <w:rPr>
          <w:rFonts w:ascii="Times New Roman" w:cs="Times New Roman" w:eastAsia="Times New Roman" w:hAnsi="Times New Roman"/>
          <w:sz w:val="17"/>
          <w:szCs w:val="17"/>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and clinical studies;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fulfill our obligations under the collaboration with Gilead through August 2025;</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information technology systems, depreciation and other allocated expenses, which include direct and allocated expenses for rent, utilities and insurance.</w:t>
      </w:r>
    </w:p>
    <w:p>
      <w:pPr>
        <w:spacing w:after="0" w:line="162"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76" w:lineRule="exact"/>
        <w:rPr>
          <w:sz w:val="20"/>
          <w:szCs w:val="20"/>
          <w:color w:val="auto"/>
        </w:rPr>
      </w:pPr>
    </w:p>
    <w:p>
      <w:pPr>
        <w:jc w:val="both"/>
        <w:ind w:right="580" w:firstLine="509"/>
        <w:spacing w:after="0" w:line="266" w:lineRule="auto"/>
        <w:rPr>
          <w:sz w:val="20"/>
          <w:szCs w:val="20"/>
          <w:color w:val="auto"/>
        </w:rPr>
      </w:pPr>
      <w:r>
        <w:rPr>
          <w:rFonts w:ascii="Times New Roman" w:cs="Times New Roman" w:eastAsia="Times New Roman" w:hAnsi="Times New Roman"/>
          <w:sz w:val="18"/>
          <w:szCs w:val="18"/>
          <w:color w:val="auto"/>
        </w:rPr>
        <w:t>Our direct external research and development expenses consist primarily of fees paid to CROs, as well as outside vendors and consultants in connection with our preclinical and clinical development and manufacturing activities. We track these external research and development costs on a program-by-program basis once we have identified a product candidate.</w:t>
      </w:r>
    </w:p>
    <w:p>
      <w:pPr>
        <w:spacing w:after="0" w:line="17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do not allocate employee costs or costs associated with our target discovery efforts, laboratory supplies, and facilities, including depreciation or other indirect costs, to specific programs because these costs are deployed across multiple programs and, as such, are not separately classified. We characterize research and development costs incurred prior to the identification of a product candidate as discovery costs. We use internal resources primarily to conduct our research and discovery activities as well as for managing our preclinical, development and manufacturing activities.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4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10"/>
        </w:trPr>
        <w:tc>
          <w:tcPr>
            <w:tcW w:w="5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vopimetostat direct program expenses</w:t>
            </w:r>
          </w:p>
        </w:tc>
        <w:tc>
          <w:tcPr>
            <w:tcW w:w="296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98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16,161</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TNG456 direct program expenses</w:t>
            </w:r>
          </w:p>
        </w:tc>
        <w:tc>
          <w:tcPr>
            <w:tcW w:w="1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100" w:type="dxa"/>
            <w:vAlign w:val="bottom"/>
          </w:tcPr>
          <w:p>
            <w:pPr>
              <w:spacing w:after="0"/>
              <w:rPr>
                <w:sz w:val="18"/>
                <w:szCs w:val="18"/>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TNG260 direct program expenses</w:t>
            </w:r>
          </w:p>
        </w:tc>
        <w:tc>
          <w:tcPr>
            <w:tcW w:w="19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9,382</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TNG961 direct program expenses</w:t>
            </w:r>
          </w:p>
        </w:tc>
        <w:tc>
          <w:tcPr>
            <w:tcW w:w="1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TNG908 direct program expenses*</w:t>
            </w:r>
          </w:p>
        </w:tc>
        <w:tc>
          <w:tcPr>
            <w:tcW w:w="19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13,587</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TNG348 direct program expenses**</w:t>
            </w:r>
          </w:p>
        </w:tc>
        <w:tc>
          <w:tcPr>
            <w:tcW w:w="1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100" w:type="dxa"/>
            <w:vAlign w:val="bottom"/>
          </w:tcPr>
          <w:p>
            <w:pPr>
              <w:spacing w:after="0"/>
              <w:rPr>
                <w:sz w:val="18"/>
                <w:szCs w:val="18"/>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Discovery direct program expenses</w:t>
            </w:r>
          </w:p>
        </w:tc>
        <w:tc>
          <w:tcPr>
            <w:tcW w:w="19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10,167</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24,440</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1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19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51,474</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51,457</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Facilities and other related expenses</w:t>
            </w:r>
          </w:p>
        </w:tc>
        <w:tc>
          <w:tcPr>
            <w:tcW w:w="19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20,465</w:t>
            </w:r>
          </w:p>
        </w:tc>
        <w:tc>
          <w:tcPr>
            <w:tcW w:w="3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18,884</w:t>
            </w:r>
          </w:p>
        </w:tc>
        <w:tc>
          <w:tcPr>
            <w:tcW w:w="100" w:type="dxa"/>
            <w:vAlign w:val="bottom"/>
          </w:tcPr>
          <w:p>
            <w:pPr>
              <w:spacing w:after="0"/>
              <w:rPr>
                <w:sz w:val="18"/>
                <w:szCs w:val="18"/>
                <w:color w:val="auto"/>
              </w:rPr>
            </w:pPr>
          </w:p>
        </w:tc>
      </w:tr>
      <w:tr>
        <w:trPr>
          <w:trHeight w:val="22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96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132,165</w:t>
            </w:r>
          </w:p>
        </w:tc>
        <w:tc>
          <w:tcPr>
            <w:tcW w:w="98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143,918</w:t>
            </w:r>
          </w:p>
        </w:tc>
        <w:tc>
          <w:tcPr>
            <w:tcW w:w="100" w:type="dxa"/>
            <w:vAlign w:val="bottom"/>
            <w:shd w:val="clear" w:color="auto" w:fill="CFF0FC"/>
          </w:tcPr>
          <w:p>
            <w:pPr>
              <w:spacing w:after="0"/>
              <w:rPr>
                <w:sz w:val="19"/>
                <w:szCs w:val="19"/>
                <w:color w:val="auto"/>
              </w:rPr>
            </w:pPr>
          </w:p>
        </w:tc>
      </w:tr>
      <w:tr>
        <w:trPr>
          <w:trHeight w:val="20"/>
        </w:trPr>
        <w:tc>
          <w:tcPr>
            <w:tcW w:w="5480" w:type="dxa"/>
            <w:vAlign w:val="bottom"/>
            <w:tcBorders>
              <w:top w:val="single" w:sz="8" w:color="CFF0FC"/>
            </w:tcBorders>
            <w:shd w:val="clear" w:color="auto" w:fill="CFF0FC"/>
          </w:tcPr>
          <w:p>
            <w:pPr>
              <w:spacing w:after="0" w:line="20" w:lineRule="exact"/>
              <w:rPr>
                <w:sz w:val="1"/>
                <w:szCs w:val="1"/>
                <w:color w:val="auto"/>
              </w:rPr>
            </w:pPr>
          </w:p>
        </w:tc>
        <w:tc>
          <w:tcPr>
            <w:tcW w:w="19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-25400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*In November 2024, we announced we stopped enrollment in the TNG908 Phase 1/2 trial due to insufficient brain exposure for GBM clinical activity and portfolio prioritization. Expenses beyond November 2024 related to previously enrolled patients and close-out clinical trial costs.</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May 2024, we announced the discontinuation of TNG348, a USP1 inhibitor, due to toxicity observed in the dose escalation portion of our Phase 1/2 clinical trial. Expenses beyond May 2024 related to close-out clinical trial costs.</w:t>
      </w:r>
    </w:p>
    <w:p>
      <w:pPr>
        <w:spacing w:after="0" w:line="16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or the timing of regulatory filings in connection with clinical trials or regulatory approval, due to the inherently unpredictable nature of preclinical and clinical development. Clinical and preclinical development timelines,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3" w:name="page94"/>
    <w:bookmarkEnd w:id="93"/>
    <w:p>
      <w:pPr>
        <w:spacing w:after="0" w:line="256" w:lineRule="auto"/>
        <w:rPr>
          <w:sz w:val="20"/>
          <w:szCs w:val="20"/>
          <w:color w:val="auto"/>
        </w:rPr>
      </w:pPr>
      <w:r>
        <w:rPr>
          <w:rFonts w:ascii="Times New Roman" w:cs="Times New Roman" w:eastAsia="Times New Roman" w:hAnsi="Times New Roman"/>
          <w:sz w:val="18"/>
          <w:szCs w:val="18"/>
          <w:color w:val="auto"/>
        </w:rPr>
        <w:t>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Our clinical development costs have, and are expected to continue to, increase significantly with the commencement and continuation of our current and planned clinical trials. We anticipate that our expenses will increase substantially, particularly due to the numerous risks and uncertainties associated with developing product candidates, including the uncertainty of:</w:t>
      </w:r>
    </w:p>
    <w:p>
      <w:pPr>
        <w:spacing w:after="0" w:line="79" w:lineRule="exact"/>
        <w:rPr>
          <w:sz w:val="20"/>
          <w:szCs w:val="20"/>
          <w:color w:val="auto"/>
        </w:rPr>
      </w:pPr>
    </w:p>
    <w:p>
      <w:pPr>
        <w:ind w:left="1140" w:right="560" w:hanging="383"/>
        <w:spacing w:after="0" w:line="282"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expenses of our ongoing research activities as well as any preclinical studies, clinical trials and other research and development activities;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studies;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our clinical trials, including our combination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show safety and efficacy in our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products following any regulatory approval.</w:t>
      </w:r>
    </w:p>
    <w:p>
      <w:pPr>
        <w:spacing w:after="0" w:line="22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 related costs, including salaries, bonuses, benefits, stock-based compensation and other related costs. General and administrative expense also includes professional services, including legal, accounting and audit services and other consulting fees as well as facility costs not otherwise included in research and development expenses, insurance and other general administrative expenses.</w:t>
      </w:r>
    </w:p>
    <w:p>
      <w:pPr>
        <w:spacing w:after="0" w:line="176"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and director and officer insurance costs as well as investor and public relations expenses associated with operating as a public company.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Interest income consists of income earned and losses incurred in connection with our investments in money market funds, U.S. Treasury bills and U.S. government agency bonds.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consists of miscellaneous income and expense unrelated to our core operations.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provision for income tax consists of an estimate for U.S. federal and state income taxes based on enacted rates, as adjusted for allowable credits, deductions, uncertain tax positions, changes in deferred tax assets and liabilities and changes in tax law. We recorded an insignificant provision for income taxes for each of the years ended December 31, 2025 and 2024.</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2025 and 2024: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960" w:type="dxa"/>
            <w:vAlign w:val="bottom"/>
            <w:gridSpan w:val="5"/>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5"/>
                <w:szCs w:val="15"/>
                <w:color w:val="auto"/>
              </w:rPr>
            </w:pPr>
          </w:p>
        </w:tc>
        <w:tc>
          <w:tcPr>
            <w:tcW w:w="144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6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74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62,384</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29,969</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32,415</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1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12,100</w:t>
            </w: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(12,100)</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7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62,384</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42,069</w:t>
            </w: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20,315</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132,165</w:t>
            </w: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143,918</w:t>
            </w: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(11,753)</w:t>
            </w: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43,746</w:t>
            </w: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(2,238)</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173,673</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187,664</w:t>
            </w: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(13,991)</w:t>
            </w:r>
          </w:p>
        </w:tc>
        <w:tc>
          <w:tcPr>
            <w:tcW w:w="0" w:type="dxa"/>
            <w:vAlign w:val="bottom"/>
          </w:tcPr>
          <w:p>
            <w:pPr>
              <w:spacing w:after="0"/>
              <w:rPr>
                <w:sz w:val="1"/>
                <w:szCs w:val="1"/>
                <w:color w:val="auto"/>
              </w:rPr>
            </w:pPr>
          </w:p>
        </w:tc>
      </w:tr>
      <w:tr>
        <w:trPr>
          <w:trHeight w:val="20"/>
        </w:trPr>
        <w:tc>
          <w:tcPr>
            <w:tcW w:w="3760" w:type="dxa"/>
            <w:vAlign w:val="bottom"/>
            <w:shd w:val="clear" w:color="auto" w:fill="CFF0FC"/>
          </w:tcPr>
          <w:p>
            <w:pPr>
              <w:spacing w:after="0" w:line="20" w:lineRule="exact"/>
              <w:rPr>
                <w:sz w:val="1"/>
                <w:szCs w:val="1"/>
                <w:color w:val="auto"/>
              </w:rPr>
            </w:pPr>
          </w:p>
        </w:tc>
        <w:tc>
          <w:tcPr>
            <w:tcW w:w="17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(111,289)</w:t>
            </w:r>
          </w:p>
        </w:tc>
        <w:tc>
          <w:tcPr>
            <w:tcW w:w="24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(145,595)</w:t>
            </w:r>
          </w:p>
        </w:tc>
        <w:tc>
          <w:tcPr>
            <w:tcW w:w="3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34,306</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7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5,630</w:t>
            </w:r>
          </w:p>
        </w:tc>
        <w:tc>
          <w:tcPr>
            <w:tcW w:w="240" w:type="dxa"/>
            <w:vAlign w:val="bottom"/>
          </w:tcPr>
          <w:p>
            <w:pPr>
              <w:spacing w:after="0"/>
              <w:rPr>
                <w:sz w:val="18"/>
                <w:szCs w:val="18"/>
                <w:color w:val="auto"/>
              </w:rPr>
            </w:pP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7,890</w:t>
            </w: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(2,260)</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17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7,611</w:t>
            </w: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(3,542)</w:t>
            </w:r>
          </w:p>
        </w:tc>
        <w:tc>
          <w:tcPr>
            <w:tcW w:w="0" w:type="dxa"/>
            <w:vAlign w:val="bottom"/>
          </w:tcPr>
          <w:p>
            <w:pPr>
              <w:spacing w:after="0"/>
              <w:rPr>
                <w:sz w:val="1"/>
                <w:szCs w:val="1"/>
                <w:color w:val="auto"/>
              </w:rPr>
            </w:pPr>
          </w:p>
        </w:tc>
      </w:tr>
      <w:tr>
        <w:trPr>
          <w:trHeight w:val="20"/>
        </w:trPr>
        <w:tc>
          <w:tcPr>
            <w:tcW w:w="3760" w:type="dxa"/>
            <w:vAlign w:val="bottom"/>
            <w:shd w:val="clear" w:color="auto" w:fill="CFF0FC"/>
          </w:tcPr>
          <w:p>
            <w:pPr>
              <w:spacing w:after="0" w:line="20" w:lineRule="exact"/>
              <w:rPr>
                <w:sz w:val="1"/>
                <w:szCs w:val="1"/>
                <w:color w:val="auto"/>
              </w:rPr>
            </w:pPr>
          </w:p>
        </w:tc>
        <w:tc>
          <w:tcPr>
            <w:tcW w:w="17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15,501</w:t>
            </w:r>
          </w:p>
        </w:tc>
        <w:tc>
          <w:tcPr>
            <w:tcW w:w="3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(5,802)</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7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(101,590)</w:t>
            </w: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(130,094)</w:t>
            </w: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28,504</w:t>
            </w: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(208)</w:t>
            </w:r>
          </w:p>
        </w:tc>
        <w:tc>
          <w:tcPr>
            <w:tcW w:w="3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74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(101,594)</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(130,302)</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28,708</w:t>
            </w:r>
          </w:p>
        </w:tc>
        <w:tc>
          <w:tcPr>
            <w:tcW w:w="0" w:type="dxa"/>
            <w:vAlign w:val="bottom"/>
          </w:tcPr>
          <w:p>
            <w:pPr>
              <w:spacing w:after="0"/>
              <w:rPr>
                <w:sz w:val="1"/>
                <w:szCs w:val="1"/>
                <w:color w:val="auto"/>
              </w:rPr>
            </w:pPr>
          </w:p>
        </w:tc>
      </w:tr>
      <w:tr>
        <w:trPr>
          <w:trHeight w:val="20"/>
        </w:trPr>
        <w:tc>
          <w:tcPr>
            <w:tcW w:w="3760" w:type="dxa"/>
            <w:vAlign w:val="bottom"/>
            <w:shd w:val="clear" w:color="auto" w:fill="CFF0FC"/>
          </w:tcPr>
          <w:p>
            <w:pPr>
              <w:spacing w:after="0" w:line="20" w:lineRule="exact"/>
              <w:rPr>
                <w:sz w:val="1"/>
                <w:szCs w:val="1"/>
                <w:color w:val="auto"/>
              </w:rPr>
            </w:pPr>
          </w:p>
        </w:tc>
        <w:tc>
          <w:tcPr>
            <w:tcW w:w="17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-1139190</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-1139190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-582295</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-582295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 of $62.4 million and $30.0 million for the years ended December 31, 2025 and 2024, respectively, was derived from the Gilead collaboration. All remaining deferred revenue from the upfront and research option-extension payments under the collaboration were recognized as revenue during the year ended December 31, 2025 as a result of the truncation of the collaboration agreement which concluded all research activities.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227"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License revenue was $0 and $12.1 million for the years ended December 31, 2025 and 2024, respectively. The revenue recognized during the second quarter of 2024 was primarily due to licensing a program to Gilead for $12.0 million during the period.</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was $132.2 million for the year ended December 31, 2025 compared to $143.9 million for the year ended December 31, 2024. The decrease of $11.7 million was mainly driven by a $14.0 million decrease due to the discontinuation of the TNG908 and TNG348 clinical programs, a $3.1 million decrease in TNG260 clinical trial costs and lower discovery program expenses. This decrease was partially offset by increased spend related to the advancement of the vopimetostat, TNG456 and TNG961 clinical programs.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was $41.5 million for the year ended December 31, 2025 compared to $43.7 million for the year ended December 31, 2024. The decrease of $2.2 million was primarily due to a decrease in personnel-related costs, including share-based compensation expense.</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Interest income was $5.6 million for the year ended December 31, 2025 compared to $7.9 million for the year ended December 31, 2024. The</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decrease of $2.3 million was primarily due to a higher average portfolio balance in 2024 compared to 2025 combined with declining rates throughout 2025.</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5" w:name="page96"/>
    <w:bookmarkEnd w:id="95"/>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Other income, net was $4.1 million for the year ended December 31, 2025 compared to $7.6 million for the year ended December 31, 2024, with the decrease primarily attributed to lower accretion from investments purchased at a discount.</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Provision for income taxes was less than $0.1 million for the year ended December 31, 2025 compared to $0.2 million for the year ended December 31, 2024. The income tax provision amount for both periods is primarily attributable to state taxes on interest income earned on marketable securities.</w:t>
      </w:r>
    </w:p>
    <w:p>
      <w:pPr>
        <w:spacing w:after="0" w:line="158" w:lineRule="exact"/>
        <w:rPr>
          <w:sz w:val="20"/>
          <w:szCs w:val="20"/>
          <w:color w:val="auto"/>
        </w:rPr>
      </w:pPr>
    </w:p>
    <w:p>
      <w:pPr>
        <w:jc w:val="center"/>
        <w:ind w:right="87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Since our inception, we have generated recurring net losses. We have not yet commercialized any products and we do not expect to generate revenue from sales of any products for several years, if at all. To date, we have funded our operations primarily through equity financings and from the proceeds received from our former collaboration agreement with Gilead. Through December 31, 2025, we have raised an aggregate of $1.1 billion from such transactions, including $857.0 million in aggregate gross proceeds from the sale of pre-public entity preferred shares, the closing of our Business Combination, follow-on public and private offerings, and through our "at-the-market" stock offering programs, and $237.1 million through our former collaboration with Gilead. Additionally, during the first quarter of 2026, and through March 2, 2026, we have received gross proceeds of $62.1 million from our "at-the-market" stock offering program. As of December 31, 2025, we had cash and cash equivalents and marketable securities of $343.1 million.</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on hand as of December 31, 2025 of $343.1 million will enable us to fund our operating expenses and capital expenditure requirements into 2028. We have based this estimate on assumptions that may prove to be wrong, and we could expend our capital resources sooner than we expect.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years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(138,886)</w:t>
            </w: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(131,501)</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(7,385)</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00" w:type="dxa"/>
            <w:vAlign w:val="bottom"/>
          </w:tcPr>
          <w:p>
            <w:pPr>
              <w:spacing w:after="0"/>
              <w:rPr>
                <w:sz w:val="18"/>
                <w:szCs w:val="18"/>
                <w:color w:val="auto"/>
              </w:rPr>
            </w:pPr>
          </w:p>
        </w:tc>
        <w:tc>
          <w:tcPr>
            <w:tcW w:w="12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(40,865)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86,126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(126,991)</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47,664</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174,836</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42,749</w:t>
            </w:r>
          </w:p>
        </w:tc>
        <w:tc>
          <w:tcPr>
            <w:tcW w:w="160" w:type="dxa"/>
            <w:vAlign w:val="bottom"/>
          </w:tcPr>
          <w:p>
            <w:pPr>
              <w:spacing w:after="0"/>
              <w:rPr>
                <w:sz w:val="18"/>
                <w:szCs w:val="18"/>
                <w:color w:val="auto"/>
              </w:rPr>
            </w:pP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40,460</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-170815</wp:posOffset>
            </wp:positionV>
            <wp:extent cx="768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$138.9 million for the year ended December 31, 2025 compared to net cash used in operating activities of $131.5 million for the year ended December 31, 2024. The increase in net cash used in operating activities for the twelve months ended December 31, 2025 was primarily due to a decrease in operating assets and liabilities, including a deferred revenue decrease driven by the truncation of the Gilead collaboration in August of 2025, which was partially offset by a decrease in net loss.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$40.9 million for the year ended December 31, 2025 compared to net cash provided by investing activities of $86.1 million for the year ended December 31, 2024. The change was primarily due to an increase in purchases of marketable securities and a decrease in sales and maturities of marketable securities as compared to the year ended December 31, 2024.</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96" w:name="page97"/>
    <w:bookmarkEnd w:id="96"/>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was $222.5 million for the year ended December 31, 2025 compared to net cash provided by financing activities of $47.7 million for the year ended December 31, 2024. The cash provided by financing activities for the twelve months ended December 31, 2025 consisted of the net proceeds received from our underwritten offering and concurrent private placement of common shares and pre-funded warrants to purchase common shares in October 2025 of $211.8 million, as well as the cash provided from the exercises of stock options and ESPP purchases. The cash provided by financing activities for the twelve months ended December 31, 2024 consisted of the $41.7 million in net proceeds received from our "at-the-market" stock offering program in January 2024, as well as the cash provided from the exercises of stock options and ESPP purchases .</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at December 31, 2025 and the effects that such obligations are expected to have on our liquidity and cash flows in future periods: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8"/>
          </w:tcPr>
          <w:p>
            <w:pPr>
              <w:jc w:val="center"/>
              <w:ind w:left="682"/>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0"/>
                <w:szCs w:val="10"/>
                <w:color w:val="auto"/>
              </w:rPr>
            </w:pPr>
          </w:p>
        </w:tc>
        <w:tc>
          <w:tcPr>
            <w:tcW w:w="9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44,367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12,813</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14,169</w:t>
            </w:r>
          </w:p>
        </w:tc>
        <w:tc>
          <w:tcPr>
            <w:tcW w:w="0" w:type="dxa"/>
            <w:vAlign w:val="bottom"/>
          </w:tcPr>
          <w:p>
            <w:pPr>
              <w:spacing w:after="0"/>
              <w:rPr>
                <w:sz w:val="1"/>
                <w:szCs w:val="1"/>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12,813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14,169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-153670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-153670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-153670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-153670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commitment amounts in the table above primarily reflect the minimum payments due under our amended operating lease for office and laboratory space at our 201 Brookline Avenue, Boston, Massachusetts location. These commitments are also recognized as operating lease liabilities in our balance sheet at December 31, 2025. Refer to Note 7 to our audited consolidated financial statements and related notes included in this Annual Report on Form 10-K for additional discussion of the lease.</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22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enter into contracts with third parties for preclinical studies, clinical operations, manufacturing and research and development supplies. These contracts generally do not contain minimum purchase commitments and generally provide for termination on notice, and therefore are cancellable contracts. These payments are not included in the table above as the amount and timing of such payments are not known as of December 31, 2025.</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Agreement Obligations</w:t>
      </w:r>
    </w:p>
    <w:p>
      <w:pPr>
        <w:spacing w:after="0" w:line="22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have also entered into a license agreement under which we may be obligated to make milestone and royalty payments. We have not included future milestone or royalty payments under the agreement in the table above since the payment obligations are contingent upon future events, such as achieving certain development, regulatory, and commercial milestones or generating product sales. As of December 31, 2025 and December 31, 2024, we were unable to estimate the timing or likelihood of achieving these milestones or generating future product sales. Refer to Note 8 of our audited consolidated financial statements and related notes for the year ended December 31, 2025 included in this Annual Report on Form 10-K for a description of our license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and at the time these estimates are made, the results of which form the basis for making judgments about the carrying values of assets and liabilities that are not readily apparent from other sources. We evaluate our estimates and assumptions on an ongoing basis. Some of the judgments and estimates we make can be subjective and complex. Our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97" w:name="page98"/>
    <w:bookmarkEnd w:id="97"/>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audited consolidated financial statements and related notes included in this Annual Report on Form 10-K for the year ended December 31, 2025, we believe that the following accounting policies are those most critical to the judgments and estimates used in the preparation of our financial statements.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terms of our collaboration agreements may include consideration such as non-refundable up-front payments, license fees, research extension fees, and clinical, regulatory and sales-based milestones and royalties on product sales.</w:t>
      </w:r>
    </w:p>
    <w:p>
      <w:pPr>
        <w:spacing w:after="0" w:line="160" w:lineRule="exact"/>
        <w:rPr>
          <w:sz w:val="20"/>
          <w:szCs w:val="20"/>
          <w:color w:val="auto"/>
        </w:rPr>
      </w:pPr>
    </w:p>
    <w:p>
      <w:pPr>
        <w:ind w:right="120" w:firstLine="509"/>
        <w:spacing w:after="0" w:line="252" w:lineRule="auto"/>
        <w:rPr>
          <w:sz w:val="20"/>
          <w:szCs w:val="20"/>
          <w:color w:val="auto"/>
        </w:rPr>
      </w:pPr>
      <w:r>
        <w:rPr>
          <w:rFonts w:ascii="Times New Roman" w:cs="Times New Roman" w:eastAsia="Times New Roman" w:hAnsi="Times New Roman"/>
          <w:sz w:val="18"/>
          <w:szCs w:val="18"/>
          <w:color w:val="auto"/>
        </w:rPr>
        <w:t xml:space="preserve">We recognize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which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we satisfy each performance obligation. We only apply the five-step model to contracts when collectability of the consideration to which we are entitled in exchange for the goods or services we transfer to the customer is determined to be likely. 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w:t>
      </w:r>
    </w:p>
    <w:p>
      <w:pPr>
        <w:spacing w:after="0" w:line="19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recognize the transaction price allocated to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 license payments. We evaluate the measure of progress each reporting period and, if necessary, adjust the measure of performance and related revenue recognition.</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evaluate whether it is probable that the consideration associated with each milestone payment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re-evaluate the probability of a significant reversal of the cumulative revenue recognized for the milestones, and, if necessary, adjust the estimate of the overall transaction price. Any such adjustments are recorded on a cumulative catch-up basis, which would affect revenues from collaborators in the period of adjustment. We exclude sales-based milestone payments and royalties from the transaction price until the sale occurs (or, if later, until the underlying performance obligation to which some or all of the royalty has been allocated has been satisfied or partially satisfied), because the license to our intellectual property is deemed to be the predominant item to which the royalties relate as it is the primary driver of value.</w:t>
      </w:r>
    </w:p>
    <w:p>
      <w:pPr>
        <w:spacing w:after="0" w:line="192"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ASC 606 requires us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ASC 606 as the price at which an entity would sell a promised good or service separately to a customer. If other observable transactions in which we have sold the same performance obligation separately are not available, we are required to estimate the standalone selling price of each performance obligation. Key assumptions to determine the standalone selling price may include forecasted revenues,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development timelines, reimbursement rates for personnel costs, discount rates and probabilities of technical and regulatory success.</w:t>
      </w:r>
    </w:p>
    <w:p>
      <w:pPr>
        <w:spacing w:after="0" w:line="22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Whenever we determine that multiple promises to a customer are not distinct and comprise a combined performance obligation that includes services, we recognize revenue over time using the cost-to-cost input method, based on the total estimated cost to fulfill the obligation. Significant management judgment is required in determining the level of effort required under an arrangement and the period over which we are expected to complete our performance obligations under an arrangement.</w:t>
      </w:r>
    </w:p>
    <w:p>
      <w:pPr>
        <w:spacing w:after="0" w:line="180"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certain instances, the timing of and total costs of satisfying these obligations under our collaboration agreement can be difficult to estimate. Accordingly, our estimates may change in the future. If these estimates and judgments change over the course of these agreements, it may affect the timing and amount of revenue that we will recognize and record in future periods.</w:t>
      </w:r>
    </w:p>
    <w:p>
      <w:pPr>
        <w:spacing w:after="0" w:line="176"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Under ASC 606, we will recognize revenue when we fulfill our performance obligations under the agreements with customers. As the required performance obligation is satisfied, we will recognize revenue for the portion satisfied and record a receivable for any fees that have not been received. Amounts are recorded as short-term collaboration receivables when our right to consideration is unconditional. A contract liability is recognized when a customer prepays consideration or owes payment to an entity in advance of our performance according to a contract. 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 each period end, we corroborate the accuracy of these estimates with the service providers and make adjustments, if necessary.</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record the expense and accrual related to research and development activities performed by our vendors based on our estimates of the services received and efforts expended considering a number of factors, including our knowledge of the progress towards completion of the research and development activities; invoicing to date under the contracts; communication from the vendors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and adopted accounting pronouncements that may potentially impact our financial position, results of operations or cash flows is disclosed in Note 2 to our audited consolidated financial statements and related notes in this Annual Report on Form 10-K for the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of June 30, 2025, the last business day of our most recently completed second fiscal quarter, the aggregate market value of the our voting and non-voting common equity held by non-affiliates, based on the closing price of the shares of common stock on The Nasdaq Stock Market LLC on June 30, 2025, was approximately $528.4 million. As the market value of our stock held by non-affiliates was less than $560 million on the measurement date and our annual revenue was less than $100 million during the most recently completed fiscal year, our filer status changed to non-accelerated filer and we again qualify as a “smaller reporting company.”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As a smaller reporting company we may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are exposed to certain market risks in the ordinary course of our business. Market risk represents the risk of loss that may impact our financial position due to adverse changes in financial market prices and rates.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had cash, cash equivalents and marketable securities of $343.1 million and $257.9 million as of December 31, 2025 and December 31, 2024, respectively, which consisted of cash, money market funds, U.S. Treasury bills and U.S. government agency bonds. Interest income is sensitive to changes in the general level of interest rates. Due to the short-term duration of our investment portfolio and the low risk profile of our investments, we believe an immediate 1%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27"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reporting and functional currency is the U.S. dollar. We currently do not have significant exposure to foreign currencies as we hold no foreign exchange contracts, option contracts, or other foreign hedging arrangements. Our operations may be subject to fluctuations in foreign currency exchange rates in the future.</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22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Our operations may be subject to inflation in the future. Inflation generally affects us by increasing our cost of labor, clinical trial and manufacturing costs and indirectly increasing interest rates. We have not seen a significant impact from inflation on our business, financial condition or results of operations during the twelve months ended December 31, 2025. However, if inflation were to increase, or remain at an elevated level for an extended period of time, our costs are likely to increase, which may negatively impact our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together with the report of the independent registered public accounting firm, are appended to this Annual Report on Form 10-K and an index of those consolidated financial statements can be found beginning on page F-1.</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Annual Report on Form 10-K. The term “disclosure controls and procedures,” as defined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Chief Executive Officer and Chief Financial Officer concluded that our disclosure controls and procedures were effective at the reasonable assurance level as of December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paragraph</w:t>
      </w:r>
    </w:p>
    <w:p>
      <w:pPr>
        <w:spacing w:after="0" w:line="27" w:lineRule="exact"/>
        <w:rPr>
          <w:sz w:val="20"/>
          <w:szCs w:val="20"/>
          <w:color w:val="auto"/>
        </w:rPr>
      </w:pPr>
    </w:p>
    <w:p>
      <w:pPr>
        <w:ind w:right="380" w:firstLine="8"/>
        <w:spacing w:after="0" w:line="260" w:lineRule="auto"/>
        <w:tabs>
          <w:tab w:leader="none" w:pos="2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Rules 13a-15 and 15d-15(d) under the Exchange Act that occurred during the quarter ended December 31, 2025 that materially affected, or were reasonably likely to materially affect, the Company’s internal control over financial reporting.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adequate internal control over financial reporting, as such term is defined in Rules 13a-15(f) and 1t5d-15(f) under the Exchange Act. Our management, including our Chief Executive Officer and Chief Financial Officer, conducted an assessment of the effectiveness of the Company's internal control over financial reporting based on the criteria set forth in </w:t>
      </w:r>
      <w:r>
        <w:rPr>
          <w:rFonts w:ascii="Times New Roman" w:cs="Times New Roman" w:eastAsia="Times New Roman" w:hAnsi="Times New Roman"/>
          <w:sz w:val="18"/>
          <w:szCs w:val="18"/>
          <w:i w:val="1"/>
          <w:iCs w:val="1"/>
          <w:color w:val="auto"/>
        </w:rPr>
        <w:t>Internal Control-Integrated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 of the Treadway Commission. Based on this assessment, management concluded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as of December 31, 2025, our internal control over financial reporting was effective.</w:t>
      </w:r>
    </w:p>
    <w:p>
      <w:pPr>
        <w:spacing w:after="0" w:line="183"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the independent registered public accounting firm due to our filer status changing to non-accelerated filer and we again qualify for exemption as a smaller reporting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Insider Adoption or Termination of Trading Arrangements</w:t>
      </w:r>
    </w:p>
    <w:p>
      <w:pPr>
        <w:spacing w:after="0" w:line="227"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During the fiscal quarter ended December 31, 2025, none of our directors or officers informed us of the adoption or termination of a “Rule 10b5-1 trading arrangement” or “non-Rule 10b5-1 trading arrangement,” as those terms are defined in Item 408 under Regulation S-K, except as described in the table below:</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1" w:name="page102"/>
    <w:bookmarkEnd w:id="101"/>
    <w:tbl>
      <w:tblPr>
        <w:tblLayout w:type="fixed"/>
        <w:tblInd w:w="10" w:type="dxa"/>
        <w:tblCellMar>
          <w:top w:w="0" w:type="dxa"/>
          <w:left w:w="0" w:type="dxa"/>
          <w:bottom w:w="0" w:type="dxa"/>
          <w:right w:w="0" w:type="dxa"/>
        </w:tblCellMar>
      </w:tblPr>
      <w:tr>
        <w:trPr>
          <w:trHeight w:val="141"/>
        </w:trPr>
        <w:tc>
          <w:tcPr>
            <w:tcW w:w="3040" w:type="dxa"/>
            <w:vAlign w:val="bottom"/>
            <w:tcBorders>
              <w:top w:val="single" w:sz="8" w:color="auto"/>
              <w:left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1560" w:type="dxa"/>
            <w:vAlign w:val="bottom"/>
            <w:tcBorders>
              <w:top w:val="single" w:sz="8" w:color="auto"/>
              <w:right w:val="single" w:sz="8" w:color="auto"/>
            </w:tcBorders>
          </w:tcPr>
          <w:p>
            <w:pPr>
              <w:spacing w:after="0"/>
              <w:rPr>
                <w:sz w:val="12"/>
                <w:szCs w:val="12"/>
                <w:color w:val="auto"/>
              </w:rPr>
            </w:pPr>
          </w:p>
        </w:tc>
        <w:tc>
          <w:tcPr>
            <w:tcW w:w="2380" w:type="dxa"/>
            <w:vAlign w:val="bottom"/>
            <w:tcBorders>
              <w:top w:val="single" w:sz="8" w:color="auto"/>
              <w:right w:val="single" w:sz="8" w:color="auto"/>
            </w:tcBorders>
          </w:tcPr>
          <w:p>
            <w:pPr>
              <w:jc w:val="center"/>
              <w:ind w:right="4"/>
              <w:spacing w:after="0" w:line="141" w:lineRule="exact"/>
              <w:rPr>
                <w:sz w:val="20"/>
                <w:szCs w:val="20"/>
                <w:color w:val="auto"/>
              </w:rPr>
            </w:pPr>
            <w:r>
              <w:rPr>
                <w:rFonts w:ascii="Times New Roman" w:cs="Times New Roman" w:eastAsia="Times New Roman" w:hAnsi="Times New Roman"/>
                <w:sz w:val="14"/>
                <w:szCs w:val="14"/>
                <w:b w:val="1"/>
                <w:bCs w:val="1"/>
                <w:color w:val="auto"/>
              </w:rPr>
              <w:t>Aggregate Number of Shares of</w:t>
            </w:r>
          </w:p>
        </w:tc>
        <w:tc>
          <w:tcPr>
            <w:tcW w:w="104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Borders>
              <w:left w:val="single" w:sz="8" w:color="auto"/>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Character of Trading</w:t>
            </w:r>
          </w:p>
        </w:tc>
        <w:tc>
          <w:tcPr>
            <w:tcW w:w="2380" w:type="dxa"/>
            <w:vAlign w:val="bottom"/>
            <w:tcBorders>
              <w:right w:val="single" w:sz="8" w:color="auto"/>
            </w:tcBorders>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to be Purchased or</w:t>
            </w:r>
          </w:p>
        </w:tc>
        <w:tc>
          <w:tcPr>
            <w:tcW w:w="104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vMerge w:val="restart"/>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Other Material</w:t>
            </w:r>
          </w:p>
        </w:tc>
        <w:tc>
          <w:tcPr>
            <w:tcW w:w="10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Borders>
              <w:left w:val="single" w:sz="8" w:color="auto"/>
              <w:right w:val="single" w:sz="8" w:color="auto"/>
            </w:tcBorders>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0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Date Adopted</w:t>
            </w:r>
          </w:p>
        </w:tc>
        <w:tc>
          <w:tcPr>
            <w:tcW w:w="1560" w:type="dxa"/>
            <w:vAlign w:val="bottom"/>
            <w:tcBorders>
              <w:right w:val="single" w:sz="8" w:color="auto"/>
            </w:tcBorders>
            <w:vMerge w:val="continue"/>
          </w:tcPr>
          <w:p>
            <w:pPr>
              <w:spacing w:after="0"/>
              <w:rPr>
                <w:sz w:val="12"/>
                <w:szCs w:val="12"/>
                <w:color w:val="auto"/>
              </w:rPr>
            </w:pPr>
          </w:p>
        </w:tc>
        <w:tc>
          <w:tcPr>
            <w:tcW w:w="2380" w:type="dxa"/>
            <w:vAlign w:val="bottom"/>
            <w:tcBorders>
              <w:right w:val="single" w:sz="8" w:color="auto"/>
            </w:tcBorders>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Sold Pursuant to Trading</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 (2)</w:t>
            </w:r>
          </w:p>
        </w:tc>
        <w:tc>
          <w:tcPr>
            <w:tcW w:w="110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Terminated</w:t>
            </w:r>
          </w:p>
        </w:tc>
        <w:tc>
          <w:tcPr>
            <w:tcW w:w="0" w:type="dxa"/>
            <w:vAlign w:val="bottom"/>
          </w:tcPr>
          <w:p>
            <w:pPr>
              <w:spacing w:after="0"/>
              <w:rPr>
                <w:sz w:val="1"/>
                <w:szCs w:val="1"/>
                <w:color w:val="auto"/>
              </w:rPr>
            </w:pPr>
          </w:p>
        </w:tc>
      </w:tr>
      <w:tr>
        <w:trPr>
          <w:trHeight w:val="190"/>
        </w:trPr>
        <w:tc>
          <w:tcPr>
            <w:tcW w:w="304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40" w:type="dxa"/>
            <w:vAlign w:val="bottom"/>
            <w:tcBorders>
              <w:bottom w:val="single" w:sz="8" w:color="auto"/>
              <w:right w:val="single" w:sz="8" w:color="auto"/>
            </w:tcBorders>
            <w:vMerge w:val="continue"/>
          </w:tcPr>
          <w:p>
            <w:pPr>
              <w:spacing w:after="0"/>
              <w:rPr>
                <w:sz w:val="16"/>
                <w:szCs w:val="16"/>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 (1)</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1040" w:type="dxa"/>
            <w:vAlign w:val="bottom"/>
            <w:tcBorders>
              <w:bottom w:val="single" w:sz="8" w:color="auto"/>
              <w:right w:val="single" w:sz="8" w:color="auto"/>
            </w:tcBorders>
            <w:vMerge w:val="continue"/>
          </w:tcPr>
          <w:p>
            <w:pPr>
              <w:spacing w:after="0"/>
              <w:rPr>
                <w:sz w:val="16"/>
                <w:szCs w:val="16"/>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Terms</w:t>
            </w:r>
          </w:p>
        </w:tc>
        <w:tc>
          <w:tcPr>
            <w:tcW w:w="10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3040" w:type="dxa"/>
            <w:vAlign w:val="bottom"/>
            <w:tcBorders>
              <w:top w:val="single" w:sz="8" w:color="auto"/>
              <w:left w:val="single" w:sz="8" w:color="CFF0FC"/>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Adam Crystal,</w:t>
            </w:r>
          </w:p>
        </w:tc>
        <w:tc>
          <w:tcPr>
            <w:tcW w:w="1040" w:type="dxa"/>
            <w:vAlign w:val="bottom"/>
            <w:tcBorders>
              <w:top w:val="single" w:sz="8" w:color="CFF0FC"/>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10/27/2025</w:t>
            </w:r>
          </w:p>
        </w:tc>
        <w:tc>
          <w:tcPr>
            <w:tcW w:w="1560" w:type="dxa"/>
            <w:vAlign w:val="bottom"/>
            <w:tcBorders>
              <w:top w:val="single" w:sz="8" w:color="CFF0FC"/>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Rule 10b5-1 Trading</w:t>
            </w:r>
          </w:p>
        </w:tc>
        <w:tc>
          <w:tcPr>
            <w:tcW w:w="2380" w:type="dxa"/>
            <w:vAlign w:val="bottom"/>
            <w:tcBorders>
              <w:top w:val="single" w:sz="8" w:color="CFF0FC"/>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Up to 355,506 shares to be sold</w:t>
            </w:r>
          </w:p>
        </w:tc>
        <w:tc>
          <w:tcPr>
            <w:tcW w:w="1040" w:type="dxa"/>
            <w:vAlign w:val="bottom"/>
            <w:tcBorders>
              <w:top w:val="single" w:sz="8" w:color="CFF0FC"/>
              <w:right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10/31/2026</w:t>
            </w:r>
          </w:p>
        </w:tc>
        <w:tc>
          <w:tcPr>
            <w:tcW w:w="1100" w:type="dxa"/>
            <w:vAlign w:val="bottom"/>
            <w:tcBorders>
              <w:top w:val="single" w:sz="8" w:color="CFF0FC"/>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080" w:type="dxa"/>
            <w:vAlign w:val="bottom"/>
            <w:tcBorders>
              <w:top w:val="single" w:sz="8" w:color="CFF0FC"/>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62"/>
        </w:trPr>
        <w:tc>
          <w:tcPr>
            <w:tcW w:w="3040" w:type="dxa"/>
            <w:vAlign w:val="bottom"/>
            <w:tcBorders>
              <w:left w:val="single" w:sz="8" w:color="CFF0FC"/>
              <w:bottom w:val="single" w:sz="8" w:color="auto"/>
              <w:right w:val="single" w:sz="8" w:color="auto"/>
            </w:tcBorders>
            <w:shd w:val="clear" w:color="auto" w:fill="CFF0FC"/>
          </w:tcPr>
          <w:p>
            <w:pPr>
              <w:ind w:left="20"/>
              <w:spacing w:after="0" w:line="162" w:lineRule="exact"/>
              <w:rPr>
                <w:sz w:val="20"/>
                <w:szCs w:val="20"/>
                <w:color w:val="auto"/>
              </w:rPr>
            </w:pPr>
            <w:r>
              <w:rPr>
                <w:rFonts w:ascii="Times New Roman" w:cs="Times New Roman" w:eastAsia="Times New Roman" w:hAnsi="Times New Roman"/>
                <w:sz w:val="18"/>
                <w:szCs w:val="18"/>
                <w:i w:val="1"/>
                <w:iCs w:val="1"/>
                <w:color w:val="auto"/>
              </w:rPr>
              <w:t>President of Research and Development</w:t>
            </w:r>
          </w:p>
        </w:tc>
        <w:tc>
          <w:tcPr>
            <w:tcW w:w="1040" w:type="dxa"/>
            <w:vAlign w:val="bottom"/>
            <w:tcBorders>
              <w:bottom w:val="single" w:sz="8" w:color="auto"/>
              <w:right w:val="single" w:sz="8" w:color="auto"/>
            </w:tcBorders>
            <w:shd w:val="clear" w:color="auto" w:fill="CFF0FC"/>
          </w:tcPr>
          <w:p>
            <w:pPr>
              <w:spacing w:after="0"/>
              <w:rPr>
                <w:sz w:val="14"/>
                <w:szCs w:val="14"/>
                <w:color w:val="auto"/>
              </w:rPr>
            </w:pPr>
          </w:p>
        </w:tc>
        <w:tc>
          <w:tcPr>
            <w:tcW w:w="1560" w:type="dxa"/>
            <w:vAlign w:val="bottom"/>
            <w:tcBorders>
              <w:bottom w:val="single" w:sz="8" w:color="auto"/>
              <w:right w:val="single" w:sz="8" w:color="auto"/>
            </w:tcBorders>
            <w:shd w:val="clear" w:color="auto" w:fill="CFF0FC"/>
          </w:tcPr>
          <w:p>
            <w:pPr>
              <w:jc w:val="center"/>
              <w:spacing w:after="0" w:line="162" w:lineRule="exact"/>
              <w:rPr>
                <w:sz w:val="20"/>
                <w:szCs w:val="20"/>
                <w:color w:val="auto"/>
              </w:rPr>
            </w:pPr>
            <w:r>
              <w:rPr>
                <w:rFonts w:ascii="Times New Roman" w:cs="Times New Roman" w:eastAsia="Times New Roman" w:hAnsi="Times New Roman"/>
                <w:sz w:val="18"/>
                <w:szCs w:val="18"/>
                <w:color w:val="auto"/>
              </w:rPr>
              <w:t>Arrangement</w:t>
            </w:r>
          </w:p>
        </w:tc>
        <w:tc>
          <w:tcPr>
            <w:tcW w:w="2380" w:type="dxa"/>
            <w:vAlign w:val="bottom"/>
            <w:tcBorders>
              <w:bottom w:val="single" w:sz="8" w:color="auto"/>
              <w:right w:val="single" w:sz="8" w:color="auto"/>
            </w:tcBorders>
            <w:shd w:val="clear" w:color="auto" w:fill="CFF0FC"/>
          </w:tcPr>
          <w:p>
            <w:pPr>
              <w:spacing w:after="0"/>
              <w:rPr>
                <w:sz w:val="14"/>
                <w:szCs w:val="14"/>
                <w:color w:val="auto"/>
              </w:rPr>
            </w:pPr>
          </w:p>
        </w:tc>
        <w:tc>
          <w:tcPr>
            <w:tcW w:w="1040" w:type="dxa"/>
            <w:vAlign w:val="bottom"/>
            <w:tcBorders>
              <w:bottom w:val="single" w:sz="8" w:color="auto"/>
              <w:right w:val="single" w:sz="8" w:color="auto"/>
            </w:tcBorders>
            <w:shd w:val="clear" w:color="auto" w:fill="CFF0FC"/>
          </w:tcPr>
          <w:p>
            <w:pPr>
              <w:spacing w:after="0"/>
              <w:rPr>
                <w:sz w:val="14"/>
                <w:szCs w:val="14"/>
                <w:color w:val="auto"/>
              </w:rPr>
            </w:pPr>
          </w:p>
        </w:tc>
        <w:tc>
          <w:tcPr>
            <w:tcW w:w="1100" w:type="dxa"/>
            <w:vAlign w:val="bottom"/>
            <w:tcBorders>
              <w:bottom w:val="single" w:sz="8" w:color="auto"/>
              <w:right w:val="single" w:sz="8" w:color="auto"/>
            </w:tcBorders>
            <w:shd w:val="clear" w:color="auto" w:fill="CFF0FC"/>
          </w:tcPr>
          <w:p>
            <w:pPr>
              <w:spacing w:after="0"/>
              <w:rPr>
                <w:sz w:val="14"/>
                <w:szCs w:val="14"/>
                <w:color w:val="auto"/>
              </w:rPr>
            </w:pPr>
          </w:p>
        </w:tc>
        <w:tc>
          <w:tcPr>
            <w:tcW w:w="108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80" w:hanging="263"/>
        <w:spacing w:after="0"/>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trading arrangement, identified as a “Rule 10b5-1 Trading Arrangement” is intended to satisfy the affirmative defense of Rule 10b5-1(c).</w:t>
      </w:r>
    </w:p>
    <w:p>
      <w:pPr>
        <w:spacing w:after="0" w:line="117" w:lineRule="exact"/>
        <w:rPr>
          <w:rFonts w:ascii="Times New Roman" w:cs="Times New Roman" w:eastAsia="Times New Roman" w:hAnsi="Times New Roman"/>
          <w:sz w:val="18"/>
          <w:szCs w:val="18"/>
          <w:color w:val="auto"/>
        </w:rPr>
      </w:pPr>
    </w:p>
    <w:p>
      <w:pPr>
        <w:ind w:left="520" w:right="100" w:hanging="3"/>
        <w:spacing w:after="0" w:line="266" w:lineRule="auto"/>
        <w:tabs>
          <w:tab w:leader="none" w:pos="7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trading arrangement permits transactions through and including the earlier to occur of (a) the completion of all purchases or sales or (b) the date listed in the table. This trading arrangement, identified as a “Rule 10b5-1 Trading Arrangement” only permits transactions upon expiration of the applicable mandatory cooling-off period under Rule 10b5-1.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Except as set forth below, the information required by this Item 10 will be included in our definitive proxy statement to be filed with the Securities and Exchange Commission, or SEC, within 120 days after the end of the fiscal year ended December 31, 2025, with respect to our 2025 Annual Meeting of Stockholders and is incorporated herein by reference.</w:t>
      </w:r>
    </w:p>
    <w:p>
      <w:pPr>
        <w:spacing w:after="0" w:line="17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have adopted a Code of Conduct that applies to all of our directors, officers and employees, including our principal executive officer and principal financial officer. The Code of Conduct is posted on our website at https://ir.tangotx.com/corporate-governance/governance-overview. We intend to satisfy the disclosure requirement under Item 5.05 of Form 8-K regarding an amendment to, or waiver from, a provision of this Code of Conduct by posting such information on our website, at the address and location specified above and, to the extent required by the listing standards of The Nasdaq Global Stock Market, by filing a Current Report on Form 8-K with the SEC, disclosing such information.</w:t>
      </w:r>
    </w:p>
    <w:p>
      <w:pPr>
        <w:spacing w:after="0" w:line="183"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Information concerning our policies and procedures governing the purchase and sale or other disposition of Company securities by directors, officers and employees, as required by this Item, is set forth under the caption “Policy on Trading, Pledging and Hedging of Company Stock” in the definitive proxy materials that we will file with respect to our 2025 Annual Meeting of Shareholders and is incorporated herein by reference. Our Insider Trading Policy is filed as Exhibit 19 to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to be filed with the SEC, within 120 days after the end of the fiscal year ended December 31, 2025, with respect to our 2026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to be filed with the SEC, within 120 days after the end of the fiscal year ended December 31, 2025, with respect to our 2026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within 120 days after the end of the fiscal year ended December 31, 2025, with respect to our 2026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independent public accounting firm is PricewaterhouseCoopers LLP, Boston, Massachusetts, PCAOB Auditor ID 238.</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within 120 days after the end of the fiscal year ended December 31, 2025, with respect to our 2026 Annual Meeting of Stockholders and is incorporated herein by reference.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3" w:name="page104"/>
    <w:bookmarkEnd w:id="103"/>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Financial Statements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the Index to the Consolidated Financial Statements section beginning on page F-1 of this Annual Report on Form 10-K.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as they are not required, not applicable, or the required information is included in the financial statements or notes to the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Exhibits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required by Item 601 of Regulation S-K and Item 15(b) of this Annual Report on Form 10-K are listed in the Exhibit Index below.</w:t>
      </w:r>
    </w:p>
    <w:p>
      <w:pPr>
        <w:spacing w:after="0" w:line="200" w:lineRule="exact"/>
        <w:rPr>
          <w:sz w:val="20"/>
          <w:szCs w:val="20"/>
          <w:color w:val="auto"/>
        </w:rPr>
      </w:pPr>
    </w:p>
    <w:p>
      <w:pPr>
        <w:spacing w:after="0" w:line="34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9" w:right="47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20" w:type="dxa"/>
            <w:vAlign w:val="bottom"/>
            <w:gridSpan w:val="24"/>
          </w:tcPr>
          <w:p>
            <w:pPr>
              <w:jc w:val="center"/>
              <w:ind w:right="49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0" w:type="dxa"/>
            <w:vAlign w:val="bottom"/>
            <w:gridSpan w:val="23"/>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5800" w:type="dxa"/>
            <w:vAlign w:val="bottom"/>
            <w:tcBorders>
              <w:bottom w:val="single" w:sz="8" w:color="auto"/>
            </w:tcBorders>
            <w:gridSpan w:val="2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4"/>
                <w:szCs w:val="14"/>
                <w:color w:val="auto"/>
              </w:rPr>
            </w:pPr>
          </w:p>
        </w:tc>
        <w:tc>
          <w:tcPr>
            <w:tcW w:w="9420" w:type="dxa"/>
            <w:vAlign w:val="bottom"/>
            <w:tcBorders>
              <w:bottom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Second Amended and Restated Certificate of Incorporation of Tango Therapeutics, Inc., as amended (incorporated by reference to</w:t>
              </w:r>
            </w:hyperlink>
          </w:p>
        </w:tc>
        <w:tc>
          <w:tcPr>
            <w:tcW w:w="3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Exhibit 3.1 to the Registrant’s Quarterly Report on Form 10-Q filed with the SEC on August 7,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Certificate of Amendment to the Second Amended and Restated Certificate of Incorporation of the Registrant (incorporated by</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reference to Exhibit 3.1 to the Registrant's Current Report on Form 8-K filed with the SEC on June 6, 2025).</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Amended and Restated Bylaws of Tango Therapeutics, Inc. (incorporated by reference to Exhibit 4.2 to the Registrant’s registration</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statement on Form S-8 filed with the SEC on October 14,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Specimen Common Stock Certificate of the Registrant (incorporated by reference to Exhibit 4.5 to the Registration Statement on Form</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S-4/A filed by the Registrant on July 15,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Description of Securities (incorporated by reference to Exhibit 4.2 to the Annual Report on Form 10-K filed by the Registrant on</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March 27,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Tango Therapeutics, Inc. Form of Pre-Funded Warrant to Purchase Common Stock (incorporated by reference to Exhibit 4.1 to the</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Current Report on Form 8-K filed by the Registrant on August 10,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Amended and Restated Registration and Stockholder Rights Agreement, dated August 10, 2021, by and among Tango Therapeutics,</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Inc. and the stockholders party thereto (incorporated by reference to Exhibit 10.2 to the Current Report on Form 8-K filed by the</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Tango Therapeutics, Inc. 2021 Stock Option and Incentive Plan (incorporated by reference to Exhibit 10.4 to the Current Report on</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Form 8-K filed by the 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tcBorders>
              <w:right w:val="single" w:sz="8" w:color="0000EE"/>
            </w:tcBorders>
            <w:gridSpan w:val="2"/>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Tango Therapeutics, Inc. 2017 Stock Option and Grant Plan, as amended, and forms of award agreements thereunder (incorporated by</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2120" w:type="dxa"/>
            <w:vAlign w:val="bottom"/>
            <w:tcBorders>
              <w:right w:val="single" w:sz="8" w:color="0000FF"/>
            </w:tcBorders>
            <w:gridSpan w:val="4"/>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reference to Exhibit 99.4 to Form S-8 filed by the Registrant on October 14,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2120" w:type="dxa"/>
            <w:vAlign w:val="bottom"/>
            <w:tcBorders>
              <w:right w:val="single" w:sz="8" w:color="0000FF"/>
            </w:tcBorders>
            <w:gridSpan w:val="4"/>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Forms of Award Agreements under the Tango Therapeutics, Inc. 2021 Stock Option and Incentive Plan (incorporated by reference to</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2120" w:type="dxa"/>
            <w:vAlign w:val="bottom"/>
            <w:tcBorders>
              <w:right w:val="single" w:sz="8" w:color="0000FF"/>
            </w:tcBorders>
            <w:gridSpan w:val="4"/>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Exhibit 10.5 to the Current Report on Form 8-K filed by the 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2120" w:type="dxa"/>
            <w:vAlign w:val="bottom"/>
            <w:tcBorders>
              <w:right w:val="single" w:sz="8" w:color="0000FF"/>
            </w:tcBorders>
            <w:gridSpan w:val="4"/>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Tango Therapeutics, Inc. 2021 Employee Stock Purchase Plan (incorporated by reference to Exhibit 10.6 to the Current Report on</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2120" w:type="dxa"/>
            <w:vAlign w:val="bottom"/>
            <w:tcBorders>
              <w:right w:val="single" w:sz="8" w:color="0000FF"/>
            </w:tcBorders>
            <w:gridSpan w:val="4"/>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8-K filed by the 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tcBorders>
              <w:right w:val="single" w:sz="8" w:color="0000EE"/>
            </w:tcBorders>
            <w:gridSpan w:val="2"/>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Amended and Restated Research Collaboration and License Agreement between Tango Therapeutics, Inc. and Gilead Sciences, Inc.,</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2120" w:type="dxa"/>
            <w:vAlign w:val="bottom"/>
            <w:tcBorders>
              <w:right w:val="single" w:sz="8" w:color="0000FF"/>
            </w:tcBorders>
            <w:gridSpan w:val="4"/>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dated August 17, 2020 (incorporated by reference to Exhibit 10.19 to the Registration Statement on Form S-4/A filed by the Registrant</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2120" w:type="dxa"/>
            <w:vAlign w:val="bottom"/>
            <w:tcBorders>
              <w:right w:val="single" w:sz="8" w:color="0000FF"/>
            </w:tcBorders>
            <w:gridSpan w:val="4"/>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on June 17,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EE"/>
            </w:tcBorders>
            <w:gridSpan w:val="2"/>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Form of Executive Employment Agreement (incorporated by reference to Exhibit 10.7 to the Current Report on Form 8-K filed by the</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tcBorders>
              <w:right w:val="single" w:sz="8" w:color="0000FF"/>
            </w:tcBorders>
            <w:gridSpan w:val="4"/>
            <w:shd w:val="clear" w:color="auto" w:fill="0000FF"/>
          </w:tcPr>
          <w:p>
            <w:pPr>
              <w:spacing w:after="0" w:line="20" w:lineRule="exact"/>
              <w:rPr>
                <w:sz w:val="1"/>
                <w:szCs w:val="1"/>
                <w:color w:val="auto"/>
              </w:rPr>
            </w:pPr>
          </w:p>
        </w:tc>
        <w:tc>
          <w:tcPr>
            <w:tcW w:w="2120" w:type="dxa"/>
            <w:vAlign w:val="bottom"/>
            <w:tcBorders>
              <w:right w:val="single" w:sz="8" w:color="0000FF"/>
            </w:tcBorders>
            <w:gridSpan w:val="4"/>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Form of Indemnification Agreement (Directors) (incorporated by reference to Exhibit 10.9 to the Current Report on Form 8-K filed by</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tcBorders>
              <w:right w:val="single" w:sz="8" w:color="0000FF"/>
            </w:tcBorders>
            <w:gridSpan w:val="4"/>
            <w:shd w:val="clear" w:color="auto" w:fill="0000FF"/>
          </w:tcPr>
          <w:p>
            <w:pPr>
              <w:spacing w:after="0" w:line="20" w:lineRule="exact"/>
              <w:rPr>
                <w:sz w:val="1"/>
                <w:szCs w:val="1"/>
                <w:color w:val="auto"/>
              </w:rPr>
            </w:pPr>
          </w:p>
        </w:tc>
        <w:tc>
          <w:tcPr>
            <w:tcW w:w="2120" w:type="dxa"/>
            <w:vAlign w:val="bottom"/>
            <w:tcBorders>
              <w:right w:val="single" w:sz="8" w:color="0000FF"/>
            </w:tcBorders>
            <w:gridSpan w:val="4"/>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the 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580" w:type="dxa"/>
            <w:vAlign w:val="bottom"/>
            <w:tcBorders>
              <w:right w:val="single" w:sz="8" w:color="0000EE"/>
            </w:tcBorders>
            <w:gridSpan w:val="4"/>
            <w:shd w:val="clear" w:color="auto" w:fill="0000FF"/>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Form of Indemnification Agreement (Officers) (incorporated by reference to Exhibit 10.10 to the Current Report on Form 8-K filed by</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00" w:type="dxa"/>
            <w:vAlign w:val="bottom"/>
            <w:tcBorders>
              <w:right w:val="single" w:sz="8" w:color="0000FF"/>
            </w:tcBorders>
            <w:gridSpan w:val="8"/>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the 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580" w:type="dxa"/>
            <w:vAlign w:val="bottom"/>
            <w:tcBorders>
              <w:right w:val="single" w:sz="8" w:color="0000EE"/>
            </w:tcBorders>
            <w:gridSpan w:val="4"/>
            <w:shd w:val="clear" w:color="auto" w:fill="0000FF"/>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Senior Executive Cash Annual Incentive Plan (incorporated by reference to Exhibit 10.11 to the Current Report on Form 8-K filed by</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00" w:type="dxa"/>
            <w:vAlign w:val="bottom"/>
            <w:tcBorders>
              <w:right w:val="single" w:sz="8" w:color="0000FF"/>
            </w:tcBorders>
            <w:gridSpan w:val="8"/>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the 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580" w:type="dxa"/>
            <w:vAlign w:val="bottom"/>
            <w:tcBorders>
              <w:right w:val="single" w:sz="8" w:color="0000EE"/>
            </w:tcBorders>
            <w:gridSpan w:val="4"/>
            <w:shd w:val="clear" w:color="auto" w:fill="0000FF"/>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Lease Agreement between the Company and ARE-MA Region No. 87 Tenant, LLC dated as of November 4, 2021 (incorporated by</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00" w:type="dxa"/>
            <w:vAlign w:val="bottom"/>
            <w:tcBorders>
              <w:right w:val="single" w:sz="8" w:color="0000FF"/>
            </w:tcBorders>
            <w:gridSpan w:val="8"/>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reference to Exhibit 10.14 to the Annual Report on Form 10-K filed by the Registrant on March 28, 2022).</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700" w:type="dxa"/>
            <w:vAlign w:val="bottom"/>
            <w:tcBorders>
              <w:right w:val="single" w:sz="8" w:color="0000FF"/>
            </w:tcBorders>
            <w:gridSpan w:val="8"/>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EE"/>
            </w:tcBorders>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Tango Therapeutics, Inc. 2023 Inducement Plan and forms of award agreements thereunder (incorporated by reference to Exhibit 99.1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00" w:type="dxa"/>
            <w:vAlign w:val="bottom"/>
            <w:tcBorders>
              <w:right w:val="single" w:sz="8" w:color="0000FF"/>
            </w:tcBorders>
            <w:gridSpan w:val="8"/>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to the Registration Statement on Form S-8 filed by the Registrant on February 7,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700" w:type="dxa"/>
            <w:vAlign w:val="bottom"/>
            <w:tcBorders>
              <w:right w:val="single" w:sz="8" w:color="0000FF"/>
            </w:tcBorders>
            <w:gridSpan w:val="8"/>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Amended and Restated Non-Employee Director Compensation Policy (incorporated by reference to Exhibit 10.1 to the Quarterly</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00" w:type="dxa"/>
            <w:vAlign w:val="bottom"/>
            <w:tcBorders>
              <w:right w:val="single" w:sz="8" w:color="0000FF"/>
            </w:tcBorders>
            <w:gridSpan w:val="8"/>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FF"/>
            </w:tcBorders>
            <w:gridSpan w:val="3"/>
            <w:shd w:val="clear" w:color="auto" w:fill="0000FF"/>
          </w:tcPr>
          <w:p>
            <w:pPr>
              <w:spacing w:after="0" w:line="20" w:lineRule="exact"/>
              <w:rPr>
                <w:sz w:val="1"/>
                <w:szCs w:val="1"/>
                <w:color w:val="auto"/>
              </w:rPr>
            </w:pPr>
          </w:p>
        </w:tc>
        <w:tc>
          <w:tcPr>
            <w:tcW w:w="210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Report on Form 10-Q filed by the Registrant on August 7,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700" w:type="dxa"/>
            <w:vAlign w:val="bottom"/>
            <w:tcBorders>
              <w:right w:val="single" w:sz="8" w:color="0000EE"/>
            </w:tcBorders>
            <w:gridSpan w:val="8"/>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Securities Purchase Agreement between Tango Therapeutics, Inc. and the parties thereto (incorporated by reference to Exhibit 10.1 to</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540" w:type="dxa"/>
            <w:vAlign w:val="bottom"/>
            <w:gridSpan w:val="10"/>
            <w:shd w:val="clear" w:color="auto" w:fill="0000FF"/>
          </w:tcPr>
          <w:p>
            <w:pPr>
              <w:spacing w:after="0" w:line="20" w:lineRule="exact"/>
              <w:rPr>
                <w:sz w:val="1"/>
                <w:szCs w:val="1"/>
                <w:color w:val="auto"/>
              </w:rPr>
            </w:pPr>
          </w:p>
        </w:tc>
        <w:tc>
          <w:tcPr>
            <w:tcW w:w="1120" w:type="dxa"/>
            <w:vAlign w:val="bottom"/>
            <w:tcBorders>
              <w:right w:val="single" w:sz="8" w:color="0000FF"/>
            </w:tcBorders>
            <w:gridSpan w:val="3"/>
            <w:shd w:val="clear" w:color="auto" w:fill="0000FF"/>
          </w:tcPr>
          <w:p>
            <w:pPr>
              <w:spacing w:after="0" w:line="20" w:lineRule="exact"/>
              <w:rPr>
                <w:sz w:val="1"/>
                <w:szCs w:val="1"/>
                <w:color w:val="auto"/>
              </w:rPr>
            </w:pPr>
          </w:p>
        </w:tc>
        <w:tc>
          <w:tcPr>
            <w:tcW w:w="210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the Current Report on Form 8-K filed by the Registrant on August 10,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540" w:type="dxa"/>
            <w:vAlign w:val="bottom"/>
            <w:gridSpan w:val="10"/>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Amended and Restated Employment Agreement, dated as of January 8, 2026 by and between the Company and Barbara Weber</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60" w:type="dxa"/>
            <w:vAlign w:val="bottom"/>
            <w:tcBorders>
              <w:right w:val="single" w:sz="8" w:color="0000FF"/>
            </w:tcBorders>
            <w:gridSpan w:val="13"/>
            <w:shd w:val="clear" w:color="auto" w:fill="0000FF"/>
          </w:tcPr>
          <w:p>
            <w:pPr>
              <w:spacing w:after="0" w:line="20" w:lineRule="exact"/>
              <w:rPr>
                <w:sz w:val="1"/>
                <w:szCs w:val="1"/>
                <w:color w:val="auto"/>
              </w:rPr>
            </w:pPr>
          </w:p>
        </w:tc>
        <w:tc>
          <w:tcPr>
            <w:tcW w:w="210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(incorporated by reference to Exhibit 10.1 to the Current Report on Form 8-K filed by the Registrant on January 8, 2026).</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6660" w:type="dxa"/>
            <w:vAlign w:val="bottom"/>
            <w:tcBorders>
              <w:right w:val="single" w:sz="8" w:color="0000FF"/>
            </w:tcBorders>
            <w:gridSpan w:val="13"/>
            <w:shd w:val="clear" w:color="auto" w:fill="0000FF"/>
          </w:tcPr>
          <w:p>
            <w:pPr>
              <w:spacing w:after="0" w:line="20" w:lineRule="exact"/>
              <w:rPr>
                <w:sz w:val="1"/>
                <w:szCs w:val="1"/>
                <w:color w:val="auto"/>
              </w:rPr>
            </w:pPr>
          </w:p>
        </w:tc>
        <w:tc>
          <w:tcPr>
            <w:tcW w:w="2100" w:type="dxa"/>
            <w:vAlign w:val="bottom"/>
            <w:tcBorders>
              <w:right w:val="single" w:sz="8" w:color="0000EE"/>
            </w:tcBorders>
            <w:gridSpan w:val="4"/>
            <w:shd w:val="clear" w:color="auto" w:fill="0000FF"/>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Employment Agreement, dated as of January 8, 2026 by and between the Company and Malte Peters (incorporated by reference to</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60" w:type="dxa"/>
            <w:vAlign w:val="bottom"/>
            <w:tcBorders>
              <w:right w:val="single" w:sz="8" w:color="0000FF"/>
            </w:tcBorders>
            <w:gridSpan w:val="13"/>
            <w:shd w:val="clear" w:color="auto" w:fill="0000FF"/>
          </w:tcPr>
          <w:p>
            <w:pPr>
              <w:spacing w:after="0" w:line="20" w:lineRule="exact"/>
              <w:rPr>
                <w:sz w:val="1"/>
                <w:szCs w:val="1"/>
                <w:color w:val="auto"/>
              </w:rPr>
            </w:pPr>
          </w:p>
        </w:tc>
        <w:tc>
          <w:tcPr>
            <w:tcW w:w="2780" w:type="dxa"/>
            <w:vAlign w:val="bottom"/>
            <w:gridSpan w:val="11"/>
            <w:shd w:val="clear" w:color="auto" w:fill="0000FF"/>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29"/>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Exhibit 10.3 to the Current Report on Form 8-K filed by the Registrant on January 8, 2026).</w:t>
              </w:r>
            </w:hyperlink>
          </w:p>
        </w:tc>
        <w:tc>
          <w:tcPr>
            <w:tcW w:w="0" w:type="dxa"/>
            <w:vAlign w:val="bottom"/>
          </w:tcPr>
          <w:p>
            <w:pPr>
              <w:spacing w:after="0"/>
              <w:rPr>
                <w:sz w:val="1"/>
                <w:szCs w:val="1"/>
                <w:color w:val="auto"/>
              </w:rPr>
            </w:pPr>
          </w:p>
        </w:tc>
      </w:tr>
      <w:tr>
        <w:trPr>
          <w:trHeight w:val="344"/>
        </w:trPr>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60" w:type="dxa"/>
            <w:vAlign w:val="bottom"/>
            <w:tcBorders>
              <w:top w:val="single" w:sz="8" w:color="0000FF"/>
            </w:tcBorders>
            <w:gridSpan w:val="7"/>
          </w:tcPr>
          <w:p>
            <w:pPr>
              <w:jc w:val="right"/>
              <w:ind w:right="328"/>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9720" w:type="dxa"/>
            <w:vAlign w:val="bottom"/>
            <w:gridSpan w:val="10"/>
          </w:tcPr>
          <w:p>
            <w:pPr>
              <w:spacing w:after="0"/>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Insider Trading Policy of Tango Therapeutics, Inc. (incorporated by reference to Exhibit 19.1 to the Annual Report on Form 10-K filed</w:t>
              </w:r>
            </w:hyperlink>
          </w:p>
        </w:tc>
      </w:tr>
      <w:tr>
        <w:trPr>
          <w:trHeight w:val="20"/>
        </w:trPr>
        <w:tc>
          <w:tcPr>
            <w:tcW w:w="150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46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20" w:type="dxa"/>
            <w:vAlign w:val="bottom"/>
            <w:gridSpan w:val="10"/>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by the Registrant on February 27, 2025).</w:t>
              </w:r>
            </w:hyperlink>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9720" w:type="dxa"/>
            <w:vAlign w:val="bottom"/>
            <w:gridSpan w:val="10"/>
          </w:tcPr>
          <w:p>
            <w:pPr>
              <w:spacing w:after="0" w:line="196"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List of subsidiaries of Tango Therapeutics, Inc. (incorporated by reference to Exhibit 21.1 to the Annual Report on Form 10-K filed by</w:t>
              </w:r>
            </w:hyperlink>
          </w:p>
        </w:tc>
      </w:tr>
      <w:tr>
        <w:trPr>
          <w:trHeight w:val="20"/>
        </w:trPr>
        <w:tc>
          <w:tcPr>
            <w:tcW w:w="150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46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20" w:type="dxa"/>
            <w:vAlign w:val="bottom"/>
            <w:gridSpan w:val="10"/>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the Registrant on March 18, 2024)</w:t>
              </w:r>
              <w:r>
                <w:rPr>
                  <w:rFonts w:ascii="Times New Roman" w:cs="Times New Roman" w:eastAsia="Times New Roman" w:hAnsi="Times New Roman"/>
                  <w:sz w:val="18"/>
                  <w:szCs w:val="18"/>
                  <w:color w:val="000000"/>
                </w:rPr>
                <w:t>.</w:t>
              </w:r>
            </w:hyperlink>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97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Consent of PricewaterhouseCoopers LLP, independent registered public accounting firm of Tango Therapeutics, Inc.</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tcBorders>
              <w:right w:val="single" w:sz="8" w:color="0000FF"/>
            </w:tcBorders>
            <w:gridSpan w:val="3"/>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46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7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20"/>
        </w:trPr>
        <w:tc>
          <w:tcPr>
            <w:tcW w:w="150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tcBorders>
              <w:right w:val="single" w:sz="8" w:color="0000FF"/>
            </w:tcBorders>
            <w:gridSpan w:val="3"/>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5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tcBorders>
              <w:right w:val="single" w:sz="8" w:color="0000FF"/>
            </w:tcBorders>
            <w:gridSpan w:val="3"/>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7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20"/>
        </w:trPr>
        <w:tc>
          <w:tcPr>
            <w:tcW w:w="150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tcBorders>
              <w:right w:val="single" w:sz="8" w:color="0000FF"/>
            </w:tcBorders>
            <w:gridSpan w:val="3"/>
            <w:shd w:val="clear" w:color="auto" w:fill="0000FF"/>
          </w:tcPr>
          <w:p>
            <w:pPr>
              <w:spacing w:after="0" w:line="20" w:lineRule="exact"/>
              <w:rPr>
                <w:sz w:val="1"/>
                <w:szCs w:val="1"/>
                <w:color w:val="auto"/>
              </w:rPr>
            </w:pPr>
          </w:p>
        </w:tc>
        <w:tc>
          <w:tcPr>
            <w:tcW w:w="624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tcBorders>
              <w:right w:val="single" w:sz="8" w:color="0000FF"/>
            </w:tcBorders>
            <w:gridSpan w:val="3"/>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7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tcBorders>
              <w:right w:val="single" w:sz="8" w:color="0000FF"/>
            </w:tcBorders>
            <w:gridSpan w:val="3"/>
            <w:shd w:val="clear" w:color="auto" w:fill="0000FF"/>
          </w:tcPr>
          <w:p>
            <w:pPr>
              <w:spacing w:after="0" w:line="20" w:lineRule="exact"/>
              <w:rPr>
                <w:sz w:val="1"/>
                <w:szCs w:val="1"/>
                <w:color w:val="auto"/>
              </w:rPr>
            </w:pPr>
          </w:p>
        </w:tc>
        <w:tc>
          <w:tcPr>
            <w:tcW w:w="624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62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97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3300" w:type="dxa"/>
            <w:vAlign w:val="bottom"/>
            <w:tcBorders>
              <w:right w:val="single" w:sz="8" w:color="0000FF"/>
            </w:tcBorders>
            <w:gridSpan w:val="4"/>
            <w:shd w:val="clear" w:color="auto" w:fill="0000FF"/>
          </w:tcPr>
          <w:p>
            <w:pPr>
              <w:spacing w:after="0" w:line="20" w:lineRule="exact"/>
              <w:rPr>
                <w:sz w:val="1"/>
                <w:szCs w:val="1"/>
                <w:color w:val="auto"/>
              </w:rPr>
            </w:pPr>
          </w:p>
        </w:tc>
        <w:tc>
          <w:tcPr>
            <w:tcW w:w="624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63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9720" w:type="dxa"/>
            <w:vAlign w:val="bottom"/>
            <w:gridSpan w:val="10"/>
          </w:tcPr>
          <w:p>
            <w:pPr>
              <w:spacing w:after="0" w:line="196" w:lineRule="exact"/>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Tango Therapeutics, Inc. Compensation Recovery Policy (incorporated by reference to Exhibit 97.1 to the Annual Report on Form 10-</w:t>
              </w:r>
            </w:hyperlink>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3300" w:type="dxa"/>
            <w:vAlign w:val="bottom"/>
            <w:tcBorders>
              <w:right w:val="single" w:sz="8" w:color="0000FF"/>
            </w:tcBorders>
            <w:gridSpan w:val="4"/>
            <w:shd w:val="clear" w:color="auto" w:fill="0000FF"/>
          </w:tcPr>
          <w:p>
            <w:pPr>
              <w:spacing w:after="0" w:line="20" w:lineRule="exact"/>
              <w:rPr>
                <w:sz w:val="1"/>
                <w:szCs w:val="1"/>
                <w:color w:val="auto"/>
              </w:rPr>
            </w:pPr>
          </w:p>
        </w:tc>
        <w:tc>
          <w:tcPr>
            <w:tcW w:w="638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20" w:type="dxa"/>
            <w:vAlign w:val="bottom"/>
            <w:gridSpan w:val="10"/>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K filed by the Registrant on March 18, 2024).</w:t>
              </w:r>
            </w:hyperlink>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3300" w:type="dxa"/>
            <w:vAlign w:val="bottom"/>
            <w:tcBorders>
              <w:right w:val="single" w:sz="8" w:color="0000EE"/>
            </w:tcBorders>
            <w:gridSpan w:val="4"/>
            <w:shd w:val="clear" w:color="auto" w:fill="0000FF"/>
          </w:tcPr>
          <w:p>
            <w:pPr>
              <w:spacing w:after="0" w:line="20" w:lineRule="exact"/>
              <w:rPr>
                <w:sz w:val="1"/>
                <w:szCs w:val="1"/>
                <w:color w:val="auto"/>
              </w:rPr>
            </w:pPr>
          </w:p>
        </w:tc>
        <w:tc>
          <w:tcPr>
            <w:tcW w:w="6420" w:type="dxa"/>
            <w:vAlign w:val="bottom"/>
            <w:gridSpan w:val="6"/>
          </w:tcPr>
          <w:p>
            <w:pPr>
              <w:spacing w:after="0" w:line="20" w:lineRule="exact"/>
              <w:rPr>
                <w:sz w:val="1"/>
                <w:szCs w:val="1"/>
                <w:color w:val="auto"/>
              </w:rPr>
            </w:pPr>
          </w:p>
        </w:tc>
      </w:tr>
      <w:tr>
        <w:trPr>
          <w:trHeight w:val="21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16"/>
        </w:trPr>
        <w:tc>
          <w:tcPr>
            <w:tcW w:w="1500" w:type="dxa"/>
            <w:vAlign w:val="bottom"/>
          </w:tcPr>
          <w:p>
            <w:pPr>
              <w:spacing w:after="0"/>
              <w:rPr>
                <w:sz w:val="18"/>
                <w:szCs w:val="18"/>
                <w:color w:val="auto"/>
              </w:rPr>
            </w:pPr>
          </w:p>
        </w:tc>
        <w:tc>
          <w:tcPr>
            <w:tcW w:w="9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480" w:hanging="1472"/>
        <w:spacing w:after="0"/>
        <w:tabs>
          <w:tab w:leader="none" w:pos="14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8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4230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1"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this exhibit (indicated by asterisks) have been omitted in accordance with Item 601(b)(10) of Regulation S-K.</w:t>
      </w:r>
    </w:p>
    <w:p>
      <w:pPr>
        <w:spacing w:after="0" w:line="6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Indicates a management contract or any compensatory plan, contract or arrangement.</w:t>
      </w:r>
    </w:p>
    <w:p>
      <w:pPr>
        <w:spacing w:after="0" w:line="61" w:lineRule="exact"/>
        <w:rPr>
          <w:sz w:val="20"/>
          <w:szCs w:val="20"/>
          <w:color w:val="auto"/>
        </w:rPr>
      </w:pPr>
    </w:p>
    <w:p>
      <w:pPr>
        <w:ind w:left="520" w:right="120" w:hanging="512"/>
        <w:spacing w:after="0" w:line="281" w:lineRule="auto"/>
        <w:tabs>
          <w:tab w:leader="none" w:pos="353"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this exhibit (indicated by brackets and asterisks) have been omitted because the registrant has determined that the information is both not material and is the type that the registrant treats as private or confidential.</w:t>
      </w:r>
    </w:p>
    <w:p>
      <w:pPr>
        <w:spacing w:after="0" w:line="1" w:lineRule="exact"/>
        <w:rPr>
          <w:sz w:val="20"/>
          <w:szCs w:val="20"/>
          <w:color w:val="auto"/>
        </w:rPr>
      </w:pPr>
    </w:p>
    <w:p>
      <w:pPr>
        <w:ind w:left="520" w:right="80" w:hanging="512"/>
        <w:spacing w:after="0" w:line="281" w:lineRule="auto"/>
        <w:tabs>
          <w:tab w:leader="none" w:pos="353"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certifications furnished in Exhibit 32 hereto are deemed to be furnished with this Annual Report on Form 10-K and will not be deemed to be “filed” for purposes of Section 18 of the Securities Exchange Act of 1934, as amended, except to the extent that the registrant specifically incorporates it by reference.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0" w:right="35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25" w:lineRule="exact"/>
        <w:rPr>
          <w:sz w:val="20"/>
          <w:szCs w:val="20"/>
          <w:color w:val="auto"/>
        </w:rPr>
      </w:pPr>
    </w:p>
    <w:p>
      <w:pPr>
        <w:spacing w:after="0"/>
        <w:tabs>
          <w:tab w:leader="none" w:pos="5400" w:val="left"/>
          <w:tab w:leader="none" w:pos="8060" w:val="left"/>
        </w:tabs>
        <w:rPr>
          <w:sz w:val="20"/>
          <w:szCs w:val="20"/>
          <w:color w:val="auto"/>
        </w:rPr>
      </w:pPr>
      <w:r>
        <w:rPr>
          <w:rFonts w:ascii="Times New Roman" w:cs="Times New Roman" w:eastAsia="Times New Roman" w:hAnsi="Times New Roman"/>
          <w:sz w:val="18"/>
          <w:szCs w:val="18"/>
          <w:color w:val="auto"/>
        </w:rPr>
        <w:t>Date: March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Malte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Malte Peters, MD</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Malte Peters, Daniella Beckman and Julie Fogarty,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8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2" w:lineRule="exact"/>
        <w:rPr>
          <w:sz w:val="20"/>
          <w:szCs w:val="20"/>
          <w:color w:val="auto"/>
        </w:rPr>
      </w:pPr>
    </w:p>
    <w:p>
      <w:pPr>
        <w:ind w:left="1680"/>
        <w:spacing w:after="0"/>
        <w:tabs>
          <w:tab w:leader="none" w:pos="6100" w:val="left"/>
          <w:tab w:leader="none" w:pos="986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Malte Peters</w:t>
            </w: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c>
          <w:tcPr>
            <w:tcW w:w="3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March 5,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Malte Peters, MD</w:t>
            </w:r>
          </w:p>
        </w:tc>
        <w:tc>
          <w:tcPr>
            <w:tcW w:w="4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318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Daniella Beckman</w:t>
            </w: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March 5,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Daniella Beckman</w:t>
            </w:r>
          </w:p>
        </w:tc>
        <w:tc>
          <w:tcPr>
            <w:tcW w:w="4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318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Barbara Weber, MD</w:t>
            </w: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March 5,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Barbara Weber, MD</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Alexis Borisy</w:t>
            </w: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March 5,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Alexis Borisy</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Lesley Ann Calhoun</w:t>
            </w: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March 5,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Lesley Ann Calhoun</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Kanishka Pothula</w:t>
            </w: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March 5,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Kanishka Pothula</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Ketchum</w:t>
            </w: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March 5,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John Ketchum</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Sung Lee</w:t>
            </w: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March 5,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Sung Lee</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Mace Rothenberg</w:t>
            </w: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March 5, 2026</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Mace Rothenberg, MD</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714"/>
        </w:trPr>
        <w:tc>
          <w:tcPr>
            <w:tcW w:w="3720" w:type="dxa"/>
            <w:vAlign w:val="bottom"/>
          </w:tcPr>
          <w:p>
            <w:pPr>
              <w:spacing w:after="0"/>
              <w:rPr>
                <w:sz w:val="24"/>
                <w:szCs w:val="24"/>
                <w:color w:val="auto"/>
              </w:rPr>
            </w:pPr>
          </w:p>
        </w:tc>
        <w:tc>
          <w:tcPr>
            <w:tcW w:w="43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104</w:t>
            </w:r>
          </w:p>
        </w:tc>
        <w:tc>
          <w:tcPr>
            <w:tcW w:w="3180" w:type="dxa"/>
            <w:vAlign w:val="bottom"/>
          </w:tcPr>
          <w:p>
            <w:pPr>
              <w:spacing w:after="0"/>
              <w:rPr>
                <w:sz w:val="24"/>
                <w:szCs w:val="24"/>
                <w:color w:val="auto"/>
              </w:rPr>
            </w:pPr>
          </w:p>
        </w:tc>
      </w:tr>
      <w:tr>
        <w:trPr>
          <w:trHeight w:val="763"/>
        </w:trPr>
        <w:tc>
          <w:tcPr>
            <w:tcW w:w="372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44"/>
        </w:trPr>
        <w:tc>
          <w:tcPr>
            <w:tcW w:w="55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238)</w:t>
            </w:r>
          </w:p>
        </w:tc>
        <w:tc>
          <w:tcPr>
            <w:tcW w:w="4940" w:type="dxa"/>
            <w:vAlign w:val="bottom"/>
          </w:tcPr>
          <w:p>
            <w:pPr>
              <w:spacing w:after="0"/>
              <w:rPr>
                <w:sz w:val="24"/>
                <w:szCs w:val="24"/>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7"/>
              </w:rPr>
              <w:t>F-2</w:t>
            </w:r>
          </w:p>
        </w:tc>
      </w:tr>
      <w:tr>
        <w:trPr>
          <w:trHeight w:val="209"/>
        </w:trPr>
        <w:tc>
          <w:tcPr>
            <w:tcW w:w="2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bottom w:val="single" w:sz="8" w:color="0000EE"/>
            </w:tcBorders>
          </w:tcPr>
          <w:p>
            <w:pPr>
              <w:spacing w:after="0"/>
              <w:rPr>
                <w:sz w:val="18"/>
                <w:szCs w:val="18"/>
                <w:color w:val="auto"/>
              </w:rPr>
            </w:pPr>
          </w:p>
        </w:tc>
        <w:tc>
          <w:tcPr>
            <w:tcW w:w="8360" w:type="dxa"/>
            <w:vAlign w:val="bottom"/>
            <w:gridSpan w:val="7"/>
          </w:tcPr>
          <w:p>
            <w:pPr>
              <w:spacing w:after="0"/>
              <w:rPr>
                <w:sz w:val="18"/>
                <w:szCs w:val="18"/>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7"/>
              </w:rPr>
              <w:t>F-4</w:t>
            </w:r>
          </w:p>
        </w:tc>
      </w:tr>
      <w:tr>
        <w:trPr>
          <w:trHeight w:val="210"/>
        </w:trPr>
        <w:tc>
          <w:tcPr>
            <w:tcW w:w="104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7"/>
              </w:rPr>
              <w:t>F-5</w:t>
            </w:r>
          </w:p>
        </w:tc>
      </w:tr>
      <w:tr>
        <w:trPr>
          <w:trHeight w:val="209"/>
        </w:trPr>
        <w:tc>
          <w:tcPr>
            <w:tcW w:w="35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1120" w:type="dxa"/>
            <w:vAlign w:val="bottom"/>
            <w:tcBorders>
              <w:top w:val="single" w:sz="8" w:color="0000FF"/>
            </w:tcBorders>
          </w:tcPr>
          <w:p>
            <w:pPr>
              <w:spacing w:after="0"/>
              <w:rPr>
                <w:sz w:val="18"/>
                <w:szCs w:val="18"/>
                <w:color w:val="auto"/>
              </w:rPr>
            </w:pPr>
          </w:p>
        </w:tc>
        <w:tc>
          <w:tcPr>
            <w:tcW w:w="5800" w:type="dxa"/>
            <w:vAlign w:val="bottom"/>
            <w:gridSpan w:val="2"/>
          </w:tcPr>
          <w:p>
            <w:pPr>
              <w:spacing w:after="0"/>
              <w:rPr>
                <w:sz w:val="18"/>
                <w:szCs w:val="18"/>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7"/>
              </w:rPr>
              <w:t>F-6</w:t>
            </w:r>
          </w:p>
        </w:tc>
      </w:tr>
      <w:tr>
        <w:trPr>
          <w:trHeight w:val="210"/>
        </w:trPr>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0" w:type="dxa"/>
            <w:vAlign w:val="bottom"/>
            <w:tcBorders>
              <w:bottom w:val="single" w:sz="8" w:color="0000EE"/>
            </w:tcBorders>
          </w:tcPr>
          <w:p>
            <w:pPr>
              <w:spacing w:after="0"/>
              <w:rPr>
                <w:sz w:val="18"/>
                <w:szCs w:val="18"/>
                <w:color w:val="auto"/>
              </w:rPr>
            </w:pPr>
          </w:p>
        </w:tc>
        <w:tc>
          <w:tcPr>
            <w:tcW w:w="7580" w:type="dxa"/>
            <w:vAlign w:val="bottom"/>
            <w:gridSpan w:val="5"/>
          </w:tcPr>
          <w:p>
            <w:pPr>
              <w:spacing w:after="0"/>
              <w:rPr>
                <w:sz w:val="18"/>
                <w:szCs w:val="18"/>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7"/>
              </w:rPr>
              <w:t>F-7</w:t>
            </w:r>
          </w:p>
        </w:tc>
      </w:tr>
      <w:tr>
        <w:trPr>
          <w:trHeight w:val="209"/>
        </w:trPr>
        <w:tc>
          <w:tcPr>
            <w:tcW w:w="104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7"/>
              </w:rPr>
              <w:t>F-8</w:t>
            </w:r>
          </w:p>
        </w:tc>
      </w:tr>
      <w:tr>
        <w:trPr>
          <w:trHeight w:val="1337"/>
        </w:trPr>
        <w:tc>
          <w:tcPr>
            <w:tcW w:w="2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8" w:name="page109"/>
    <w:bookmarkEnd w:id="10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Tango Therapeutics,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6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Tango Therapeutics, Inc. and its subsidiaries (the "Company") as of December 31, 2025 and 2024, and the related consolidated statements of operations and comprehensive loss, of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Research and Development Expenses</w:t>
      </w:r>
    </w:p>
    <w:p>
      <w:pPr>
        <w:spacing w:after="0" w:line="14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research and development expenses consist primarily of costs incurred for the Company’s drug discovery efforts and the development of product candidates. These expenses include salaries, employee benefits, and stock-based compensation expense for the Company’s research and development personnel, materials, supplies, depreciation on and maintenance of research equipment, the cost of services provided by outside contract research organizations (CROs), vendors, and consultants to conduct research and development activities including costs of clinical trials, manufacturing, and other development activities, as well as the allocable portions of facility costs, such as rent, utilities, and general support services. All costs associated with research and development are expensed as incurred. Management estimates the Company’s accrued research and development expenses as of each balance sheet date in the Company’s financial statements based on facts and circumstances known to the Company at that time. If the actual timing of the performance of services or the level of effort varies from the estimate, the Company will adjust the accrual accordingly. The Company’s research and development expenses for the year ended December 31, 2025 were $132.2 million, a portion of which relates to certain research and development expenses.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9" w:name="page110"/>
    <w:bookmarkEnd w:id="109"/>
    <w:p>
      <w:pPr>
        <w:ind w:right="320"/>
        <w:spacing w:after="0" w:line="282"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certain research and development expenses is a critical audit matter is a high degree of auditor effort in performing procedures related to certain research and development expenses.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testing certain research and development expenses on a sample basis by agreeing relevant information, which include overall contract value, expenses incurred to date, and percentage of completion, to the (i) underlying contracts with CROs, vendors and consultants engaged to conduct research and development activities; (ii) purchase orders; (iii) invoices received; (iv) underlying payments made for expenses incurred on the contracts; and (v) external confirmations or communications obtained by management from CROs, vendors and consultants.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34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69" w:right="519" w:bottom="1440" w:gutter="0" w:footer="0" w:header="0"/>
        </w:sectPr>
      </w:pPr>
    </w:p>
    <w:bookmarkStart w:id="110" w:name="page111"/>
    <w:bookmarkEnd w:id="1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0" w:type="dxa"/>
            <w:vAlign w:val="bottom"/>
            <w:gridSpan w:val="2"/>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112,279</w:t>
            </w: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69,530</w:t>
            </w:r>
          </w:p>
        </w:tc>
        <w:tc>
          <w:tcPr>
            <w:tcW w:w="120" w:type="dxa"/>
            <w:vAlign w:val="bottom"/>
            <w:shd w:val="clear" w:color="auto" w:fill="CFF0FC"/>
          </w:tcPr>
          <w:p>
            <w:pPr>
              <w:spacing w:after="0"/>
              <w:rPr>
                <w:sz w:val="18"/>
                <w:szCs w:val="18"/>
                <w:color w:val="auto"/>
              </w:rPr>
            </w:pPr>
          </w:p>
        </w:tc>
      </w:tr>
      <w:tr>
        <w:trPr>
          <w:trHeight w:val="216"/>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230,859</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188,387</w:t>
            </w:r>
          </w:p>
        </w:tc>
        <w:tc>
          <w:tcPr>
            <w:tcW w:w="120" w:type="dxa"/>
            <w:vAlign w:val="bottom"/>
          </w:tcPr>
          <w:p>
            <w:pPr>
              <w:spacing w:after="0"/>
              <w:rPr>
                <w:sz w:val="18"/>
                <w:szCs w:val="18"/>
                <w:color w:val="auto"/>
              </w:rPr>
            </w:pPr>
          </w:p>
        </w:tc>
      </w:tr>
      <w:tr>
        <w:trPr>
          <w:trHeight w:val="216"/>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8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10,190</w:t>
            </w:r>
          </w:p>
        </w:tc>
        <w:tc>
          <w:tcPr>
            <w:tcW w:w="3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120" w:type="dxa"/>
            <w:vAlign w:val="bottom"/>
          </w:tcPr>
          <w:p>
            <w:pPr>
              <w:spacing w:after="0"/>
              <w:rPr>
                <w:sz w:val="18"/>
                <w:szCs w:val="18"/>
                <w:color w:val="auto"/>
              </w:rPr>
            </w:pPr>
          </w:p>
        </w:tc>
      </w:tr>
      <w:tr>
        <w:trPr>
          <w:trHeight w:val="209"/>
        </w:trPr>
        <w:tc>
          <w:tcPr>
            <w:tcW w:w="6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8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353,756</w:t>
            </w: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266,343</w:t>
            </w:r>
          </w:p>
        </w:tc>
        <w:tc>
          <w:tcPr>
            <w:tcW w:w="12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6,868</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120" w:type="dxa"/>
            <w:vAlign w:val="bottom"/>
          </w:tcPr>
          <w:p>
            <w:pPr>
              <w:spacing w:after="0"/>
              <w:rPr>
                <w:sz w:val="18"/>
                <w:szCs w:val="18"/>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35,624</w:t>
            </w: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39,476</w:t>
            </w:r>
          </w:p>
        </w:tc>
        <w:tc>
          <w:tcPr>
            <w:tcW w:w="12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net of current portion</w:t>
            </w: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20" w:type="dxa"/>
            <w:vAlign w:val="bottom"/>
          </w:tcPr>
          <w:p>
            <w:pPr>
              <w:spacing w:after="0"/>
              <w:rPr>
                <w:sz w:val="18"/>
                <w:szCs w:val="18"/>
                <w:color w:val="auto"/>
              </w:rPr>
            </w:pPr>
          </w:p>
        </w:tc>
      </w:tr>
      <w:tr>
        <w:trPr>
          <w:trHeight w:val="216"/>
        </w:trPr>
        <w:tc>
          <w:tcPr>
            <w:tcW w:w="6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3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000" w:type="dxa"/>
            <w:vAlign w:val="bottom"/>
            <w:gridSpan w:val="2"/>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398,690</w:t>
            </w:r>
          </w:p>
        </w:tc>
        <w:tc>
          <w:tcPr>
            <w:tcW w:w="3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316,492</w:t>
            </w:r>
          </w:p>
        </w:tc>
        <w:tc>
          <w:tcPr>
            <w:tcW w:w="120" w:type="dxa"/>
            <w:vAlign w:val="bottom"/>
          </w:tcPr>
          <w:p>
            <w:pPr>
              <w:spacing w:after="0"/>
              <w:rPr>
                <w:sz w:val="18"/>
                <w:szCs w:val="18"/>
                <w:color w:val="auto"/>
              </w:rPr>
            </w:pPr>
          </w:p>
        </w:tc>
      </w:tr>
      <w:tr>
        <w:trPr>
          <w:trHeight w:val="20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8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000" w:type="dxa"/>
            <w:vAlign w:val="bottom"/>
            <w:gridSpan w:val="2"/>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20" w:type="dxa"/>
            <w:vAlign w:val="bottom"/>
            <w:shd w:val="clear" w:color="auto" w:fill="CFF0FC"/>
          </w:tcPr>
          <w:p>
            <w:pPr>
              <w:spacing w:after="0"/>
              <w:rPr>
                <w:sz w:val="18"/>
                <w:szCs w:val="18"/>
                <w:color w:val="auto"/>
              </w:rPr>
            </w:pPr>
          </w:p>
        </w:tc>
      </w:tr>
      <w:tr>
        <w:trPr>
          <w:trHeight w:val="216"/>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17,759</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16,497</w:t>
            </w:r>
          </w:p>
        </w:tc>
        <w:tc>
          <w:tcPr>
            <w:tcW w:w="120" w:type="dxa"/>
            <w:vAlign w:val="bottom"/>
          </w:tcPr>
          <w:p>
            <w:pPr>
              <w:spacing w:after="0"/>
              <w:rPr>
                <w:sz w:val="18"/>
                <w:szCs w:val="18"/>
                <w:color w:val="auto"/>
              </w:rPr>
            </w:pPr>
          </w:p>
        </w:tc>
      </w:tr>
      <w:tr>
        <w:trPr>
          <w:trHeight w:val="216"/>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20" w:type="dxa"/>
            <w:vAlign w:val="bottom"/>
            <w:shd w:val="clear" w:color="auto" w:fill="CFF0FC"/>
          </w:tcPr>
          <w:p>
            <w:pPr>
              <w:spacing w:after="0"/>
              <w:rPr>
                <w:sz w:val="18"/>
                <w:szCs w:val="18"/>
                <w:color w:val="auto"/>
              </w:rPr>
            </w:pPr>
          </w:p>
        </w:tc>
      </w:tr>
      <w:tr>
        <w:trPr>
          <w:trHeight w:val="216"/>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17,618</w:t>
            </w:r>
          </w:p>
        </w:tc>
        <w:tc>
          <w:tcPr>
            <w:tcW w:w="120" w:type="dxa"/>
            <w:vAlign w:val="bottom"/>
          </w:tcPr>
          <w:p>
            <w:pPr>
              <w:spacing w:after="0"/>
              <w:rPr>
                <w:sz w:val="18"/>
                <w:szCs w:val="18"/>
                <w:color w:val="auto"/>
              </w:rPr>
            </w:pPr>
          </w:p>
        </w:tc>
      </w:tr>
      <w:tr>
        <w:trPr>
          <w:trHeight w:val="209"/>
        </w:trPr>
        <w:tc>
          <w:tcPr>
            <w:tcW w:w="6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8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21,679</w:t>
            </w:r>
          </w:p>
        </w:tc>
        <w:tc>
          <w:tcPr>
            <w:tcW w:w="30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38,170</w:t>
            </w:r>
          </w:p>
        </w:tc>
        <w:tc>
          <w:tcPr>
            <w:tcW w:w="12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30,832</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34,039</w:t>
            </w:r>
          </w:p>
        </w:tc>
        <w:tc>
          <w:tcPr>
            <w:tcW w:w="120" w:type="dxa"/>
            <w:vAlign w:val="bottom"/>
          </w:tcPr>
          <w:p>
            <w:pPr>
              <w:spacing w:after="0"/>
              <w:rPr>
                <w:sz w:val="18"/>
                <w:szCs w:val="18"/>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8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44,766</w:t>
            </w:r>
          </w:p>
        </w:tc>
        <w:tc>
          <w:tcPr>
            <w:tcW w:w="120" w:type="dxa"/>
            <w:vAlign w:val="bottom"/>
            <w:shd w:val="clear" w:color="auto" w:fill="CFF0FC"/>
          </w:tcPr>
          <w:p>
            <w:pPr>
              <w:spacing w:after="0"/>
              <w:rPr>
                <w:sz w:val="18"/>
                <w:szCs w:val="18"/>
                <w:color w:val="auto"/>
              </w:rPr>
            </w:pPr>
          </w:p>
        </w:tc>
      </w:tr>
      <w:tr>
        <w:trPr>
          <w:trHeight w:val="210"/>
        </w:trPr>
        <w:tc>
          <w:tcPr>
            <w:tcW w:w="6240" w:type="dxa"/>
            <w:vAlign w:val="bottom"/>
            <w:tcBorders>
              <w:top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880" w:type="dxa"/>
            <w:vAlign w:val="bottom"/>
            <w:tcBorders>
              <w:top w:val="single" w:sz="8" w:color="CFF0FC"/>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52,511</w:t>
            </w:r>
          </w:p>
        </w:tc>
        <w:tc>
          <w:tcPr>
            <w:tcW w:w="300" w:type="dxa"/>
            <w:vAlign w:val="bottom"/>
            <w:tcBorders>
              <w:top w:val="single" w:sz="8" w:color="CFF0FC"/>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116,975</w:t>
            </w:r>
          </w:p>
        </w:tc>
        <w:tc>
          <w:tcPr>
            <w:tcW w:w="120" w:type="dxa"/>
            <w:vAlign w:val="bottom"/>
            <w:tcBorders>
              <w:top w:val="single" w:sz="8" w:color="CFF0FC"/>
            </w:tcBorders>
          </w:tcPr>
          <w:p>
            <w:pPr>
              <w:spacing w:after="0"/>
              <w:rPr>
                <w:sz w:val="18"/>
                <w:szCs w:val="18"/>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8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6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no shares</w:t>
            </w: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and outstanding as of December 31, 2025 and 2024, respectively</w:t>
            </w:r>
          </w:p>
        </w:tc>
        <w:tc>
          <w:tcPr>
            <w:tcW w:w="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8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6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400,000,000 and 200,000,000 shares</w:t>
            </w: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authorized at December 31, 2025 and December 31, 2024, respectively;</w:t>
            </w: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135,940,454 and 107,729,343 shares issued and outstanding as of</w:t>
            </w: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2025 and 2024, respectively</w:t>
            </w:r>
          </w:p>
        </w:tc>
        <w:tc>
          <w:tcPr>
            <w:tcW w:w="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0"/>
                <w:szCs w:val="20"/>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948,971</w:t>
            </w: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700,631</w:t>
            </w:r>
          </w:p>
        </w:tc>
        <w:tc>
          <w:tcPr>
            <w:tcW w:w="12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18"/>
                <w:szCs w:val="18"/>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(603,152)</w:t>
            </w:r>
          </w:p>
        </w:tc>
        <w:tc>
          <w:tcPr>
            <w:tcW w:w="5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(501,558)</w:t>
            </w:r>
          </w:p>
        </w:tc>
      </w:tr>
      <w:tr>
        <w:trPr>
          <w:trHeight w:val="210"/>
        </w:trPr>
        <w:tc>
          <w:tcPr>
            <w:tcW w:w="62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80" w:type="dxa"/>
            <w:vAlign w:val="bottom"/>
            <w:tcBorders>
              <w:top w:val="single" w:sz="8" w:color="CFF0FC"/>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346,179</w:t>
            </w:r>
          </w:p>
        </w:tc>
        <w:tc>
          <w:tcPr>
            <w:tcW w:w="30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199,517</w:t>
            </w:r>
          </w:p>
        </w:tc>
        <w:tc>
          <w:tcPr>
            <w:tcW w:w="120" w:type="dxa"/>
            <w:vAlign w:val="bottom"/>
            <w:tcBorders>
              <w:top w:val="single" w:sz="8" w:color="CFF0FC"/>
            </w:tcBorders>
          </w:tcPr>
          <w:p>
            <w:pPr>
              <w:spacing w:after="0"/>
              <w:rPr>
                <w:sz w:val="18"/>
                <w:szCs w:val="18"/>
                <w:color w:val="auto"/>
              </w:rPr>
            </w:pPr>
          </w:p>
        </w:tc>
      </w:tr>
      <w:tr>
        <w:trPr>
          <w:trHeight w:val="249"/>
        </w:trPr>
        <w:tc>
          <w:tcPr>
            <w:tcW w:w="62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8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398,690</w:t>
            </w:r>
          </w:p>
        </w:tc>
        <w:tc>
          <w:tcPr>
            <w:tcW w:w="3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316,492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-3368040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-3368040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-1971040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-1971040</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-316230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1" w:name="page112"/>
    <w:bookmarkEnd w:id="1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17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62,384</w:t>
            </w:r>
          </w:p>
        </w:tc>
        <w:tc>
          <w:tcPr>
            <w:tcW w:w="1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29,969</w:t>
            </w: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3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62,384</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42,069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36,527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132,165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143,918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173,673</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187,664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150,700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(111,289)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(145,595)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(114,173)</w:t>
            </w: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(101,590)</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(130,094)</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(101,610)</w:t>
            </w:r>
          </w:p>
        </w:tc>
        <w:tc>
          <w:tcPr>
            <w:tcW w:w="0" w:type="dxa"/>
            <w:vAlign w:val="bottom"/>
          </w:tcPr>
          <w:p>
            <w:pPr>
              <w:spacing w:after="0"/>
              <w:rPr>
                <w:sz w:val="1"/>
                <w:szCs w:val="1"/>
                <w:color w:val="auto"/>
              </w:rPr>
            </w:pPr>
          </w:p>
        </w:tc>
      </w:tr>
      <w:tr>
        <w:trPr>
          <w:trHeight w:val="216"/>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(101,594)</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(130,302)</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(101,744)</w:t>
            </w:r>
          </w:p>
        </w:tc>
        <w:tc>
          <w:tcPr>
            <w:tcW w:w="0" w:type="dxa"/>
            <w:vAlign w:val="bottom"/>
          </w:tcPr>
          <w:p>
            <w:pPr>
              <w:spacing w:after="0"/>
              <w:rPr>
                <w:sz w:val="1"/>
                <w:szCs w:val="1"/>
                <w:color w:val="auto"/>
              </w:rPr>
            </w:pPr>
          </w:p>
        </w:tc>
      </w:tr>
      <w:tr>
        <w:trPr>
          <w:trHeight w:val="210"/>
        </w:trPr>
        <w:tc>
          <w:tcPr>
            <w:tcW w:w="622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(0.87)</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 diluted</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116,166,187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109,226,731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94,572,448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(101,594)</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(130,302)</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(101,744)</w:t>
            </w: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(loss) gain on marketable securities</w:t>
            </w: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(101,706)</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(130,152)</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(97,853)</w:t>
            </w:r>
          </w:p>
        </w:tc>
        <w:tc>
          <w:tcPr>
            <w:tcW w:w="0" w:type="dxa"/>
            <w:vAlign w:val="bottom"/>
          </w:tcPr>
          <w:p>
            <w:pPr>
              <w:spacing w:after="0"/>
              <w:rPr>
                <w:sz w:val="1"/>
                <w:szCs w:val="1"/>
                <w:color w:val="auto"/>
              </w:rPr>
            </w:pPr>
          </w:p>
        </w:tc>
      </w:tr>
      <w:tr>
        <w:trPr>
          <w:trHeight w:val="20"/>
        </w:trPr>
        <w:tc>
          <w:tcPr>
            <w:tcW w:w="6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-2836545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-2836545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-2836545</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-2271395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-2271395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-2271395</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-1713865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-1713865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-1713865</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-1139825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-1139825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-1139825</wp:posOffset>
            </wp:positionV>
            <wp:extent cx="774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2360" w:type="dxa"/>
            <w:vAlign w:val="bottom"/>
            <w:gridSpan w:val="3"/>
            <w:vMerge w:val="restart"/>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Common Stock Outstanding</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920" w:type="dxa"/>
            <w:vAlign w:val="bottom"/>
          </w:tcPr>
          <w:p>
            <w:pPr>
              <w:spacing w:after="0"/>
              <w:rPr>
                <w:sz w:val="11"/>
                <w:szCs w:val="11"/>
                <w:color w:val="auto"/>
              </w:rPr>
            </w:pPr>
          </w:p>
        </w:tc>
        <w:tc>
          <w:tcPr>
            <w:tcW w:w="2360" w:type="dxa"/>
            <w:vAlign w:val="bottom"/>
            <w:tcBorders>
              <w:bottom w:val="single" w:sz="8" w:color="auto"/>
            </w:tcBorders>
            <w:gridSpan w:val="3"/>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right"/>
              <w:ind w:right="580"/>
              <w:spacing w:after="0" w:line="132"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1"/>
                <w:szCs w:val="11"/>
                <w:color w:val="auto"/>
              </w:rPr>
            </w:pPr>
          </w:p>
        </w:tc>
        <w:tc>
          <w:tcPr>
            <w:tcW w:w="1260" w:type="dxa"/>
            <w:vAlign w:val="bottom"/>
            <w:gridSpan w:val="2"/>
          </w:tcPr>
          <w:p>
            <w:pPr>
              <w:jc w:val="center"/>
              <w:ind w:right="360"/>
              <w:spacing w:after="0" w:line="132"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tcPr>
          <w:p>
            <w:pPr>
              <w:jc w:val="right"/>
              <w:ind w:right="680"/>
              <w:spacing w:after="0" w:line="118"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0"/>
                <w:szCs w:val="10"/>
                <w:color w:val="auto"/>
              </w:rPr>
            </w:pPr>
          </w:p>
        </w:tc>
        <w:tc>
          <w:tcPr>
            <w:tcW w:w="126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2"/>
                <w:szCs w:val="12"/>
                <w:b w:val="1"/>
                <w:bCs w:val="1"/>
                <w:color w:val="auto"/>
                <w:w w:val="99"/>
              </w:rPr>
              <w:t>Income</w:t>
            </w:r>
          </w:p>
        </w:tc>
        <w:tc>
          <w:tcPr>
            <w:tcW w:w="140" w:type="dxa"/>
            <w:vAlign w:val="bottom"/>
          </w:tcPr>
          <w:p>
            <w:pPr>
              <w:spacing w:after="0"/>
              <w:rPr>
                <w:sz w:val="10"/>
                <w:szCs w:val="10"/>
                <w:color w:val="auto"/>
              </w:rPr>
            </w:pPr>
          </w:p>
        </w:tc>
        <w:tc>
          <w:tcPr>
            <w:tcW w:w="1240" w:type="dxa"/>
            <w:vAlign w:val="bottom"/>
            <w:gridSpan w:val="2"/>
          </w:tcPr>
          <w:p>
            <w:pPr>
              <w:jc w:val="right"/>
              <w:ind w:right="480"/>
              <w:spacing w:after="0" w:line="11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0"/>
                <w:szCs w:val="10"/>
                <w:color w:val="auto"/>
              </w:rPr>
            </w:pPr>
          </w:p>
        </w:tc>
        <w:tc>
          <w:tcPr>
            <w:tcW w:w="10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2"/>
                <w:szCs w:val="12"/>
                <w:b w:val="1"/>
                <w:bCs w:val="1"/>
                <w:color w:val="auto"/>
                <w:w w:val="96"/>
              </w:rPr>
              <w:t>Stockholders’</w:t>
            </w:r>
          </w:p>
        </w:tc>
        <w:tc>
          <w:tcPr>
            <w:tcW w:w="0" w:type="dxa"/>
            <w:vAlign w:val="bottom"/>
          </w:tcPr>
          <w:p>
            <w:pPr>
              <w:spacing w:after="0"/>
              <w:rPr>
                <w:sz w:val="1"/>
                <w:szCs w:val="1"/>
                <w:color w:val="auto"/>
              </w:rPr>
            </w:pPr>
          </w:p>
        </w:tc>
      </w:tr>
      <w:tr>
        <w:trPr>
          <w:trHeight w:val="145"/>
        </w:trPr>
        <w:tc>
          <w:tcPr>
            <w:tcW w:w="2920" w:type="dxa"/>
            <w:vAlign w:val="bottom"/>
          </w:tcPr>
          <w:p>
            <w:pPr>
              <w:spacing w:after="0"/>
              <w:rPr>
                <w:sz w:val="12"/>
                <w:szCs w:val="12"/>
                <w:color w:val="auto"/>
              </w:rPr>
            </w:pPr>
          </w:p>
        </w:tc>
        <w:tc>
          <w:tcPr>
            <w:tcW w:w="12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Pr>
          <w:p>
            <w:pPr>
              <w:spacing w:after="0"/>
              <w:rPr>
                <w:sz w:val="12"/>
                <w:szCs w:val="12"/>
                <w:color w:val="auto"/>
              </w:rPr>
            </w:pPr>
          </w:p>
        </w:tc>
        <w:tc>
          <w:tcPr>
            <w:tcW w:w="8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3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2"/>
                <w:szCs w:val="12"/>
                <w:b w:val="1"/>
                <w:bCs w:val="1"/>
                <w:color w:val="auto"/>
                <w:w w:val="95"/>
              </w:rPr>
              <w:t>(Loss)</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9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12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88,179,374</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88</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522,605</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(3,705)</w:t>
            </w:r>
          </w:p>
        </w:tc>
        <w:tc>
          <w:tcPr>
            <w:tcW w:w="14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(269,512)</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249,476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under stock plans</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826,714</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 based compensation expense</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19,079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19,079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9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Common shares and pre-funded stock warrants</w:t>
            </w: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issued in offerings, net of issuance costs</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13,196,671</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79,762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Return of capital from a stockholder - related party</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2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(101,744)</w:t>
            </w:r>
          </w:p>
        </w:tc>
        <w:tc>
          <w:tcPr>
            <w:tcW w:w="12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(101,744)</w:t>
            </w:r>
          </w:p>
        </w:tc>
        <w:tc>
          <w:tcPr>
            <w:tcW w:w="0" w:type="dxa"/>
            <w:vAlign w:val="bottom"/>
          </w:tcPr>
          <w:p>
            <w:pPr>
              <w:spacing w:after="0"/>
              <w:rPr>
                <w:sz w:val="1"/>
                <w:szCs w:val="1"/>
                <w:color w:val="auto"/>
              </w:rPr>
            </w:pPr>
          </w:p>
        </w:tc>
      </w:tr>
      <w:tr>
        <w:trPr>
          <w:trHeight w:val="20"/>
        </w:trPr>
        <w:tc>
          <w:tcPr>
            <w:tcW w:w="29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9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102,202,759</w:t>
            </w:r>
          </w:p>
        </w:tc>
        <w:tc>
          <w:tcPr>
            <w:tcW w:w="1120" w:type="dxa"/>
            <w:vAlign w:val="bottom"/>
            <w:gridSpan w:val="2"/>
          </w:tcPr>
          <w:p>
            <w:pPr>
              <w:jc w:val="right"/>
              <w:ind w:right="762"/>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102</w:t>
            </w:r>
          </w:p>
        </w:tc>
        <w:tc>
          <w:tcPr>
            <w:tcW w:w="46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624,076</w:t>
            </w:r>
          </w:p>
        </w:tc>
        <w:tc>
          <w:tcPr>
            <w:tcW w:w="22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186</w:t>
            </w:r>
          </w:p>
        </w:tc>
        <w:tc>
          <w:tcPr>
            <w:tcW w:w="220" w:type="dxa"/>
            <w:vAlign w:val="bottom"/>
          </w:tcPr>
          <w:p>
            <w:pPr>
              <w:spacing w:after="0"/>
              <w:rPr>
                <w:sz w:val="11"/>
                <w:szCs w:val="11"/>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24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(371,256)</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253,108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Issuance of common stock under stock plans</w:t>
            </w:r>
          </w:p>
        </w:tc>
        <w:tc>
          <w:tcPr>
            <w:tcW w:w="12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1,525,384</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5,939</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5,941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Stock based compensation expense</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28,897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92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Common shares issued in offering, net of issuance</w:t>
            </w:r>
          </w:p>
        </w:tc>
        <w:tc>
          <w:tcPr>
            <w:tcW w:w="1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costs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4,001,200</w:t>
            </w: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41,719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2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(130,302)</w:t>
            </w:r>
          </w:p>
        </w:tc>
        <w:tc>
          <w:tcPr>
            <w:tcW w:w="12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(130,302)</w:t>
            </w:r>
          </w:p>
        </w:tc>
        <w:tc>
          <w:tcPr>
            <w:tcW w:w="0" w:type="dxa"/>
            <w:vAlign w:val="bottom"/>
          </w:tcPr>
          <w:p>
            <w:pPr>
              <w:spacing w:after="0"/>
              <w:rPr>
                <w:sz w:val="1"/>
                <w:szCs w:val="1"/>
                <w:color w:val="auto"/>
              </w:rPr>
            </w:pPr>
          </w:p>
        </w:tc>
      </w:tr>
      <w:tr>
        <w:trPr>
          <w:trHeight w:val="20"/>
        </w:trPr>
        <w:tc>
          <w:tcPr>
            <w:tcW w:w="29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9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12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107,729,343</w:t>
            </w:r>
          </w:p>
        </w:tc>
        <w:tc>
          <w:tcPr>
            <w:tcW w:w="1120" w:type="dxa"/>
            <w:vAlign w:val="bottom"/>
            <w:gridSpan w:val="2"/>
          </w:tcPr>
          <w:p>
            <w:pPr>
              <w:jc w:val="right"/>
              <w:ind w:right="762"/>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108</w:t>
            </w:r>
          </w:p>
        </w:tc>
        <w:tc>
          <w:tcPr>
            <w:tcW w:w="46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700,631</w:t>
            </w:r>
          </w:p>
        </w:tc>
        <w:tc>
          <w:tcPr>
            <w:tcW w:w="22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336</w:t>
            </w:r>
          </w:p>
        </w:tc>
        <w:tc>
          <w:tcPr>
            <w:tcW w:w="220" w:type="dxa"/>
            <w:vAlign w:val="bottom"/>
          </w:tcPr>
          <w:p>
            <w:pPr>
              <w:spacing w:after="0"/>
              <w:rPr>
                <w:sz w:val="11"/>
                <w:szCs w:val="11"/>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24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(501,558)</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199,517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Issuance of common stock under stock plans</w:t>
            </w:r>
          </w:p>
        </w:tc>
        <w:tc>
          <w:tcPr>
            <w:tcW w:w="12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3,115,187</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10,133</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10,136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Stock based compensation expense</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26,430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92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Common shares and pre-funded stock warrants</w:t>
            </w:r>
          </w:p>
        </w:tc>
        <w:tc>
          <w:tcPr>
            <w:tcW w:w="1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issued in offerings, net of issuance costs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22,755,438</w:t>
            </w: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211,779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211,802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Exercise of pre-funded stock warrants</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2,340,486</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(112)</w:t>
            </w: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(112)</w:t>
            </w:r>
          </w:p>
        </w:tc>
        <w:tc>
          <w:tcPr>
            <w:tcW w:w="0" w:type="dxa"/>
            <w:vAlign w:val="bottom"/>
          </w:tcPr>
          <w:p>
            <w:pPr>
              <w:spacing w:after="0"/>
              <w:rPr>
                <w:sz w:val="1"/>
                <w:szCs w:val="1"/>
                <w:color w:val="auto"/>
              </w:rPr>
            </w:pPr>
          </w:p>
        </w:tc>
      </w:tr>
      <w:tr>
        <w:trPr>
          <w:trHeight w:val="135"/>
        </w:trPr>
        <w:tc>
          <w:tcPr>
            <w:tcW w:w="29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(101,594)</w:t>
            </w:r>
          </w:p>
        </w:tc>
        <w:tc>
          <w:tcPr>
            <w:tcW w:w="120" w:type="dxa"/>
            <w:vAlign w:val="bottom"/>
          </w:tcPr>
          <w:p>
            <w:pPr>
              <w:spacing w:after="0"/>
              <w:rPr>
                <w:sz w:val="11"/>
                <w:szCs w:val="11"/>
                <w:color w:val="auto"/>
              </w:rPr>
            </w:pPr>
          </w:p>
        </w:tc>
        <w:tc>
          <w:tcPr>
            <w:tcW w:w="10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(101,594)</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9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12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135,940,454</w:t>
            </w:r>
          </w:p>
        </w:tc>
        <w:tc>
          <w:tcPr>
            <w:tcW w:w="1120" w:type="dxa"/>
            <w:vAlign w:val="bottom"/>
            <w:gridSpan w:val="2"/>
            <w:shd w:val="clear" w:color="auto" w:fill="CFF0FC"/>
          </w:tcPr>
          <w:p>
            <w:pPr>
              <w:jc w:val="right"/>
              <w:ind w:right="762"/>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136</w:t>
            </w:r>
          </w:p>
        </w:tc>
        <w:tc>
          <w:tcPr>
            <w:tcW w:w="46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948,971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224</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24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(603,152)</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346,179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-1568450</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-1568450</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-1568450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-1568450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-1568450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-890905</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-890905</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-890905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-890905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-890905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-25400</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-8255</wp:posOffset>
            </wp:positionV>
            <wp:extent cx="774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-25400</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-8255</wp:posOffset>
            </wp:positionV>
            <wp:extent cx="774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-25400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-8255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3"/>
                <w:szCs w:val="13"/>
                <w:color w:val="auto"/>
              </w:rPr>
            </w:pPr>
          </w:p>
        </w:tc>
        <w:tc>
          <w:tcPr>
            <w:tcW w:w="78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(101,594)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(130,302)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(101,744)</w:t>
            </w:r>
          </w:p>
        </w:tc>
        <w:tc>
          <w:tcPr>
            <w:tcW w:w="0" w:type="dxa"/>
            <w:vAlign w:val="bottom"/>
          </w:tcPr>
          <w:p>
            <w:pPr>
              <w:spacing w:after="0"/>
              <w:rPr>
                <w:sz w:val="1"/>
                <w:szCs w:val="1"/>
                <w:color w:val="auto"/>
              </w:rPr>
            </w:pPr>
          </w:p>
        </w:tc>
      </w:tr>
      <w:tr>
        <w:trPr>
          <w:trHeight w:val="198"/>
        </w:trPr>
        <w:tc>
          <w:tcPr>
            <w:tcW w:w="76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net cash from</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00" w:type="dxa"/>
            <w:vAlign w:val="bottom"/>
            <w:tcBorders>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3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Accretion on marketable securities</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(2,688)</w:t>
            </w:r>
          </w:p>
        </w:tc>
        <w:tc>
          <w:tcPr>
            <w:tcW w:w="20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(4,617)</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(3,394)</w:t>
            </w: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(1,763)</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3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(2,225)</w:t>
            </w:r>
          </w:p>
        </w:tc>
        <w:tc>
          <w:tcPr>
            <w:tcW w:w="0" w:type="dxa"/>
            <w:vAlign w:val="bottom"/>
          </w:tcPr>
          <w:p>
            <w:pPr>
              <w:spacing w:after="0"/>
              <w:rPr>
                <w:sz w:val="1"/>
                <w:szCs w:val="1"/>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(299)</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(825)</w:t>
            </w:r>
          </w:p>
        </w:tc>
        <w:tc>
          <w:tcPr>
            <w:tcW w:w="20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(1,184)</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(1,705)</w:t>
            </w:r>
          </w:p>
        </w:tc>
        <w:tc>
          <w:tcPr>
            <w:tcW w:w="0" w:type="dxa"/>
            <w:vAlign w:val="bottom"/>
          </w:tcPr>
          <w:p>
            <w:pPr>
              <w:spacing w:after="0"/>
              <w:rPr>
                <w:sz w:val="1"/>
                <w:szCs w:val="1"/>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(3,032)</w:t>
            </w:r>
          </w:p>
        </w:tc>
        <w:tc>
          <w:tcPr>
            <w:tcW w:w="20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(2,140)</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(2,439)</w:t>
            </w:r>
          </w:p>
        </w:tc>
        <w:tc>
          <w:tcPr>
            <w:tcW w:w="0" w:type="dxa"/>
            <w:vAlign w:val="bottom"/>
          </w:tcPr>
          <w:p>
            <w:pPr>
              <w:spacing w:after="0"/>
              <w:rPr>
                <w:sz w:val="1"/>
                <w:szCs w:val="1"/>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(62,384)</w:t>
            </w: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(29,969)</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(31,527)</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(138,886)</w:t>
            </w:r>
          </w:p>
        </w:tc>
        <w:tc>
          <w:tcPr>
            <w:tcW w:w="20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(131,501)</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(117,982)</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(1,048)</w:t>
            </w:r>
          </w:p>
        </w:tc>
        <w:tc>
          <w:tcPr>
            <w:tcW w:w="20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(754)</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(1,526)</w:t>
            </w: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224,640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327,768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(264,457)</w:t>
            </w:r>
          </w:p>
        </w:tc>
        <w:tc>
          <w:tcPr>
            <w:tcW w:w="20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(240,888)</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(310,574)</w:t>
            </w:r>
          </w:p>
        </w:tc>
        <w:tc>
          <w:tcPr>
            <w:tcW w:w="0" w:type="dxa"/>
            <w:vAlign w:val="bottom"/>
          </w:tcPr>
          <w:p>
            <w:pPr>
              <w:spacing w:after="0"/>
              <w:rPr>
                <w:sz w:val="1"/>
                <w:szCs w:val="1"/>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(40,865)</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86,126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common stock and pre-funded warrants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212,400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upon exercise of stock options and purchase of shares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under ESPP</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10,136</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300" w:type="dxa"/>
            <w:vAlign w:val="bottom"/>
            <w:tcBorders>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Return of capital from a stockholder - related party</w:t>
            </w:r>
          </w:p>
        </w:tc>
        <w:tc>
          <w:tcPr>
            <w:tcW w:w="2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of transaction costs</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0"/>
        </w:trPr>
        <w:tc>
          <w:tcPr>
            <w:tcW w:w="760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222,500</w:t>
            </w:r>
          </w:p>
        </w:tc>
        <w:tc>
          <w:tcPr>
            <w:tcW w:w="3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47,664</w:t>
            </w:r>
          </w:p>
        </w:tc>
        <w:tc>
          <w:tcPr>
            <w:tcW w:w="3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82,406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42,749</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3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72,097</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69,808</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114,846</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72,097</w:t>
            </w:r>
          </w:p>
        </w:tc>
        <w:tc>
          <w:tcPr>
            <w:tcW w:w="3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paid for leases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3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activity:</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from obtaining right-of-use assets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30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Revaluation of right-of-use asset and lease liability upon lease remeasurement</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3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-2365375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-2365375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-1396365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-1396365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-831215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-831215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4" w:name="page115"/>
    <w:bookmarkEnd w:id="11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229"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Tango Therapeutics, Inc. is a precision oncology company committed to the discovery and development of novel drugs in defined patient populations with high unmet medical need.</w:t>
      </w:r>
    </w:p>
    <w:p>
      <w:pPr>
        <w:spacing w:after="0" w:line="162" w:lineRule="exact"/>
        <w:rPr>
          <w:sz w:val="20"/>
          <w:szCs w:val="20"/>
          <w:color w:val="auto"/>
        </w:rPr>
      </w:pPr>
    </w:p>
    <w:p>
      <w:pPr>
        <w:ind w:right="60" w:firstLine="554"/>
        <w:spacing w:after="0" w:line="266" w:lineRule="auto"/>
        <w:rPr>
          <w:sz w:val="20"/>
          <w:szCs w:val="20"/>
          <w:color w:val="auto"/>
        </w:rPr>
      </w:pPr>
      <w:r>
        <w:rPr>
          <w:rFonts w:ascii="Times New Roman" w:cs="Times New Roman" w:eastAsia="Times New Roman" w:hAnsi="Times New Roman"/>
          <w:sz w:val="18"/>
          <w:szCs w:val="18"/>
          <w:color w:val="auto"/>
        </w:rPr>
        <w:t>Tango Therapeutics, Inc. (together with its consolidated subsidiaries, Tango or the Company), formerly known as BCTG Acquisition Corp. (BCTG), was incorporated in Delaware on May 21, 2020. BCTG was a special purpose acquisition company (SPAC) formed for the purpose of effecting a merger, capital stock exchange, asset acquisition, stock purchase, reorganization or similar business combination.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October 2025, the Company completed an underwritten offering and a concurrent private placement for the issuance of a total of 22,755,438 shares of common stock at a price of $8.66 per share and pre-funded warrants to purchase 3,226,458 shares of common stock at a purchase price of $8.659 per pre-funded warrant, resulting in gross proceeds of $225.0 million. The pre-funded warrants have an exercise price of $0.001 per share of common stock, are immediately exercisable and will remain exercisable until exercised in full. After deducting expenses related to the offering and private placement of $13.2 million, net proceeds were $211.8 million. Both transactions closed on October 24, 2025.</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November 2025, the Company entered into a sales agreement (the Leerink Sales Agreement) with Leerink Partners LLC (Leerink) which permits the Company to sell from time to time, at its option, up to an aggregate of $100.0 million of shares of its common stock through Leerink, as sales agent. Sales of the common stock, if any, will be made by methods deemed to be "at-the-market" stock offerings. The Leerink Sales Agreement will terminate upon the earliest of: (a) the sale of $100.0 million of shares of the Company's common stock or (b) the termination of the Leerink Sales Agreement by the Company or Leerink. As of March 2, 2026, the Company sold 4,953,078 shares of common stock under this stock offering program for gross proceeds of $62.1 million.</w:t>
      </w:r>
    </w:p>
    <w:p>
      <w:pPr>
        <w:spacing w:after="0" w:line="18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September 2022, the Company entered into a sales agreement (the Jefferies Sales Agreement) with Jefferies LLC (Jefferies) which permitted the Company to sell shares of its common stock through Jefferies, as sales agent. In November 2025, the Jefferies Sales Agreement was terminated by the Company. At the time of the termination of this Jefferies Sales Agreement, the Company sold 4,001,200 shares of common stock under this stock offering program for gross proceeds of $43.0 million.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(U.S. GAAP). The accompanying consolidated financial statements reflect the operations of Tango and its wholly owned subsidiaries. All intercompany accounts and transactions have been eliminated. The functional and reporting currency of the Company and its subsidiaries is the U.S. dollar.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requires that the Company make estimates, judgments and assumptions that may affect the reported amounts of assets, liabilities, equity, revenues and expenses and related disclosures. Significant estimates and assumptions made in the consolidated financial statements include, but are not limited to, the revenue recognized from collaboration agreements, the valuation of stock-based awards and the accrual for research and development expenses.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liabilities and equity and the amount of revenues and expenses. As of the date of issuance of these consolidated financial statements, the Company is not aware of any specific event or circumstance that would require the Company to update estimates, judgments or revise the carrying value of any assets or liabilities. Actual results may differ from these estimates under different assumptions or conditions. Changes in estimates are reflected in reported results in the period in which they become known.</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15" w:name="page116"/>
    <w:bookmarkEnd w:id="11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All highly liquid marketable securities purchased with an original maturity date of 90 days or less at the date of purchase are considered to be cash equivalents. Cash equivalents consisted of money market funds and U.S. Treasury bills as of December 31, 2025 and 2024.</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Marketable Securities</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Marketable debt securities consist of investments with original maturities greater than 90 days. The Company classifies its investments with maturities beyond one year as short-term, based on their highly liquid nature and because such marketable securities represent the investment of cash that is available for current operations. The Company considers its investment portfolio of marketable securities to be available-for-sale. Accordingly, these investments are recorded at fair value, which is based on quoted market prices. Unrealized gains are reported as a component of accumulated other comprehensive income in stockholders’ equity. Amortization and accretion of premiums and discounts are recorded in interest income. Realized gains and losses are included as a component of other income, net in the consolidated statements of operations.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evaluates its investments with unrealized losses for impairment. When assessing investments for unrealized declines in value, the Company considers whether the decline in value is related to a credit loss or non-credit loss. For credit losses, the Company reduces the investment to fair value through an allowance for credit losses recorded to the balance sheet and corresponding charge to the statement of operations. The allowance for credit losses and corresponding impairment charge is adjusted each period for changes in fair value. For non-credit losses, the Company reduces the investment to fair value through a charge to the statement of comprehensive loss, reported as a component of accumulated other comprehensive income (loss) in stockholders’ equity. No credit losses were recorded during the periods presented.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accounting standard for fair value measurements defines fair value, establishes a framework for measuring fair value in accordance with U.S. GAAP, and requires certain disclosures about fair value measurements. Under this standard, fair value is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9" w:lineRule="exact"/>
        <w:rPr>
          <w:sz w:val="20"/>
          <w:szCs w:val="20"/>
          <w:color w:val="auto"/>
        </w:rPr>
      </w:pPr>
    </w:p>
    <w:p>
      <w:pPr>
        <w:ind w:left="1140" w:right="140" w:hanging="383"/>
        <w:spacing w:after="0" w:line="282"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Fair values are determined utilizing prices (unadjusted) in active markets for identical assets or liabilities that the Company has the ability to access.</w:t>
      </w:r>
    </w:p>
    <w:p>
      <w:pPr>
        <w:spacing w:after="0" w:line="53" w:lineRule="exact"/>
        <w:rPr>
          <w:rFonts w:ascii="Times New Roman" w:cs="Times New Roman" w:eastAsia="Times New Roman" w:hAnsi="Times New Roman"/>
          <w:sz w:val="18"/>
          <w:szCs w:val="18"/>
          <w:color w:val="auto"/>
        </w:rPr>
      </w:pPr>
    </w:p>
    <w:p>
      <w:pPr>
        <w:ind w:left="1140" w:right="480" w:hanging="383"/>
        <w:spacing w:after="0" w:line="282"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Fair values are determined by utilizing quoted prices for identical or similar assets and liabilities in active markets or other market observable inputs such as interest rates, yield curves, and foreign currency spot rates.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Prices or valuations that require inputs that are both significant to the fair value measurement and unobservable.</w:t>
      </w:r>
    </w:p>
    <w:p>
      <w:pPr>
        <w:spacing w:after="0" w:line="117"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fair value of the Company’s cash equivalents and marketable securities are determined according to the fair value hierarchy described below (see Note 4). The carrying values of the Company’s accounts receivable, accounts payable and accrued expenses approximate their fair values due to the short-term nature of these assets and liabilities.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Significant Suppliers</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cash equivalents and marketable debt securities. The Company’s cash, cash equivalent and marketable securities balances are held by major financial institutions that management believes to be creditworthy. The Company uses multiple financial institutions to limit the amount of credit exposure to any one financial institution. Substantially all the Company’s cash, cash equivalent and marketable debt securities were invested in money market funds, U.S. Treasury bills, and U.S. government agency bonds at December 31, 2025 and 2024. At times, the Company’s cash deposits may exceed the amount of federal</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6" w:name="page117"/>
    <w:bookmarkEnd w:id="116"/>
    <w:p>
      <w:pPr>
        <w:ind w:right="100"/>
        <w:spacing w:after="0" w:line="282" w:lineRule="auto"/>
        <w:rPr>
          <w:sz w:val="20"/>
          <w:szCs w:val="20"/>
          <w:color w:val="auto"/>
        </w:rPr>
      </w:pPr>
      <w:r>
        <w:rPr>
          <w:rFonts w:ascii="Times New Roman" w:cs="Times New Roman" w:eastAsia="Times New Roman" w:hAnsi="Times New Roman"/>
          <w:sz w:val="18"/>
          <w:szCs w:val="18"/>
          <w:color w:val="auto"/>
        </w:rPr>
        <w:t>insurance provided on such deposits. The Company has not experienced any losses in such accounts and believes it is not exposed to significant credit risk beyond the normal credit risk associated with commercial banking relationships.</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 relies, and expects to continue to rely, on a small number of vendors to perform research activities, drug product and drug substance manufacturing, and clinical trial activities that continue to progress its product candidates for its development programs. These programs could be adversely affected by a significant interruption in the related processes of these vendors.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Cash accounts with any type of restriction are considered restricted cash and are classified on the balance sheet based on the length of the restrictive obligation. As of December 31, 2025, 2024, and 2023, the Company recorded restricted cash of $2.6 million, $2.6 million and $3.4 million, respectively, all of which was related to security deposits associated with the Company’s facility leases. For additional information on these security deposits, refer to Note 7, Leases.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reconciliation of cash and cash equivalents and restricted cash to amounts presented in the consolidated statements of cash flows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112,279</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69,530</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66,385</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2,567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3,423</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114,846</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72,097</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69,808</w:t>
            </w: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Investments in non-marketable equity securities of privately-held companies that do not have readily determinable fair values are carried at cost, less any impairments, plus or minus changes resulting from observable price changes in orderly transactions for the identical or a similar investment of the same issuer. Each period the Company assesses relevant transactions to identify observable price changes, and the Company regularly monitors these investments to evaluate whether there is an indication of impairment. The Company evaluates whether an investment’s fair value is less than its carrying value using an estimate of fair value, if such an estimate is available. For periods in which there is no estimate of fair value, the Company evaluates whether an event or change in circumstances has occurred that may have a significant adverse effect on the value of the investment.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 is recognized using the straight-line method over the estimated useful lives of each asset. Estimated useful lives are periodically assessed for reasonableness. The estimated useful lives of the Company’s property and equipment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20" w:type="dxa"/>
            <w:vAlign w:val="bottom"/>
          </w:tcPr>
          <w:p>
            <w:pPr>
              <w:spacing w:after="0"/>
              <w:rPr>
                <w:sz w:val="15"/>
                <w:szCs w:val="15"/>
                <w:color w:val="auto"/>
              </w:rPr>
            </w:pPr>
          </w:p>
        </w:tc>
        <w:tc>
          <w:tcPr>
            <w:tcW w:w="6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0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shd w:val="clear" w:color="auto" w:fill="CFF0FC"/>
          </w:tcPr>
          <w:p>
            <w:pPr>
              <w:spacing w:after="0"/>
              <w:rPr>
                <w:sz w:val="18"/>
                <w:szCs w:val="18"/>
                <w:color w:val="auto"/>
              </w:rPr>
            </w:pPr>
          </w:p>
        </w:tc>
        <w:tc>
          <w:tcPr>
            <w:tcW w:w="6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20" w:type="dxa"/>
            <w:vAlign w:val="bottom"/>
          </w:tcPr>
          <w:p>
            <w:pPr>
              <w:spacing w:after="0"/>
              <w:rPr>
                <w:sz w:val="18"/>
                <w:szCs w:val="18"/>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shd w:val="clear" w:color="auto" w:fill="CFF0FC"/>
          </w:tcPr>
          <w:p>
            <w:pPr>
              <w:spacing w:after="0"/>
              <w:rPr>
                <w:sz w:val="18"/>
                <w:szCs w:val="18"/>
                <w:color w:val="auto"/>
              </w:rPr>
            </w:pPr>
          </w:p>
        </w:tc>
        <w:tc>
          <w:tcPr>
            <w:tcW w:w="6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20" w:type="dxa"/>
            <w:vAlign w:val="bottom"/>
          </w:tcPr>
          <w:p>
            <w:pPr>
              <w:spacing w:after="0"/>
              <w:rPr>
                <w:sz w:val="18"/>
                <w:szCs w:val="18"/>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FF0FC"/>
          </w:tcPr>
          <w:p>
            <w:pPr>
              <w:spacing w:after="0"/>
              <w:rPr>
                <w:sz w:val="18"/>
                <w:szCs w:val="18"/>
                <w:color w:val="auto"/>
              </w:rPr>
            </w:pPr>
          </w:p>
        </w:tc>
        <w:tc>
          <w:tcPr>
            <w:tcW w:w="6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Shorter of remaining lease term or 10 years</w:t>
            </w:r>
          </w:p>
        </w:tc>
      </w:tr>
    </w:tbl>
    <w:p>
      <w:pPr>
        <w:spacing w:after="0" w:line="19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reviews long-lived assets, such as property and equipment, for impairment when events or changes in circumstances indicate the carrying value of the assets may not be recoverable. If indicators of impairment are present, the assets are tested for recoverability by comparing the carrying amount of the assets to the related estimated future undiscounted cash flows that the assets are expected to generate. If the expected cash flows are less than the carrying value of the asset group, then the asset group is considered to be impaired and its carrying value is written down to fair value, based on the related estimated discounted future cash flows. To date, no such impairment losses have been recorded.</w:t>
      </w:r>
    </w:p>
    <w:p>
      <w:pPr>
        <w:spacing w:after="0" w:line="183"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Costs for assets not yet placed into service are capitalized as construction-in-progress and depreciated or amortized in accordance with the above useful lives once placed into service. Upon retirement or sale, the related cost and accumulated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t>depreciation and amortization are removed from the accounts and any resulting gain or loss is included in the consolidated statements of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Repairs and maintenance costs are expensed as incurred.</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specific facts and circumstances and the existence of an identified asset(s), if any, and its control over the use of the identified asset(s), if applicable. Upon lease commencement, operating lease liabilities and their corresponding right-of-use assets are recorded on the balance sheet based at the present value of lease payments over the expected lease term. Leases with an initial term of 12 months or less are not recorded on the balance sheet. Lease expense is recognized over the expected term on a straight-line basis.</w:t>
      </w:r>
    </w:p>
    <w:p>
      <w:pPr>
        <w:spacing w:after="0" w:line="183"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Lease payments are discounted at the lease commencement date using the interest rate implicit in the lease contract. As this rate is typically not readily determinable, the Company determines an incremental borrowing rate that is used to discount lease payments, which reflects the fixed rate at which the Company could borrow on a collateralized basis the amount of the lease payments in the same currency, for a similar term, in a similar economic environment. Certain prospective adjustments to the right-of-use asset may be required for items such as initial direct costs paid or incentives received.</w:t>
      </w:r>
    </w:p>
    <w:p>
      <w:pPr>
        <w:spacing w:after="0" w:line="16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elected to account for lease and non-lease components as a single lease component, however non-lease components that are variable, such as common area maintenance and utilities, are generally paid separately from rent based on actual costs incurred and therefore are not included in the right-of-use asset and operating lease liability and are reflected as an expense in the period incurred. The Company’s lease terms often include renewal options. The amounts determined for the Company’s right-of-use assets and lease liabilities generally do not assume that any renewal options or any early-termination provisions, if any, are exercised, unless it is reasonably certain that the Company will exercise such options.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At contract inception, the Company assesses whether the collaboration arrangements are within the scope of ASC Topic 808, Collaborative Arrangements, or 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based on the responsibilities of all parties in the arrangement. For collaboration arrangements within the scope of ASC 808 that contain multiple elements, the Company first determines which elements of the arrangement are within the scope of ASC 808 and which elements are within the scope of ASC 606 (as described below). For elements of collaboration arrangements that are accounted for pursuant to ASC 808, an appropriate recognition method is determined and applied consistently, either by analogy to authoritative accounting literature or by applying a reasonable and rational policy election. To date, the Company has not entered into any arrangements within the scope of ASC 808.</w:t>
      </w:r>
    </w:p>
    <w:p>
      <w:pPr>
        <w:spacing w:after="0" w:line="19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Company’s revenues were primarily generated through its license and collaboration agreements with Gilead. Refer to Note 3, “Collaboration Agreements” elsewhere in these notes to the Company's consolidated financial statements.</w:t>
      </w:r>
    </w:p>
    <w:p>
      <w:pPr>
        <w:spacing w:after="0" w:line="162"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The Company recognizes revenue in accordance with ASC Topic 606, Revenue from Contracts with Customers.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performance obligations are satisfied. The Company only applies this framework to contracts when it is likely that the entity will collect the consideration it is entitled to in exchange for the goods or services it transfers to the customer. At contract inception, once the contract is determined to be within the scope of ASC 606, the Company assesses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The Company then allocates the transaction price (that is, the amount of consideration the Company expects to be entitled to from a customer in exchange for the promised goods or services) to each performance obligation and recognizes the associated revenue when (or as) each performance obligation is satisfied. The Company’s estimate of the transaction price for each contract includes all variable consideration to which the Company expects to be entitled, subject to the constraint on variable consideration. Variable consideration is not constrained if the potential reversal of cumulative revenue recognized at the contract level is not significant.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8" w:name="page119"/>
    <w:bookmarkEnd w:id="118"/>
    <w:p>
      <w:pPr>
        <w:jc w:val="both"/>
        <w:ind w:right="220" w:firstLine="509"/>
        <w:spacing w:after="0" w:line="269" w:lineRule="auto"/>
        <w:rPr>
          <w:sz w:val="20"/>
          <w:szCs w:val="20"/>
          <w:color w:val="auto"/>
        </w:rPr>
      </w:pPr>
      <w:r>
        <w:rPr>
          <w:rFonts w:ascii="Times New Roman" w:cs="Times New Roman" w:eastAsia="Times New Roman" w:hAnsi="Times New Roman"/>
          <w:sz w:val="17"/>
          <w:szCs w:val="17"/>
          <w:color w:val="auto"/>
        </w:rPr>
        <w:t>In determining the appropriate amount of revenue to be recognized as the Company fulfills its obligations under active agreements, the Company must use its judgment to determine: (a) the number of performance obligations based on the determination under step (ii) above; (b) the transaction price under step (iii) above; (c) the stand-alone selling price for each performance obligation identified in the contract for the allocation of transaction price in step (iv) above; and (d) the contract term and pattern of satisfaction of the performance obligations under step (v) above. The Company uses judgment to determine whether milestones or other variable consideration, except for royalties, should be included in the transaction price as described further below.</w:t>
      </w:r>
    </w:p>
    <w:p>
      <w:pPr>
        <w:spacing w:after="0" w:line="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transaction price is allocated to the identified performance obligations on a relative stand-alone selling price basis, for which the Company recognizes revenue as or when the performance obligations under the contract are satisfied. In certain instances, the timing of satisfying these obligations can be difficult to estimate. Accordingly, the Company’s estimates may change in the future and those changes could be material. Such changes to estimates would result in a change in amounts of revenue recognized. If these estimates and judgments change over the course of these agreements, it may affect the timing and amount of revenue that the Company recognizes and records in future periods.</w:t>
      </w:r>
    </w:p>
    <w:p>
      <w:pPr>
        <w:spacing w:after="0" w:line="18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Amounts due to the Company for satisfying the revenue recognition criteria or that are contractually due based upon the terms of the collaboration agreements are recorded as accounts receivable in the Company’s consolidated balance sheet. Amounts received prior to satisfying the revenue recognition criteria are recorded as deferred revenue in the Company’s consolidated balance sheets. Amounts expected to be recognized as revenue within the one year following the balance sheet date are classified as current deferred revenue. Amounts not expected to be recognized as revenue within the one year following the balance sheet date are classified as deferred revenue, net of current portion. Amounts recognized as revenue, but not yet received or invoiced are generally recognized as contract assets.</w:t>
      </w:r>
    </w:p>
    <w:p>
      <w:pPr>
        <w:spacing w:after="0" w:line="18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Exclusive License Rights </w:t>
      </w:r>
      <w:r>
        <w:rPr>
          <w:rFonts w:ascii="Times New Roman" w:cs="Times New Roman" w:eastAsia="Times New Roman" w:hAnsi="Times New Roman"/>
          <w:sz w:val="18"/>
          <w:szCs w:val="18"/>
          <w:color w:val="auto"/>
        </w:rPr>
        <w:t>— If the license to the Company’s intellectual property is determined to be distinct from the other promises or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identified in the arrangement, which generally include research and development services, the Company recognizes revenue from non-refundable, upfront fees allocated to the license when the license is transferred to the customer and the customer is able to use and benefit from the license. In assessing whether a license is distinct from the other promises, the Company considers relevant facts and circumstances of each arrangement, including the research and development capabilities of the collaboration partner and the availability of the associated expertise in the general marketplace. In addition, the Company considers whether the collaboration partner can benefit from the license for its intended purpose without the receipt of the remaining promises, whether the value of the license is dependent on the unsatisfied promises, whether there are other vendors that could provide the remaining promises and whether it is separately identifiable from the remaining promises. For licenses that are combined with other promises, the Company utilizes judgment to assess the nature of the combined performance obligation and whether the license is the predominant promise within the combined performance obligation to determine whether the combined performance obligation is satisfied over time or at a point in time and, if over time, the appropriate method of measuring progress for purposes of recognizing revenue. If the license is the predominant promise, and it is determined that the license represents functional intellectual property (“IP”), revenue is recognized at the point in time when control of the license is transferred. If it is determined that the license does not represent functional IP, revenue is recognized over time using an appropriate method of measuring progress.</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Services </w:t>
      </w:r>
      <w:r>
        <w:rPr>
          <w:rFonts w:ascii="Times New Roman" w:cs="Times New Roman" w:eastAsia="Times New Roman" w:hAnsi="Times New Roman"/>
          <w:sz w:val="18"/>
          <w:szCs w:val="18"/>
          <w:color w:val="auto"/>
        </w:rPr>
        <w:t>— The obligations under the Company’s collaboration agreements may include research and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to be performed by the Company to benefit the collaboration partner. For performance obligations that include research and development services, the Company generally recognizes revenue allocated to such performance obligations based on an appropriate measure of progress. The Company utilizes judgment to determine the appropriate method of measuring progress for purposes of recognizing revenue, which is generally an input measure such as costs incurred. The Company evaluates the measure of progress each reporting period and, if necessary, adjusts the measure of performance and related revenue recognition. The measure of progress, and thereby periods of which revenue should be recognized, are subject to estimates by management and may change over the course of the contract. Reimbursements from the partner that are the result of a collaborative relationship with the partner, instead of a customer relationship, such as co-development activities, are recorded as a reduction to research and development expense. No collaborative arrangements existed that would result in such reimbursements for the periods presented.</w:t>
      </w:r>
    </w:p>
    <w:p>
      <w:pPr>
        <w:spacing w:after="0" w:line="18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Customer Options </w:t>
      </w:r>
      <w:r>
        <w:rPr>
          <w:rFonts w:ascii="Times New Roman" w:cs="Times New Roman" w:eastAsia="Times New Roman" w:hAnsi="Times New Roman"/>
          <w:sz w:val="18"/>
          <w:szCs w:val="18"/>
          <w:color w:val="auto"/>
        </w:rPr>
        <w:t>— The Company’s arrangements may provide a collaborator with the right to acquire additional goods or services in the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these agreements, fees may be due to the Company (i) upon the exercise of the customer option or (ii) in equal installment payments over an agreed upon period. If an arrangement is determined to contain customer options that allow the customer to acquire additional goods or services, the additional goods and services underlying the customer options are evaluated in order to determine if these additional goods or services are distinct from those included as a performance obligation at the outset of the arrangement. If the additional services are not determined to be distinct, the variable consideration pertaining to the customer option is added to the initial transaction price at the time in which the option exercise becomes probable, so long as a potential for reversal of cumulative revenue recognized at the contract level is not significant. Any such adjustments to the transaction price are recorded on a cumulative catch-up basis,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9" w:name="page120"/>
    <w:bookmarkEnd w:id="119"/>
    <w:p>
      <w:pPr>
        <w:ind w:right="20"/>
        <w:spacing w:after="0" w:line="277" w:lineRule="auto"/>
        <w:rPr>
          <w:sz w:val="20"/>
          <w:szCs w:val="20"/>
          <w:color w:val="auto"/>
        </w:rPr>
      </w:pPr>
      <w:r>
        <w:rPr>
          <w:rFonts w:ascii="Times New Roman" w:cs="Times New Roman" w:eastAsia="Times New Roman" w:hAnsi="Times New Roman"/>
          <w:sz w:val="17"/>
          <w:szCs w:val="17"/>
          <w:color w:val="auto"/>
        </w:rPr>
        <w:t>which would affect revenues and earnings in the period of adjustment. If the additional services are distinct,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inception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16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 At the inception of an arrangement that includes development milestone payments, the Company evaluates whether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milestones are considered likely of being achieved and estimates the amount to be included in the transaction price using the most likely amount method. If it is probable that a significant reversal of cumulative revenue recognized would not occur, the associated milestone value is included in the transaction price. Milestone payments that are not within the control of the Company,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revenue reversal would not occur.</w:t>
      </w:r>
    </w:p>
    <w:p>
      <w:pPr>
        <w:spacing w:after="0" w:line="19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 For arrangements that include sales-based royalties, including milestone payments based on a level of sales, where the license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licensing agreements.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drug discovery efforts and the development of our product candidates. These expenses include salaries, employee benefits, and stock-based compensation expense for our research and development personnel, materials, supplies, depreciation on and maintenance of research equipment, the cost of services provided by outside CROs, vendors, and consultants to conduct research and development activities including costs of clinical trials, manufacturing, and other development activities, as well as the allocable portions of facility costs, such as rent, utilities, and general support services. All costs incurred to fulfill the Company’s obligations under the collaboration with Gilead were classified as research and development expenses. All costs associated with research and development are expensed as incurred.</w:t>
      </w:r>
    </w:p>
    <w:p>
      <w:pPr>
        <w:spacing w:after="0" w:line="187"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Management estimates the Company’s accrued research and development expenses as of each balance sheet date in the Company’s financial statements based on facts and circumstances known to the Company at that time. If the actual timing of the performance of services or the level of effort varies from the estimate, the Company will adjust the accrual accordingly. Nonrefundable advance payments for goods and services are deferred and recognized as expense in the period that the related goods are consumed or services are performed.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22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measures the cost of employee services received in exchange for stock-based awards based on the grant-date fair value of the awards. The Company calculates the fair value of restricted stock awards based on the grant date fair value of the underlying common stock. The Company recognizes stock-based compensation expense on a straight-line basis over the requisite service period of the awards for service-based awards, which is generally the vesting period. The Company recognizes stock-based compensation for performance-based awards when the underlying performance conditions are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t>considered probable of occurrence and recognizes the cumulative effect of current and prior period changes in the period of change.</w:t>
      </w:r>
    </w:p>
    <w:p>
      <w:pPr>
        <w:spacing w:after="0" w:line="225"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common stock underlying stock-based awards is based on an estimate at each grant date using the market price of our common stock and each of the assumptions discussed below.</w:t>
      </w:r>
    </w:p>
    <w:p>
      <w:pPr>
        <w:spacing w:after="0" w:line="160"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of the stock options is estimated using the “simplified method,” as prescribed in SEC’s Staff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Bulletin (SAB) No. 107, as the Company has limited historical information from which to develop reasonable expectations about future exercise patterns and post-vesting employment termination behavior for its stock option grants. The simplified method is the midpoint between the vesting period and the contractual term of the option.</w:t>
      </w:r>
    </w:p>
    <w:p>
      <w:pPr>
        <w:spacing w:after="0" w:line="180" w:lineRule="exact"/>
        <w:rPr>
          <w:sz w:val="20"/>
          <w:szCs w:val="20"/>
          <w:color w:val="auto"/>
        </w:rPr>
      </w:pPr>
    </w:p>
    <w:p>
      <w:pPr>
        <w:ind w:right="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Since there is limited historical data for the Company’s common stock and limited company-specific historical volatility,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has determined the share price volatility for options granted based on an analysis of the volatility used by a peer group of publicly traded companies. In evaluating similarity, the Company considers factors such as industry, stage of life cycle and size.</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rate is based on the U.S. Treasury yield curve commensurate with the expected life of the option.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Dividend Rate </w:t>
      </w:r>
      <w:r>
        <w:rPr>
          <w:rFonts w:ascii="Times New Roman" w:cs="Times New Roman" w:eastAsia="Times New Roman" w:hAnsi="Times New Roman"/>
          <w:sz w:val="18"/>
          <w:szCs w:val="18"/>
          <w:color w:val="auto"/>
        </w:rPr>
        <w:t>— The expected dividend is assumed to be zero as the Company has never paid dividends and has no current plans to do so.</w:t>
      </w:r>
    </w:p>
    <w:p>
      <w:pPr>
        <w:spacing w:after="0" w:line="22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assumptions used in estimating the fair value of stock-based awards represent management’s estimate and involve inherent uncertainties and the application of management’s judgment. As a result, if factors change and management uses different assumptions, stock-based compensation expense could be materially different for future awards.</w:t>
      </w:r>
    </w:p>
    <w:p>
      <w:pPr>
        <w:spacing w:after="0" w:line="176"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Stock-based compensation is classified in the accompanying consolidated statements of operations and comprehensive loss based on the function to which the related services are provided. Forfeitures are accounted for as they occur. Any consideration paid by employees on exercising stock options and the corresponding portion previously credited to additional paid-in capital are credited to share capital.</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corresponding to the enactment date. A valuation allowance is established when it is more likely than not that all or some portion of the deferred tax assets will not be realized through generating sufficient future taxable income.</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assesses all material positions taken in any income tax return, including all significant uncertain positions, in all tax years that are still subject to assessment or challenge by relevant taxing authorities. The Company may recognize the tax benefit from an uncertain tax position only if it is more likely than not such tax position will be sustained on examination by the taxing authorities, based solely on the technical merits of the respective tax position. The tax benefits recognized in the financial statements from such a tax position should be measured based on the largest benefit having a more likely than not likelihood of being realized upon ultimate settlement with the tax authority. The recognition and measurement of tax benefits requires significant judgments that are subject to change as new information becomes available.</w:t>
      </w:r>
    </w:p>
    <w:p>
      <w:pPr>
        <w:spacing w:after="0" w:line="187"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Penalties and interest expense related to income taxes are included as components of income tax expense and interest expense, respectively, as necessary.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Comprehensive income (loss) includes net income (loss) as well as other changes in stockholders’ equity that result from transactions and economic events other than those with stockholders. The Company’s only element of other</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21" w:name="page122"/>
    <w:bookmarkEnd w:id="121"/>
    <w:p>
      <w:pPr>
        <w:ind w:right="740"/>
        <w:spacing w:after="0" w:line="282" w:lineRule="auto"/>
        <w:rPr>
          <w:sz w:val="20"/>
          <w:szCs w:val="20"/>
          <w:color w:val="auto"/>
        </w:rPr>
      </w:pPr>
      <w:r>
        <w:rPr>
          <w:rFonts w:ascii="Times New Roman" w:cs="Times New Roman" w:eastAsia="Times New Roman" w:hAnsi="Times New Roman"/>
          <w:sz w:val="18"/>
          <w:szCs w:val="18"/>
          <w:color w:val="auto"/>
        </w:rPr>
        <w:t>comprehensive income (loss) for the years ended December 31, 2025, 2024, and 2023 was unrealized gains (losses) on investments in marketable securities.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net loss by the weighted-average number of shares of common shares outstanding during each reporting period. The weighted-average number of shares of common stock outstanding used in the basic net loss per share calculation does not include unvested restricted stock awards as these instruments are considered contingently issuable shares until they vest. Diluted net loss per share attributable to common stockholders includes the effect, if any, from the potential exercise or conversion of securities, such as convertible preferred stock and stock options,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The Company’s unvested restricted stock entitles the holder to participate in dividends and earnings of the Company, and, if the Company were to recognize net income, it would apply the two-class method to calculate earnings per share. The two-class method is not applicable during periods with a net loss, as the holders of the unvested restricted stock have no obligation to fund losses.</w:t>
      </w:r>
    </w:p>
    <w:p>
      <w:pPr>
        <w:spacing w:after="0" w:line="188"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The two-class method of computing net loss per share would be applicable in a reporting period that resulted in a net income position,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8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Issued and unexercised pre-funded warrants are classified as a component of permanent equity in the Company's consolidated balance sheet as they are freestanding financial instruments that are immediately exercisable, do not embody an obligation for the Company to repurchase its own shares and permit the holders to receive a fixed number of shares of common stock upon exercise. All shares underlying pre-funded warrants are included in the weighted-average number of shares of common stock used to calculate basic and diluted net loss per common share because the shares may be issued for little or no consideration, are fully vested and are exercisable after the original issuance date of the pre-funded warrants.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before the financial statements are issued to provide</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additional evidence relative to certain estimates or to identify matters that require additional disclosure. Subsequent events have been evaluated as required.</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standard is intended to enhance the existing income tax disclosures to provide information to better assess how an entity’s operations and related tax risks and tax planning and operational opportunities affect its tax rate and prospects for future cash flows. The standard is effective for annual periods beginning after December 15, 2024. The Company adopted ASU 2023-09 during the year ended December 31, 2025 on a prospective basis. The expanded disclosures are included in the consolidated financial statements.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the Company adopts as of the specified effective date. Unless otherwise discussed below,</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2" w:name="page123"/>
    <w:bookmarkEnd w:id="122"/>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does not believe that the adoption of recently issued standards have or may have a material impact on its consolidated financial statements and disclosures.</w:t>
      </w:r>
    </w:p>
    <w:p>
      <w:pPr>
        <w:spacing w:after="0" w:line="16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The standard is intended to require more detailed disclosures about specified categories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expenses (including employee compensation, depreciation, and amortization)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evaluating the potential impact of this adoption on the consolidated financial statements and related disclosures.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Collaboration Agreements</w:t>
      </w:r>
    </w:p>
    <w:p>
      <w:pPr>
        <w:spacing w:after="0" w:line="22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October 2018, the Company entered into a Research Collaboration and License Agreement (the 2018 Gilead Agreement) with Gilead Sciences, Inc. (Gilead). Pursuant to the terms of the 2018 Gilead Agreement, the Company received an initial upfront payment of $50.0 million. Gilead had the option to obtain exclusive, worldwide licenses to develop and commercialize up to five validated programs (Gilead Program License).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August 2020, the Company and Gilead entered into an Amended Research Collaboration and License Agreement (the Gilead Agreement), which superseded and replaced the 2018 Gilead Agreement. The Gilead Agreement represents a continuation of the initial target discovery and validation research and development efforts begun under the 2018 Gilead Agreement. Under the Gilead Agreement:</w:t>
      </w:r>
    </w:p>
    <w:p>
      <w:pPr>
        <w:spacing w:after="0" w:line="68" w:lineRule="exact"/>
        <w:rPr>
          <w:sz w:val="20"/>
          <w:szCs w:val="20"/>
          <w:color w:val="auto"/>
        </w:rPr>
      </w:pPr>
    </w:p>
    <w:p>
      <w:pPr>
        <w:ind w:left="1140" w:right="280" w:hanging="383"/>
        <w:spacing w:after="0" w:line="282" w:lineRule="auto"/>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upfront, non-refundable consideration of $125.0 million from Gilead upon execution of the Gilead Agreement in 2020;</w:t>
      </w:r>
    </w:p>
    <w:p>
      <w:pPr>
        <w:spacing w:after="0" w:line="53" w:lineRule="exact"/>
        <w:rPr>
          <w:rFonts w:ascii="Times New Roman" w:cs="Times New Roman" w:eastAsia="Times New Roman" w:hAnsi="Times New Roman"/>
          <w:sz w:val="18"/>
          <w:szCs w:val="18"/>
          <w:color w:val="auto"/>
        </w:rPr>
      </w:pPr>
    </w:p>
    <w:p>
      <w:pPr>
        <w:ind w:left="1140" w:right="100" w:hanging="383"/>
        <w:spacing w:after="0" w:line="282" w:lineRule="auto"/>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2018 Gilead Agreement ended on the date the Gilead Agreement was executed. The Gilead Agreement has a research term of seven years;</w:t>
      </w:r>
    </w:p>
    <w:p>
      <w:pPr>
        <w:spacing w:after="0" w:line="53" w:lineRule="exact"/>
        <w:rPr>
          <w:rFonts w:ascii="Times New Roman" w:cs="Times New Roman" w:eastAsia="Times New Roman" w:hAnsi="Times New Roman"/>
          <w:sz w:val="18"/>
          <w:szCs w:val="18"/>
          <w:color w:val="auto"/>
        </w:rPr>
      </w:pPr>
    </w:p>
    <w:p>
      <w:pPr>
        <w:ind w:left="1140" w:right="660" w:hanging="383"/>
        <w:spacing w:after="0" w:line="282" w:lineRule="auto"/>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expanded its option to license up to 15 programs for which Gilead may obtain exclusive, worldwide licenses to develop and commercialize therapies, subject to applicable license fees;</w:t>
      </w:r>
    </w:p>
    <w:p>
      <w:pPr>
        <w:spacing w:after="0" w:line="53" w:lineRule="exact"/>
        <w:rPr>
          <w:rFonts w:ascii="Times New Roman" w:cs="Times New Roman" w:eastAsia="Times New Roman" w:hAnsi="Times New Roman"/>
          <w:sz w:val="18"/>
          <w:szCs w:val="18"/>
          <w:color w:val="auto"/>
        </w:rPr>
      </w:pPr>
    </w:p>
    <w:p>
      <w:pPr>
        <w:jc w:val="both"/>
        <w:ind w:left="1140" w:right="480" w:hanging="383"/>
        <w:spacing w:after="0" w:line="266" w:lineRule="auto"/>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exercising its option to license a program, Gilead may “extend” such program, in which case Gilead will pay research option-extension fees and the Company will continue to collaborate with Gilead to discover and develop programs, potentially through early clinical development;</w:t>
      </w:r>
    </w:p>
    <w:p>
      <w:pPr>
        <w:spacing w:after="0" w:line="67" w:lineRule="exact"/>
        <w:rPr>
          <w:rFonts w:ascii="Times New Roman" w:cs="Times New Roman" w:eastAsia="Times New Roman" w:hAnsi="Times New Roman"/>
          <w:sz w:val="18"/>
          <w:szCs w:val="18"/>
          <w:color w:val="auto"/>
        </w:rPr>
      </w:pPr>
    </w:p>
    <w:p>
      <w:pPr>
        <w:ind w:left="1140" w:hanging="383"/>
        <w:spacing w:after="0" w:line="261" w:lineRule="auto"/>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has the option to “reserve” a target during which Gilead may: (i) license the target, (ii) “extend” the target, or (iii) decline the target, during the designated reserve target period. If, during the reserve target period Tango elects to work on the reserved target, Tango will retain full rights to the target program and Gilead receives a right of first negotiation in connection with any future partnering or licensing of such target by Tango, if any; and</w:t>
      </w:r>
    </w:p>
    <w:p>
      <w:pPr>
        <w:spacing w:after="0" w:line="71"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up to five programs licensed by Gilead, the Company has the option to co-develop and co-promote the lead product in the U.S., subject to certain exceptions, and is eligible to receive tiered royalties in the first decile on ex-U.S. sales.</w:t>
      </w:r>
    </w:p>
    <w:p>
      <w:pPr>
        <w:spacing w:after="0" w:line="162"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In August 2025, the Company and Gilead mutually agreed to truncate the research term of the collaboration and license agreement from seven to five years, concluding the research portion of the collaboration. There was no financial penalty to the Company as a result, no licensed programs were returned to the Company, all ongoing work at Gilead on licensed programs will continue and agreements for all future milestones and royalties remain in effect. The Company has no future research obligations and the remaining unrecognized deferred revenue balance at the time of truncating the collaboration agreement of $53.8 million was recognized as revenue in the third quarter of 2025.</w:t>
      </w:r>
    </w:p>
    <w:p>
      <w:pPr>
        <w:spacing w:after="0" w:line="183"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Company remains eligible to receive up to $300.0 million per program in clinical, regulatory, and commercial milestones and royalties on future sales of commercialized products, if any.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Gilead Collaboration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3" w:name="page124"/>
    <w:bookmarkEnd w:id="123"/>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Gilead Agreement is accounted for under ASC 606. The Company identified a single combined performance obligation under the Gilead Agreement consisting of the research services and continued participation on the joint steering committee during the research term. For research option-extension fees, the Company determined that the additional goods and services relating to the continued research services were not distinct from the early-stage research services already promised to Gilead under the on-going research plan. Consideration pertaining to each of the research option-extensions is paid to the Company in equal quarterly installment payments over an agreed upon payment schedule. The research option-extension consideration are added to the transaction price under the Gilead Agreement. License fees are recognized as revenue immediately as the Company has no continued involvement in the advancement of the program, Gilead can benefit from the license on its own, and the license is separately identifiable from the research services.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Gilead Revenue Recognized</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total transaction price allocated to the combined performance obligation under the Gilead Agreement was $199.0 million at December 31, 2025. The total transaction price was comprised of the $50.0 million upfront payment pursuant to the 2018 Gilead Agreement, the $125.0 million upfront payment pursuant to the Gilead Agreement, and $24.0 million payment pursuant to the research option-extension fee in December 2020 and in September 2021. During the years ended December 31, 2025, 2024, and 2023 the Company recognized $62.4 million, $30.0 million, and $31.5 million, respectively, of collaboration revenue associated with the Gilead agreements based on performance completed during each period.</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The Company had no short-term or long-term deferred revenue as of December 31, 2025 and had $17.6 million short-term and $44.8 million long-term deferred revenue as of December 31, 2024 related to the Gilead collaboration.</w:t>
      </w:r>
    </w:p>
    <w:p>
      <w:pPr>
        <w:spacing w:after="0" w:line="18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June 2023, Gilead licensed a drug discovery program for a $5.0 million license fee. In June 2024, Gilead licensed a drug discovery program for a $12.0 million license fee. These license fees were recognized as revenue in the second quarter of 2024 and 2023, respectively, as the Company has no continued involvement in the advancement of the program, Gilead can benefit from the license on its own, and the license is separately identifiable from the research services.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Costs incurred pursuant to the Gilead Agreement and the 2018 Gilead Agreement are recorded as research and development expense.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 Market Value Measurements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3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50,234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50,234</w:t>
            </w:r>
          </w:p>
        </w:tc>
      </w:tr>
      <w:tr>
        <w:trPr>
          <w:trHeight w:val="216"/>
        </w:trPr>
        <w:tc>
          <w:tcPr>
            <w:tcW w:w="3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1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4,970</w:t>
            </w: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4,970</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1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134,769</w:t>
            </w: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134,769</w:t>
            </w:r>
          </w:p>
        </w:tc>
      </w:tr>
      <w:tr>
        <w:trPr>
          <w:trHeight w:val="216"/>
        </w:trPr>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96,090</w:t>
            </w:r>
          </w:p>
        </w:tc>
        <w:tc>
          <w:tcPr>
            <w:tcW w:w="340" w:type="dxa"/>
            <w:vAlign w:val="bottom"/>
          </w:tcPr>
          <w:p>
            <w:pPr>
              <w:spacing w:after="0"/>
              <w:rPr>
                <w:sz w:val="18"/>
                <w:szCs w:val="18"/>
                <w:color w:val="auto"/>
              </w:rPr>
            </w:pP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96,090</w:t>
            </w:r>
          </w:p>
        </w:tc>
      </w:tr>
      <w:tr>
        <w:trPr>
          <w:trHeight w:val="20"/>
        </w:trPr>
        <w:tc>
          <w:tcPr>
            <w:tcW w:w="3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50,234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235,829</w:t>
            </w:r>
          </w:p>
        </w:tc>
        <w:tc>
          <w:tcPr>
            <w:tcW w:w="340" w:type="dxa"/>
            <w:vAlign w:val="bottom"/>
            <w:shd w:val="clear" w:color="auto" w:fill="CFF0FC"/>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286,063</w:t>
            </w:r>
          </w:p>
        </w:tc>
      </w:tr>
      <w:tr>
        <w:trPr>
          <w:trHeight w:val="20"/>
        </w:trPr>
        <w:tc>
          <w:tcPr>
            <w:tcW w:w="390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520"/>
        </w:trPr>
        <w:tc>
          <w:tcPr>
            <w:tcW w:w="3900" w:type="dxa"/>
            <w:vAlign w:val="bottom"/>
          </w:tcPr>
          <w:p>
            <w:pPr>
              <w:spacing w:after="0"/>
              <w:rPr>
                <w:sz w:val="24"/>
                <w:szCs w:val="24"/>
                <w:color w:val="auto"/>
              </w:rPr>
            </w:pPr>
          </w:p>
        </w:tc>
        <w:tc>
          <w:tcPr>
            <w:tcW w:w="2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F-17</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9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-864870</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-848360</wp:posOffset>
            </wp:positionV>
            <wp:extent cx="774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-864870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-848360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-864870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-848360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Fair Market Value Measurements</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4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142"/>
        </w:trPr>
        <w:tc>
          <w:tcPr>
            <w:tcW w:w="4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00" w:type="dxa"/>
            <w:vAlign w:val="bottom"/>
            <w:gridSpan w:val="3"/>
          </w:tcPr>
          <w:p>
            <w:pPr>
              <w:jc w:val="center"/>
              <w:ind w:right="548"/>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9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14,915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center"/>
              <w:ind w:right="66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14,915</w:t>
            </w:r>
          </w:p>
        </w:tc>
      </w:tr>
      <w:tr>
        <w:trPr>
          <w:trHeight w:val="216"/>
        </w:trPr>
        <w:tc>
          <w:tcPr>
            <w:tcW w:w="4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1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10,112</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10,112</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1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176,374</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176,374</w:t>
            </w: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12,013</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12,013</w:t>
            </w:r>
          </w:p>
        </w:tc>
      </w:tr>
      <w:tr>
        <w:trPr>
          <w:trHeight w:val="20"/>
        </w:trPr>
        <w:tc>
          <w:tcPr>
            <w:tcW w:w="4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7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14,915</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198,499</w:t>
            </w:r>
          </w:p>
        </w:tc>
        <w:tc>
          <w:tcPr>
            <w:tcW w:w="1080" w:type="dxa"/>
            <w:vAlign w:val="bottom"/>
            <w:gridSpan w:val="2"/>
            <w:shd w:val="clear" w:color="auto" w:fill="CFF0FC"/>
          </w:tcPr>
          <w:p>
            <w:pPr>
              <w:jc w:val="center"/>
              <w:ind w:right="66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213,414</w:t>
            </w:r>
          </w:p>
        </w:tc>
      </w:tr>
      <w:tr>
        <w:trPr>
          <w:trHeight w:val="20"/>
        </w:trPr>
        <w:tc>
          <w:tcPr>
            <w:tcW w:w="410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levels during the years ended December 31, 2025 and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22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marketable debt securities, classified as available-for-sale:</w:t>
      </w:r>
    </w:p>
    <w:p>
      <w:pPr>
        <w:spacing w:after="0" w:line="151"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jc w:val="center"/>
        <w:ind w:left="4800"/>
        <w:spacing w:after="0"/>
        <w:rPr>
          <w:sz w:val="20"/>
          <w:szCs w:val="20"/>
          <w:color w:val="auto"/>
        </w:rPr>
      </w:pPr>
      <w:r>
        <w:rPr>
          <w:rFonts w:ascii="Times New Roman" w:cs="Times New Roman" w:eastAsia="Times New Roman" w:hAnsi="Times New Roman"/>
          <w:sz w:val="14"/>
          <w:szCs w:val="14"/>
          <w:b w:val="1"/>
          <w:bCs w:val="1"/>
          <w:color w:val="auto"/>
        </w:rPr>
        <w:t>as of December 31, 2025</w:t>
      </w:r>
    </w:p>
    <w:tbl>
      <w:tblPr>
        <w:tblLayout w:type="fixed"/>
        <w:tblInd w:w="0" w:type="dxa"/>
        <w:tblCellMar>
          <w:top w:w="0" w:type="dxa"/>
          <w:left w:w="0" w:type="dxa"/>
          <w:bottom w:w="0" w:type="dxa"/>
          <w:right w:w="0" w:type="dxa"/>
        </w:tblCellMar>
      </w:tblPr>
      <w:tr>
        <w:trPr>
          <w:trHeight w:val="117"/>
        </w:trPr>
        <w:tc>
          <w:tcPr>
            <w:tcW w:w="49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268"/>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600"/>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bills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134,666</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103</w:t>
            </w:r>
          </w:p>
        </w:tc>
        <w:tc>
          <w:tcPr>
            <w:tcW w:w="4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134,769</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95,969</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96,090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4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230,635</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0"/>
                <w:szCs w:val="10"/>
                <w:color w:val="auto"/>
              </w:rPr>
            </w:pPr>
          </w:p>
        </w:tc>
        <w:tc>
          <w:tcPr>
            <w:tcW w:w="1260" w:type="dxa"/>
            <w:vAlign w:val="bottom"/>
            <w:gridSpan w:val="2"/>
          </w:tcPr>
          <w:p>
            <w:pPr>
              <w:jc w:val="center"/>
              <w:ind w:right="26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80" w:type="dxa"/>
            <w:vAlign w:val="bottom"/>
            <w:gridSpan w:val="2"/>
          </w:tcPr>
          <w:p>
            <w:pPr>
              <w:jc w:val="center"/>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140" w:type="dxa"/>
            <w:vAlign w:val="bottom"/>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bills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176,049</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364</w:t>
            </w:r>
          </w:p>
        </w:tc>
        <w:tc>
          <w:tcPr>
            <w:tcW w:w="4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176,374</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12,002</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188,051</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375</w:t>
            </w:r>
          </w:p>
        </w:tc>
        <w:tc>
          <w:tcPr>
            <w:tcW w:w="4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188,387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-1473835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-1473835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-1473835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-1473835</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-170815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-170815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fair value of marketable debt securities with a contractual maturity date greater than one year was $20.0 million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did not hold investment grade marketable securities considered to be in an unrealized loss position at December 31, 2025. The following table summarizes the fair value and gross unrealized losses aggregated by category and the length of time that individual securities were held in an unrealized loss position at December 31, 2024:</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29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Greater than twelve months</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29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20" w:type="dxa"/>
            <w:vAlign w:val="bottom"/>
          </w:tcPr>
          <w:p>
            <w:pPr>
              <w:spacing w:after="0"/>
              <w:rPr>
                <w:sz w:val="17"/>
                <w:szCs w:val="17"/>
                <w:color w:val="auto"/>
              </w:rPr>
            </w:pPr>
          </w:p>
        </w:tc>
      </w:tr>
      <w:tr>
        <w:trPr>
          <w:trHeight w:val="196"/>
        </w:trPr>
        <w:tc>
          <w:tcPr>
            <w:tcW w:w="29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Treasury bills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46,016</w:t>
            </w:r>
          </w:p>
        </w:tc>
        <w:tc>
          <w:tcPr>
            <w:tcW w:w="340" w:type="dxa"/>
            <w:vAlign w:val="bottom"/>
            <w:gridSpan w:val="2"/>
            <w:shd w:val="clear" w:color="auto" w:fill="CFF0FC"/>
          </w:tcPr>
          <w:p>
            <w:pPr>
              <w:spacing w:after="0"/>
              <w:rPr>
                <w:sz w:val="18"/>
                <w:szCs w:val="18"/>
                <w:color w:val="auto"/>
              </w:rPr>
            </w:pPr>
          </w:p>
        </w:tc>
        <w:tc>
          <w:tcPr>
            <w:tcW w:w="72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46,016</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9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29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46,016</w:t>
            </w:r>
          </w:p>
        </w:tc>
        <w:tc>
          <w:tcPr>
            <w:tcW w:w="340" w:type="dxa"/>
            <w:vAlign w:val="bottom"/>
            <w:gridSpan w:val="2"/>
          </w:tcPr>
          <w:p>
            <w:pPr>
              <w:spacing w:after="0"/>
              <w:rPr>
                <w:sz w:val="18"/>
                <w:szCs w:val="18"/>
                <w:color w:val="auto"/>
              </w:rPr>
            </w:pPr>
          </w:p>
        </w:tc>
        <w:tc>
          <w:tcPr>
            <w:tcW w:w="72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46,016</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-170815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-170815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-170815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-170815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Marketable securities include $1.0 million and $1.4 million in accrued interest at December 31, 2025 and December 31, 2024, respectively.</w:t>
      </w:r>
    </w:p>
    <w:p>
      <w:pPr>
        <w:spacing w:after="0" w:line="221" w:lineRule="exact"/>
        <w:rPr>
          <w:sz w:val="20"/>
          <w:szCs w:val="20"/>
          <w:color w:val="auto"/>
        </w:rPr>
      </w:pPr>
    </w:p>
    <w:p>
      <w:pPr>
        <w:ind w:left="520" w:right="7880" w:hanging="512"/>
        <w:spacing w:after="0" w:line="503" w:lineRule="auto"/>
        <w:tabs>
          <w:tab w:leader="none" w:pos="191"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Balance Sheet Information </w:t>
      </w:r>
      <w:r>
        <w:rPr>
          <w:rFonts w:ascii="Times New Roman" w:cs="Times New Roman" w:eastAsia="Times New Roman" w:hAnsi="Times New Roman"/>
          <w:sz w:val="18"/>
          <w:szCs w:val="18"/>
          <w:b w:val="1"/>
          <w:bCs w:val="1"/>
          <w:i w:val="1"/>
          <w:iCs w:val="1"/>
          <w:color w:val="auto"/>
        </w:rPr>
        <w:t>Property and Equipment</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consists of the following:</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8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jc w:val="right"/>
              <w:ind w:right="9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ind w:right="9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40" w:type="dxa"/>
            <w:vAlign w:val="bottom"/>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000" w:type="dxa"/>
            <w:vAlign w:val="bottom"/>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8,936</w:t>
            </w: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8,936</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5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5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580" w:type="dxa"/>
            <w:vAlign w:val="bottom"/>
          </w:tcPr>
          <w:p>
            <w:pPr>
              <w:spacing w:after="0"/>
              <w:rPr>
                <w:sz w:val="18"/>
                <w:szCs w:val="18"/>
                <w:color w:val="auto"/>
              </w:rPr>
            </w:pPr>
          </w:p>
        </w:tc>
        <w:tc>
          <w:tcPr>
            <w:tcW w:w="20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8"/>
                <w:szCs w:val="18"/>
                <w:color w:val="auto"/>
              </w:rPr>
            </w:pPr>
          </w:p>
        </w:tc>
      </w:tr>
      <w:tr>
        <w:trPr>
          <w:trHeight w:val="209"/>
        </w:trPr>
        <w:tc>
          <w:tcPr>
            <w:tcW w:w="482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16,465</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80" w:type="dxa"/>
            <w:vAlign w:val="bottom"/>
          </w:tcPr>
          <w:p>
            <w:pPr>
              <w:spacing w:after="0"/>
              <w:rPr>
                <w:sz w:val="18"/>
                <w:szCs w:val="18"/>
                <w:color w:val="auto"/>
              </w:rPr>
            </w:pPr>
          </w:p>
        </w:tc>
        <w:tc>
          <w:tcPr>
            <w:tcW w:w="20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(10,538)</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(8,363)</w:t>
            </w:r>
          </w:p>
        </w:tc>
      </w:tr>
      <w:tr>
        <w:trPr>
          <w:trHeight w:val="20"/>
        </w:trPr>
        <w:tc>
          <w:tcPr>
            <w:tcW w:w="4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6,868</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100" w:type="dxa"/>
            <w:vAlign w:val="bottom"/>
            <w:shd w:val="clear" w:color="auto" w:fill="CFF0FC"/>
          </w:tcPr>
          <w:p>
            <w:pPr>
              <w:spacing w:after="0"/>
              <w:rPr>
                <w:sz w:val="19"/>
                <w:szCs w:val="19"/>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-24765</wp:posOffset>
            </wp:positionV>
            <wp:extent cx="603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0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was $2.3 million, $2.5 million, and $2.4 million for the years ended December 31, 2025, 2024, and 2023, respectively.</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include the following:</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9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6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employee-related costs</w:t>
            </w:r>
          </w:p>
        </w:tc>
        <w:tc>
          <w:tcPr>
            <w:tcW w:w="860" w:type="dxa"/>
            <w:vAlign w:val="bottom"/>
            <w:shd w:val="clear" w:color="auto" w:fill="CFF0FC"/>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68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8,951</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7,424</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100" w:type="dxa"/>
            <w:vAlign w:val="bottom"/>
          </w:tcPr>
          <w:p>
            <w:pPr>
              <w:spacing w:after="0"/>
              <w:rPr>
                <w:sz w:val="18"/>
                <w:szCs w:val="18"/>
                <w:color w:val="auto"/>
              </w:rPr>
            </w:pPr>
          </w:p>
        </w:tc>
      </w:tr>
      <w:tr>
        <w:trPr>
          <w:trHeight w:val="216"/>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860" w:type="dxa"/>
            <w:vAlign w:val="bottom"/>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17,759</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16,497</w:t>
            </w:r>
          </w:p>
        </w:tc>
        <w:tc>
          <w:tcPr>
            <w:tcW w:w="10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596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September 2019, the Company entered into a lease for office and laboratory space at 201 Brookline Avenue in Boston, Massachusetts. The lease, as amended and restated in November 2021, has a non-cancelable term of ten years with an option to extend for up to two additional five-year periods. The lease commenced in August 2022, when the Company obtained access to the space for its intended use. The lease agreement provides for initial tenant improvement allowances. The lease agreement required the Company to provide an initial letter of credit for $3.4 million that is collateralized with cash that is recorded as restricted cash in the accompanying balance sheets and is subject to reductions as lease anniversary dates are achieved. This letter of credit was recorded as long-term restricted cash as of December 31, 2022. In February 2024, $0.9</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126" w:name="page127"/>
    <w:bookmarkEnd w:id="126"/>
    <w:p>
      <w:pPr>
        <w:ind w:right="120" w:firstLine="45"/>
        <w:spacing w:after="0" w:line="261" w:lineRule="auto"/>
        <w:rPr>
          <w:sz w:val="20"/>
          <w:szCs w:val="20"/>
          <w:color w:val="auto"/>
        </w:rPr>
      </w:pPr>
      <w:r>
        <w:rPr>
          <w:rFonts w:ascii="Times New Roman" w:cs="Times New Roman" w:eastAsia="Times New Roman" w:hAnsi="Times New Roman"/>
          <w:sz w:val="18"/>
          <w:szCs w:val="18"/>
          <w:color w:val="auto"/>
        </w:rPr>
        <w:t>million of this security deposit was released to the Company, reducing the letter of credit to $2.6 million, which was classified as long-term as of December 31, 2024. As of December 31, 2025, $0.4 million was classified as short-term restricted cash to reflect the security deposit reduction scheduled for February 2026, with the remaining $2.2 million classified as long-term. The short-term portion of this security deposit was released to the Company in February 2026, further reducing the letter of credit to $2.2 million.</w:t>
      </w:r>
    </w:p>
    <w:p>
      <w:pPr>
        <w:spacing w:after="0" w:line="18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August 2022, upon commencement of the 201 Brookline Avenue lease, the Company recorded an operating lease liability in the amount of $37.9 million and related operating lease right-of-use asset in the amount of $48.0 million. Payments totaling $10.1 million for tenant improvements, and net of tenant improvement allowance reimbursements, made prior to the lease commencement date were reclassified as an increase to the right-of-use asset upon the commencement of the lease. The fixed annual rent payable under the lease is $5.1 million, increasing by 3% annually from the rent commencement date. The minimum rent payments to be paid over the 10-year term of the lease total $61.0 million. The additional rental payments associated with the renewal option were not included in the calculation of the operating lease right-of-use asset and associated operating lease liability as the renewal was not considered probable of occurring. The discount rate applied to the lease payments is 8.0%.</w:t>
      </w:r>
    </w:p>
    <w:p>
      <w:pPr>
        <w:spacing w:after="0" w:line="189" w:lineRule="exact"/>
        <w:rPr>
          <w:sz w:val="20"/>
          <w:szCs w:val="20"/>
          <w:color w:val="auto"/>
        </w:rPr>
      </w:pPr>
    </w:p>
    <w:p>
      <w:pPr>
        <w:ind w:right="80" w:firstLine="554"/>
        <w:spacing w:after="0" w:line="256" w:lineRule="auto"/>
        <w:rPr>
          <w:sz w:val="20"/>
          <w:szCs w:val="20"/>
          <w:color w:val="auto"/>
        </w:rPr>
      </w:pPr>
      <w:r>
        <w:rPr>
          <w:rFonts w:ascii="Times New Roman" w:cs="Times New Roman" w:eastAsia="Times New Roman" w:hAnsi="Times New Roman"/>
          <w:sz w:val="18"/>
          <w:szCs w:val="18"/>
          <w:color w:val="auto"/>
        </w:rPr>
        <w:t>In December 2022, the Company entered into an operating lease agreement to sublease a portion of the 201 Brookline Avenue premise to an unrelated third party. The sublease expired on December 31, 2024. In August 2025, the Company and a related party, Sesame Therapeutics, Inc. (Sesame), entered into a use and occupancy sub-lease of office and laboratory space at 201 Brookline Avenue in Boston, Massachusetts. The sub-lease will expire on December 31, 2027, with a sublessee option to extend the term for six months. Sublease income recognized under the sublease agreement for the years ended December 31, 2025, 2024, and 2023 were $0.1 million, $1.5 million, and $1.5 million, respectively, and was recorded as a reduction of the related lease expense.</w:t>
      </w:r>
    </w:p>
    <w:p>
      <w:pPr>
        <w:spacing w:after="0" w:line="18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Company’s rent payments for facility leases during the years ended December 31, 2025, 2024, and 2023 are classified as operating lease costs in the table below. The leases are both considered net leases and therefore the non-lease components, such as common area maintenance, are paid separately from rent based on actual costs incurred; therefore, the non-lease components are not included in the right-of-use asset and lease liability and are reflected as an expense in the period incurred. The non-lease components are classified as variable costs in the chart below. As of December 31, 2025 and 2024, right-of-use assets under operating leases totaled $35.6 million and $39.5 million, respectively. The elements of lease cost were as follows (in thousands, unless otherwise noted):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vMerge w:val="restart"/>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3"/>
                <w:szCs w:val="13"/>
                <w:color w:val="auto"/>
              </w:rPr>
            </w:pPr>
          </w:p>
        </w:tc>
        <w:tc>
          <w:tcPr>
            <w:tcW w:w="20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3"/>
                <w:szCs w:val="13"/>
                <w:color w:val="auto"/>
              </w:rPr>
            </w:pPr>
          </w:p>
        </w:tc>
        <w:tc>
          <w:tcPr>
            <w:tcW w:w="1540" w:type="dxa"/>
            <w:vAlign w:val="bottom"/>
            <w:vMerge w:val="restart"/>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(1,495)</w:t>
            </w:r>
          </w:p>
        </w:tc>
        <w:tc>
          <w:tcPr>
            <w:tcW w:w="1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(1,467)</w:t>
            </w:r>
          </w:p>
        </w:tc>
        <w:tc>
          <w:tcPr>
            <w:tcW w:w="0" w:type="dxa"/>
            <w:vAlign w:val="bottom"/>
          </w:tcPr>
          <w:p>
            <w:pPr>
              <w:spacing w:after="0"/>
              <w:rPr>
                <w:sz w:val="1"/>
                <w:szCs w:val="1"/>
                <w:color w:val="auto"/>
              </w:rPr>
            </w:pPr>
          </w:p>
        </w:tc>
      </w:tr>
      <w:tr>
        <w:trPr>
          <w:trHeight w:val="20"/>
        </w:trPr>
        <w:tc>
          <w:tcPr>
            <w:tcW w:w="50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9,647</w:t>
            </w:r>
          </w:p>
        </w:tc>
        <w:tc>
          <w:tcPr>
            <w:tcW w:w="38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-728345</wp:posOffset>
            </wp:positionV>
            <wp:extent cx="1111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-728345</wp:posOffset>
            </wp:positionV>
            <wp:extent cx="11176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-728345</wp:posOffset>
            </wp:positionV>
            <wp:extent cx="11176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860" w:type="dxa"/>
            <w:vAlign w:val="bottom"/>
            <w:shd w:val="clear" w:color="auto" w:fill="CFF0FC"/>
          </w:tcPr>
          <w:p>
            <w:pPr>
              <w:jc w:val="right"/>
              <w:ind w:right="1190"/>
              <w:spacing w:after="0"/>
              <w:rPr>
                <w:sz w:val="20"/>
                <w:szCs w:val="20"/>
                <w:color w:val="auto"/>
              </w:rPr>
            </w:pPr>
            <w:r>
              <w:rPr>
                <w:rFonts w:ascii="Times New Roman" w:cs="Times New Roman" w:eastAsia="Times New Roman" w:hAnsi="Times New Roman"/>
                <w:sz w:val="18"/>
                <w:szCs w:val="18"/>
                <w:color w:val="auto"/>
              </w:rPr>
              <w:t>8%</w:t>
            </w:r>
          </w:p>
        </w:tc>
        <w:tc>
          <w:tcPr>
            <w:tcW w:w="9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8%</w:t>
            </w:r>
          </w:p>
        </w:tc>
        <w:tc>
          <w:tcPr>
            <w:tcW w:w="19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32"/>
        </w:trPr>
        <w:tc>
          <w:tcPr>
            <w:tcW w:w="83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Future minimum lease payments due under operating leases are as follows (in thousands):</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48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4"/>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Future minimum lease</w:t>
            </w:r>
          </w:p>
        </w:tc>
        <w:tc>
          <w:tcPr>
            <w:tcW w:w="0" w:type="dxa"/>
            <w:vAlign w:val="bottom"/>
          </w:tcPr>
          <w:p>
            <w:pPr>
              <w:spacing w:after="0"/>
              <w:rPr>
                <w:sz w:val="1"/>
                <w:szCs w:val="1"/>
                <w:color w:val="auto"/>
              </w:rPr>
            </w:pPr>
          </w:p>
        </w:tc>
      </w:tr>
      <w:tr>
        <w:trPr>
          <w:trHeight w:val="173"/>
        </w:trPr>
        <w:tc>
          <w:tcPr>
            <w:tcW w:w="4480" w:type="dxa"/>
            <w:vAlign w:val="bottom"/>
            <w:gridSpan w:val="2"/>
            <w:vMerge w:val="continue"/>
          </w:tcPr>
          <w:p>
            <w:pPr>
              <w:spacing w:after="0"/>
              <w:rPr>
                <w:sz w:val="15"/>
                <w:szCs w:val="15"/>
                <w:color w:val="auto"/>
              </w:rPr>
            </w:pPr>
          </w:p>
        </w:tc>
        <w:tc>
          <w:tcPr>
            <w:tcW w:w="3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gridSpan w:val="4"/>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vMerge w:val="continue"/>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8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860" w:type="dxa"/>
            <w:vAlign w:val="bottom"/>
          </w:tcPr>
          <w:p>
            <w:pPr>
              <w:spacing w:after="0"/>
              <w:rPr>
                <w:sz w:val="18"/>
                <w:szCs w:val="18"/>
                <w:color w:val="auto"/>
              </w:rPr>
            </w:pPr>
          </w:p>
        </w:tc>
        <w:tc>
          <w:tcPr>
            <w:tcW w:w="96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8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860" w:type="dxa"/>
            <w:vAlign w:val="bottom"/>
          </w:tcPr>
          <w:p>
            <w:pPr>
              <w:spacing w:after="0"/>
              <w:rPr>
                <w:sz w:val="18"/>
                <w:szCs w:val="18"/>
                <w:color w:val="auto"/>
              </w:rPr>
            </w:pPr>
          </w:p>
        </w:tc>
        <w:tc>
          <w:tcPr>
            <w:tcW w:w="96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20,670</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4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386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44,367</w:t>
            </w:r>
          </w:p>
        </w:tc>
        <w:tc>
          <w:tcPr>
            <w:tcW w:w="100" w:type="dxa"/>
            <w:vAlign w:val="bottom"/>
            <w:tcBorders>
              <w:top w:val="single" w:sz="8" w:color="CFF0FC"/>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(10,797)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40" w:type="dxa"/>
            <w:vAlign w:val="bottom"/>
            <w:shd w:val="clear" w:color="auto" w:fill="CFF0FC"/>
          </w:tcPr>
          <w:p>
            <w:pPr>
              <w:spacing w:after="0" w:line="20" w:lineRule="exact"/>
              <w:rPr>
                <w:sz w:val="1"/>
                <w:szCs w:val="1"/>
                <w:color w:val="auto"/>
              </w:rPr>
            </w:pPr>
          </w:p>
        </w:tc>
        <w:tc>
          <w:tcPr>
            <w:tcW w:w="38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860" w:type="dxa"/>
            <w:vAlign w:val="bottom"/>
          </w:tcPr>
          <w:p>
            <w:pPr>
              <w:spacing w:after="0"/>
              <w:rPr>
                <w:sz w:val="18"/>
                <w:szCs w:val="18"/>
                <w:color w:val="auto"/>
              </w:rPr>
            </w:pPr>
          </w:p>
        </w:tc>
        <w:tc>
          <w:tcPr>
            <w:tcW w:w="96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9"/>
        </w:trPr>
        <w:tc>
          <w:tcPr>
            <w:tcW w:w="1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860" w:type="dxa"/>
            <w:vAlign w:val="bottom"/>
          </w:tcPr>
          <w:p>
            <w:pPr>
              <w:jc w:val="right"/>
              <w:ind w:right="2450"/>
              <w:spacing w:after="0"/>
              <w:rPr>
                <w:sz w:val="20"/>
                <w:szCs w:val="20"/>
                <w:color w:val="auto"/>
              </w:rPr>
            </w:pPr>
            <w:r>
              <w:rPr>
                <w:rFonts w:ascii="Times New Roman" w:cs="Times New Roman" w:eastAsia="Times New Roman" w:hAnsi="Times New Roman"/>
                <w:sz w:val="18"/>
                <w:szCs w:val="18"/>
                <w:color w:val="auto"/>
              </w:rPr>
              <w:t>F-20</w:t>
            </w:r>
          </w:p>
        </w:tc>
        <w:tc>
          <w:tcPr>
            <w:tcW w:w="1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-1413510</wp:posOffset>
            </wp:positionV>
            <wp:extent cx="596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-1130935</wp:posOffset>
            </wp:positionV>
            <wp:extent cx="596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7" w:name="page128"/>
    <w:bookmarkEnd w:id="127"/>
    <w:p>
      <w:pPr>
        <w:ind w:left="520" w:right="8420" w:hanging="512"/>
        <w:spacing w:after="0" w:line="502" w:lineRule="auto"/>
        <w:tabs>
          <w:tab w:leader="none" w:pos="191"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License and Other Agreements</w:t>
      </w:r>
    </w:p>
    <w:p>
      <w:pPr>
        <w:ind w:left="520"/>
        <w:spacing w:after="0"/>
        <w:rPr>
          <w:sz w:val="20"/>
          <w:szCs w:val="20"/>
          <w:color w:val="auto"/>
        </w:rPr>
      </w:pPr>
      <w:r>
        <w:rPr>
          <w:rFonts w:ascii="Times New Roman" w:cs="Times New Roman" w:eastAsia="Times New Roman" w:hAnsi="Times New Roman"/>
          <w:sz w:val="18"/>
          <w:szCs w:val="18"/>
          <w:i w:val="1"/>
          <w:iCs w:val="1"/>
          <w:color w:val="auto"/>
        </w:rPr>
        <w:t>Sesame Therapeutics, Inc.</w:t>
      </w:r>
    </w:p>
    <w:p>
      <w:pPr>
        <w:spacing w:after="0" w:line="227" w:lineRule="exact"/>
        <w:rPr>
          <w:sz w:val="20"/>
          <w:szCs w:val="20"/>
          <w:color w:val="auto"/>
        </w:rPr>
      </w:pPr>
    </w:p>
    <w:p>
      <w:pPr>
        <w:ind w:right="80" w:firstLine="509"/>
        <w:spacing w:after="0" w:line="273" w:lineRule="auto"/>
        <w:rPr>
          <w:sz w:val="20"/>
          <w:szCs w:val="20"/>
          <w:color w:val="auto"/>
        </w:rPr>
      </w:pPr>
      <w:r>
        <w:rPr>
          <w:rFonts w:ascii="Times New Roman" w:cs="Times New Roman" w:eastAsia="Times New Roman" w:hAnsi="Times New Roman"/>
          <w:sz w:val="17"/>
          <w:szCs w:val="17"/>
          <w:color w:val="auto"/>
        </w:rPr>
        <w:t>In August 2023, the Company received an inconsequential equity stake in Sesame Therapeutics, Inc. (Sesame), a related party, in exchange for providing lab space and resources for the early phases of company development. The Company concluded that the common stock investment should be accounted for as an equity investment. Sesame's common stock is not exchange-traded and does not have a readily determinable fair value. Therefore, the Company accounts for the common stock investment under the measurement alternative for equity investments that do not have a readily determinable fair value. During 2025, an observable price change event occurred, resulting in the $0.5 million increase in fair value recognized related to the common stock investment as a result of the application of the measurement alternative. As of December 31, 2025, the cost of the investment in Sesame’s common stock was $0.5 million, including immaterial transaction costs, and was recorded as an equity investment within Other assets on the consolidated balance sheets.</w:t>
      </w:r>
    </w:p>
    <w:p>
      <w:pPr>
        <w:spacing w:after="0" w:line="17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June 2024, the Company and Sesame entered into a license agreement pursuant to which the Company granted Sesame a non-exclusive license to certain know-how associated with preclinical research (the Sesame Agreement). Pursuant to the Sesame Agreement, the Company received a $0.1 million upfront, non-refundable payment in June 2024.</w:t>
      </w:r>
    </w:p>
    <w:p>
      <w:pPr>
        <w:spacing w:after="0" w:line="176"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Under the terms of the Sesame Agreement, the Company is eligible to receive up to $25.9 million in potential future clinical, regulatory, and commercial milestone event payments. The Company is also eligible to receive low single-digit tiered royalties on net sales of any product covered by a licensed patent.</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evaluated the Sesame Agreement under ASC 606. The Company identified the following promises under the agreement: (1) the non-exclusive license and (2) the initial know-how transfer, and determined that the promises were immaterial as the upfront license payment at contract inception was an inconsequential payment amount. The initial upfront license payment was recorded as license revenue on the consolidated statements of operations and comprehensive loss during the period ended June 30, 2024.</w:t>
      </w:r>
    </w:p>
    <w:p>
      <w:pPr>
        <w:spacing w:after="0" w:line="1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All potential future milestone payments are considered to be variable consideration and have been excluded from the transaction price. Revenue for all potential clinical and regulatory milestone achievements will be recognized when the related milestones are achieved or when it becomes probable that a significant reversal in the amount of revenue recognized relating to the milestone event will not occur. Milestone payments that are not within the control of the Company or the licensee, such as regulatory approvals, are not considered probable of being achieved until those approvals are received. Additionally, revenue related to potential sales milestones and royalties from the sales of the licensed products will be recognized when the related sales occur.</w:t>
      </w:r>
    </w:p>
    <w:p>
      <w:pPr>
        <w:spacing w:after="0" w:line="18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August 2025, the Company and Sesame entered into a use and occupancy sub-lease of office and laboratory space at 201 Brookline Avenue in Boston, Massachusetts. The sub-lease has a term of 17-months with an option to extend for one additional six-month period. Total sub-lease payments from Sesame to the Company will approximate $0.4 million over the term of the sub-lease agreement.</w:t>
      </w:r>
    </w:p>
    <w:p>
      <w:pPr>
        <w:spacing w:after="0" w:line="176"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Due to common relationships amongst members of management and the boards of directors, the transaction above with Sesame is a related party transaction.</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Medivir AB</w:t>
      </w:r>
    </w:p>
    <w:p>
      <w:pPr>
        <w:spacing w:after="0" w:line="227"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In March 2020, the Company entered into a License Agreement (the Medivir Agreement) with Medivir AB (Medivir), pursuant to which the Company obtained an exclusive license to all patents, know-how and other intellectual property associated with a preclinical-stage research program. Pursuant to the Medivir Agreement, the Company made an upfront payment of $0.4 million.</w:t>
      </w:r>
    </w:p>
    <w:p>
      <w:pPr>
        <w:spacing w:after="0" w:line="176"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7"/>
          <w:szCs w:val="17"/>
          <w:color w:val="auto"/>
        </w:rPr>
        <w:t>Under the terms of the Medivir Agreement, the Company is obligated to pay Medivir in connection with development, regulatory and commercial activities. The Company has agreed to make certain milestone payments of $1.4 million in the aggregate for the first licensed product that achieves specified clinical milestones, plus $25.0 million for the first licensed product that achieves specified regulatory approval and sales milestones, in each case, in either of the first two specified genetic contexts and $0.7 million in the aggregate if that first licensed product achieves specified clinical milestones, plus</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8" w:name="page129"/>
    <w:bookmarkEnd w:id="128"/>
    <w:p>
      <w:pPr>
        <w:ind w:right="20"/>
        <w:spacing w:after="0" w:line="256" w:lineRule="auto"/>
        <w:rPr>
          <w:sz w:val="20"/>
          <w:szCs w:val="20"/>
          <w:color w:val="auto"/>
        </w:rPr>
      </w:pPr>
      <w:r>
        <w:rPr>
          <w:rFonts w:ascii="Times New Roman" w:cs="Times New Roman" w:eastAsia="Times New Roman" w:hAnsi="Times New Roman"/>
          <w:sz w:val="18"/>
          <w:szCs w:val="18"/>
          <w:color w:val="auto"/>
        </w:rPr>
        <w:t>$5.0 million if that first licensed product achieves specified regulatory and sales milestones for a third genetic context or the second licensed product achieves such specified development, regulatory and sales milestones in either of the first two specified genetic contexts. The Company has the right to reduce these milestone payments by a specified amount in the event the licensed product is not covered by Medivir’s patents or if payments are due to a third party for a license under such third party’s intellectual property rights. The Company is also obligated to pay Medivir a low single-digit royalty on net sales of any product covered by a licensed patent. The Medivir Agreement expires on the date of expiration of all royalty obligations. Either party may terminate the Medivir Agreement earlier upon an uncured material breach of the other party.</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Upfront fees paid pursuant to the Medivir License Agreement were recorded to research and development expense.</w:t>
      </w:r>
    </w:p>
    <w:p>
      <w:pPr>
        <w:spacing w:after="0" w:line="225" w:lineRule="exact"/>
        <w:rPr>
          <w:sz w:val="20"/>
          <w:szCs w:val="20"/>
          <w:color w:val="auto"/>
        </w:rPr>
      </w:pPr>
    </w:p>
    <w:p>
      <w:pPr>
        <w:ind w:right="780" w:firstLine="584"/>
        <w:spacing w:after="0" w:line="282" w:lineRule="auto"/>
        <w:rPr>
          <w:sz w:val="20"/>
          <w:szCs w:val="20"/>
          <w:color w:val="auto"/>
        </w:rPr>
      </w:pPr>
      <w:r>
        <w:rPr>
          <w:rFonts w:ascii="Times New Roman" w:cs="Times New Roman" w:eastAsia="Times New Roman" w:hAnsi="Times New Roman"/>
          <w:sz w:val="18"/>
          <w:szCs w:val="18"/>
          <w:color w:val="auto"/>
        </w:rPr>
        <w:t>In May 2024, we made the decision to discontinue further development of TNG348, the basis of our USP1 program, due to liver toxicity experienced by patients in the dose escalation portion of the Phase1/2 clinical trial. In February 2026, the Medivir Agreement was terminated.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w:t>
      </w:r>
    </w:p>
    <w:p>
      <w:pPr>
        <w:spacing w:after="0" w:line="229" w:lineRule="exact"/>
        <w:rPr>
          <w:sz w:val="20"/>
          <w:szCs w:val="20"/>
          <w:color w:val="auto"/>
        </w:rPr>
      </w:pPr>
    </w:p>
    <w:p>
      <w:pPr>
        <w:ind w:firstLine="584"/>
        <w:spacing w:after="0" w:line="255" w:lineRule="auto"/>
        <w:rPr>
          <w:sz w:val="20"/>
          <w:szCs w:val="20"/>
          <w:color w:val="auto"/>
        </w:rPr>
      </w:pPr>
      <w:r>
        <w:rPr>
          <w:rFonts w:ascii="Times New Roman" w:cs="Times New Roman" w:eastAsia="Times New Roman" w:hAnsi="Times New Roman"/>
          <w:sz w:val="18"/>
          <w:szCs w:val="18"/>
          <w:color w:val="auto"/>
        </w:rPr>
        <w:t>In October 2025, the Company and Malte Peters, M.D. entered into a consulting agreement to support the Company's work on key initiatives related to the initiation of the planned pivotal study in second line pancreatic cancer, anticipated to start in 2026, and advancing our late-stage development capabilities. Dr. Peters, who also served on the Tango Board of Directors, has significant late-stage clinical development expertise, having brought multiple oncology products to market. In exchange for his consulting services, Dr. Peters will receive compensation of (i) $36,000 per calendar month and (ii) an equity grant of 150,000 non-qualified stock options. Due to Dr. Peters maintaining a position on the Board of Directors at the time of the consulting agreement execution, the compensation related to the agreed-upon consulting services is deemed a related party transaction. Dr. Peters was appointed as the Company’s President and Chief Executive Officer on January 8, 2026.</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Trial Collaboration and Supply Agreements</w:t>
      </w:r>
    </w:p>
    <w:p>
      <w:pPr>
        <w:spacing w:after="0" w:line="229"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In November 2024, the Company and Revolution Medicines, Inc. (RevMed) entered into a Clinical Trial Collaboration and Supply Agreement (CTCSA). The agreement provides that RevMed will supply daraxonrasib (RMC-6236), a RAS(ON) multi-selective inhibitor, and zoldonrasib (RMC-9805), a RAS(ON) G12D-selective inhibitor, at no cost to the Company for use in trials that will include vopimetostat and each of these RAS(ON) inhibitors. The Company will be the sponsor of any combination trials and bear associated costs. Each company will retain commercial rights to its respective compounds, and the agreement is mutually non-exclusive. Due to common relationships amongst members of management and the boards of directors, this transaction is a related party transaction.</w:t>
      </w:r>
    </w:p>
    <w:p>
      <w:pPr>
        <w:spacing w:after="0" w:line="18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Given the differentiated profile of vopimetostat enabling the potential for efficacious and tolerable RAS inhibitor combinations, in March 2026, we entered into a CTCSA with Erasca, Inc., or Erasca, to evaluate vopimetostat in combination with Erasca’s pan-RAS molecular glue, ERAS-0015. Under the terms of the agreement, Tango is the sponsor of the trial and Erasca is supplying ERAS-0015 at no cost. Each company will retain commercial rights to its respective compound, and the agreement is mutually non-exclusive.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Funding Commitments</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ongoing preclinical and clinical studies. The Company enters into contracts in the normal course of business with contract research organizations in connection with preparation and operation of clinical trials, professional consultants for expert advice and other vendors for clinical supply manufacturing or other preclinical and clinical services. These contracts are generally cancellable, with notice, at the Company's option and do not have significant cancellation penalties.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enters into certain agreements with other parties in the ordinary course of business that contain indemnification provisions. These typically include agreements with directors and officers, business partners, contractors, landlords, construction companies, contract research organizations, clinical trial sites, and other parties. Under these provisions, the Company generally indemnifies, defends and holds harmless the indemnified party for losses suffered or incurred by the indemnified party under the terms of the contract, including as a result of the Company’s activities. These indemnification provisions generally survive termination of the underlying agreement. The maximum potential amount of future payments the Company could be required to make under these indemnification provisions is unlimited. However, to</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29" w:name="page130"/>
    <w:bookmarkEnd w:id="129"/>
    <w:p>
      <w:pPr>
        <w:ind w:right="160"/>
        <w:spacing w:after="0" w:line="282" w:lineRule="auto"/>
        <w:rPr>
          <w:sz w:val="20"/>
          <w:szCs w:val="20"/>
          <w:color w:val="auto"/>
        </w:rPr>
      </w:pPr>
      <w:r>
        <w:rPr>
          <w:rFonts w:ascii="Times New Roman" w:cs="Times New Roman" w:eastAsia="Times New Roman" w:hAnsi="Times New Roman"/>
          <w:sz w:val="18"/>
          <w:szCs w:val="18"/>
          <w:color w:val="auto"/>
        </w:rPr>
        <w:t>date the Company has not incurred material costs to defend lawsuits or settle claims related to these indemnification provisions. As a result, the estimated fair value of these obligations is minimal.</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was not subject to any material legal proceedings as of December 31, 2025, and no material legal proceedings are currently pending or threatened. Because of uncertainties related to claims, proceedings and litigation, assessments of potential liabilities are based on the Company's best estimates based on information available at the time of the assessment. On a periodic basis, as additional information becomes available, or based on specific events such as the outcome of litigation, court decisions or settlement of claims (and offers of settlement), the Company may reassess the potential liability related to these matters and may revise these estimates, which could result in a material adverse effect on the operating results of the Company. Costs associated with involvement in legal proceedings are expensed as incurred. The outcome of any such proceedings, regardless of the merits, is inherently uncertain. If the Company were to be unable to prevail in any such proceedings, the consolidated financial position, results of operations, and future cash flows of the Company may be materially impacted.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Redeemable Convertible Preferred Stock</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as amended and restated, authorizes the Company to issue shares of preferred stock with a par value of $0.001 per share. The number of shares of preferred stock authorized to be issued is 10,000,000 shares as of December 31, 2025. The shares of preferred stock are currently undesignated and no shares are issued or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Company’s Certificate of Incorporation, as amended and restated, authorizes the Company to issue shares of common stock with a par value of $0.001 per share. The holder of each share of common stock is entitled to one vote in respect of each share of stock held. In the event of any voluntary or involuntary liquidation, dissolution or winding up of the Company, the funds and assets available for distribution to the stockholders of the Company will be distributed among the holders of shares of common stock, pro rata based on the number of shares of common stock held by each such holder. The holders of common stock are also entitled to receive dividends whenever funds and assets are legally available and when declared by the board of directors. No dividends have been declared as of December 31, 2025.</w:t>
      </w:r>
    </w:p>
    <w:p>
      <w:pPr>
        <w:spacing w:after="0" w:line="18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 increased the number of shares of common stock authorized to be issued to 200,000,000 shares in August 2021, at the time in which the Certificate of Incorporation was amended and restated. In June 2025, the stockholders of the Company approved an amendment to the Company’s Second Amended and Restated Certificate of Incorporation, as amended to date, to increase the number of authorized shares of common stock from 200,000,000 to 400,000,000. As of December 31, 2025 and 2024, there were 135,940,454 and 107,729,343 shares of common stock issued and outstanding,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 Incentive Plans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2017 Stock Option and Grant Plan</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March 2017, the Company’s stockholders approved the 2017 Stock Option and Grant Plan (the 2017 Plan), under which stock options and restricted stock awards were granted to eligible employees, officers, directors, consultants, or other key persons who provide services to the Company. Such issuances under the 2017 Plan were subject to vesting, forfeiture and other restrictions as deemed appropriate by the board of directors at the time of issuance.</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Upon effectiveness of the 2021 Stock Option and Incentive Plan (the 2021 Plan) in August 2021, the remaining shares available under the 2017 Plan ceased to be available for issuance and no future issuances will be made under the 2017 Plan. The shares of common stock underlying outstanding awards under the 2017 Plan that are forfeited, cancelled, reacquired by the Company prior to vesting, expire or are otherwise terminated (other than by exercise) will be added to the shares of common stock available for issuance under the 2021 Plan.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30" w:name="page131"/>
    <w:bookmarkEnd w:id="13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Stock Option and Incentive Plan</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August 2021, the Company's board of directors and stockholders approved the 2021 Plan under which stock options, restricted stock units (RSUs) and other equity-based awards or any combination of these may be granted to eligible employees, officers, directors, consultants, or other key persons who provide services to the Company. Such issuances are subject to vesting, forfeiture and other restrictions as deemed appropriate by the board of directors at the time of issuance.</w:t>
      </w:r>
    </w:p>
    <w:p>
      <w:pPr>
        <w:spacing w:after="0" w:line="18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Upon approval, the maximum number of shares of stock reserved and available for issuance under the 2021 Plan was 9,498,725 shares. The number of shares available for future grant will automatically increase on the first day of each fiscal year by an amount equal to the least of: (i) five percent of the number of shares of Stock issued and outstanding on the immediately preceding December 31 or (ii) such lesser number of shares as determined by the 2021 Plan Administrator, as appointed by the board of directors. Awards that are returned to the Company's equity plan as a result of forfeiture or cancellation, are reacquired by the Company prior to vesting, expiration, or any other form of termination (other than by exercise) are automatically made available for issuance under the 2021 Plan. As of December 31, 2025, there were 8,793,766 shares available for future grant under the 2021 Plan and on January 1, 2026, the number of shares available for future grant under the 2021 Plan increased by 6,797,023 shares.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2021 Employee Stock Purchase Plan (the 2021 ESPP) was adopted and approved by the Company’s board of directors and by the Company’s stockholders and became effective in August 2021. An aggregate of 949,873 shares were reserved for issuance. The 2021 ESPP provides that the number of shares reserved and available for issuance will automatically increase each January 1, beginning on January 1, 2022 and each January 1 thereafter, by the least of (i) 1% of the outstanding number of shares of the Company’s common stock on the immediately preceding December 31, (ii) 949,873 shares or (iii) such number of shares as determined by the administrator. During the year ended December 31, 2025, the Company issued 547,856 shares of common stock under the 2021 ESPP. As of December 31, 2025, there were 3,433,249 shares available for future purchase under the 2021 ESPP and on January 1, 2026, the number of shares available for future purchase under the 2021 ESPP increased by 949,873 shares.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2023 Inducement Plan</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February 2023, the Company's board of directors approved the 2023 Inducement Plan (the Inducement Plan), under which the Company reserved 3,000,000 shares of common stock, to be used exclusively for grants of non-qualified stock options, restricted stock units and other equity-based awards, or any combination of these to individuals who were not previously employees or directors of the Company. Such issuances are subject to vesting, forfeiture and other restrictions as deemed appropriate by the board of directors at the time of issuance. Awards that are returned to the Company's Inducement Plan as a result of forfeiture or cancellation, are reacquired by the Company prior to vesting, expiration, or any other form of termination (other than by exercise) are automatically made available for issuance under the Inducement Plan. As of December 31, 2025, there were 2,041,015 shares available for future grant under the Inducement Plan.</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RSU activity of the Company’s plans as of and for the years ended December 31,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2440" w:type="dxa"/>
            <w:vAlign w:val="bottom"/>
            <w:gridSpan w:val="2"/>
            <w:vMerge w:val="restart"/>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 Per</w:t>
            </w:r>
          </w:p>
        </w:tc>
        <w:tc>
          <w:tcPr>
            <w:tcW w:w="0" w:type="dxa"/>
            <w:vAlign w:val="bottom"/>
          </w:tcPr>
          <w:p>
            <w:pPr>
              <w:spacing w:after="0"/>
              <w:rPr>
                <w:sz w:val="1"/>
                <w:szCs w:val="1"/>
                <w:color w:val="auto"/>
              </w:rPr>
            </w:pPr>
          </w:p>
        </w:tc>
      </w:tr>
      <w:tr>
        <w:trPr>
          <w:trHeight w:val="173"/>
        </w:trPr>
        <w:tc>
          <w:tcPr>
            <w:tcW w:w="6780" w:type="dxa"/>
            <w:vAlign w:val="bottom"/>
          </w:tcPr>
          <w:p>
            <w:pPr>
              <w:spacing w:after="0"/>
              <w:rPr>
                <w:sz w:val="15"/>
                <w:szCs w:val="15"/>
                <w:color w:val="auto"/>
              </w:rPr>
            </w:pPr>
          </w:p>
        </w:tc>
        <w:tc>
          <w:tcPr>
            <w:tcW w:w="2440" w:type="dxa"/>
            <w:vAlign w:val="bottom"/>
            <w:gridSpan w:val="2"/>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Pr>
          <w:p>
            <w:pPr>
              <w:spacing w:after="0"/>
              <w:rPr>
                <w:sz w:val="15"/>
                <w:szCs w:val="15"/>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09"/>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Unvested and outstanding as of December 31, 2024</w:t>
            </w:r>
          </w:p>
        </w:tc>
        <w:tc>
          <w:tcPr>
            <w:tcW w:w="2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1,209,333</w:t>
            </w: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2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(480,077)</w:t>
            </w:r>
          </w:p>
        </w:tc>
        <w:tc>
          <w:tcPr>
            <w:tcW w:w="10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(304,787)</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Unvested and outstanding as of December 31, 2025</w:t>
            </w:r>
          </w:p>
        </w:tc>
        <w:tc>
          <w:tcPr>
            <w:tcW w:w="2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1,263,429</w:t>
            </w: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total fair value of RSUs vested during the years ended December 31, 2025, 2024, and 2023 was $1.6 million, $3.0 million, and $0.1 million, respectively.</w:t>
      </w:r>
    </w:p>
    <w:p>
      <w:pPr>
        <w:spacing w:after="0" w:line="16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total unrecognized compensation expense related to RSUs was $4.2 million, which the Company expects to recognize over a remaining weighted-average period of 1.5 years.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1" w:name="page132"/>
    <w:bookmarkEnd w:id="13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of the Company’s equity plans as of and for the years ended December 31,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76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160" w:type="dxa"/>
            <w:vAlign w:val="bottom"/>
          </w:tcPr>
          <w:p>
            <w:pPr>
              <w:jc w:val="center"/>
              <w:ind w:left="32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left="324"/>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17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160" w:type="dxa"/>
            <w:vAlign w:val="bottom"/>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Term</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Borders>
              <w:top w:val="single" w:sz="8" w:color="auto"/>
            </w:tcBorders>
          </w:tcPr>
          <w:p>
            <w:pPr>
              <w:jc w:val="center"/>
              <w:ind w:left="268"/>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3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Options outstanding as of December 31, 2024</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19,615,023</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98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2,157,177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5,277,408</w:t>
            </w:r>
          </w:p>
        </w:tc>
        <w:tc>
          <w:tcPr>
            <w:tcW w:w="160" w:type="dxa"/>
            <w:vAlign w:val="bottom"/>
          </w:tcPr>
          <w:p>
            <w:pPr>
              <w:spacing w:after="0"/>
              <w:rPr>
                <w:sz w:val="18"/>
                <w:szCs w:val="18"/>
                <w:color w:val="auto"/>
              </w:rPr>
            </w:pPr>
          </w:p>
        </w:tc>
        <w:tc>
          <w:tcPr>
            <w:tcW w:w="1280" w:type="dxa"/>
            <w:vAlign w:val="bottom"/>
            <w:gridSpan w:val="2"/>
          </w:tcPr>
          <w:p>
            <w:pPr>
              <w:jc w:val="right"/>
              <w:ind w:right="98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(2,106,579)</w:t>
            </w:r>
          </w:p>
        </w:tc>
        <w:tc>
          <w:tcPr>
            <w:tcW w:w="1280" w:type="dxa"/>
            <w:vAlign w:val="bottom"/>
            <w:gridSpan w:val="2"/>
            <w:shd w:val="clear" w:color="auto" w:fill="CFF0FC"/>
          </w:tcPr>
          <w:p>
            <w:pPr>
              <w:jc w:val="right"/>
              <w:ind w:right="98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Cancelled</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(2,320,273)</w:t>
            </w:r>
          </w:p>
        </w:tc>
        <w:tc>
          <w:tcPr>
            <w:tcW w:w="1280" w:type="dxa"/>
            <w:vAlign w:val="bottom"/>
            <w:gridSpan w:val="2"/>
          </w:tcPr>
          <w:p>
            <w:pPr>
              <w:jc w:val="right"/>
              <w:ind w:right="98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Options outstanding as of December 31, 2025</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20,465,579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ind w:right="98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60,720,990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Options exercisable as of December 31, 2025</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13,155,441</w:t>
            </w:r>
          </w:p>
        </w:tc>
        <w:tc>
          <w:tcPr>
            <w:tcW w:w="160" w:type="dxa"/>
            <w:vAlign w:val="bottom"/>
          </w:tcPr>
          <w:p>
            <w:pPr>
              <w:spacing w:after="0"/>
              <w:rPr>
                <w:sz w:val="20"/>
                <w:szCs w:val="20"/>
                <w:color w:val="auto"/>
              </w:rPr>
            </w:pPr>
          </w:p>
        </w:tc>
        <w:tc>
          <w:tcPr>
            <w:tcW w:w="1280" w:type="dxa"/>
            <w:vAlign w:val="bottom"/>
            <w:gridSpan w:val="2"/>
          </w:tcPr>
          <w:p>
            <w:pPr>
              <w:jc w:val="right"/>
              <w:ind w:right="98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32,222,885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options and the fair value of the Company’s common stock for those options that had exercise prices lower than the fair value of the Company’s common stock.</w:t>
      </w:r>
    </w:p>
    <w:p>
      <w:pPr>
        <w:spacing w:after="0" w:line="16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totaled $7.8 million, $4.9 million, and $2.8 million for the years ended December 31, 2025, 2024, and 2023, respectively. The weighted-average grant date fair value per share of stock options granted was $2.25, $7.46, and $5.41 for the years ended December 31, 2025, 2024, and 2023, respectively.</w:t>
      </w:r>
    </w:p>
    <w:p>
      <w:pPr>
        <w:spacing w:after="0" w:line="176"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total unrecognized compensation expense related to stock options was $25.2 million, which the Company expects to recognize over a remaining weighted-average period of 2.4 years. Substantially all options outstanding as of December 31, 2025 are expected to vest.</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used to estimate the grant date fair value of the stock options using the Black-Scholes option pricing model were as follows:</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0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option life (in years)</w:t>
            </w: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c>
          <w:tcPr>
            <w:tcW w:w="182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7"/>
              </w:rPr>
              <w:t>6.2</w:t>
            </w:r>
          </w:p>
        </w:tc>
        <w:tc>
          <w:tcPr>
            <w:tcW w:w="18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7"/>
              </w:rPr>
              <w:t>6.2</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18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73%</w:t>
            </w:r>
          </w:p>
        </w:tc>
        <w:tc>
          <w:tcPr>
            <w:tcW w:w="18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6"/>
              </w:rPr>
              <w:t>72%</w:t>
            </w: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82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3.9%</w:t>
            </w:r>
          </w:p>
        </w:tc>
        <w:tc>
          <w:tcPr>
            <w:tcW w:w="18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r>
    </w:tbl>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169"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1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4904105</wp:posOffset>
            </wp:positionH>
            <wp:positionV relativeFrom="paragraph">
              <wp:posOffset>-12065</wp:posOffset>
            </wp:positionV>
            <wp:extent cx="85725" cy="1365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0">
                      <a:extLst>
                        <a:ext uri="{28A0092B-C50C-407E-A947-70E740481C1C}"/>
                      </a:extLst>
                    </a:blip>
                    <a:srcRect/>
                    <a:stretch>
                      <a:fillRect/>
                    </a:stretch>
                  </pic:blipFill>
                  <pic:spPr bwMode="auto">
                    <a:xfrm>
                      <a:off x="0" y="0"/>
                      <a:ext cx="85725" cy="136525"/>
                    </a:xfrm>
                    <a:prstGeom prst="rect">
                      <a:avLst/>
                    </a:prstGeom>
                    <a:noFill/>
                  </pic:spPr>
                </pic:pic>
              </a:graphicData>
            </a:graphic>
          </wp:anchor>
        </w:drawing>
        <w:drawing>
          <wp:anchor simplePos="0" relativeHeight="251657728" behindDoc="1" locked="0" layoutInCell="0" allowOverlap="1">
            <wp:simplePos x="0" y="0"/>
            <wp:positionH relativeFrom="column">
              <wp:posOffset>5804535</wp:posOffset>
            </wp:positionH>
            <wp:positionV relativeFrom="paragraph">
              <wp:posOffset>-12065</wp:posOffset>
            </wp:positionV>
            <wp:extent cx="85090" cy="1365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1">
                      <a:extLst>
                        <a:ext uri="{28A0092B-C50C-407E-A947-70E740481C1C}"/>
                      </a:extLst>
                    </a:blip>
                    <a:srcRect/>
                    <a:stretch>
                      <a:fillRect/>
                    </a:stretch>
                  </pic:blipFill>
                  <pic:spPr bwMode="auto">
                    <a:xfrm>
                      <a:off x="0" y="0"/>
                      <a:ext cx="85090" cy="13652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-12065</wp:posOffset>
            </wp:positionV>
            <wp:extent cx="85725" cy="1365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2">
                      <a:extLst>
                        <a:ext uri="{28A0092B-C50C-407E-A947-70E740481C1C}"/>
                      </a:extLst>
                    </a:blip>
                    <a:srcRect/>
                    <a:stretch>
                      <a:fillRect/>
                    </a:stretch>
                  </pic:blipFill>
                  <pic:spPr bwMode="auto">
                    <a:xfrm>
                      <a:off x="0" y="0"/>
                      <a:ext cx="85725" cy="1365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5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2"/>
        </w:trPr>
        <w:tc>
          <w:tcPr>
            <w:tcW w:w="5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16"/>
        </w:trPr>
        <w:tc>
          <w:tcPr>
            <w:tcW w:w="580" w:type="dxa"/>
            <w:vAlign w:val="bottom"/>
          </w:tcPr>
          <w:p>
            <w:pPr>
              <w:spacing w:after="0"/>
              <w:rPr>
                <w:sz w:val="18"/>
                <w:szCs w:val="18"/>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15,318</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11,112</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5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28,897</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19,079</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749"/>
        </w:trPr>
        <w:tc>
          <w:tcPr>
            <w:tcW w:w="580" w:type="dxa"/>
            <w:vAlign w:val="bottom"/>
          </w:tcPr>
          <w:p>
            <w:pPr>
              <w:spacing w:after="0"/>
              <w:rPr>
                <w:sz w:val="24"/>
                <w:szCs w:val="24"/>
                <w:color w:val="auto"/>
              </w:rPr>
            </w:pPr>
          </w:p>
        </w:tc>
        <w:tc>
          <w:tcPr>
            <w:tcW w:w="3400" w:type="dxa"/>
            <w:vAlign w:val="bottom"/>
            <w:tcBorders>
              <w:top w:val="single" w:sz="8" w:color="CFF0FC"/>
            </w:tcBorders>
          </w:tcPr>
          <w:p>
            <w:pPr>
              <w:spacing w:after="0"/>
              <w:rPr>
                <w:sz w:val="24"/>
                <w:szCs w:val="24"/>
                <w:color w:val="auto"/>
              </w:rPr>
            </w:pPr>
          </w:p>
        </w:tc>
        <w:tc>
          <w:tcPr>
            <w:tcW w:w="2540" w:type="dxa"/>
            <w:vAlign w:val="bottom"/>
            <w:tcBorders>
              <w:top w:val="single" w:sz="8" w:color="CFF0FC"/>
            </w:tcBorders>
          </w:tcPr>
          <w:p>
            <w:pPr>
              <w:ind w:left="1480"/>
              <w:spacing w:after="0"/>
              <w:rPr>
                <w:sz w:val="20"/>
                <w:szCs w:val="20"/>
                <w:color w:val="auto"/>
              </w:rPr>
            </w:pPr>
            <w:r>
              <w:rPr>
                <w:rFonts w:ascii="Times New Roman" w:cs="Times New Roman" w:eastAsia="Times New Roman" w:hAnsi="Times New Roman"/>
                <w:sz w:val="18"/>
                <w:szCs w:val="18"/>
                <w:color w:val="auto"/>
              </w:rPr>
              <w:t>F-25</w:t>
            </w: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-984885</wp:posOffset>
            </wp:positionV>
            <wp:extent cx="603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-984885</wp:posOffset>
            </wp:positionV>
            <wp:extent cx="596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-984885</wp:posOffset>
            </wp:positionV>
            <wp:extent cx="603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jc w:val="both"/>
        <w:ind w:right="24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2024, and 2023 the Company recorded total tax provisions of less than $0.1 million, $0.2 million, and $0.1 million, respectively, related to current state taxes. All of the Company’s operating losses since inception have been generated in the United States.</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 reconciliation of the U.S. federal statutory income tax rate of 21% to the Company’s effective income tax rate, post the adoption of ASU 2023-09, is as follows (in thousands, except percentages):</w:t>
      </w:r>
    </w:p>
    <w:p>
      <w:pPr>
        <w:spacing w:after="0" w:line="371" w:lineRule="exact"/>
        <w:rPr>
          <w:sz w:val="20"/>
          <w:szCs w:val="20"/>
          <w:color w:val="auto"/>
        </w:rPr>
      </w:pPr>
    </w:p>
    <w:tbl>
      <w:tblPr>
        <w:tblLayout w:type="fixed"/>
        <w:tblInd w:w="148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2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r>
      <w:tr>
        <w:trPr>
          <w:trHeight w:val="142"/>
        </w:trPr>
        <w:tc>
          <w:tcPr>
            <w:tcW w:w="4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thousands)</w:t>
            </w: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at U.S. federal statutory rate</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(21,334)</w:t>
            </w: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Limitation on executive compensation</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 research and development tax credits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(6,128)</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22,975</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(390)</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and effective tax rate</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422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-7620</wp:posOffset>
            </wp:positionV>
            <wp:extent cx="514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1111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For the year-ended December 31, 2025, state income taxes in Massachusetts make up the majority (greater than 50%) of the state income taxes, net of federal benefit category.</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 reconciliation of the U.S. federal statutory income tax rate of 21% to the Company’s effective income tax rate, prior to the adoption of ASU 2023-09,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gridSpan w:val="2"/>
            <w:vMerge w:val="restart"/>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vMerge w:val="restart"/>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820" w:type="dxa"/>
            <w:vAlign w:val="bottom"/>
            <w:gridSpan w:val="2"/>
            <w:vMerge w:val="continue"/>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at U.S. federal statutory rate</w:t>
            </w: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21.0%</w:t>
            </w:r>
          </w:p>
        </w:tc>
        <w:tc>
          <w:tcPr>
            <w:tcW w:w="6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and state research and development tax credits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Nondeductible/nontaxable permanent items</w:t>
            </w:r>
          </w:p>
        </w:tc>
        <w:tc>
          <w:tcPr>
            <w:tcW w:w="10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(0.1)</w:t>
            </w:r>
          </w:p>
        </w:tc>
        <w:tc>
          <w:tcPr>
            <w:tcW w:w="6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(0.2)</w:t>
            </w:r>
          </w:p>
        </w:tc>
        <w:tc>
          <w:tcPr>
            <w:tcW w:w="6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(33.1)</w:t>
            </w:r>
          </w:p>
        </w:tc>
        <w:tc>
          <w:tcPr>
            <w:tcW w:w="6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9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6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580" w:type="dxa"/>
            <w:vAlign w:val="bottom"/>
          </w:tcPr>
          <w:p>
            <w:pPr>
              <w:spacing w:after="0"/>
              <w:rPr>
                <w:sz w:val="24"/>
                <w:szCs w:val="24"/>
                <w:color w:val="auto"/>
              </w:rPr>
            </w:pPr>
          </w:p>
        </w:tc>
        <w:tc>
          <w:tcPr>
            <w:tcW w:w="7220" w:type="dxa"/>
            <w:vAlign w:val="bottom"/>
            <w:gridSpan w:val="2"/>
          </w:tcPr>
          <w:p>
            <w:pPr>
              <w:ind w:left="4880"/>
              <w:spacing w:after="0"/>
              <w:rPr>
                <w:sz w:val="20"/>
                <w:szCs w:val="20"/>
                <w:color w:val="auto"/>
              </w:rPr>
            </w:pPr>
            <w:r>
              <w:rPr>
                <w:rFonts w:ascii="Times New Roman" w:cs="Times New Roman" w:eastAsia="Times New Roman" w:hAnsi="Times New Roman"/>
                <w:sz w:val="18"/>
                <w:szCs w:val="18"/>
                <w:color w:val="auto"/>
              </w:rPr>
              <w:t>F-26</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6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-984885</wp:posOffset>
            </wp:positionV>
            <wp:extent cx="14541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-984885</wp:posOffset>
            </wp:positionV>
            <wp:extent cx="14605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3">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3" w:name="page134"/>
    <w:bookmarkEnd w:id="133"/>
    <w:p>
      <w:pPr>
        <w:ind w:left="52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components of the deferred tax assets and liabilities are as follows: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700" w:type="dxa"/>
            <w:vAlign w:val="bottom"/>
          </w:tcPr>
          <w:p>
            <w:pPr>
              <w:spacing w:after="0"/>
              <w:rPr>
                <w:sz w:val="12"/>
                <w:szCs w:val="12"/>
                <w:color w:val="auto"/>
              </w:rPr>
            </w:pPr>
          </w:p>
        </w:tc>
        <w:tc>
          <w:tcPr>
            <w:tcW w:w="1220" w:type="dxa"/>
            <w:vAlign w:val="bottom"/>
            <w:tcBorders>
              <w:bottom w:val="single" w:sz="8" w:color="auto"/>
            </w:tcBorders>
          </w:tcPr>
          <w:p>
            <w:pPr>
              <w:jc w:val="right"/>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7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5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060" w:type="dxa"/>
            <w:vAlign w:val="bottom"/>
            <w:gridSpan w:val="3"/>
          </w:tcPr>
          <w:p>
            <w:pPr>
              <w:jc w:val="right"/>
              <w:ind w:right="39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7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220" w:type="dxa"/>
            <w:vAlign w:val="bottom"/>
          </w:tcPr>
          <w:p>
            <w:pPr>
              <w:jc w:val="right"/>
              <w:ind w:right="1101"/>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78,500</w:t>
            </w:r>
          </w:p>
        </w:tc>
        <w:tc>
          <w:tcPr>
            <w:tcW w:w="200" w:type="dxa"/>
            <w:vAlign w:val="bottom"/>
          </w:tcPr>
          <w:p>
            <w:pPr>
              <w:spacing w:after="0"/>
              <w:rPr>
                <w:sz w:val="18"/>
                <w:szCs w:val="18"/>
                <w:color w:val="auto"/>
              </w:rPr>
            </w:pPr>
          </w:p>
        </w:tc>
        <w:tc>
          <w:tcPr>
            <w:tcW w:w="86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30,640</w:t>
            </w:r>
          </w:p>
        </w:tc>
        <w:tc>
          <w:tcPr>
            <w:tcW w:w="100" w:type="dxa"/>
            <w:vAlign w:val="bottom"/>
          </w:tcPr>
          <w:p>
            <w:pPr>
              <w:spacing w:after="0"/>
              <w:rPr>
                <w:sz w:val="18"/>
                <w:szCs w:val="18"/>
                <w:color w:val="auto"/>
              </w:rPr>
            </w:pPr>
          </w:p>
        </w:tc>
      </w:tr>
      <w:tr>
        <w:trPr>
          <w:trHeight w:val="216"/>
        </w:trPr>
        <w:tc>
          <w:tcPr>
            <w:tcW w:w="570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1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35,934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27,775</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11,746</w:t>
            </w:r>
          </w:p>
        </w:tc>
        <w:tc>
          <w:tcPr>
            <w:tcW w:w="100" w:type="dxa"/>
            <w:vAlign w:val="bottom"/>
          </w:tcPr>
          <w:p>
            <w:pPr>
              <w:spacing w:after="0"/>
              <w:rPr>
                <w:sz w:val="18"/>
                <w:szCs w:val="18"/>
                <w:color w:val="auto"/>
              </w:rPr>
            </w:pPr>
          </w:p>
        </w:tc>
      </w:tr>
      <w:tr>
        <w:trPr>
          <w:trHeight w:val="216"/>
        </w:trPr>
        <w:tc>
          <w:tcPr>
            <w:tcW w:w="570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17,027</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Accruals and reserves</w:t>
            </w:r>
          </w:p>
        </w:tc>
        <w:tc>
          <w:tcPr>
            <w:tcW w:w="1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tcPr>
          <w:p>
            <w:pPr>
              <w:spacing w:after="0"/>
              <w:rPr>
                <w:sz w:val="18"/>
                <w:szCs w:val="18"/>
                <w:color w:val="auto"/>
              </w:rPr>
            </w:pPr>
          </w:p>
        </w:tc>
      </w:tr>
      <w:tr>
        <w:trPr>
          <w:trHeight w:val="216"/>
        </w:trPr>
        <w:tc>
          <w:tcPr>
            <w:tcW w:w="570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Capitalized research costs</w:t>
            </w:r>
          </w:p>
        </w:tc>
        <w:tc>
          <w:tcPr>
            <w:tcW w:w="1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63,298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71,315</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compensation and other</w:t>
            </w:r>
          </w:p>
        </w:tc>
        <w:tc>
          <w:tcPr>
            <w:tcW w:w="1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100" w:type="dxa"/>
            <w:vAlign w:val="bottom"/>
          </w:tcPr>
          <w:p>
            <w:pPr>
              <w:spacing w:after="0"/>
              <w:rPr>
                <w:sz w:val="18"/>
                <w:szCs w:val="18"/>
                <w:color w:val="auto"/>
              </w:rPr>
            </w:pPr>
          </w:p>
        </w:tc>
      </w:tr>
      <w:tr>
        <w:trPr>
          <w:trHeight w:val="209"/>
        </w:trPr>
        <w:tc>
          <w:tcPr>
            <w:tcW w:w="570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197,922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168,852</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220" w:type="dxa"/>
            <w:vAlign w:val="bottom"/>
          </w:tcPr>
          <w:p>
            <w:pPr>
              <w:spacing w:after="0"/>
              <w:rPr>
                <w:sz w:val="18"/>
                <w:szCs w:val="18"/>
                <w:color w:val="auto"/>
              </w:rPr>
            </w:pP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(186,603)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(156,402)</w:t>
            </w:r>
          </w:p>
        </w:tc>
      </w:tr>
      <w:tr>
        <w:trPr>
          <w:trHeight w:val="20"/>
        </w:trPr>
        <w:tc>
          <w:tcPr>
            <w:tcW w:w="57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220" w:type="dxa"/>
            <w:vAlign w:val="bottom"/>
            <w:shd w:val="clear" w:color="auto" w:fill="CFF0FC"/>
          </w:tcPr>
          <w:p>
            <w:pPr>
              <w:jc w:val="right"/>
              <w:ind w:right="1101"/>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11,319</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12,450</w:t>
            </w:r>
          </w:p>
        </w:tc>
        <w:tc>
          <w:tcPr>
            <w:tcW w:w="100" w:type="dxa"/>
            <w:vAlign w:val="bottom"/>
            <w:shd w:val="clear" w:color="auto" w:fill="CFF0FC"/>
          </w:tcPr>
          <w:p>
            <w:pPr>
              <w:spacing w:after="0"/>
              <w:rPr>
                <w:sz w:val="18"/>
                <w:szCs w:val="18"/>
                <w:color w:val="auto"/>
              </w:rPr>
            </w:pPr>
          </w:p>
        </w:tc>
      </w:tr>
      <w:tr>
        <w:trPr>
          <w:trHeight w:val="209"/>
        </w:trPr>
        <w:tc>
          <w:tcPr>
            <w:tcW w:w="5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70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1220" w:type="dxa"/>
            <w:vAlign w:val="bottom"/>
            <w:shd w:val="clear" w:color="auto" w:fill="CFF0FC"/>
          </w:tcPr>
          <w:p>
            <w:pPr>
              <w:jc w:val="right"/>
              <w:ind w:right="1101"/>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(1,470)</w:t>
            </w:r>
          </w:p>
        </w:tc>
        <w:tc>
          <w:tcPr>
            <w:tcW w:w="860" w:type="dxa"/>
            <w:vAlign w:val="bottom"/>
            <w:gridSpan w:val="2"/>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(1,705)</w:t>
            </w:r>
          </w:p>
        </w:tc>
      </w:tr>
      <w:tr>
        <w:trPr>
          <w:trHeight w:val="216"/>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Right-of-use asset and other</w:t>
            </w:r>
          </w:p>
        </w:tc>
        <w:tc>
          <w:tcPr>
            <w:tcW w:w="1220" w:type="dxa"/>
            <w:vAlign w:val="bottom"/>
          </w:tcPr>
          <w:p>
            <w:pPr>
              <w:jc w:val="right"/>
              <w:ind w:right="1101"/>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(9,849)</w:t>
            </w:r>
          </w:p>
        </w:tc>
        <w:tc>
          <w:tcPr>
            <w:tcW w:w="86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(10,745)</w:t>
            </w:r>
          </w:p>
        </w:tc>
      </w:tr>
      <w:tr>
        <w:trPr>
          <w:trHeight w:val="216"/>
        </w:trPr>
        <w:tc>
          <w:tcPr>
            <w:tcW w:w="570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1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(11,319)</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(12,450)</w:t>
            </w:r>
          </w:p>
        </w:tc>
      </w:tr>
      <w:tr>
        <w:trPr>
          <w:trHeight w:val="20"/>
        </w:trPr>
        <w:tc>
          <w:tcPr>
            <w:tcW w:w="5700" w:type="dxa"/>
            <w:vAlign w:val="bottom"/>
            <w:tcBorders>
              <w:right w:val="single" w:sz="8" w:color="CFF0FC"/>
            </w:tcBorders>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taxes</w:t>
            </w:r>
          </w:p>
        </w:tc>
        <w:tc>
          <w:tcPr>
            <w:tcW w:w="1220" w:type="dxa"/>
            <w:vAlign w:val="bottom"/>
            <w:tcBorders>
              <w:bottom w:val="single" w:sz="8" w:color="auto"/>
            </w:tcBorders>
          </w:tcPr>
          <w:p>
            <w:pPr>
              <w:jc w:val="right"/>
              <w:ind w:right="1101"/>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-710565</wp:posOffset>
            </wp:positionV>
            <wp:extent cx="603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-710565</wp:posOffset>
            </wp:positionV>
            <wp:extent cx="603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-153670</wp:posOffset>
            </wp:positionV>
            <wp:extent cx="603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-153670</wp:posOffset>
            </wp:positionV>
            <wp:extent cx="6032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operating lease liability deferred tax asset in the table above includes leasehold improvements related to the Company's 201 Brookline Avenue facility lease that has tax basis with no book basis.</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had U.S. federal and state net operating loss (NOL) carryforwards of $287.0 million and $302.5 million, respectively, which may be available to offset future taxable income. The federal NOLs include $2.8 million which expire at various dates beginning in 2036 and $284.2 million which carry forward indefinitely. The state NOLs expire at various dates beginning in 2036. As of December 31, 2025, the Company also had U.S. federal and state research and development tax credit carryforwards of $26.1 million and $12.7 million, respectively, which may be available to offset future tax. The federal credits will expire beginning in 2034, and the state credits will expire beginning in 2026.</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Utilization of the U.S. federal and state net operating loss carryforwards and research and development tax credit carryforwards may be subject to a substantial annual limitation under Section 382 of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or tax liabilities. In general, an ownership change results from transactions increasing the ownership of certain stockholders or public groups in the stock of a corporation by more than 50% over a three-year period. The Company last performed an analysis of ownership changes through December 31, 2021 and determined that on February 6, 2017 and August 17, 2020, ownership changes had occurred. Based on this analysis, the Company’s ability to use its pre-change tax attributes to offset federal and state taxable income are subject to annual limitations and a portion of the attributes generated prior to February 6, 2017 expired unutilized.</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ASC 740 requires a valuation allowance to reduce the deferred tax assets reported, if based on the weight of the evidence, it is more likely than not that some portion or all of the deferred tax assets will not be realized. 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net deferred tax assets as of December 31, 2025 and 2024. Management reevaluates the positive and negative evidence at each reporting period. The Company recorded an increase to the valuation allowance of $30.2 million during 2025 related primarily to the increase in net operating loss carryforwards and research and development tax credit carryforwards, partially offset by the recognition of deferred collaboration revenue in 2025 that was previously recognized for tax purposes.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34" w:name="page135"/>
    <w:bookmarkEnd w:id="134"/>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had not recorded any amounts for unrecognized tax benefits. The Company’s policy is to record interest and penalties related to income taxes as part of its income tax provision. As of December 31, 2025 and 2024, the Company had no accrued interest or penalties related to uncertain tax positions in the consolidated statements of operations and comprehensive loss.</w:t>
      </w:r>
    </w:p>
    <w:p>
      <w:pPr>
        <w:spacing w:after="0" w:line="176"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The Company files income tax returns in the U.S. federal and state jurisdictions, as prescribed by tax laws. In the normal course of business, the Company is subject to examination by federal and state jurisdictions, where applicable. The statute of limitations for federal and state tax authorities is generally closed for years prior to December 31, 2022, although carryforward attributes that were generated prior to 2022 may still be subject to change upon examination if they are utilized to offset taxable income in subsequent tax years. There are currently no federal or state income tax audits in progress.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made the following income tax payments (net of refunds received) during the year ended December 31, 2025:</w:t>
      </w:r>
    </w:p>
    <w:tbl>
      <w:tblPr>
        <w:tblLayout w:type="fixed"/>
        <w:tblInd w:w="2040" w:type="dxa"/>
        <w:tblCellMar>
          <w:top w:w="0" w:type="dxa"/>
          <w:left w:w="0" w:type="dxa"/>
          <w:bottom w:w="0" w:type="dxa"/>
          <w:right w:w="0" w:type="dxa"/>
        </w:tblCellMar>
      </w:tblPr>
      <w:tr>
        <w:trPr>
          <w:trHeight w:val="151"/>
        </w:trPr>
        <w:tc>
          <w:tcPr>
            <w:tcW w:w="5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5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2"/>
                <w:szCs w:val="12"/>
                <w:color w:val="auto"/>
              </w:rPr>
            </w:pPr>
          </w:p>
        </w:tc>
      </w:tr>
      <w:tr>
        <w:trPr>
          <w:trHeight w:val="142"/>
        </w:trPr>
        <w:tc>
          <w:tcPr>
            <w:tcW w:w="5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state and local</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Massachusetts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r>
      <w:tr>
        <w:trPr>
          <w:trHeight w:val="216"/>
        </w:trPr>
        <w:tc>
          <w:tcPr>
            <w:tcW w:w="5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California</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payments (net of refunds received)</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-170815</wp:posOffset>
            </wp:positionV>
            <wp:extent cx="431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401(K) Savings Plan</w:t>
      </w:r>
    </w:p>
    <w:p>
      <w:pPr>
        <w:spacing w:after="0" w:line="22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Company maintains a 401(k) retirement savings plan for employees who satisfy certain eligibility requirements. The savings plan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The Company made matching contributions to participants in the 401(k) plan of $1.2 million, $1.3 million and $0.9 million during the years ended December 31, 2025, 2024 and 2023,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20" w:type="dxa"/>
            <w:vAlign w:val="bottom"/>
            <w:gridSpan w:val="7"/>
          </w:tcPr>
          <w:p>
            <w:pPr>
              <w:jc w:val="center"/>
              <w:ind w:left="637"/>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 except share and per</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restart"/>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share data)</w:t>
            </w:r>
          </w:p>
        </w:tc>
        <w:tc>
          <w:tcPr>
            <w:tcW w:w="320" w:type="dxa"/>
            <w:vAlign w:val="bottom"/>
          </w:tcPr>
          <w:p>
            <w:pPr>
              <w:spacing w:after="0"/>
              <w:rPr>
                <w:sz w:val="12"/>
                <w:szCs w:val="12"/>
                <w:color w:val="auto"/>
              </w:rPr>
            </w:pPr>
          </w:p>
        </w:tc>
        <w:tc>
          <w:tcPr>
            <w:tcW w:w="98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(101,594)</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(130,302)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(101,744)</w:t>
            </w:r>
          </w:p>
        </w:tc>
        <w:tc>
          <w:tcPr>
            <w:tcW w:w="0" w:type="dxa"/>
            <w:vAlign w:val="bottom"/>
          </w:tcPr>
          <w:p>
            <w:pPr>
              <w:spacing w:after="0"/>
              <w:rPr>
                <w:sz w:val="1"/>
                <w:szCs w:val="1"/>
                <w:color w:val="auto"/>
              </w:rPr>
            </w:pPr>
          </w:p>
        </w:tc>
      </w:tr>
      <w:tr>
        <w:trPr>
          <w:trHeight w:val="20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common stock outstanding – basic and diluted</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116,166,187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109,226,731</w:t>
            </w:r>
          </w:p>
        </w:tc>
        <w:tc>
          <w:tcPr>
            <w:tcW w:w="3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94,572,448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(0.87)</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(1.19)</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03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issue pre-funded warrants which are classified as a component of permanent equity in the Company's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pre-funded warrants are included in the weighted-average number of shares of common stock used to calculate basic and diluted net loss per common share immediately upon issuance because the shares may be issued for little or no consideration, are fully vested and are exercisable after the original issuance date of the pre-funded warrants.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35" w:name="page136"/>
    <w:bookmarkEnd w:id="135"/>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August 2023, the Company completed a private placement, in which pre-funded warrants to purchase 2,340,579 shares of common stock with an exercise price of $0.001 per share were issued. In June 2025, all of these pre-funded warrants were exercised. In October 2025, the Company completed a private placement, in which pre-funded warrants to purchase 3,226,458 shares of common stock with an exercise price of $0.001 per share were issued. All of these pre-funded warrants remain unexercised as of the December 31, 2025 balance sheet date.</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which include common stock options and unvested restricted common stock units,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520" w:type="dxa"/>
            <w:vAlign w:val="bottom"/>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3"/>
                <w:szCs w:val="13"/>
                <w:color w:val="auto"/>
              </w:rPr>
            </w:pPr>
          </w:p>
        </w:tc>
        <w:tc>
          <w:tcPr>
            <w:tcW w:w="18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0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20,465,579</w:t>
            </w:r>
          </w:p>
        </w:tc>
        <w:tc>
          <w:tcPr>
            <w:tcW w:w="18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19,615,023</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16,734,960</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1,263,429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1,209,333</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757,514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21,729,008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20,824,356</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17,492,474</w:t>
            </w:r>
          </w:p>
        </w:tc>
        <w:tc>
          <w:tcPr>
            <w:tcW w:w="0" w:type="dxa"/>
            <w:vAlign w:val="bottom"/>
          </w:tcPr>
          <w:p>
            <w:pPr>
              <w:spacing w:after="0"/>
              <w:rPr>
                <w:sz w:val="1"/>
                <w:szCs w:val="1"/>
                <w:color w:val="auto"/>
              </w:rPr>
            </w:pPr>
          </w:p>
        </w:tc>
      </w:tr>
      <w:tr>
        <w:trPr>
          <w:trHeight w:val="20"/>
        </w:trPr>
        <w:tc>
          <w:tcPr>
            <w:tcW w:w="504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-7620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03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229"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The Company operates in the U.S. and has one operating segment that is managed on a consolidated basis. The Company’s revenues are primarily generated through its license and collaboration agreement with Gilead. The accounting policies, as described in the summary of significant accounting policies, is applicable across all Company operations. The Company’s chief executive officer (CEO), as the chief operating decision maker (CODM), manages and allocates resources to the operations of our company on a consolidated basis. Managing and allocating resources on a total company basis enables the CODM to assess the overall level of resources available and how to best deploy these resources across departments and research and development programs that are in-line with our long-term company-wide strategic goals. Consistent with this decision-making process, the Company’s CODM uses consolidated, single-segment financial information for purposes of evaluating performance, forecasting future period financial results and allocating resources.</w:t>
      </w:r>
    </w:p>
    <w:p>
      <w:pPr>
        <w:spacing w:after="0" w:line="19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CODM assesses performance and decides how to allocate resources based on segment net income (loss). This measure is used to monitor budget versus actual results to assess performance of the segment.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Company’s segment expense for the years ended December 31, 2025, 2024 and 2023:</w:t>
      </w:r>
    </w:p>
    <w:p>
      <w:pPr>
        <w:spacing w:after="0" w:line="246" w:lineRule="exact"/>
        <w:rPr>
          <w:sz w:val="20"/>
          <w:szCs w:val="20"/>
          <w:color w:val="auto"/>
        </w:rPr>
      </w:pPr>
    </w:p>
    <w:p>
      <w:pPr>
        <w:jc w:val="center"/>
        <w:ind w:left="4300"/>
        <w:spacing w:after="0"/>
        <w:rPr>
          <w:sz w:val="20"/>
          <w:szCs w:val="20"/>
          <w:color w:val="auto"/>
        </w:rPr>
      </w:pPr>
      <w:r>
        <w:rPr>
          <w:rFonts w:ascii="Times New Roman" w:cs="Times New Roman" w:eastAsia="Times New Roman" w:hAnsi="Times New Roman"/>
          <w:sz w:val="14"/>
          <w:szCs w:val="14"/>
          <w:b w:val="1"/>
          <w:bCs w:val="1"/>
          <w:color w:val="auto"/>
        </w:rPr>
        <w:t>Oncology Segment</w:t>
      </w:r>
    </w:p>
    <w:p>
      <w:pPr>
        <w:jc w:val="center"/>
        <w:ind w:left="4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bl>
      <w:tblPr>
        <w:tblLayout w:type="fixed"/>
        <w:tblInd w:w="0" w:type="dxa"/>
        <w:tblCellMar>
          <w:top w:w="0" w:type="dxa"/>
          <w:left w:w="0" w:type="dxa"/>
          <w:bottom w:w="0" w:type="dxa"/>
          <w:right w:w="0" w:type="dxa"/>
        </w:tblCellMar>
      </w:tblPr>
      <w:tr>
        <w:trPr>
          <w:trHeight w:val="142"/>
        </w:trPr>
        <w:tc>
          <w:tcPr>
            <w:tcW w:w="3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6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2"/>
        </w:trPr>
        <w:tc>
          <w:tcPr>
            <w:tcW w:w="3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30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720" w:type="dxa"/>
            <w:vAlign w:val="bottom"/>
            <w:gridSpan w:val="2"/>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62,384</w:t>
            </w:r>
          </w:p>
        </w:tc>
        <w:tc>
          <w:tcPr>
            <w:tcW w:w="2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42,069</w:t>
            </w:r>
          </w:p>
        </w:tc>
        <w:tc>
          <w:tcPr>
            <w:tcW w:w="2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36,527</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Less:</w:t>
            </w: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vopimetostat direct program expenses - R&amp;D</w:t>
            </w:r>
          </w:p>
        </w:tc>
        <w:tc>
          <w:tcPr>
            <w:tcW w:w="5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TNG456 direct program expenses - R&amp;D</w:t>
            </w: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TNG260 direct program expenses - R&amp;D</w:t>
            </w:r>
          </w:p>
        </w:tc>
        <w:tc>
          <w:tcPr>
            <w:tcW w:w="5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TNG961 direct program expenses - R&amp;D</w:t>
            </w: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TNG908 direct program expenses* - R&amp;D</w:t>
            </w:r>
          </w:p>
        </w:tc>
        <w:tc>
          <w:tcPr>
            <w:tcW w:w="5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10,851</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TNG348 direct program expenses** - R&amp;D</w:t>
            </w: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Discovery direct program expenses - R&amp;D</w:t>
            </w:r>
          </w:p>
        </w:tc>
        <w:tc>
          <w:tcPr>
            <w:tcW w:w="5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23,426</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expenses - R&amp;D</w:t>
            </w: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Facilities and other related expenses - R&amp;D</w:t>
            </w:r>
          </w:p>
        </w:tc>
        <w:tc>
          <w:tcPr>
            <w:tcW w:w="5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17,559</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 segment expenses (a)</w:t>
            </w:r>
          </w:p>
        </w:tc>
        <w:tc>
          <w:tcPr>
            <w:tcW w:w="5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49"/>
        </w:trPr>
        <w:tc>
          <w:tcPr>
            <w:tcW w:w="300" w:type="dxa"/>
            <w:vAlign w:val="bottom"/>
          </w:tcPr>
          <w:p>
            <w:pPr>
              <w:spacing w:after="0"/>
              <w:rPr>
                <w:sz w:val="21"/>
                <w:szCs w:val="21"/>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net loss</w:t>
            </w:r>
          </w:p>
        </w:tc>
        <w:tc>
          <w:tcPr>
            <w:tcW w:w="1720" w:type="dxa"/>
            <w:vAlign w:val="bottom"/>
            <w:gridSpan w:val="2"/>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(101,594)</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(130,302)</w:t>
            </w: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(101,744)</w:t>
            </w:r>
          </w:p>
        </w:tc>
        <w:tc>
          <w:tcPr>
            <w:tcW w:w="280" w:type="dxa"/>
            <w:vAlign w:val="bottom"/>
          </w:tcPr>
          <w:p>
            <w:pPr>
              <w:spacing w:after="0"/>
              <w:rPr>
                <w:sz w:val="21"/>
                <w:szCs w:val="21"/>
                <w:color w:val="auto"/>
              </w:rPr>
            </w:pPr>
          </w:p>
        </w:tc>
      </w:tr>
      <w:tr>
        <w:trPr>
          <w:trHeight w:val="520"/>
        </w:trPr>
        <w:tc>
          <w:tcPr>
            <w:tcW w:w="300" w:type="dxa"/>
            <w:vAlign w:val="bottom"/>
          </w:tcPr>
          <w:p>
            <w:pPr>
              <w:spacing w:after="0"/>
              <w:rPr>
                <w:sz w:val="24"/>
                <w:szCs w:val="24"/>
                <w:color w:val="auto"/>
              </w:rPr>
            </w:pPr>
          </w:p>
        </w:tc>
        <w:tc>
          <w:tcPr>
            <w:tcW w:w="3840" w:type="dxa"/>
            <w:vAlign w:val="bottom"/>
            <w:tcBorders>
              <w:top w:val="single" w:sz="8" w:color="CFF0FC"/>
            </w:tcBorders>
          </w:tcPr>
          <w:p>
            <w:pPr>
              <w:spacing w:after="0"/>
              <w:rPr>
                <w:sz w:val="24"/>
                <w:szCs w:val="24"/>
                <w:color w:val="auto"/>
              </w:rPr>
            </w:pPr>
          </w:p>
        </w:tc>
        <w:tc>
          <w:tcPr>
            <w:tcW w:w="580" w:type="dxa"/>
            <w:vAlign w:val="bottom"/>
            <w:tcBorders>
              <w:top w:val="single" w:sz="8" w:color="CFF0FC"/>
            </w:tcBorders>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F-29</w:t>
            </w:r>
          </w:p>
        </w:tc>
        <w:tc>
          <w:tcPr>
            <w:tcW w:w="7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80" w:type="dxa"/>
            <w:vAlign w:val="bottom"/>
          </w:tcPr>
          <w:p>
            <w:pPr>
              <w:spacing w:after="0"/>
              <w:rPr>
                <w:sz w:val="24"/>
                <w:szCs w:val="24"/>
                <w:color w:val="auto"/>
              </w:rPr>
            </w:pPr>
          </w:p>
        </w:tc>
      </w:tr>
      <w:tr>
        <w:trPr>
          <w:trHeight w:val="763"/>
        </w:trPr>
        <w:tc>
          <w:tcPr>
            <w:tcW w:w="30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-865505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-847725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-865505</wp:posOffset>
            </wp:positionV>
            <wp:extent cx="6032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-847725</wp:posOffset>
            </wp:positionV>
            <wp:extent cx="6032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-865505</wp:posOffset>
            </wp:positionV>
            <wp:extent cx="6032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-847725</wp:posOffset>
            </wp:positionV>
            <wp:extent cx="6032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6" w:name="page137"/>
    <w:bookmarkEnd w:id="136"/>
    <w:p>
      <w:pPr>
        <w:ind w:left="520" w:right="20"/>
        <w:spacing w:after="0" w:line="266" w:lineRule="auto"/>
        <w:rPr>
          <w:sz w:val="20"/>
          <w:szCs w:val="20"/>
          <w:color w:val="auto"/>
        </w:rPr>
      </w:pPr>
      <w:r>
        <w:rPr>
          <w:rFonts w:ascii="Times New Roman" w:cs="Times New Roman" w:eastAsia="Times New Roman" w:hAnsi="Times New Roman"/>
          <w:sz w:val="18"/>
          <w:szCs w:val="18"/>
          <w:color w:val="auto"/>
        </w:rPr>
        <w:t>*In November 2024, we announced we stopped enrollment of the TNG908 Phase 1/2 clinical trial due to insufficient brain exposure for clinical activity in GBM patients and portfolio prioritization. Expenses beyond November 2024 related to previously enrolled patients and close-out clinical trial costs.</w:t>
      </w:r>
    </w:p>
    <w:p>
      <w:pPr>
        <w:spacing w:after="0" w:line="68" w:lineRule="exact"/>
        <w:rPr>
          <w:sz w:val="20"/>
          <w:szCs w:val="20"/>
          <w:color w:val="auto"/>
        </w:rPr>
      </w:pPr>
    </w:p>
    <w:p>
      <w:pPr>
        <w:ind w:left="520" w:right="380"/>
        <w:spacing w:after="0" w:line="282" w:lineRule="auto"/>
        <w:rPr>
          <w:sz w:val="20"/>
          <w:szCs w:val="20"/>
          <w:color w:val="auto"/>
        </w:rPr>
      </w:pPr>
      <w:r>
        <w:rPr>
          <w:rFonts w:ascii="Times New Roman" w:cs="Times New Roman" w:eastAsia="Times New Roman" w:hAnsi="Times New Roman"/>
          <w:sz w:val="18"/>
          <w:szCs w:val="18"/>
          <w:color w:val="auto"/>
        </w:rPr>
        <w:t>**In May 2024, we announced the discontinuation of TNG348, a USP1 inhibitor, due to toxicity observed in the dose escalation portion of our Phase 1/2 clinical trial. Expenses beyond May 2024 related to close-out clinical trial costs.</w:t>
      </w:r>
    </w:p>
    <w:p>
      <w:pPr>
        <w:spacing w:after="0" w:line="54" w:lineRule="exact"/>
        <w:rPr>
          <w:sz w:val="20"/>
          <w:szCs w:val="20"/>
          <w:color w:val="auto"/>
        </w:rPr>
      </w:pPr>
    </w:p>
    <w:p>
      <w:pPr>
        <w:ind w:left="520" w:right="80" w:hanging="3"/>
        <w:spacing w:after="0" w:line="282" w:lineRule="auto"/>
        <w:tabs>
          <w:tab w:leader="none" w:pos="76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included in Segment net loss includes general and administrative expense, interest income, other income and provision for income taxes.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measure of segment assets is reported on the consolidated balance sheet as total consolidated assets. The CODM reviews cash, cash equivalents and marketable securities as a measure of segment assets. As of December 31, 2025, the Company’s cash, cash equivalents and marketable securities were $343.1 million. All long-lived assets of the Company reside in the U.S.</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9" w:right="39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333-259448, 333-274298, 333-287202, 333-291683, 333-291684) and Form S-8 (Nos. 333-278016, 333-269620, 333-263893, 333-260258, 333-285306) of Tango Therapeutics, Inc. of our report dated March 5, 2026 relating to the financial statements, which appears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8" w:name="page139"/>
    <w:bookmarkEnd w:id="138"/>
    <w:p>
      <w:pPr>
        <w:ind w:left="10260"/>
        <w:spacing w:after="0"/>
        <w:rPr>
          <w:sz w:val="20"/>
          <w:szCs w:val="20"/>
          <w:color w:val="auto"/>
        </w:rPr>
      </w:pPr>
      <w:r>
        <w:rPr>
          <w:rFonts w:ascii="Times New Roman" w:cs="Times New Roman" w:eastAsia="Times New Roman" w:hAnsi="Times New Roman"/>
          <w:sz w:val="19"/>
          <w:szCs w:val="19"/>
          <w:color w:val="auto"/>
        </w:rPr>
        <w:t>Exhibit 31.1</w:t>
      </w:r>
    </w:p>
    <w:p>
      <w:pPr>
        <w:spacing w:after="0" w:line="237"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OF PRINCIPAL EXECUTIVE OFFICER PURSUANT TO RULE 13a-14(a) / RULE 15d-14(a) OF THE SECURITIES EXCHANGE ACT OF 1934, AS AMENDED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Malte Peters, M.D., certify that:</w:t>
      </w:r>
    </w:p>
    <w:p>
      <w:pPr>
        <w:spacing w:after="0" w:line="229" w:lineRule="exact"/>
        <w:rPr>
          <w:sz w:val="20"/>
          <w:szCs w:val="20"/>
          <w:color w:val="auto"/>
        </w:rPr>
      </w:pPr>
    </w:p>
    <w:p>
      <w:pPr>
        <w:ind w:left="380" w:hanging="372"/>
        <w:spacing w:after="0"/>
        <w:tabs>
          <w:tab w:leader="none" w:pos="3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Tango Therapeutics, Inc.;</w:t>
      </w:r>
    </w:p>
    <w:p>
      <w:pPr>
        <w:spacing w:after="0" w:line="215"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2"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4" w:lineRule="exact"/>
        <w:rPr>
          <w:rFonts w:ascii="Times New Roman" w:cs="Times New Roman" w:eastAsia="Times New Roman" w:hAnsi="Times New Roman"/>
          <w:sz w:val="20"/>
          <w:szCs w:val="20"/>
          <w:color w:val="auto"/>
        </w:rPr>
      </w:pPr>
    </w:p>
    <w:p>
      <w:pPr>
        <w:jc w:val="both"/>
        <w:ind w:left="380" w:hanging="372"/>
        <w:spacing w:after="0" w:line="264" w:lineRule="auto"/>
        <w:tabs>
          <w:tab w:leader="none" w:pos="38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jc w:val="both"/>
        <w:ind w:left="1020" w:hanging="368"/>
        <w:spacing w:after="0" w:line="254" w:lineRule="auto"/>
        <w:tabs>
          <w:tab w:leader="none" w:pos="102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9" w:name="page140"/>
    <w:bookmarkEnd w:id="139"/>
    <w:p>
      <w:pPr>
        <w:jc w:val="both"/>
        <w:ind w:left="372" w:hanging="372"/>
        <w:spacing w:after="0" w:line="254" w:lineRule="auto"/>
        <w:tabs>
          <w:tab w:leader="none" w:pos="37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Times New Roman" w:cs="Times New Roman" w:eastAsia="Times New Roman" w:hAnsi="Times New Roman"/>
          <w:sz w:val="20"/>
          <w:szCs w:val="20"/>
          <w:color w:val="auto"/>
        </w:rPr>
      </w:pPr>
    </w:p>
    <w:p>
      <w:pPr>
        <w:jc w:val="both"/>
        <w:ind w:left="1012" w:hanging="368"/>
        <w:spacing w:after="0" w:line="254" w:lineRule="auto"/>
        <w:tabs>
          <w:tab w:leader="none" w:pos="1012"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1012" w:right="20" w:hanging="368"/>
        <w:spacing w:after="0" w:line="269" w:lineRule="auto"/>
        <w:tabs>
          <w:tab w:leader="none" w:pos="1012"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512"/>
        <w:spacing w:after="0"/>
        <w:tabs>
          <w:tab w:leader="none" w:pos="3312" w:val="left"/>
        </w:tabs>
        <w:rPr>
          <w:sz w:val="20"/>
          <w:szCs w:val="20"/>
          <w:color w:val="auto"/>
        </w:rPr>
      </w:pPr>
      <w:r>
        <w:rPr>
          <w:rFonts w:ascii="Times New Roman" w:cs="Times New Roman" w:eastAsia="Times New Roman" w:hAnsi="Times New Roman"/>
          <w:sz w:val="20"/>
          <w:szCs w:val="20"/>
          <w:color w:val="auto"/>
        </w:rPr>
        <w:t>Dated: March 5, 2026</w:t>
      </w:r>
      <w:r>
        <w:rPr>
          <w:sz w:val="20"/>
          <w:szCs w:val="20"/>
          <w:color w:val="auto"/>
        </w:rPr>
        <w:tab/>
      </w:r>
      <w:r>
        <w:rPr>
          <w:rFonts w:ascii="Times New Roman" w:cs="Times New Roman" w:eastAsia="Times New Roman" w:hAnsi="Times New Roman"/>
          <w:sz w:val="19"/>
          <w:szCs w:val="19"/>
          <w:u w:val="single" w:color="auto"/>
          <w:color w:val="auto"/>
        </w:rPr>
        <w:t>/s/ Malte Peters, M.D.</w:t>
      </w:r>
    </w:p>
    <w:p>
      <w:pPr>
        <w:spacing w:after="0" w:line="135" w:lineRule="exact"/>
        <w:rPr>
          <w:sz w:val="20"/>
          <w:szCs w:val="20"/>
          <w:color w:val="auto"/>
        </w:rPr>
      </w:pPr>
    </w:p>
    <w:p>
      <w:pPr>
        <w:ind w:left="2312"/>
        <w:spacing w:after="0"/>
        <w:rPr>
          <w:sz w:val="20"/>
          <w:szCs w:val="20"/>
          <w:color w:val="auto"/>
        </w:rPr>
      </w:pPr>
      <w:r>
        <w:rPr>
          <w:rFonts w:ascii="Times New Roman" w:cs="Times New Roman" w:eastAsia="Times New Roman" w:hAnsi="Times New Roman"/>
          <w:sz w:val="20"/>
          <w:szCs w:val="20"/>
          <w:color w:val="auto"/>
        </w:rPr>
        <w:t>Malte Peters, M.D.</w:t>
      </w:r>
    </w:p>
    <w:p>
      <w:pPr>
        <w:spacing w:after="0" w:line="21" w:lineRule="exact"/>
        <w:rPr>
          <w:sz w:val="20"/>
          <w:szCs w:val="20"/>
          <w:color w:val="auto"/>
        </w:rPr>
      </w:pPr>
    </w:p>
    <w:p>
      <w:pPr>
        <w:ind w:left="2312"/>
        <w:spacing w:after="0"/>
        <w:rPr>
          <w:sz w:val="20"/>
          <w:szCs w:val="20"/>
          <w:color w:val="auto"/>
        </w:rPr>
      </w:pPr>
      <w:r>
        <w:rPr>
          <w:rFonts w:ascii="Times New Roman" w:cs="Times New Roman" w:eastAsia="Times New Roman" w:hAnsi="Times New Roman"/>
          <w:sz w:val="20"/>
          <w:szCs w:val="20"/>
          <w:color w:val="auto"/>
        </w:rPr>
        <w:t>Chief Executive Officer</w:t>
      </w:r>
    </w:p>
    <w:p>
      <w:pPr>
        <w:ind w:left="2312"/>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1110615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3" w:right="339" w:bottom="1440" w:gutter="0" w:footer="0" w:header="0"/>
        </w:sectPr>
      </w:pPr>
    </w:p>
    <w:bookmarkStart w:id="140" w:name="page141"/>
    <w:bookmarkEnd w:id="140"/>
    <w:p>
      <w:pPr>
        <w:ind w:left="10260"/>
        <w:spacing w:after="0"/>
        <w:rPr>
          <w:sz w:val="20"/>
          <w:szCs w:val="20"/>
          <w:color w:val="auto"/>
        </w:rPr>
      </w:pPr>
      <w:r>
        <w:rPr>
          <w:rFonts w:ascii="Times New Roman" w:cs="Times New Roman" w:eastAsia="Times New Roman" w:hAnsi="Times New Roman"/>
          <w:sz w:val="19"/>
          <w:szCs w:val="19"/>
          <w:color w:val="auto"/>
        </w:rPr>
        <w:t>Exhibit 31.2</w:t>
      </w:r>
    </w:p>
    <w:p>
      <w:pPr>
        <w:spacing w:after="0" w:line="237"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OF PRINCIPAL FINANCIAL OFFICER PURSUANT TO RULE 13a-14(a) / RULE 15d-14(a) OF THE SECURITIES EXCHANGE ACT OF 1934, AS AMENDED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Daniella Beckman, certify that:</w:t>
      </w:r>
    </w:p>
    <w:p>
      <w:pPr>
        <w:spacing w:after="0" w:line="229" w:lineRule="exact"/>
        <w:rPr>
          <w:sz w:val="20"/>
          <w:szCs w:val="20"/>
          <w:color w:val="auto"/>
        </w:rPr>
      </w:pPr>
    </w:p>
    <w:p>
      <w:pPr>
        <w:ind w:left="380" w:hanging="372"/>
        <w:spacing w:after="0"/>
        <w:tabs>
          <w:tab w:leader="none" w:pos="3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Tango Therapeutics, Inc.;</w:t>
      </w:r>
    </w:p>
    <w:p>
      <w:pPr>
        <w:spacing w:after="0" w:line="215"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2"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4" w:lineRule="exact"/>
        <w:rPr>
          <w:rFonts w:ascii="Times New Roman" w:cs="Times New Roman" w:eastAsia="Times New Roman" w:hAnsi="Times New Roman"/>
          <w:sz w:val="20"/>
          <w:szCs w:val="20"/>
          <w:color w:val="auto"/>
        </w:rPr>
      </w:pPr>
    </w:p>
    <w:p>
      <w:pPr>
        <w:jc w:val="both"/>
        <w:ind w:left="380" w:hanging="372"/>
        <w:spacing w:after="0" w:line="264" w:lineRule="auto"/>
        <w:tabs>
          <w:tab w:leader="none" w:pos="38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jc w:val="both"/>
        <w:ind w:left="1020" w:hanging="368"/>
        <w:spacing w:after="0" w:line="254" w:lineRule="auto"/>
        <w:tabs>
          <w:tab w:leader="none" w:pos="102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1" w:name="page142"/>
    <w:bookmarkEnd w:id="141"/>
    <w:p>
      <w:pPr>
        <w:jc w:val="both"/>
        <w:ind w:left="372" w:hanging="372"/>
        <w:spacing w:after="0" w:line="254" w:lineRule="auto"/>
        <w:tabs>
          <w:tab w:leader="none" w:pos="37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Times New Roman" w:cs="Times New Roman" w:eastAsia="Times New Roman" w:hAnsi="Times New Roman"/>
          <w:sz w:val="20"/>
          <w:szCs w:val="20"/>
          <w:color w:val="auto"/>
        </w:rPr>
      </w:pPr>
    </w:p>
    <w:p>
      <w:pPr>
        <w:jc w:val="both"/>
        <w:ind w:left="1012" w:hanging="368"/>
        <w:spacing w:after="0" w:line="254" w:lineRule="auto"/>
        <w:tabs>
          <w:tab w:leader="none" w:pos="1012"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1012" w:right="20" w:hanging="368"/>
        <w:spacing w:after="0" w:line="269" w:lineRule="auto"/>
        <w:tabs>
          <w:tab w:leader="none" w:pos="1012"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512"/>
        <w:spacing w:after="0"/>
        <w:tabs>
          <w:tab w:leader="none" w:pos="3312" w:val="left"/>
        </w:tabs>
        <w:rPr>
          <w:sz w:val="20"/>
          <w:szCs w:val="20"/>
          <w:color w:val="auto"/>
        </w:rPr>
      </w:pPr>
      <w:r>
        <w:rPr>
          <w:rFonts w:ascii="Times New Roman" w:cs="Times New Roman" w:eastAsia="Times New Roman" w:hAnsi="Times New Roman"/>
          <w:sz w:val="20"/>
          <w:szCs w:val="20"/>
          <w:color w:val="auto"/>
        </w:rPr>
        <w:t>Dated: March 5, 2026</w:t>
      </w:r>
      <w:r>
        <w:rPr>
          <w:sz w:val="20"/>
          <w:szCs w:val="20"/>
          <w:color w:val="auto"/>
        </w:rPr>
        <w:tab/>
      </w:r>
      <w:r>
        <w:rPr>
          <w:rFonts w:ascii="Times New Roman" w:cs="Times New Roman" w:eastAsia="Times New Roman" w:hAnsi="Times New Roman"/>
          <w:sz w:val="19"/>
          <w:szCs w:val="19"/>
          <w:u w:val="single" w:color="auto"/>
          <w:color w:val="auto"/>
        </w:rPr>
        <w:t>/s/ Daniella Beckman</w:t>
      </w:r>
    </w:p>
    <w:p>
      <w:pPr>
        <w:spacing w:after="0" w:line="135" w:lineRule="exact"/>
        <w:rPr>
          <w:sz w:val="20"/>
          <w:szCs w:val="20"/>
          <w:color w:val="auto"/>
        </w:rPr>
      </w:pPr>
    </w:p>
    <w:p>
      <w:pPr>
        <w:ind w:left="2312"/>
        <w:spacing w:after="0"/>
        <w:rPr>
          <w:sz w:val="20"/>
          <w:szCs w:val="20"/>
          <w:color w:val="auto"/>
        </w:rPr>
      </w:pPr>
      <w:r>
        <w:rPr>
          <w:rFonts w:ascii="Times New Roman" w:cs="Times New Roman" w:eastAsia="Times New Roman" w:hAnsi="Times New Roman"/>
          <w:sz w:val="20"/>
          <w:szCs w:val="20"/>
          <w:color w:val="auto"/>
        </w:rPr>
        <w:t>Daniella Beckman</w:t>
      </w:r>
    </w:p>
    <w:p>
      <w:pPr>
        <w:spacing w:after="0" w:line="21" w:lineRule="exact"/>
        <w:rPr>
          <w:sz w:val="20"/>
          <w:szCs w:val="20"/>
          <w:color w:val="auto"/>
        </w:rPr>
      </w:pPr>
    </w:p>
    <w:p>
      <w:pPr>
        <w:ind w:left="2312"/>
        <w:spacing w:after="0"/>
        <w:rPr>
          <w:sz w:val="20"/>
          <w:szCs w:val="20"/>
          <w:color w:val="auto"/>
        </w:rPr>
      </w:pPr>
      <w:r>
        <w:rPr>
          <w:rFonts w:ascii="Times New Roman" w:cs="Times New Roman" w:eastAsia="Times New Roman" w:hAnsi="Times New Roman"/>
          <w:sz w:val="20"/>
          <w:szCs w:val="20"/>
          <w:color w:val="auto"/>
        </w:rPr>
        <w:t>Chief Financial Officer</w:t>
      </w:r>
    </w:p>
    <w:p>
      <w:pPr>
        <w:ind w:left="2312"/>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878840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3"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0"/>
          <w:szCs w:val="20"/>
          <w:color w:val="auto"/>
        </w:rPr>
        <w:t>Exhibit 32.1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ind w:right="40" w:firstLine="749"/>
        <w:spacing w:after="0" w:line="274" w:lineRule="auto"/>
        <w:rPr>
          <w:sz w:val="20"/>
          <w:szCs w:val="20"/>
          <w:color w:val="auto"/>
        </w:rPr>
      </w:pPr>
      <w:r>
        <w:rPr>
          <w:rFonts w:ascii="Times New Roman" w:cs="Times New Roman" w:eastAsia="Times New Roman" w:hAnsi="Times New Roman"/>
          <w:sz w:val="19"/>
          <w:szCs w:val="19"/>
          <w:color w:val="auto"/>
        </w:rPr>
        <w:t>In connection with the Annual Report on Form 10-K of Tango Therapeutics, Inc. (the “Company”) for the fiscal year ended December 31, 2025 as filed with the Securities and Exchange Commission (the “Report”), I, Malte Peters, M.D., Chief Executive Officer of the Company, certify, pursuant to 18 U.S.C. § 1350, as adopted pursuant to § 906 of the Sarbanes-Oxley Act of 2002, to my knowledge, that:</w:t>
      </w:r>
    </w:p>
    <w:p>
      <w:pPr>
        <w:spacing w:after="0" w:line="170" w:lineRule="exact"/>
        <w:rPr>
          <w:sz w:val="20"/>
          <w:szCs w:val="20"/>
          <w:color w:val="auto"/>
        </w:rPr>
      </w:pPr>
    </w:p>
    <w:p>
      <w:pPr>
        <w:ind w:left="760" w:hanging="378"/>
        <w:spacing w:after="0"/>
        <w:tabs>
          <w:tab w:leader="none" w:pos="7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15" w:lineRule="exact"/>
        <w:rPr>
          <w:rFonts w:ascii="Times New Roman" w:cs="Times New Roman" w:eastAsia="Times New Roman" w:hAnsi="Times New Roman"/>
          <w:sz w:val="20"/>
          <w:szCs w:val="20"/>
          <w:color w:val="auto"/>
        </w:rPr>
      </w:pPr>
    </w:p>
    <w:p>
      <w:pPr>
        <w:ind w:left="760" w:right="220" w:hanging="378"/>
        <w:spacing w:after="0" w:line="269" w:lineRule="auto"/>
        <w:tabs>
          <w:tab w:leader="none" w:pos="7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tabs>
          <w:tab w:leader="none" w:pos="2760" w:val="left"/>
        </w:tabs>
        <w:rPr>
          <w:sz w:val="20"/>
          <w:szCs w:val="20"/>
          <w:color w:val="auto"/>
        </w:rPr>
      </w:pPr>
      <w:r>
        <w:rPr>
          <w:rFonts w:ascii="Times New Roman" w:cs="Times New Roman" w:eastAsia="Times New Roman" w:hAnsi="Times New Roman"/>
          <w:sz w:val="20"/>
          <w:szCs w:val="20"/>
          <w:color w:val="auto"/>
        </w:rPr>
        <w:t>Dated:  March 5, 2026</w:t>
      </w:r>
      <w:r>
        <w:rPr>
          <w:sz w:val="20"/>
          <w:szCs w:val="20"/>
          <w:color w:val="auto"/>
        </w:rPr>
        <w:tab/>
      </w:r>
      <w:r>
        <w:rPr>
          <w:rFonts w:ascii="Times New Roman" w:cs="Times New Roman" w:eastAsia="Times New Roman" w:hAnsi="Times New Roman"/>
          <w:sz w:val="19"/>
          <w:szCs w:val="19"/>
          <w:u w:val="single" w:color="auto"/>
          <w:color w:val="auto"/>
        </w:rPr>
        <w:t>/s/ Malte Peters, M.D.</w:t>
      </w:r>
    </w:p>
    <w:p>
      <w:pPr>
        <w:spacing w:after="0" w:line="10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Malte Peters, M.D.</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Chief Executive Officer</w:t>
      </w:r>
    </w:p>
    <w:p>
      <w:pPr>
        <w:ind w:left="278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0" w:lineRule="exact"/>
        <w:rPr>
          <w:sz w:val="20"/>
          <w:szCs w:val="20"/>
          <w:color w:val="auto"/>
        </w:rPr>
      </w:pPr>
    </w:p>
    <w:p>
      <w:pPr>
        <w:spacing w:after="0" w:line="23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1089025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0"/>
          <w:szCs w:val="20"/>
          <w:color w:val="auto"/>
        </w:rPr>
        <w:t>Exhibit 32.2</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ind w:right="40" w:firstLine="749"/>
        <w:spacing w:after="0" w:line="274" w:lineRule="auto"/>
        <w:rPr>
          <w:sz w:val="20"/>
          <w:szCs w:val="20"/>
          <w:color w:val="auto"/>
        </w:rPr>
      </w:pPr>
      <w:r>
        <w:rPr>
          <w:rFonts w:ascii="Times New Roman" w:cs="Times New Roman" w:eastAsia="Times New Roman" w:hAnsi="Times New Roman"/>
          <w:sz w:val="19"/>
          <w:szCs w:val="19"/>
          <w:color w:val="auto"/>
        </w:rPr>
        <w:t>In connection with the Annual Report on Form 10-K of Tango Therapeutics, Inc. (the “Company”) for the fiscal year ended December 31, 2025 as filed with the Securities and Exchange Commission (the “Report”), I, Daniella Beckman, Chief Financial Officer of the Company, certify, pursuant to 18 U.S.C. § 1350, as adopted pursuant to § 906 of the Sarbanes-Oxley Act of 2002, to my knowledge, that:</w:t>
      </w:r>
    </w:p>
    <w:p>
      <w:pPr>
        <w:spacing w:after="0" w:line="170" w:lineRule="exact"/>
        <w:rPr>
          <w:sz w:val="20"/>
          <w:szCs w:val="20"/>
          <w:color w:val="auto"/>
        </w:rPr>
      </w:pPr>
    </w:p>
    <w:p>
      <w:pPr>
        <w:ind w:left="760" w:hanging="378"/>
        <w:spacing w:after="0"/>
        <w:tabs>
          <w:tab w:leader="none" w:pos="7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15" w:lineRule="exact"/>
        <w:rPr>
          <w:rFonts w:ascii="Times New Roman" w:cs="Times New Roman" w:eastAsia="Times New Roman" w:hAnsi="Times New Roman"/>
          <w:sz w:val="20"/>
          <w:szCs w:val="20"/>
          <w:color w:val="auto"/>
        </w:rPr>
      </w:pPr>
    </w:p>
    <w:p>
      <w:pPr>
        <w:ind w:left="760" w:right="220" w:hanging="378"/>
        <w:spacing w:after="0" w:line="269" w:lineRule="auto"/>
        <w:tabs>
          <w:tab w:leader="none" w:pos="7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tabs>
          <w:tab w:leader="none" w:pos="2760" w:val="left"/>
        </w:tabs>
        <w:rPr>
          <w:sz w:val="20"/>
          <w:szCs w:val="20"/>
          <w:color w:val="auto"/>
        </w:rPr>
      </w:pPr>
      <w:r>
        <w:rPr>
          <w:rFonts w:ascii="Times New Roman" w:cs="Times New Roman" w:eastAsia="Times New Roman" w:hAnsi="Times New Roman"/>
          <w:sz w:val="20"/>
          <w:szCs w:val="20"/>
          <w:color w:val="auto"/>
        </w:rPr>
        <w:t>Dated:  March 5, 2026</w:t>
      </w:r>
      <w:r>
        <w:rPr>
          <w:sz w:val="20"/>
          <w:szCs w:val="20"/>
          <w:color w:val="auto"/>
        </w:rPr>
        <w:tab/>
      </w:r>
      <w:r>
        <w:rPr>
          <w:rFonts w:ascii="Times New Roman" w:cs="Times New Roman" w:eastAsia="Times New Roman" w:hAnsi="Times New Roman"/>
          <w:sz w:val="19"/>
          <w:szCs w:val="19"/>
          <w:u w:val="single" w:color="auto"/>
          <w:color w:val="auto"/>
        </w:rPr>
        <w:t>/s/ Daniella Beckman</w:t>
      </w:r>
    </w:p>
    <w:p>
      <w:pPr>
        <w:spacing w:after="0" w:line="10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Daniella Beckman</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Chief Financial Officer</w:t>
      </w:r>
    </w:p>
    <w:p>
      <w:pPr>
        <w:ind w:left="278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0" w:lineRule="exact"/>
        <w:rPr>
          <w:sz w:val="20"/>
          <w:szCs w:val="20"/>
          <w:color w:val="auto"/>
        </w:rPr>
      </w:pPr>
    </w:p>
    <w:p>
      <w:pPr>
        <w:spacing w:after="0" w:line="23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1089025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4" w:name="page145"/>
    <w:bookmarkEnd w:id="1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1."/>
      <w:numFmt w:val="lowerRoman"/>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amp;"/>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o"/>
      <w:numFmt w:val="bullet"/>
      <w:start w:val="1"/>
    </w:lvl>
  </w:abstractNum>
  <w:abstractNum w:abstractNumId="20">
    <w:nsid w:val="1D4ED43B"/>
    <w:multiLevelType w:val="hybridMultilevel"/>
    <w:lvl w:ilvl="0">
      <w:lvlJc w:val="left"/>
      <w:lvlText w:val=" "/>
      <w:numFmt w:val="bullet"/>
      <w:start w:val="1"/>
    </w:lvl>
  </w:abstractNum>
  <w:abstractNum w:abstractNumId="21">
    <w:nsid w:val="725A06FB"/>
    <w:multiLevelType w:val="hybridMultilevel"/>
    <w:lvl w:ilvl="0">
      <w:lvlJc w:val="left"/>
      <w:lvlText w:val=" "/>
      <w:numFmt w:val="bullet"/>
      <w:start w:val="1"/>
    </w:lvl>
  </w:abstractNum>
  <w:abstractNum w:abstractNumId="22">
    <w:nsid w:val="2CD89A32"/>
    <w:multiLevelType w:val="hybridMultilevel"/>
    <w:lvl w:ilvl="0">
      <w:lvlJc w:val="left"/>
      <w:lvlText w:val=" "/>
      <w:numFmt w:val="bullet"/>
      <w:start w:val="1"/>
    </w:lvl>
  </w:abstractNum>
  <w:abstractNum w:abstractNumId="23">
    <w:nsid w:val="57E4CCAF"/>
    <w:multiLevelType w:val="hybridMultilevel"/>
    <w:lvl w:ilvl="0">
      <w:lvlJc w:val="left"/>
      <w:lvlText w:val=" "/>
      <w:numFmt w:val="bullet"/>
      <w:start w:val="1"/>
    </w:lvl>
  </w:abstractNum>
  <w:abstractNum w:abstractNumId="24">
    <w:nsid w:val="7A6D8D3C"/>
    <w:multiLevelType w:val="hybridMultilevel"/>
    <w:lvl w:ilvl="0">
      <w:lvlJc w:val="left"/>
      <w:lvlText w:val=" "/>
      <w:numFmt w:val="bullet"/>
      <w:start w:val="1"/>
    </w:lvl>
  </w:abstractNum>
  <w:abstractNum w:abstractNumId="25">
    <w:nsid w:val="4B588F54"/>
    <w:multiLevelType w:val="hybridMultilevel"/>
    <w:lvl w:ilvl="0">
      <w:lvlJc w:val="left"/>
      <w:lvlText w:val=" "/>
      <w:numFmt w:val="bullet"/>
      <w:start w:val="1"/>
    </w:lvl>
  </w:abstractNum>
  <w:abstractNum w:abstractNumId="26">
    <w:nsid w:val="542289EC"/>
    <w:multiLevelType w:val="hybridMultilevel"/>
    <w:lvl w:ilvl="0">
      <w:lvlJc w:val="left"/>
      <w:lvlText w:val=" "/>
      <w:numFmt w:val="bullet"/>
      <w:start w:val="1"/>
    </w:lvl>
  </w:abstractNum>
  <w:abstractNum w:abstractNumId="27">
    <w:nsid w:val="6DE91B18"/>
    <w:multiLevelType w:val="hybridMultilevel"/>
    <w:lvl w:ilvl="0">
      <w:lvlJc w:val="left"/>
      <w:lvlText w:val=" "/>
      <w:numFmt w:val="bullet"/>
      <w:start w:val="1"/>
    </w:lvl>
  </w:abstractNum>
  <w:abstractNum w:abstractNumId="28">
    <w:nsid w:val="38437FDB"/>
    <w:multiLevelType w:val="hybridMultilevel"/>
    <w:lvl w:ilvl="0">
      <w:lvlJc w:val="left"/>
      <w:lvlText w:val=" "/>
      <w:numFmt w:val="bullet"/>
      <w:start w:val="1"/>
    </w:lvl>
  </w:abstractNum>
  <w:abstractNum w:abstractNumId="29">
    <w:nsid w:val="7644A45C"/>
    <w:multiLevelType w:val="hybridMultilevel"/>
    <w:lvl w:ilvl="0">
      <w:lvlJc w:val="left"/>
      <w:lvlText w:val=" "/>
      <w:numFmt w:val="bullet"/>
      <w:start w:val="1"/>
    </w:lvl>
  </w:abstractNum>
  <w:abstractNum w:abstractNumId="30">
    <w:nsid w:val="32FFF902"/>
    <w:multiLevelType w:val="hybridMultilevel"/>
    <w:lvl w:ilvl="0">
      <w:lvlJc w:val="left"/>
      <w:lvlText w:val=" "/>
      <w:numFmt w:val="bullet"/>
      <w:start w:val="1"/>
    </w:lvl>
  </w:abstractNum>
  <w:abstractNum w:abstractNumId="31">
    <w:nsid w:val="684A481A"/>
    <w:multiLevelType w:val="hybridMultilevel"/>
    <w:lvl w:ilvl="0">
      <w:lvlJc w:val="left"/>
      <w:lvlText w:val=" "/>
      <w:numFmt w:val="bullet"/>
      <w:start w:val="1"/>
    </w:lvl>
  </w:abstractNum>
  <w:abstractNum w:abstractNumId="32">
    <w:nsid w:val="579478FE"/>
    <w:multiLevelType w:val="hybridMultilevel"/>
    <w:lvl w:ilvl="0">
      <w:lvlJc w:val="left"/>
      <w:lvlText w:val=" "/>
      <w:numFmt w:val="bullet"/>
      <w:start w:val="1"/>
    </w:lvl>
  </w:abstractNum>
  <w:abstractNum w:abstractNumId="33">
    <w:nsid w:val="749ABB43"/>
    <w:multiLevelType w:val="hybridMultilevel"/>
    <w:lvl w:ilvl="0">
      <w:lvlJc w:val="left"/>
      <w:lvlText w:val=" "/>
      <w:numFmt w:val="bullet"/>
      <w:start w:val="1"/>
    </w:lvl>
  </w:abstractNum>
  <w:abstractNum w:abstractNumId="34">
    <w:nsid w:val="3DC240FB"/>
    <w:multiLevelType w:val="hybridMultilevel"/>
    <w:lvl w:ilvl="0">
      <w:lvlJc w:val="left"/>
      <w:lvlText w:val=" "/>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
      <w:numFmt w:val="bullet"/>
      <w:start w:val="1"/>
    </w:lvl>
  </w:abstractNum>
  <w:abstractNum w:abstractNumId="37">
    <w:nsid w:val="75C6C33A"/>
    <w:multiLevelType w:val="hybridMultilevel"/>
    <w:lvl w:ilvl="0">
      <w:lvlJc w:val="left"/>
      <w:lvlText w:val=" "/>
      <w:numFmt w:val="bullet"/>
      <w:start w:val="1"/>
    </w:lvl>
  </w:abstractNum>
  <w:abstractNum w:abstractNumId="38">
    <w:nsid w:val="12E685FB"/>
    <w:multiLevelType w:val="hybridMultilevel"/>
    <w:lvl w:ilvl="0">
      <w:lvlJc w:val="left"/>
      <w:lvlText w:val=" "/>
      <w:numFmt w:val="bullet"/>
      <w:start w:val="1"/>
    </w:lvl>
  </w:abstractNum>
  <w:abstractNum w:abstractNumId="39">
    <w:nsid w:val="70C6A529"/>
    <w:multiLevelType w:val="hybridMultilevel"/>
    <w:lvl w:ilvl="0">
      <w:lvlJc w:val="left"/>
      <w:lvlText w:val=" "/>
      <w:numFmt w:val="bullet"/>
      <w:start w:val="1"/>
    </w:lvl>
  </w:abstractNum>
  <w:abstractNum w:abstractNumId="40">
    <w:nsid w:val="520EEDD1"/>
    <w:multiLevelType w:val="hybridMultilevel"/>
    <w:lvl w:ilvl="0">
      <w:lvlJc w:val="left"/>
      <w:lvlText w:val=" "/>
      <w:numFmt w:val="bullet"/>
      <w:start w:val="1"/>
    </w:lvl>
  </w:abstractNum>
  <w:abstractNum w:abstractNumId="41">
    <w:nsid w:val="374A3FE6"/>
    <w:multiLevelType w:val="hybridMultilevel"/>
    <w:lvl w:ilvl="0">
      <w:lvlJc w:val="left"/>
      <w:lvlText w:val=" "/>
      <w:numFmt w:val="bullet"/>
      <w:start w:val="1"/>
    </w:lvl>
  </w:abstractNum>
  <w:abstractNum w:abstractNumId="42">
    <w:nsid w:val="4F4EF005"/>
    <w:multiLevelType w:val="hybridMultilevel"/>
    <w:lvl w:ilvl="0">
      <w:lvlJc w:val="left"/>
      <w:lvlText w:val=" "/>
      <w:numFmt w:val="bullet"/>
      <w:start w:val="1"/>
    </w:lvl>
  </w:abstractNum>
  <w:abstractNum w:abstractNumId="43">
    <w:nsid w:val="23F9C13C"/>
    <w:multiLevelType w:val="hybridMultilevel"/>
    <w:lvl w:ilvl="0">
      <w:lvlJc w:val="left"/>
      <w:lvlText w:val=" "/>
      <w:numFmt w:val="bullet"/>
      <w:start w:val="1"/>
    </w:lvl>
  </w:abstractNum>
  <w:abstractNum w:abstractNumId="44">
    <w:nsid w:val="649BB77C"/>
    <w:multiLevelType w:val="hybridMultilevel"/>
    <w:lvl w:ilvl="0">
      <w:lvlJc w:val="left"/>
      <w:lvlText w:val=" "/>
      <w:numFmt w:val="bullet"/>
      <w:start w:val="1"/>
    </w:lvl>
  </w:abstractNum>
  <w:abstractNum w:abstractNumId="45">
    <w:nsid w:val="275AC794"/>
    <w:multiLevelType w:val="hybridMultilevel"/>
    <w:lvl w:ilvl="0">
      <w:lvlJc w:val="left"/>
      <w:lvlText w:val=" "/>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1)"/>
      <w:numFmt w:val="lowerLetter"/>
      <w:start w:val="4"/>
    </w:lvl>
  </w:abstractNum>
  <w:abstractNum w:abstractNumId="50">
    <w:nsid w:val="47398C89"/>
    <w:multiLevelType w:val="hybridMultilevel"/>
    <w:lvl w:ilvl="0">
      <w:lvlJc w:val="left"/>
      <w:lvlText w:val="(%1)"/>
      <w:numFmt w:val="decimal"/>
      <w:start w:val="1"/>
    </w:lvl>
  </w:abstractNum>
  <w:abstractNum w:abstractNumId="51">
    <w:nsid w:val="354FE9F9"/>
    <w:multiLevelType w:val="hybridMultilevel"/>
    <w:lvl w:ilvl="0">
      <w:lvlJc w:val="left"/>
      <w:lvlText w:val="*"/>
      <w:numFmt w:val="bullet"/>
      <w:start w:val="1"/>
    </w:lvl>
    <w:lvl w:ilvl="1">
      <w:lvlJc w:val="left"/>
      <w:lvlText w:val="%2"/>
      <w:numFmt w:val="decimal"/>
      <w:start w:val="104"/>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1."/>
      <w:numFmt w:val="decimal"/>
      <w:start w:val="6"/>
    </w:lvl>
  </w:abstractNum>
  <w:abstractNum w:abstractNumId="58">
    <w:nsid w:val="7E0C57B1"/>
    <w:multiLevelType w:val="hybridMultilevel"/>
    <w:lvl w:ilvl="0">
      <w:lvlJc w:val="left"/>
      <w:lvlText w:val="%1."/>
      <w:numFmt w:val="decimal"/>
      <w:start w:val="8"/>
    </w:lvl>
  </w:abstractNum>
  <w:abstractNum w:abstractNumId="59">
    <w:nsid w:val="77AE35EB"/>
    <w:multiLevelType w:val="hybridMultilevel"/>
    <w:lvl w:ilvl="0">
      <w:lvlJc w:val="left"/>
      <w:lvlText w:val="(%1)"/>
      <w:numFmt w:val="lowerLetter"/>
      <w:start w:val="1"/>
    </w:lvl>
  </w:abstractNum>
  <w:abstractNum w:abstractNumId="60">
    <w:nsid w:val="579BE4F1"/>
    <w:multiLevelType w:val="hybridMultilevel"/>
    <w:lvl w:ilvl="0">
      <w:lvlJc w:val="left"/>
      <w:lvlText w:val="%1."/>
      <w:numFmt w:val="decimal"/>
      <w:start w:val="1"/>
    </w:lvl>
    <w:lvl w:ilvl="1">
      <w:lvlJc w:val="left"/>
      <w:lvlText w:val="(%2)"/>
      <w:numFmt w:val="lowerLetter"/>
      <w:start w:val="1"/>
    </w:lvl>
  </w:abstractNum>
  <w:abstractNum w:abstractNumId="61">
    <w:nsid w:val="310C50B3"/>
    <w:multiLevelType w:val="hybridMultilevel"/>
    <w:lvl w:ilvl="0">
      <w:lvlJc w:val="left"/>
      <w:lvlText w:val="%1."/>
      <w:numFmt w:val="decimal"/>
      <w:start w:val="5"/>
    </w:lvl>
    <w:lvl w:ilvl="1">
      <w:lvlJc w:val="left"/>
      <w:lvlText w:val="(%2)"/>
      <w:numFmt w:val="lowerLetter"/>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5"/>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74" Type="http://schemas.openxmlformats.org/officeDocument/2006/relationships/image" Target="media/image145.png"/><Relationship Id="rId175" Type="http://schemas.openxmlformats.org/officeDocument/2006/relationships/image" Target="media/image146.png"/><Relationship Id="rId179"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182" Type="http://schemas.openxmlformats.org/officeDocument/2006/relationships/image" Target="media/image150.png"/><Relationship Id="rId183"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186" Type="http://schemas.openxmlformats.org/officeDocument/2006/relationships/image" Target="media/image154.png"/><Relationship Id="rId187" Type="http://schemas.openxmlformats.org/officeDocument/2006/relationships/image" Target="media/image155.png"/><Relationship Id="rId188" Type="http://schemas.openxmlformats.org/officeDocument/2006/relationships/image" Target="media/image156.png"/><Relationship Id="rId189" Type="http://schemas.openxmlformats.org/officeDocument/2006/relationships/image" Target="media/image157.png"/><Relationship Id="rId190" Type="http://schemas.openxmlformats.org/officeDocument/2006/relationships/image" Target="media/image158.png"/><Relationship Id="rId191" Type="http://schemas.openxmlformats.org/officeDocument/2006/relationships/image" Target="media/image159.png"/><Relationship Id="rId192"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199" Type="http://schemas.openxmlformats.org/officeDocument/2006/relationships/image" Target="media/image167.png"/><Relationship Id="rId200" Type="http://schemas.openxmlformats.org/officeDocument/2006/relationships/image" Target="media/image168.png"/><Relationship Id="rId201" Type="http://schemas.openxmlformats.org/officeDocument/2006/relationships/image" Target="media/image169.png"/><Relationship Id="rId202" Type="http://schemas.openxmlformats.org/officeDocument/2006/relationships/image" Target="media/image170.png"/><Relationship Id="rId203" Type="http://schemas.openxmlformats.org/officeDocument/2006/relationships/image" Target="media/image171.png"/><Relationship Id="rId204" Type="http://schemas.openxmlformats.org/officeDocument/2006/relationships/image" Target="media/image172.png"/><Relationship Id="rId205" Type="http://schemas.openxmlformats.org/officeDocument/2006/relationships/image" Target="media/image173.png"/><Relationship Id="rId206" Type="http://schemas.openxmlformats.org/officeDocument/2006/relationships/image" Target="media/image174.png"/><Relationship Id="rId207" Type="http://schemas.openxmlformats.org/officeDocument/2006/relationships/image" Target="media/image175.png"/><Relationship Id="rId208" Type="http://schemas.openxmlformats.org/officeDocument/2006/relationships/image" Target="media/image176.png"/><Relationship Id="rId209" Type="http://schemas.openxmlformats.org/officeDocument/2006/relationships/image" Target="media/image177.png"/><Relationship Id="rId210" Type="http://schemas.openxmlformats.org/officeDocument/2006/relationships/image" Target="media/image178.png"/><Relationship Id="rId211" Type="http://schemas.openxmlformats.org/officeDocument/2006/relationships/image" Target="media/image179.png"/><Relationship Id="rId212" Type="http://schemas.openxmlformats.org/officeDocument/2006/relationships/image" Target="media/image180.png"/><Relationship Id="rId213" Type="http://schemas.openxmlformats.org/officeDocument/2006/relationships/image" Target="media/image181.png"/><Relationship Id="rId214" Type="http://schemas.openxmlformats.org/officeDocument/2006/relationships/image" Target="media/image182.png"/><Relationship Id="rId215" Type="http://schemas.openxmlformats.org/officeDocument/2006/relationships/image" Target="media/image183.png"/><Relationship Id="rId216" Type="http://schemas.openxmlformats.org/officeDocument/2006/relationships/image" Target="media/image184.png"/><Relationship Id="rId217" Type="http://schemas.openxmlformats.org/officeDocument/2006/relationships/image" Target="media/image185.png"/><Relationship Id="rId218" Type="http://schemas.openxmlformats.org/officeDocument/2006/relationships/image" Target="media/image186.png"/><Relationship Id="rId219" Type="http://schemas.openxmlformats.org/officeDocument/2006/relationships/image" Target="media/image187.png"/><Relationship Id="rId220" Type="http://schemas.openxmlformats.org/officeDocument/2006/relationships/image" Target="media/image188.png"/><Relationship Id="rId221" Type="http://schemas.openxmlformats.org/officeDocument/2006/relationships/image" Target="media/image189.png"/><Relationship Id="rId222" Type="http://schemas.openxmlformats.org/officeDocument/2006/relationships/image" Target="media/image190.png"/><Relationship Id="rId223" Type="http://schemas.openxmlformats.org/officeDocument/2006/relationships/image" Target="media/image191.png"/><Relationship Id="rId224" Type="http://schemas.openxmlformats.org/officeDocument/2006/relationships/image" Target="media/image192.png"/><Relationship Id="rId225" Type="http://schemas.openxmlformats.org/officeDocument/2006/relationships/image" Target="media/image193.png"/><Relationship Id="rId226" Type="http://schemas.openxmlformats.org/officeDocument/2006/relationships/image" Target="media/image194.png"/><Relationship Id="rId227" Type="http://schemas.openxmlformats.org/officeDocument/2006/relationships/image" Target="media/image195.png"/><Relationship Id="rId228" Type="http://schemas.openxmlformats.org/officeDocument/2006/relationships/image" Target="media/image196.png"/><Relationship Id="rId229" Type="http://schemas.openxmlformats.org/officeDocument/2006/relationships/image" Target="media/image197.png"/><Relationship Id="rId230" Type="http://schemas.openxmlformats.org/officeDocument/2006/relationships/image" Target="media/image198.png"/><Relationship Id="rId231" Type="http://schemas.openxmlformats.org/officeDocument/2006/relationships/image" Target="media/image199.png"/><Relationship Id="rId232" Type="http://schemas.openxmlformats.org/officeDocument/2006/relationships/image" Target="media/image200.png"/><Relationship Id="rId233" Type="http://schemas.openxmlformats.org/officeDocument/2006/relationships/image" Target="media/image201.png"/><Relationship Id="rId234" Type="http://schemas.openxmlformats.org/officeDocument/2006/relationships/image" Target="media/image202.png"/><Relationship Id="rId235" Type="http://schemas.openxmlformats.org/officeDocument/2006/relationships/image" Target="media/image203.png"/><Relationship Id="rId236" Type="http://schemas.openxmlformats.org/officeDocument/2006/relationships/image" Target="media/image204.png"/><Relationship Id="rId237" Type="http://schemas.openxmlformats.org/officeDocument/2006/relationships/image" Target="media/image205.png"/><Relationship Id="rId238" Type="http://schemas.openxmlformats.org/officeDocument/2006/relationships/image" Target="media/image206.png"/><Relationship Id="rId239" Type="http://schemas.openxmlformats.org/officeDocument/2006/relationships/image" Target="media/image207.png"/><Relationship Id="rId240" Type="http://schemas.openxmlformats.org/officeDocument/2006/relationships/image" Target="media/image208.png"/><Relationship Id="rId241" Type="http://schemas.openxmlformats.org/officeDocument/2006/relationships/image" Target="media/image209.png"/><Relationship Id="rId242" Type="http://schemas.openxmlformats.org/officeDocument/2006/relationships/image" Target="media/image210.png"/><Relationship Id="rId243" Type="http://schemas.openxmlformats.org/officeDocument/2006/relationships/image" Target="media/image211.png"/><Relationship Id="rId244" Type="http://schemas.openxmlformats.org/officeDocument/2006/relationships/image" Target="media/image212.png"/><Relationship Id="rId245" Type="http://schemas.openxmlformats.org/officeDocument/2006/relationships/image" Target="media/image213.png"/><Relationship Id="rId246" Type="http://schemas.openxmlformats.org/officeDocument/2006/relationships/image" Target="media/image214.png"/><Relationship Id="rId247" Type="http://schemas.openxmlformats.org/officeDocument/2006/relationships/image" Target="media/image215.png"/><Relationship Id="rId248" Type="http://schemas.openxmlformats.org/officeDocument/2006/relationships/image" Target="media/image216.png"/><Relationship Id="rId249" Type="http://schemas.openxmlformats.org/officeDocument/2006/relationships/image" Target="media/image217.png"/><Relationship Id="rId250" Type="http://schemas.openxmlformats.org/officeDocument/2006/relationships/image" Target="media/image218.png"/><Relationship Id="rId251" Type="http://schemas.openxmlformats.org/officeDocument/2006/relationships/image" Target="media/image219.png"/><Relationship Id="rId252" Type="http://schemas.openxmlformats.org/officeDocument/2006/relationships/image" Target="media/image220.png"/><Relationship Id="rId253" Type="http://schemas.openxmlformats.org/officeDocument/2006/relationships/image" Target="media/image221.png"/><Relationship Id="rId254" Type="http://schemas.openxmlformats.org/officeDocument/2006/relationships/image" Target="media/image222.png"/><Relationship Id="rId255" Type="http://schemas.openxmlformats.org/officeDocument/2006/relationships/image" Target="media/image223.png"/><Relationship Id="rId256" Type="http://schemas.openxmlformats.org/officeDocument/2006/relationships/image" Target="media/image224.png"/><Relationship Id="rId257" Type="http://schemas.openxmlformats.org/officeDocument/2006/relationships/image" Target="media/image225.png"/><Relationship Id="rId258" Type="http://schemas.openxmlformats.org/officeDocument/2006/relationships/image" Target="media/image226.png"/><Relationship Id="rId259" Type="http://schemas.openxmlformats.org/officeDocument/2006/relationships/image" Target="media/image227.png"/><Relationship Id="rId260" Type="http://schemas.openxmlformats.org/officeDocument/2006/relationships/image" Target="media/image228.png"/><Relationship Id="rId261" Type="http://schemas.openxmlformats.org/officeDocument/2006/relationships/image" Target="media/image229.png"/><Relationship Id="rId262" Type="http://schemas.openxmlformats.org/officeDocument/2006/relationships/image" Target="media/image230.png"/><Relationship Id="rId263" Type="http://schemas.openxmlformats.org/officeDocument/2006/relationships/image" Target="media/image231.png"/><Relationship Id="rId264" Type="http://schemas.openxmlformats.org/officeDocument/2006/relationships/image" Target="media/image232.png"/><Relationship Id="rId265" Type="http://schemas.openxmlformats.org/officeDocument/2006/relationships/image" Target="media/image233.png"/><Relationship Id="rId266" Type="http://schemas.openxmlformats.org/officeDocument/2006/relationships/image" Target="media/image234.png"/><Relationship Id="rId267" Type="http://schemas.openxmlformats.org/officeDocument/2006/relationships/image" Target="media/image235.png"/><Relationship Id="rId268" Type="http://schemas.openxmlformats.org/officeDocument/2006/relationships/image" Target="media/image236.png"/><Relationship Id="rId269" Type="http://schemas.openxmlformats.org/officeDocument/2006/relationships/image" Target="media/image237.png"/><Relationship Id="rId270" Type="http://schemas.openxmlformats.org/officeDocument/2006/relationships/image" Target="media/image238.png"/><Relationship Id="rId271" Type="http://schemas.openxmlformats.org/officeDocument/2006/relationships/image" Target="media/image239.png"/><Relationship Id="rId272" Type="http://schemas.openxmlformats.org/officeDocument/2006/relationships/image" Target="media/image240.png"/><Relationship Id="rId273" Type="http://schemas.openxmlformats.org/officeDocument/2006/relationships/image" Target="media/image241.png"/><Relationship Id="rId274" Type="http://schemas.openxmlformats.org/officeDocument/2006/relationships/image" Target="media/image242.png"/><Relationship Id="rId275" Type="http://schemas.openxmlformats.org/officeDocument/2006/relationships/image" Target="media/image243.png"/><Relationship Id="rId276" Type="http://schemas.openxmlformats.org/officeDocument/2006/relationships/image" Target="media/image244.png"/><Relationship Id="rId277" Type="http://schemas.openxmlformats.org/officeDocument/2006/relationships/image" Target="media/image245.png"/><Relationship Id="rId278" Type="http://schemas.openxmlformats.org/officeDocument/2006/relationships/image" Target="media/image246.png"/><Relationship Id="rId279" Type="http://schemas.openxmlformats.org/officeDocument/2006/relationships/image" Target="media/image247.png"/><Relationship Id="rId280" Type="http://schemas.openxmlformats.org/officeDocument/2006/relationships/image" Target="media/image248.png"/><Relationship Id="rId281" Type="http://schemas.openxmlformats.org/officeDocument/2006/relationships/image" Target="media/image249.png"/><Relationship Id="rId282" Type="http://schemas.openxmlformats.org/officeDocument/2006/relationships/image" Target="media/image250.png"/><Relationship Id="rId283" Type="http://schemas.openxmlformats.org/officeDocument/2006/relationships/image" Target="media/image251.png"/><Relationship Id="rId284" Type="http://schemas.openxmlformats.org/officeDocument/2006/relationships/image" Target="media/image252.png"/><Relationship Id="rId285" Type="http://schemas.openxmlformats.org/officeDocument/2006/relationships/image" Target="media/image253.png"/><Relationship Id="rId286" Type="http://schemas.openxmlformats.org/officeDocument/2006/relationships/image" Target="media/image254.png"/><Relationship Id="rId287" Type="http://schemas.openxmlformats.org/officeDocument/2006/relationships/image" Target="media/image255.png"/><Relationship Id="rId288" Type="http://schemas.openxmlformats.org/officeDocument/2006/relationships/image" Target="media/image256.png"/><Relationship Id="rId289" Type="http://schemas.openxmlformats.org/officeDocument/2006/relationships/image" Target="media/image257.png"/><Relationship Id="rId290" Type="http://schemas.openxmlformats.org/officeDocument/2006/relationships/image" Target="media/image258.png"/><Relationship Id="rId291" Type="http://schemas.openxmlformats.org/officeDocument/2006/relationships/image" Target="media/image259.png"/><Relationship Id="rId292" Type="http://schemas.openxmlformats.org/officeDocument/2006/relationships/image" Target="media/image260.png"/><Relationship Id="rId293" Type="http://schemas.openxmlformats.org/officeDocument/2006/relationships/image" Target="media/image261.png"/><Relationship Id="rId294" Type="http://schemas.openxmlformats.org/officeDocument/2006/relationships/image" Target="media/image262.png"/><Relationship Id="rId295" Type="http://schemas.openxmlformats.org/officeDocument/2006/relationships/image" Target="media/image263.png"/><Relationship Id="rId296" Type="http://schemas.openxmlformats.org/officeDocument/2006/relationships/image" Target="media/image264.png"/><Relationship Id="rId297" Type="http://schemas.openxmlformats.org/officeDocument/2006/relationships/image" Target="media/image265.png"/><Relationship Id="rId298" Type="http://schemas.openxmlformats.org/officeDocument/2006/relationships/image" Target="media/image266.png"/><Relationship Id="rId299" Type="http://schemas.openxmlformats.org/officeDocument/2006/relationships/image" Target="media/image267.png"/><Relationship Id="rId300" Type="http://schemas.openxmlformats.org/officeDocument/2006/relationships/image" Target="media/image268.png"/><Relationship Id="rId301" Type="http://schemas.openxmlformats.org/officeDocument/2006/relationships/image" Target="media/image269.png"/><Relationship Id="rId302" Type="http://schemas.openxmlformats.org/officeDocument/2006/relationships/image" Target="media/image270.png"/><Relationship Id="rId303" Type="http://schemas.openxmlformats.org/officeDocument/2006/relationships/image" Target="media/image271.png"/><Relationship Id="rId304" Type="http://schemas.openxmlformats.org/officeDocument/2006/relationships/image" Target="media/image272.png"/><Relationship Id="rId305" Type="http://schemas.openxmlformats.org/officeDocument/2006/relationships/image" Target="media/image273.png"/><Relationship Id="rId306" Type="http://schemas.openxmlformats.org/officeDocument/2006/relationships/image" Target="media/image274.png"/><Relationship Id="rId307" Type="http://schemas.openxmlformats.org/officeDocument/2006/relationships/image" Target="media/image275.png"/><Relationship Id="rId308" Type="http://schemas.openxmlformats.org/officeDocument/2006/relationships/image" Target="media/image276.png"/><Relationship Id="rId309" Type="http://schemas.openxmlformats.org/officeDocument/2006/relationships/image" Target="media/image277.png"/><Relationship Id="rId310" Type="http://schemas.openxmlformats.org/officeDocument/2006/relationships/image" Target="media/image278.png"/><Relationship Id="rId311" Type="http://schemas.openxmlformats.org/officeDocument/2006/relationships/image" Target="media/image279.png"/><Relationship Id="rId312" Type="http://schemas.openxmlformats.org/officeDocument/2006/relationships/image" Target="media/image280.png"/><Relationship Id="rId313" Type="http://schemas.openxmlformats.org/officeDocument/2006/relationships/image" Target="media/image281.png"/><Relationship Id="rId314" Type="http://schemas.openxmlformats.org/officeDocument/2006/relationships/image" Target="media/image282.png"/><Relationship Id="rId315" Type="http://schemas.openxmlformats.org/officeDocument/2006/relationships/image" Target="media/image283.png"/><Relationship Id="rId316" Type="http://schemas.openxmlformats.org/officeDocument/2006/relationships/image" Target="media/image284.png"/><Relationship Id="rId317" Type="http://schemas.openxmlformats.org/officeDocument/2006/relationships/image" Target="media/image285.png"/><Relationship Id="rId318" Type="http://schemas.openxmlformats.org/officeDocument/2006/relationships/image" Target="media/image286.png"/><Relationship Id="rId319" Type="http://schemas.openxmlformats.org/officeDocument/2006/relationships/image" Target="media/image287.png"/><Relationship Id="rId320" Type="http://schemas.openxmlformats.org/officeDocument/2006/relationships/image" Target="media/image288.png"/><Relationship Id="rId321" Type="http://schemas.openxmlformats.org/officeDocument/2006/relationships/image" Target="media/image289.png"/><Relationship Id="rId322" Type="http://schemas.openxmlformats.org/officeDocument/2006/relationships/image" Target="media/image290.png"/><Relationship Id="rId323" Type="http://schemas.openxmlformats.org/officeDocument/2006/relationships/image" Target="media/image291.png"/><Relationship Id="rId324" Type="http://schemas.openxmlformats.org/officeDocument/2006/relationships/image" Target="media/image292.png"/><Relationship Id="rId325" Type="http://schemas.openxmlformats.org/officeDocument/2006/relationships/image" Target="media/image293.png"/><Relationship Id="rId326" Type="http://schemas.openxmlformats.org/officeDocument/2006/relationships/image" Target="media/image294.png"/><Relationship Id="rId327" Type="http://schemas.openxmlformats.org/officeDocument/2006/relationships/image" Target="media/image295.png"/><Relationship Id="rId328" Type="http://schemas.openxmlformats.org/officeDocument/2006/relationships/image" Target="media/image296.png"/><Relationship Id="rId329" Type="http://schemas.openxmlformats.org/officeDocument/2006/relationships/image" Target="media/image297.png"/><Relationship Id="rId330" Type="http://schemas.openxmlformats.org/officeDocument/2006/relationships/image" Target="media/image298.png"/><Relationship Id="rId331" Type="http://schemas.openxmlformats.org/officeDocument/2006/relationships/image" Target="media/image299.png"/><Relationship Id="rId332" Type="http://schemas.openxmlformats.org/officeDocument/2006/relationships/image" Target="media/image300.png"/><Relationship Id="rId333" Type="http://schemas.openxmlformats.org/officeDocument/2006/relationships/image" Target="media/image301.png"/><Relationship Id="rId334" Type="http://schemas.openxmlformats.org/officeDocument/2006/relationships/image" Target="media/image302.png"/><Relationship Id="rId335" Type="http://schemas.openxmlformats.org/officeDocument/2006/relationships/image" Target="media/image303.png"/><Relationship Id="rId336" Type="http://schemas.openxmlformats.org/officeDocument/2006/relationships/image" Target="media/image304.png"/><Relationship Id="rId337" Type="http://schemas.openxmlformats.org/officeDocument/2006/relationships/image" Target="media/image305.png"/><Relationship Id="rId338" Type="http://schemas.openxmlformats.org/officeDocument/2006/relationships/image" Target="media/image306.png"/><Relationship Id="rId339" Type="http://schemas.openxmlformats.org/officeDocument/2006/relationships/image" Target="media/image307.png"/><Relationship Id="rId340" Type="http://schemas.openxmlformats.org/officeDocument/2006/relationships/image" Target="media/image308.png"/><Relationship Id="rId341" Type="http://schemas.openxmlformats.org/officeDocument/2006/relationships/image" Target="media/image309.png"/><Relationship Id="rId342" Type="http://schemas.openxmlformats.org/officeDocument/2006/relationships/image" Target="media/image310.png"/><Relationship Id="rId343" Type="http://schemas.openxmlformats.org/officeDocument/2006/relationships/image" Target="media/image311.png"/><Relationship Id="rId344" Type="http://schemas.openxmlformats.org/officeDocument/2006/relationships/image" Target="media/image312.png"/><Relationship Id="rId345" Type="http://schemas.openxmlformats.org/officeDocument/2006/relationships/image" Target="media/image313.png"/><Relationship Id="rId346" Type="http://schemas.openxmlformats.org/officeDocument/2006/relationships/image" Target="media/image314.png"/><Relationship Id="rId347" Type="http://schemas.openxmlformats.org/officeDocument/2006/relationships/image" Target="media/image315.png"/><Relationship Id="rId348" Type="http://schemas.openxmlformats.org/officeDocument/2006/relationships/image" Target="media/image316.png"/><Relationship Id="rId349" Type="http://schemas.openxmlformats.org/officeDocument/2006/relationships/image" Target="media/image317.png"/><Relationship Id="rId350" Type="http://schemas.openxmlformats.org/officeDocument/2006/relationships/image" Target="media/image318.png"/><Relationship Id="rId351" Type="http://schemas.openxmlformats.org/officeDocument/2006/relationships/image" Target="media/image319.png"/><Relationship Id="rId352" Type="http://schemas.openxmlformats.org/officeDocument/2006/relationships/image" Target="media/image320.png"/><Relationship Id="rId353" Type="http://schemas.openxmlformats.org/officeDocument/2006/relationships/image" Target="media/image321.png"/><Relationship Id="rId354" Type="http://schemas.openxmlformats.org/officeDocument/2006/relationships/image" Target="media/image322.png"/><Relationship Id="rId355" Type="http://schemas.openxmlformats.org/officeDocument/2006/relationships/image" Target="media/image323.png"/><Relationship Id="rId356" Type="http://schemas.openxmlformats.org/officeDocument/2006/relationships/image" Target="media/image324.png"/><Relationship Id="rId357" Type="http://schemas.openxmlformats.org/officeDocument/2006/relationships/image" Target="media/image325.png"/><Relationship Id="rId358" Type="http://schemas.openxmlformats.org/officeDocument/2006/relationships/image" Target="media/image326.png"/><Relationship Id="rId359" Type="http://schemas.openxmlformats.org/officeDocument/2006/relationships/image" Target="media/image327.png"/><Relationship Id="rId360" Type="http://schemas.openxmlformats.org/officeDocument/2006/relationships/image" Target="media/image328.png"/><Relationship Id="rId361" Type="http://schemas.openxmlformats.org/officeDocument/2006/relationships/image" Target="media/image329.png"/><Relationship Id="rId362" Type="http://schemas.openxmlformats.org/officeDocument/2006/relationships/image" Target="media/image330.png"/><Relationship Id="rId152" Type="http://schemas.openxmlformats.org/officeDocument/2006/relationships/hyperlink" Target="https://www.sec.gov/Archives/edgar/data/0001819133/000095017024092274/tngx-ex3_1.htm" TargetMode="External"/><Relationship Id="rId153" Type="http://schemas.openxmlformats.org/officeDocument/2006/relationships/hyperlink" Target="https://www.sec.gov/Archives/edgar/data/1819133/000119312525137032/d926935dex31.htm" TargetMode="External"/><Relationship Id="rId154" Type="http://schemas.openxmlformats.org/officeDocument/2006/relationships/hyperlink" Target="https://www.sec.gov/Archives/edgar/data/1819133/000119312521298942/d211731dex42.htm" TargetMode="External"/><Relationship Id="rId155" Type="http://schemas.openxmlformats.org/officeDocument/2006/relationships/hyperlink" Target="https://www.sec.gov/Archives/edgar/data/1819133/000121390021037131/ea144230ex4-5_bctgacq.htm" TargetMode="External"/><Relationship Id="rId156" Type="http://schemas.openxmlformats.org/officeDocument/2006/relationships/hyperlink" Target="https://www.sec.gov/Archives/edgar/data/1819133/000095017023009854/tngx-ex4_2.htm" TargetMode="External"/><Relationship Id="rId157" Type="http://schemas.openxmlformats.org/officeDocument/2006/relationships/hyperlink" Target="https://www.sec.gov/Archives/edgar/data/1819133/000119312523208100/d525614dex41.htm" TargetMode="External"/><Relationship Id="rId158" Type="http://schemas.openxmlformats.org/officeDocument/2006/relationships/hyperlink" Target="https://www.sec.gov/Archives/edgar/data/1819133/000119312521246234/d203347dex102.htm" TargetMode="External"/><Relationship Id="rId159" Type="http://schemas.openxmlformats.org/officeDocument/2006/relationships/hyperlink" Target="https://www.sec.gov/Archives/edgar/data/1819133/000119312521246234/d203347dex104.htm" TargetMode="External"/><Relationship Id="rId160" Type="http://schemas.openxmlformats.org/officeDocument/2006/relationships/hyperlink" Target="https://www.sec.gov/Archives/edgar/data/1819133/000119312521298942/d211731dex994.htm" TargetMode="External"/><Relationship Id="rId161" Type="http://schemas.openxmlformats.org/officeDocument/2006/relationships/hyperlink" Target="https://www.sec.gov/Archives/edgar/data/1819133/000119312521246234/d203347dex105.htm" TargetMode="External"/><Relationship Id="rId162" Type="http://schemas.openxmlformats.org/officeDocument/2006/relationships/hyperlink" Target="https://www.sec.gov/Archives/edgar/data/1819133/000119312521246234/d203347dex106.htm" TargetMode="External"/><Relationship Id="rId163" Type="http://schemas.openxmlformats.org/officeDocument/2006/relationships/hyperlink" Target="https://www.sec.gov/Archives/edgar/data/1819133/000121390021032845/fs42021a1ex10-19_bctgacq.htm" TargetMode="External"/><Relationship Id="rId164" Type="http://schemas.openxmlformats.org/officeDocument/2006/relationships/hyperlink" Target="https://www.sec.gov/Archives/edgar/data/1819133/000119312521246234/d203347dex107.htm" TargetMode="External"/><Relationship Id="rId165" Type="http://schemas.openxmlformats.org/officeDocument/2006/relationships/hyperlink" Target="https://www.sec.gov/Archives/edgar/data/1819133/000119312521246234/d203347dex109.htm" TargetMode="External"/><Relationship Id="rId166" Type="http://schemas.openxmlformats.org/officeDocument/2006/relationships/hyperlink" Target="https://www.sec.gov/Archives/edgar/data/1819133/000119312521246234/d203347dex1010.htm" TargetMode="External"/><Relationship Id="rId167" Type="http://schemas.openxmlformats.org/officeDocument/2006/relationships/hyperlink" Target="https://www.sec.gov/Archives/edgar/data/1819133/000119312521246234/d203347dex1011.htm" TargetMode="External"/><Relationship Id="rId168" Type="http://schemas.openxmlformats.org/officeDocument/2006/relationships/hyperlink" Target="https://www.sec.gov/Archives/edgar/data/1819133/000095017022004721/tngx-ex10_14.htm" TargetMode="External"/><Relationship Id="rId169" Type="http://schemas.openxmlformats.org/officeDocument/2006/relationships/hyperlink" Target="https://www.sec.gov/Archives/edgar/data/1819133/000119312523026914/d644136dex991.htm" TargetMode="External"/><Relationship Id="rId170" Type="http://schemas.openxmlformats.org/officeDocument/2006/relationships/hyperlink" Target="https://www.sec.gov/Archives/edgar/data/1819133/000095017023038750/tngx-ex10_1.htm" TargetMode="External"/><Relationship Id="rId171" Type="http://schemas.openxmlformats.org/officeDocument/2006/relationships/hyperlink" Target="https://www.sec.gov/Archives/edgar/data/1819133/000119312523208100/d525614dex101.htm" TargetMode="External"/><Relationship Id="rId172" Type="http://schemas.openxmlformats.org/officeDocument/2006/relationships/hyperlink" Target="https://www.sec.gov/Archives/edgar/data/1819133/000119312526007086/d26323dex101.htm" TargetMode="External"/><Relationship Id="rId173" Type="http://schemas.openxmlformats.org/officeDocument/2006/relationships/hyperlink" Target="https://www.sec.gov/Archives/edgar/data/1819133/000119312526007086/d26323dex103.htm" TargetMode="External"/><Relationship Id="rId176" Type="http://schemas.openxmlformats.org/officeDocument/2006/relationships/hyperlink" Target="https://www.sec.gov/Archives/edgar/data/1819133/000095017025028353/tngx-ex19_1.htm" TargetMode="External"/><Relationship Id="rId177" Type="http://schemas.openxmlformats.org/officeDocument/2006/relationships/hyperlink" Target="https://www.sec.gov/Archives/edgar/data/1819133/000095017024032516/tngx-ex21_1.htm" TargetMode="External"/><Relationship Id="rId178" Type="http://schemas.openxmlformats.org/officeDocument/2006/relationships/hyperlink" Target="https://www.sec.gov/Archives/edgar/data/1819133/000095017024032516/tngx-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2026-03-05T06:16:20Z</dcterms:created>
  <dcterms:modified xsi:type="dcterms:W3CDTF">2026-03-05T06:16:20Z</dcterms:modified>
</cp:coreProperties>
</file>