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00" w:lineRule="exact"/>
        <w:rPr>
          <w:sz w:val="24"/>
          <w:szCs w:val="24"/>
          <w:color w:val="auto"/>
        </w:rPr>
      </w:pPr>
    </w:p>
    <w:p>
      <w:pPr>
        <w:spacing w:after="0" w:line="2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24"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13d-1(b)</w:t>
      </w:r>
    </w:p>
    <w:p>
      <w:pPr>
        <w:spacing w:after="0" w:line="229" w:lineRule="exact"/>
        <w:rPr>
          <w:sz w:val="24"/>
          <w:szCs w:val="24"/>
          <w:color w:val="auto"/>
        </w:rPr>
      </w:pPr>
    </w:p>
    <w:p>
      <w:pPr>
        <w:jc w:val="both"/>
        <w:ind w:left="1300" w:right="8220" w:firstLine="4"/>
        <w:spacing w:after="0" w:line="540" w:lineRule="auto"/>
        <w:tabs>
          <w:tab w:leader="none" w:pos="1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 [_] Rule 13d-1(d)</w:t>
      </w:r>
    </w:p>
    <w:p>
      <w:pPr>
        <w:spacing w:after="0" w:line="231" w:lineRule="auto"/>
        <w:rPr>
          <w:sz w:val="20"/>
          <w:szCs w:val="20"/>
          <w:color w:val="auto"/>
        </w:rPr>
      </w:pPr>
      <w:r>
        <w:rPr>
          <w:rFonts w:ascii="Courier New" w:cs="Courier New" w:eastAsia="Courier New" w:hAnsi="Courier New"/>
          <w:sz w:val="20"/>
          <w:szCs w:val="20"/>
          <w:color w:val="auto"/>
        </w:rPr>
        <w:t>__________</w:t>
      </w:r>
    </w:p>
    <w:p>
      <w:pPr>
        <w:spacing w:after="0" w:line="1" w:lineRule="exact"/>
        <w:rPr>
          <w:sz w:val="24"/>
          <w:szCs w:val="24"/>
          <w:color w:val="auto"/>
        </w:rPr>
      </w:pPr>
    </w:p>
    <w:p>
      <w:pPr>
        <w:ind w:right="160"/>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441" w:right="619" w:bottom="1440" w:gutter="0" w:footer="0" w:header="0"/>
        </w:sectPr>
      </w:pPr>
    </w:p>
    <w:bookmarkStart w:id="1" w:name="page2"/>
    <w:bookmarkEnd w:id="1"/>
    <w:p>
      <w:pPr>
        <w:ind w:left="1700"/>
        <w:spacing w:after="0"/>
        <w:rPr>
          <w:sz w:val="20"/>
          <w:szCs w:val="20"/>
          <w:color w:val="auto"/>
        </w:rPr>
      </w:pPr>
      <w:r>
        <w:rPr>
          <w:rFonts w:ascii="Arial" w:cs="Arial" w:eastAsia="Arial" w:hAnsi="Arial"/>
          <w:sz w:val="20"/>
          <w:szCs w:val="20"/>
          <w:color w:val="auto"/>
        </w:rPr>
        <w:t>87583X109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0</wp:posOffset>
            </wp:positionV>
            <wp:extent cx="1362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240" w:right="6480" w:hanging="1235"/>
        <w:spacing w:after="0" w:line="507" w:lineRule="auto"/>
        <w:tabs>
          <w:tab w:leader="none" w:pos="12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PERSONS Casdin Capital, LLC</w:t>
      </w:r>
    </w:p>
    <w:p>
      <w:pPr>
        <w:ind w:left="1240" w:hanging="1235"/>
        <w:spacing w:after="0"/>
        <w:tabs>
          <w:tab w:leader="none" w:pos="12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1240" w:hanging="1235"/>
        <w:spacing w:after="0"/>
        <w:tabs>
          <w:tab w:leader="none" w:pos="1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1240" w:right="5400" w:hanging="1235"/>
        <w:spacing w:after="0" w:line="528" w:lineRule="auto"/>
        <w:tabs>
          <w:tab w:leader="none" w:pos="1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1240" w:right="7380" w:hanging="1235"/>
        <w:spacing w:after="0" w:line="507" w:lineRule="auto"/>
        <w:tabs>
          <w:tab w:leader="none" w:pos="1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VOTING POWER 0</w:t>
      </w:r>
    </w:p>
    <w:p>
      <w:pPr>
        <w:ind w:left="1240" w:right="7100" w:hanging="1235"/>
        <w:spacing w:after="0" w:line="507" w:lineRule="auto"/>
        <w:tabs>
          <w:tab w:leader="none" w:pos="1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VOTING POWER 0</w:t>
      </w:r>
    </w:p>
    <w:p>
      <w:pPr>
        <w:ind w:left="1240" w:right="6940" w:hanging="1235"/>
        <w:spacing w:after="0" w:line="507" w:lineRule="auto"/>
        <w:tabs>
          <w:tab w:leader="none" w:pos="1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1240" w:right="6660" w:hanging="1235"/>
        <w:spacing w:after="0" w:line="507" w:lineRule="auto"/>
        <w:tabs>
          <w:tab w:leader="none" w:pos="1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1240" w:right="2220" w:hanging="1235"/>
        <w:spacing w:after="0" w:line="500" w:lineRule="auto"/>
        <w:tabs>
          <w:tab w:leader="none" w:pos="1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1240" w:right="1200" w:hanging="1235"/>
        <w:spacing w:after="0" w:line="247" w:lineRule="auto"/>
        <w:tabs>
          <w:tab w:leader="none" w:pos="1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4" w:lineRule="exact"/>
        <w:rPr>
          <w:sz w:val="20"/>
          <w:szCs w:val="20"/>
          <w:color w:val="auto"/>
        </w:rPr>
      </w:pPr>
    </w:p>
    <w:p>
      <w:pPr>
        <w:ind w:left="1240" w:right="3880" w:hanging="1235"/>
        <w:spacing w:after="0" w:line="503" w:lineRule="auto"/>
        <w:tabs>
          <w:tab w:leader="none" w:pos="1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1240" w:right="4660" w:hanging="1235"/>
        <w:spacing w:after="0" w:line="500" w:lineRule="auto"/>
        <w:tabs>
          <w:tab w:leader="none" w:pos="1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2" w:name="page3"/>
    <w:bookmarkEnd w:id="2"/>
    <w:p>
      <w:pPr>
        <w:ind w:left="1700"/>
        <w:spacing w:after="0"/>
        <w:rPr>
          <w:sz w:val="20"/>
          <w:szCs w:val="20"/>
          <w:color w:val="auto"/>
        </w:rPr>
      </w:pPr>
      <w:r>
        <w:rPr>
          <w:rFonts w:ascii="Arial" w:cs="Arial" w:eastAsia="Arial" w:hAnsi="Arial"/>
          <w:sz w:val="20"/>
          <w:szCs w:val="20"/>
          <w:color w:val="auto"/>
        </w:rPr>
        <w:t>87583X109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0</wp:posOffset>
            </wp:positionV>
            <wp:extent cx="1362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240" w:right="6480" w:hanging="1235"/>
        <w:spacing w:after="0" w:line="5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 Casdin Partners Master Fund, L.P.</w:t>
      </w:r>
    </w:p>
    <w:p>
      <w:pPr>
        <w:ind w:left="1240" w:hanging="1235"/>
        <w:spacing w:after="0"/>
        <w:tabs>
          <w:tab w:leader="none" w:pos="12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1240" w:hanging="1235"/>
        <w:spacing w:after="0"/>
        <w:tabs>
          <w:tab w:leader="none" w:pos="12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1240" w:right="5400" w:hanging="1235"/>
        <w:spacing w:after="0" w:line="528" w:lineRule="auto"/>
        <w:tabs>
          <w:tab w:leader="none" w:pos="12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CITIZENSHIP OR PLACE OF ORGANIZATION Cayman Islands</w:t>
      </w:r>
    </w:p>
    <w:p>
      <w:pPr>
        <w:spacing w:after="0" w:line="200" w:lineRule="exact"/>
        <w:rPr>
          <w:sz w:val="20"/>
          <w:szCs w:val="20"/>
          <w:color w:val="auto"/>
        </w:rPr>
      </w:pPr>
    </w:p>
    <w:p>
      <w:pPr>
        <w:spacing w:after="0" w:line="233" w:lineRule="exact"/>
        <w:rPr>
          <w:sz w:val="20"/>
          <w:szCs w:val="20"/>
          <w:color w:val="auto"/>
        </w:rPr>
      </w:pPr>
    </w:p>
    <w:p>
      <w:pPr>
        <w:ind w:left="1240" w:right="7380" w:hanging="1235"/>
        <w:spacing w:after="0" w:line="507" w:lineRule="auto"/>
        <w:tabs>
          <w:tab w:leader="none" w:pos="1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VOTING POWER 0</w:t>
      </w:r>
    </w:p>
    <w:p>
      <w:pPr>
        <w:ind w:left="1240" w:right="7100" w:hanging="1235"/>
        <w:spacing w:after="0" w:line="507" w:lineRule="auto"/>
        <w:tabs>
          <w:tab w:leader="none" w:pos="1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VOTING POWER 0</w:t>
      </w:r>
    </w:p>
    <w:p>
      <w:pPr>
        <w:ind w:left="1240" w:right="6940" w:hanging="1235"/>
        <w:spacing w:after="0" w:line="507" w:lineRule="auto"/>
        <w:tabs>
          <w:tab w:leader="none" w:pos="1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1240" w:right="6660" w:hanging="1235"/>
        <w:spacing w:after="0" w:line="507" w:lineRule="auto"/>
        <w:tabs>
          <w:tab w:leader="none" w:pos="1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1240" w:right="2220" w:hanging="1235"/>
        <w:spacing w:after="0" w:line="500" w:lineRule="auto"/>
        <w:tabs>
          <w:tab w:leader="none" w:pos="1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1240" w:right="1200" w:hanging="1235"/>
        <w:spacing w:after="0" w:line="247" w:lineRule="auto"/>
        <w:tabs>
          <w:tab w:leader="none" w:pos="1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1240" w:right="3880" w:hanging="1235"/>
        <w:spacing w:after="0" w:line="507" w:lineRule="auto"/>
        <w:tabs>
          <w:tab w:leader="none" w:pos="12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1240" w:right="4660" w:hanging="1235"/>
        <w:spacing w:after="0" w:line="260" w:lineRule="auto"/>
        <w:tabs>
          <w:tab w:leader="none" w:pos="12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3" w:name="page4"/>
    <w:bookmarkEnd w:id="3"/>
    <w:p>
      <w:pPr>
        <w:ind w:left="1580"/>
        <w:spacing w:after="0"/>
        <w:rPr>
          <w:sz w:val="20"/>
          <w:szCs w:val="20"/>
          <w:color w:val="auto"/>
        </w:rPr>
      </w:pPr>
      <w:r>
        <w:rPr>
          <w:rFonts w:ascii="Arial" w:cs="Arial" w:eastAsia="Arial" w:hAnsi="Arial"/>
          <w:sz w:val="20"/>
          <w:szCs w:val="20"/>
          <w:color w:val="auto"/>
        </w:rPr>
        <w:t>87583X109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1431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240" w:right="6480" w:hanging="1235"/>
        <w:spacing w:after="0" w:line="5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 Casdin Partners GP, LLC</w:t>
      </w:r>
    </w:p>
    <w:p>
      <w:pPr>
        <w:ind w:left="1240" w:hanging="1235"/>
        <w:spacing w:after="0"/>
        <w:tabs>
          <w:tab w:leader="none" w:pos="12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1240" w:hanging="1235"/>
        <w:spacing w:after="0"/>
        <w:tabs>
          <w:tab w:leader="none" w:pos="12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1240" w:right="5400" w:hanging="1235"/>
        <w:spacing w:after="0" w:line="528" w:lineRule="auto"/>
        <w:tabs>
          <w:tab w:leader="none" w:pos="12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1240" w:right="7380" w:hanging="1235"/>
        <w:spacing w:after="0" w:line="507" w:lineRule="auto"/>
        <w:tabs>
          <w:tab w:leader="none" w:pos="12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SOLE VOTING POWER 0</w:t>
      </w:r>
    </w:p>
    <w:p>
      <w:pPr>
        <w:ind w:left="1240" w:right="7100" w:hanging="1235"/>
        <w:spacing w:after="0" w:line="507" w:lineRule="auto"/>
        <w:tabs>
          <w:tab w:leader="none" w:pos="12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SHARED VOTING POWER 0</w:t>
      </w:r>
    </w:p>
    <w:p>
      <w:pPr>
        <w:ind w:left="1240" w:right="6940" w:hanging="1235"/>
        <w:spacing w:after="0" w:line="507" w:lineRule="auto"/>
        <w:tabs>
          <w:tab w:leader="none" w:pos="12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1240" w:right="6660" w:hanging="1235"/>
        <w:spacing w:after="0" w:line="507" w:lineRule="auto"/>
        <w:tabs>
          <w:tab w:leader="none" w:pos="12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1240" w:right="2220" w:hanging="1235"/>
        <w:spacing w:after="0" w:line="500" w:lineRule="auto"/>
        <w:tabs>
          <w:tab w:leader="none" w:pos="12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1240" w:right="1200" w:hanging="1235"/>
        <w:spacing w:after="0" w:line="247" w:lineRule="auto"/>
        <w:tabs>
          <w:tab w:leader="none" w:pos="12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1240" w:right="3880" w:hanging="1235"/>
        <w:spacing w:after="0" w:line="507" w:lineRule="auto"/>
        <w:tabs>
          <w:tab w:leader="none" w:pos="12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1240" w:right="4660" w:hanging="1235"/>
        <w:spacing w:after="0" w:line="260" w:lineRule="auto"/>
        <w:tabs>
          <w:tab w:leader="none" w:pos="12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4" w:name="page5"/>
    <w:bookmarkEnd w:id="4"/>
    <w:p>
      <w:pPr>
        <w:ind w:left="1480"/>
        <w:spacing w:after="0"/>
        <w:rPr>
          <w:sz w:val="20"/>
          <w:szCs w:val="20"/>
          <w:color w:val="auto"/>
        </w:rPr>
      </w:pPr>
      <w:r>
        <w:rPr>
          <w:rFonts w:ascii="Arial" w:cs="Arial" w:eastAsia="Arial" w:hAnsi="Arial"/>
          <w:sz w:val="20"/>
          <w:szCs w:val="20"/>
          <w:color w:val="auto"/>
        </w:rPr>
        <w:t>87583X109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0</wp:posOffset>
            </wp:positionV>
            <wp:extent cx="1499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240" w:right="6480" w:hanging="1235"/>
        <w:spacing w:after="0" w:line="507" w:lineRule="auto"/>
        <w:tabs>
          <w:tab w:leader="none" w:pos="12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NAME OF REPORTING PERSONS Eli Casdin</w:t>
      </w:r>
    </w:p>
    <w:p>
      <w:pPr>
        <w:ind w:left="1240" w:hanging="1235"/>
        <w:spacing w:after="0"/>
        <w:tabs>
          <w:tab w:leader="none" w:pos="12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1240" w:hanging="1235"/>
        <w:spacing w:after="0"/>
        <w:tabs>
          <w:tab w:leader="none" w:pos="1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1240" w:right="5400" w:hanging="1235"/>
        <w:spacing w:after="0" w:line="528" w:lineRule="auto"/>
        <w:tabs>
          <w:tab w:leader="none" w:pos="1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200" w:lineRule="exact"/>
        <w:rPr>
          <w:sz w:val="20"/>
          <w:szCs w:val="20"/>
          <w:color w:val="auto"/>
        </w:rPr>
      </w:pPr>
    </w:p>
    <w:p>
      <w:pPr>
        <w:spacing w:after="0" w:line="233" w:lineRule="exact"/>
        <w:rPr>
          <w:sz w:val="20"/>
          <w:szCs w:val="20"/>
          <w:color w:val="auto"/>
        </w:rPr>
      </w:pPr>
    </w:p>
    <w:p>
      <w:pPr>
        <w:ind w:left="1240" w:right="7380" w:hanging="1235"/>
        <w:spacing w:after="0" w:line="507" w:lineRule="auto"/>
        <w:tabs>
          <w:tab w:leader="none" w:pos="1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SOLE VOTING POWER 0</w:t>
      </w:r>
    </w:p>
    <w:p>
      <w:pPr>
        <w:ind w:left="1240" w:right="7100" w:hanging="1235"/>
        <w:spacing w:after="0" w:line="507" w:lineRule="auto"/>
        <w:tabs>
          <w:tab w:leader="none" w:pos="1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SHARED VOTING POWER 0</w:t>
      </w:r>
    </w:p>
    <w:p>
      <w:pPr>
        <w:ind w:left="1240" w:right="6940" w:hanging="1235"/>
        <w:spacing w:after="0" w:line="507" w:lineRule="auto"/>
        <w:tabs>
          <w:tab w:leader="none" w:pos="1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1240" w:right="6660" w:hanging="1235"/>
        <w:spacing w:after="0" w:line="507" w:lineRule="auto"/>
        <w:tabs>
          <w:tab w:leader="none" w:pos="1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1240" w:right="2220" w:hanging="1235"/>
        <w:spacing w:after="0" w:line="500" w:lineRule="auto"/>
        <w:tabs>
          <w:tab w:leader="none" w:pos="1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1240" w:right="1200" w:hanging="1235"/>
        <w:spacing w:after="0" w:line="247" w:lineRule="auto"/>
        <w:tabs>
          <w:tab w:leader="none" w:pos="1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1240" w:right="3880" w:hanging="1235"/>
        <w:spacing w:after="0" w:line="507" w:lineRule="auto"/>
        <w:tabs>
          <w:tab w:leader="none" w:pos="12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1240" w:right="4660" w:hanging="1235"/>
        <w:spacing w:after="0" w:line="260" w:lineRule="auto"/>
        <w:tabs>
          <w:tab w:leader="none" w:pos="12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1203" w:right="7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100" w:type="dxa"/>
            <w:vAlign w:val="bottom"/>
            <w:gridSpan w:val="4"/>
          </w:tcPr>
          <w:p>
            <w:pPr>
              <w:ind w:left="100"/>
              <w:spacing w:after="0"/>
              <w:rPr>
                <w:sz w:val="20"/>
                <w:szCs w:val="20"/>
                <w:color w:val="auto"/>
              </w:rPr>
            </w:pPr>
            <w:r>
              <w:rPr>
                <w:rFonts w:ascii="Arial" w:cs="Arial" w:eastAsia="Arial" w:hAnsi="Arial"/>
                <w:sz w:val="20"/>
                <w:szCs w:val="20"/>
                <w:color w:val="auto"/>
              </w:rPr>
              <w:t>87583X109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8"/>
        </w:trPr>
        <w:tc>
          <w:tcPr>
            <w:tcW w:w="1180" w:type="dxa"/>
            <w:vAlign w:val="bottom"/>
          </w:tcPr>
          <w:p>
            <w:pPr>
              <w:ind w:left="100"/>
              <w:spacing w:after="0"/>
              <w:rPr>
                <w:sz w:val="20"/>
                <w:szCs w:val="20"/>
                <w:color w:val="auto"/>
              </w:rPr>
            </w:pPr>
            <w:r>
              <w:rPr>
                <w:rFonts w:ascii="Arial" w:cs="Arial" w:eastAsia="Arial" w:hAnsi="Arial"/>
                <w:sz w:val="20"/>
                <w:szCs w:val="20"/>
                <w:color w:val="auto"/>
              </w:rPr>
              <w:t>CUSIP No</w:t>
            </w: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180" w:type="dxa"/>
            <w:vAlign w:val="bottom"/>
          </w:tcPr>
          <w:p>
            <w:pPr>
              <w:ind w:left="100"/>
              <w:spacing w:after="0"/>
              <w:rPr>
                <w:sz w:val="20"/>
                <w:szCs w:val="20"/>
                <w:color w:val="auto"/>
              </w:rPr>
            </w:pPr>
            <w:r>
              <w:rPr>
                <w:rFonts w:ascii="Arial" w:cs="Arial" w:eastAsia="Arial" w:hAnsi="Arial"/>
                <w:sz w:val="20"/>
                <w:szCs w:val="20"/>
                <w:color w:val="auto"/>
              </w:rPr>
              <w:t>Item 1.</w:t>
            </w:r>
          </w:p>
        </w:tc>
        <w:tc>
          <w:tcPr>
            <w:tcW w:w="520" w:type="dxa"/>
            <w:vAlign w:val="bottom"/>
          </w:tcPr>
          <w:p>
            <w:pPr>
              <w:ind w:left="220"/>
              <w:spacing w:after="0"/>
              <w:rPr>
                <w:sz w:val="20"/>
                <w:szCs w:val="20"/>
                <w:color w:val="auto"/>
              </w:rPr>
            </w:pPr>
            <w:r>
              <w:rPr>
                <w:rFonts w:ascii="Arial" w:cs="Arial" w:eastAsia="Arial" w:hAnsi="Arial"/>
                <w:sz w:val="20"/>
                <w:szCs w:val="20"/>
                <w:color w:val="auto"/>
                <w:w w:val="93"/>
              </w:rPr>
              <w:t>(a).</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Name of Issuer:</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Tango Therapeutics, Inc.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1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auto"/>
                <w:w w:val="93"/>
              </w:rPr>
              <w:t>(b).</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Address of Issuer's Principal Executive Offices: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201 Brookline Ave., Suite 901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4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Boston, Massachusetts 02215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0"/>
        </w:trPr>
        <w:tc>
          <w:tcPr>
            <w:tcW w:w="1180" w:type="dxa"/>
            <w:vAlign w:val="bottom"/>
          </w:tcPr>
          <w:p>
            <w:pPr>
              <w:ind w:left="100"/>
              <w:spacing w:after="0"/>
              <w:rPr>
                <w:sz w:val="20"/>
                <w:szCs w:val="20"/>
                <w:color w:val="auto"/>
              </w:rPr>
            </w:pPr>
            <w:r>
              <w:rPr>
                <w:rFonts w:ascii="Arial" w:cs="Arial" w:eastAsia="Arial" w:hAnsi="Arial"/>
                <w:sz w:val="20"/>
                <w:szCs w:val="20"/>
                <w:color w:val="auto"/>
              </w:rPr>
              <w:t>Item 2.</w:t>
            </w:r>
          </w:p>
        </w:tc>
        <w:tc>
          <w:tcPr>
            <w:tcW w:w="520" w:type="dxa"/>
            <w:vAlign w:val="bottom"/>
          </w:tcPr>
          <w:p>
            <w:pPr>
              <w:ind w:left="220"/>
              <w:spacing w:after="0"/>
              <w:rPr>
                <w:sz w:val="20"/>
                <w:szCs w:val="20"/>
                <w:color w:val="auto"/>
              </w:rPr>
            </w:pPr>
            <w:r>
              <w:rPr>
                <w:rFonts w:ascii="Arial" w:cs="Arial" w:eastAsia="Arial" w:hAnsi="Arial"/>
                <w:sz w:val="20"/>
                <w:szCs w:val="20"/>
                <w:color w:val="auto"/>
                <w:w w:val="93"/>
              </w:rPr>
              <w:t>(a).</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Name of Person Filing:</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Casdin Capital, LLC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Casdin Partners Master Fund, L.P.</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Arial" w:cs="Arial" w:eastAsia="Arial" w:hAnsi="Arial"/>
                <w:sz w:val="20"/>
                <w:szCs w:val="20"/>
                <w:color w:val="auto"/>
              </w:rPr>
              <w:t>Casdin Partners GP, LLC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4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Eli Casdin</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auto"/>
                <w:w w:val="93"/>
              </w:rPr>
              <w:t>(b).</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Address of Principal Business Office, or if None, Residence: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Casdin Capital, LLC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1350 Avenue of the Americas, Suite 2600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New York, New York 10019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Casdin Partners Master Fund, L.P.</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1350 Avenue of the Americas, Suite 2600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New York, New York 10019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Casdin Partners GP, LLC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1350 Avenue of the Americas, Suite 2600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New York, New York 10019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Eli Casdin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1350 Avenue of the Americas, Suite 2600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New York, New York 10019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tcBorders>
              <w:bottom w:val="single" w:sz="8" w:color="auto"/>
            </w:tcBorders>
            <w:gridSpan w:val="2"/>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auto"/>
                <w:w w:val="96"/>
              </w:rPr>
              <w:t>(c).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Citizenship:</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Casdin Capital, LLC - Delaware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Casdin Partners Master Fund, L.P. – Cayman Islands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Casdin Partners GP, LLC - Delaware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Eli Casdin– United States of America</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auto"/>
                <w:w w:val="93"/>
              </w:rPr>
              <w:t>(d).</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Title of Class of Securities: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180" w:type="dxa"/>
            <w:vAlign w:val="bottom"/>
          </w:tcPr>
          <w:p>
            <w:pPr>
              <w:spacing w:after="0"/>
              <w:rPr>
                <w:sz w:val="24"/>
                <w:szCs w:val="24"/>
                <w:color w:val="auto"/>
              </w:rPr>
            </w:pPr>
          </w:p>
        </w:tc>
        <w:tc>
          <w:tcPr>
            <w:tcW w:w="520" w:type="dxa"/>
            <w:vAlign w:val="bottom"/>
            <w:vMerge w:val="restart"/>
          </w:tcPr>
          <w:p>
            <w:pPr>
              <w:ind w:left="220"/>
              <w:spacing w:after="0"/>
              <w:rPr>
                <w:sz w:val="20"/>
                <w:szCs w:val="20"/>
                <w:color w:val="auto"/>
              </w:rPr>
            </w:pPr>
            <w:r>
              <w:rPr>
                <w:rFonts w:ascii="Arial" w:cs="Arial" w:eastAsia="Arial" w:hAnsi="Arial"/>
                <w:sz w:val="20"/>
                <w:szCs w:val="20"/>
                <w:color w:val="auto"/>
                <w:w w:val="93"/>
              </w:rPr>
              <w:t>(e).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Common Stock, par value $0.001 per share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gridSpan w:val="2"/>
          </w:tcPr>
          <w:p>
            <w:pPr>
              <w:ind w:left="100"/>
              <w:spacing w:after="0"/>
              <w:rPr>
                <w:sz w:val="20"/>
                <w:szCs w:val="20"/>
                <w:color w:val="auto"/>
              </w:rPr>
            </w:pPr>
            <w:r>
              <w:rPr>
                <w:rFonts w:ascii="Arial" w:cs="Arial" w:eastAsia="Arial" w:hAnsi="Arial"/>
                <w:sz w:val="20"/>
                <w:szCs w:val="20"/>
                <w:color w:val="auto"/>
              </w:rPr>
              <w:t>CUSIP Number:</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87583X109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7" w:right="339" w:bottom="1440" w:gutter="0" w:footer="0" w:header="0"/>
        </w:sectPr>
      </w:pPr>
    </w:p>
    <w:bookmarkStart w:id="6" w:name="page7"/>
    <w:bookmarkEnd w:id="6"/>
    <w:p>
      <w:pPr>
        <w:ind w:left="1240"/>
        <w:spacing w:after="0"/>
        <w:rPr>
          <w:sz w:val="20"/>
          <w:szCs w:val="20"/>
          <w:color w:val="auto"/>
        </w:rPr>
      </w:pPr>
      <w:r>
        <w:rPr>
          <w:rFonts w:ascii="Arial" w:cs="Arial" w:eastAsia="Arial" w:hAnsi="Arial"/>
          <w:sz w:val="19"/>
          <w:szCs w:val="19"/>
          <w:color w:val="auto"/>
        </w:rPr>
        <w:t>If This Statement is filed pursuant to ss.240.13d-1(b) or 240.13d-2(b), or (c), check whether the person filing is a</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Item 3.</w:t>
      </w:r>
    </w:p>
    <w:p>
      <w:pPr>
        <w:spacing w:after="0" w:line="243" w:lineRule="exact"/>
        <w:rPr>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Broker or dealer registered under Section 15 of the Exchange Act (15 U.S.C. 78c).</w:t>
      </w:r>
    </w:p>
    <w:p>
      <w:pPr>
        <w:spacing w:after="0" w:line="256"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Bank as defined in Section 3(a)(6) of the Exchange Act (15 U.S.C. 78c).</w:t>
      </w:r>
    </w:p>
    <w:p>
      <w:pPr>
        <w:spacing w:after="0" w:line="256"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Insurance company as defined in Section 3(a)(19) of the Exchange Act (15 U.S.C. 78c).</w:t>
      </w:r>
    </w:p>
    <w:p>
      <w:pPr>
        <w:spacing w:after="0" w:line="256" w:lineRule="exact"/>
        <w:rPr>
          <w:rFonts w:ascii="Arial" w:cs="Arial" w:eastAsia="Arial" w:hAnsi="Arial"/>
          <w:sz w:val="20"/>
          <w:szCs w:val="20"/>
          <w:color w:val="auto"/>
        </w:rPr>
      </w:pPr>
    </w:p>
    <w:p>
      <w:pPr>
        <w:ind w:left="2700" w:hanging="1453"/>
        <w:spacing w:after="0" w:line="260" w:lineRule="auto"/>
        <w:tabs>
          <w:tab w:leader="none" w:pos="2147"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Investment company registered under Section 8 of the Investment Company Act of 1940 (15 U.S.C. 80a-8).</w:t>
      </w:r>
    </w:p>
    <w:p>
      <w:pPr>
        <w:spacing w:after="0" w:line="203"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An investment adviser in accordance with § 240.13d-1(b)(1)(ii)(E);</w:t>
      </w:r>
    </w:p>
    <w:p>
      <w:pPr>
        <w:spacing w:after="0" w:line="256"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An employee benefit plan or endowment fund in accordance with § 240.13d-1(b)(1)(ii)(F);</w:t>
      </w:r>
    </w:p>
    <w:p>
      <w:pPr>
        <w:spacing w:after="0" w:line="256"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A parent holding company or control person in accordance with Rule 13d-1(b)(1)(ii)(G);</w:t>
      </w:r>
    </w:p>
    <w:p>
      <w:pPr>
        <w:spacing w:after="0" w:line="256"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700" w:right="160" w:hanging="1453"/>
        <w:spacing w:after="0" w:line="260" w:lineRule="auto"/>
        <w:tabs>
          <w:tab w:leader="none" w:pos="2147"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A church plan that is excluded from the definition of an investment company under Section 3(c)(14) of the Investment Company Act of 1940 (15 U.S.C. 80a-3);</w:t>
      </w:r>
    </w:p>
    <w:p>
      <w:pPr>
        <w:spacing w:after="0" w:line="203" w:lineRule="exact"/>
        <w:rPr>
          <w:rFonts w:ascii="Arial" w:cs="Arial" w:eastAsia="Arial" w:hAnsi="Arial"/>
          <w:sz w:val="20"/>
          <w:szCs w:val="20"/>
          <w:color w:val="auto"/>
        </w:rPr>
      </w:pPr>
    </w:p>
    <w:p>
      <w:pPr>
        <w:ind w:left="2160" w:hanging="913"/>
        <w:spacing w:after="0"/>
        <w:tabs>
          <w:tab w:leader="none" w:pos="2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[_]    Group, in accordance with s.240.13d-1(b)(1)(ii)(J).</w:t>
      </w:r>
    </w:p>
    <w:p>
      <w:pPr>
        <w:spacing w:after="0" w:line="200" w:lineRule="exact"/>
        <w:rPr>
          <w:sz w:val="20"/>
          <w:szCs w:val="20"/>
          <w:color w:val="auto"/>
        </w:rPr>
      </w:pPr>
    </w:p>
    <w:p>
      <w:pPr>
        <w:spacing w:after="0" w:line="272"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43" w:lineRule="exact"/>
        <w:rPr>
          <w:sz w:val="20"/>
          <w:szCs w:val="20"/>
          <w:color w:val="auto"/>
        </w:rPr>
      </w:pPr>
    </w:p>
    <w:p>
      <w:pPr>
        <w:ind w:left="1480" w:right="6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204" w:lineRule="exact"/>
        <w:rPr>
          <w:sz w:val="20"/>
          <w:szCs w:val="20"/>
          <w:color w:val="auto"/>
        </w:rPr>
      </w:pPr>
    </w:p>
    <w:p>
      <w:pPr>
        <w:ind w:left="2360" w:hanging="883"/>
        <w:spacing w:after="0"/>
        <w:tabs>
          <w:tab w:leader="none" w:pos="2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56" w:lineRule="exact"/>
        <w:rPr>
          <w:rFonts w:ascii="Arial" w:cs="Arial" w:eastAsia="Arial" w:hAnsi="Arial"/>
          <w:sz w:val="20"/>
          <w:szCs w:val="20"/>
          <w:color w:val="auto"/>
        </w:rPr>
      </w:pPr>
    </w:p>
    <w:p>
      <w:pPr>
        <w:ind w:left="2360"/>
        <w:spacing w:after="0"/>
        <w:rPr>
          <w:rFonts w:ascii="Arial" w:cs="Arial" w:eastAsia="Arial" w:hAnsi="Arial"/>
          <w:sz w:val="20"/>
          <w:szCs w:val="20"/>
          <w:color w:val="auto"/>
        </w:rPr>
      </w:pPr>
      <w:r>
        <w:rPr>
          <w:rFonts w:ascii="Arial" w:cs="Arial" w:eastAsia="Arial" w:hAnsi="Arial"/>
          <w:sz w:val="20"/>
          <w:szCs w:val="20"/>
          <w:color w:val="auto"/>
        </w:rPr>
        <w:t>0 shares deemed beneficially owned by Casdin Capital, LLC</w:t>
      </w:r>
    </w:p>
    <w:p>
      <w:pPr>
        <w:spacing w:after="0" w:line="15" w:lineRule="exact"/>
        <w:rPr>
          <w:rFonts w:ascii="Arial" w:cs="Arial" w:eastAsia="Arial" w:hAnsi="Arial"/>
          <w:sz w:val="20"/>
          <w:szCs w:val="20"/>
          <w:color w:val="auto"/>
        </w:rPr>
      </w:pPr>
    </w:p>
    <w:p>
      <w:pPr>
        <w:ind w:left="2360" w:right="2780"/>
        <w:spacing w:after="0" w:line="266" w:lineRule="auto"/>
        <w:rPr>
          <w:rFonts w:ascii="Arial" w:cs="Arial" w:eastAsia="Arial" w:hAnsi="Arial"/>
          <w:sz w:val="20"/>
          <w:szCs w:val="20"/>
          <w:color w:val="auto"/>
        </w:rPr>
      </w:pPr>
      <w:r>
        <w:rPr>
          <w:rFonts w:ascii="Arial" w:cs="Arial" w:eastAsia="Arial" w:hAnsi="Arial"/>
          <w:sz w:val="18"/>
          <w:szCs w:val="18"/>
          <w:color w:val="auto"/>
        </w:rPr>
        <w:t>0 shares deemed beneficially owned by Casdin Partners Master Fund, L.P. 0 shares deemed beneficially owned by Casdin Partners GP, LLC</w:t>
      </w:r>
    </w:p>
    <w:p>
      <w:pPr>
        <w:ind w:left="2360"/>
        <w:spacing w:after="0"/>
        <w:rPr>
          <w:rFonts w:ascii="Arial" w:cs="Arial" w:eastAsia="Arial" w:hAnsi="Arial"/>
          <w:sz w:val="20"/>
          <w:szCs w:val="20"/>
          <w:color w:val="auto"/>
        </w:rPr>
      </w:pPr>
      <w:r>
        <w:rPr>
          <w:rFonts w:ascii="Arial" w:cs="Arial" w:eastAsia="Arial" w:hAnsi="Arial"/>
          <w:sz w:val="20"/>
          <w:szCs w:val="20"/>
          <w:color w:val="auto"/>
        </w:rPr>
        <w:t>0 shares deemed beneficially owned by Eli Casdin</w:t>
      </w:r>
    </w:p>
    <w:p>
      <w:pPr>
        <w:spacing w:after="0" w:line="240" w:lineRule="exact"/>
        <w:rPr>
          <w:rFonts w:ascii="Arial" w:cs="Arial" w:eastAsia="Arial" w:hAnsi="Arial"/>
          <w:sz w:val="20"/>
          <w:szCs w:val="20"/>
          <w:color w:val="auto"/>
        </w:rPr>
      </w:pPr>
    </w:p>
    <w:p>
      <w:pPr>
        <w:ind w:left="2360" w:hanging="883"/>
        <w:spacing w:after="0"/>
        <w:tabs>
          <w:tab w:leader="none" w:pos="2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56" w:lineRule="exact"/>
        <w:rPr>
          <w:rFonts w:ascii="Arial" w:cs="Arial" w:eastAsia="Arial" w:hAnsi="Arial"/>
          <w:sz w:val="20"/>
          <w:szCs w:val="20"/>
          <w:color w:val="auto"/>
        </w:rPr>
      </w:pPr>
    </w:p>
    <w:p>
      <w:pPr>
        <w:ind w:left="2360"/>
        <w:spacing w:after="0"/>
        <w:rPr>
          <w:rFonts w:ascii="Arial" w:cs="Arial" w:eastAsia="Arial" w:hAnsi="Arial"/>
          <w:sz w:val="20"/>
          <w:szCs w:val="20"/>
          <w:color w:val="auto"/>
        </w:rPr>
      </w:pPr>
      <w:r>
        <w:rPr>
          <w:rFonts w:ascii="Arial" w:cs="Arial" w:eastAsia="Arial" w:hAnsi="Arial"/>
          <w:sz w:val="20"/>
          <w:szCs w:val="20"/>
          <w:color w:val="auto"/>
        </w:rPr>
        <w:t>0% deemed beneficially owned by Casdin Capital, LLC</w:t>
      </w:r>
    </w:p>
    <w:p>
      <w:pPr>
        <w:spacing w:after="0" w:line="15" w:lineRule="exact"/>
        <w:rPr>
          <w:rFonts w:ascii="Arial" w:cs="Arial" w:eastAsia="Arial" w:hAnsi="Arial"/>
          <w:sz w:val="20"/>
          <w:szCs w:val="20"/>
          <w:color w:val="auto"/>
        </w:rPr>
      </w:pPr>
    </w:p>
    <w:p>
      <w:pPr>
        <w:ind w:left="2360" w:right="3160"/>
        <w:spacing w:after="0" w:line="252" w:lineRule="auto"/>
        <w:rPr>
          <w:rFonts w:ascii="Arial" w:cs="Arial" w:eastAsia="Arial" w:hAnsi="Arial"/>
          <w:sz w:val="20"/>
          <w:szCs w:val="20"/>
          <w:color w:val="auto"/>
        </w:rPr>
      </w:pPr>
      <w:r>
        <w:rPr>
          <w:rFonts w:ascii="Arial" w:cs="Arial" w:eastAsia="Arial" w:hAnsi="Arial"/>
          <w:sz w:val="19"/>
          <w:szCs w:val="19"/>
          <w:color w:val="auto"/>
        </w:rPr>
        <w:t>0% deemed beneficially owned by Casdin Partners Master Fund, L.P. 0% deemed beneficially owned by Casdin Partners GP, LLC</w:t>
      </w:r>
    </w:p>
    <w:p>
      <w:pPr>
        <w:ind w:left="2360"/>
        <w:spacing w:after="0"/>
        <w:rPr>
          <w:rFonts w:ascii="Arial" w:cs="Arial" w:eastAsia="Arial" w:hAnsi="Arial"/>
          <w:sz w:val="20"/>
          <w:szCs w:val="20"/>
          <w:color w:val="auto"/>
        </w:rPr>
      </w:pPr>
      <w:r>
        <w:rPr>
          <w:rFonts w:ascii="Arial" w:cs="Arial" w:eastAsia="Arial" w:hAnsi="Arial"/>
          <w:sz w:val="20"/>
          <w:szCs w:val="20"/>
          <w:color w:val="auto"/>
        </w:rPr>
        <w:t>0% deemed beneficially owned by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-1053465</wp:posOffset>
            </wp:positionV>
            <wp:extent cx="5631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0</wp:posOffset>
            </wp:positionV>
            <wp:extent cx="56318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317500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717" w:right="459" w:bottom="1440" w:gutter="0" w:footer="0" w:header="0"/>
        </w:sectPr>
      </w:pPr>
    </w:p>
    <w:bookmarkStart w:id="7" w:name="page8"/>
    <w:bookmarkEnd w:id="7"/>
    <w:p>
      <w:pPr>
        <w:ind w:left="2460" w:hanging="883"/>
        <w:spacing w:after="0"/>
        <w:tabs>
          <w:tab w:leader="none" w:pos="2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Number of shares as to which Casdin Capital, LLC has: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060" w:type="dxa"/>
            <w:vAlign w:val="bottom"/>
          </w:tcPr>
          <w:p>
            <w:pPr>
              <w:ind w:left="2460"/>
              <w:spacing w:after="0"/>
              <w:rPr>
                <w:sz w:val="20"/>
                <w:szCs w:val="20"/>
                <w:color w:val="auto"/>
              </w:rPr>
            </w:pPr>
            <w:r>
              <w:rPr>
                <w:rFonts w:ascii="Arial" w:cs="Arial" w:eastAsia="Arial" w:hAnsi="Arial"/>
                <w:sz w:val="20"/>
                <w:szCs w:val="20"/>
                <w:color w:val="auto"/>
              </w:rPr>
              <w:t>(i)</w:t>
            </w:r>
          </w:p>
        </w:tc>
        <w:tc>
          <w:tcPr>
            <w:tcW w:w="5620" w:type="dxa"/>
            <w:vAlign w:val="bottom"/>
            <w:gridSpan w:val="2"/>
          </w:tcPr>
          <w:p>
            <w:pPr>
              <w:ind w:left="320"/>
              <w:spacing w:after="0"/>
              <w:rPr>
                <w:sz w:val="20"/>
                <w:szCs w:val="20"/>
                <w:color w:val="auto"/>
              </w:rPr>
            </w:pPr>
            <w:r>
              <w:rPr>
                <w:rFonts w:ascii="Arial" w:cs="Arial" w:eastAsia="Arial" w:hAnsi="Arial"/>
                <w:sz w:val="20"/>
                <w:szCs w:val="20"/>
                <w:color w:val="auto"/>
              </w:rPr>
              <w:t>Sole power to vote or to direct the vote</w:t>
            </w: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(ii)</w:t>
            </w:r>
          </w:p>
        </w:tc>
        <w:tc>
          <w:tcPr>
            <w:tcW w:w="5620" w:type="dxa"/>
            <w:vAlign w:val="bottom"/>
            <w:gridSpan w:val="2"/>
          </w:tcPr>
          <w:p>
            <w:pPr>
              <w:ind w:left="320"/>
              <w:spacing w:after="0"/>
              <w:rPr>
                <w:sz w:val="20"/>
                <w:szCs w:val="20"/>
                <w:color w:val="auto"/>
              </w:rPr>
            </w:pPr>
            <w:r>
              <w:rPr>
                <w:rFonts w:ascii="Arial" w:cs="Arial" w:eastAsia="Arial" w:hAnsi="Arial"/>
                <w:sz w:val="20"/>
                <w:szCs w:val="20"/>
                <w:color w:val="auto"/>
              </w:rPr>
              <w:t>Shared power to vote or to direct the vote</w:t>
            </w: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80"/>
        </w:trPr>
        <w:tc>
          <w:tcPr>
            <w:tcW w:w="3060" w:type="dxa"/>
            <w:vAlign w:val="bottom"/>
          </w:tcPr>
          <w:p>
            <w:pPr>
              <w:ind w:left="2460"/>
              <w:spacing w:after="0"/>
              <w:rPr>
                <w:sz w:val="20"/>
                <w:szCs w:val="20"/>
                <w:color w:val="auto"/>
              </w:rPr>
            </w:pPr>
            <w:r>
              <w:rPr>
                <w:rFonts w:ascii="Arial" w:cs="Arial" w:eastAsia="Arial" w:hAnsi="Arial"/>
                <w:sz w:val="20"/>
                <w:szCs w:val="20"/>
                <w:color w:val="auto"/>
              </w:rPr>
              <w:t>(iii)</w:t>
            </w:r>
          </w:p>
        </w:tc>
        <w:tc>
          <w:tcPr>
            <w:tcW w:w="5620" w:type="dxa"/>
            <w:vAlign w:val="bottom"/>
            <w:gridSpan w:val="2"/>
          </w:tcPr>
          <w:p>
            <w:pPr>
              <w:ind w:left="320"/>
              <w:spacing w:after="0"/>
              <w:rPr>
                <w:sz w:val="20"/>
                <w:szCs w:val="20"/>
                <w:color w:val="auto"/>
              </w:rPr>
            </w:pPr>
            <w:r>
              <w:rPr>
                <w:rFonts w:ascii="Arial" w:cs="Arial" w:eastAsia="Arial" w:hAnsi="Arial"/>
                <w:sz w:val="20"/>
                <w:szCs w:val="20"/>
                <w:color w:val="auto"/>
              </w:rPr>
              <w:t>Sole power to dispose or to direct the disposition of</w:t>
            </w: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8"/>
        </w:trPr>
        <w:tc>
          <w:tcPr>
            <w:tcW w:w="3060" w:type="dxa"/>
            <w:vAlign w:val="bottom"/>
          </w:tcPr>
          <w:p>
            <w:pPr>
              <w:ind w:left="2460"/>
              <w:spacing w:after="0"/>
              <w:rPr>
                <w:sz w:val="20"/>
                <w:szCs w:val="20"/>
                <w:color w:val="auto"/>
              </w:rPr>
            </w:pPr>
            <w:r>
              <w:rPr>
                <w:rFonts w:ascii="Arial" w:cs="Arial" w:eastAsia="Arial" w:hAnsi="Arial"/>
                <w:sz w:val="20"/>
                <w:szCs w:val="20"/>
                <w:color w:val="auto"/>
              </w:rPr>
              <w:t>(iv)</w:t>
            </w:r>
          </w:p>
        </w:tc>
        <w:tc>
          <w:tcPr>
            <w:tcW w:w="5620" w:type="dxa"/>
            <w:vAlign w:val="bottom"/>
            <w:gridSpan w:val="2"/>
          </w:tcPr>
          <w:p>
            <w:pPr>
              <w:ind w:left="320"/>
              <w:spacing w:after="0"/>
              <w:rPr>
                <w:sz w:val="20"/>
                <w:szCs w:val="20"/>
                <w:color w:val="auto"/>
              </w:rPr>
            </w:pPr>
            <w:r>
              <w:rPr>
                <w:rFonts w:ascii="Arial" w:cs="Arial" w:eastAsia="Arial" w:hAnsi="Arial"/>
                <w:sz w:val="20"/>
                <w:szCs w:val="20"/>
                <w:color w:val="auto"/>
              </w:rPr>
              <w:t>Shared power to dispose or to direct the disposition of</w:t>
            </w:r>
          </w:p>
        </w:tc>
        <w:tc>
          <w:tcPr>
            <w:tcW w:w="2560" w:type="dxa"/>
            <w:vAlign w:val="bottom"/>
            <w:gridSpan w:val="2"/>
          </w:tcPr>
          <w:p>
            <w:pPr>
              <w:jc w:val="right"/>
              <w:ind w:right="81"/>
              <w:spacing w:after="0"/>
              <w:rPr>
                <w:sz w:val="20"/>
                <w:szCs w:val="20"/>
                <w:color w:val="auto"/>
              </w:rPr>
            </w:pPr>
            <w:r>
              <w:rPr>
                <w:rFonts w:ascii="Arial" w:cs="Arial" w:eastAsia="Arial" w:hAnsi="Arial"/>
                <w:sz w:val="20"/>
                <w:szCs w:val="20"/>
                <w:color w:val="auto"/>
              </w:rPr>
              <w:t>0  .</w:t>
            </w:r>
          </w:p>
        </w:tc>
      </w:tr>
      <w:tr>
        <w:trPr>
          <w:trHeight w:val="477"/>
        </w:trPr>
        <w:tc>
          <w:tcPr>
            <w:tcW w:w="8680" w:type="dxa"/>
            <w:vAlign w:val="bottom"/>
            <w:gridSpan w:val="3"/>
          </w:tcPr>
          <w:p>
            <w:pPr>
              <w:ind w:left="2460"/>
              <w:spacing w:after="0"/>
              <w:rPr>
                <w:sz w:val="20"/>
                <w:szCs w:val="20"/>
                <w:color w:val="auto"/>
              </w:rPr>
            </w:pPr>
            <w:r>
              <w:rPr>
                <w:rFonts w:ascii="Arial" w:cs="Arial" w:eastAsia="Arial" w:hAnsi="Arial"/>
                <w:sz w:val="20"/>
                <w:szCs w:val="20"/>
                <w:color w:val="auto"/>
                <w:w w:val="99"/>
              </w:rPr>
              <w:t>Number of shares as to which Casdin Partners Master Fund, L.P. has:</w:t>
            </w:r>
          </w:p>
        </w:tc>
        <w:tc>
          <w:tcPr>
            <w:tcW w:w="2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491"/>
        </w:trPr>
        <w:tc>
          <w:tcPr>
            <w:tcW w:w="3060" w:type="dxa"/>
            <w:vAlign w:val="bottom"/>
          </w:tcPr>
          <w:p>
            <w:pPr>
              <w:ind w:left="2460"/>
              <w:spacing w:after="0"/>
              <w:rPr>
                <w:sz w:val="20"/>
                <w:szCs w:val="20"/>
                <w:color w:val="auto"/>
              </w:rPr>
            </w:pPr>
            <w:r>
              <w:rPr>
                <w:rFonts w:ascii="Arial" w:cs="Arial" w:eastAsia="Arial" w:hAnsi="Arial"/>
                <w:sz w:val="20"/>
                <w:szCs w:val="20"/>
                <w:color w:val="auto"/>
              </w:rPr>
              <w:t>(i)</w:t>
            </w:r>
          </w:p>
        </w:tc>
        <w:tc>
          <w:tcPr>
            <w:tcW w:w="5500" w:type="dxa"/>
            <w:vAlign w:val="bottom"/>
          </w:tcPr>
          <w:p>
            <w:pPr>
              <w:ind w:left="320"/>
              <w:spacing w:after="0"/>
              <w:rPr>
                <w:sz w:val="20"/>
                <w:szCs w:val="20"/>
                <w:color w:val="auto"/>
              </w:rPr>
            </w:pPr>
            <w:r>
              <w:rPr>
                <w:rFonts w:ascii="Arial" w:cs="Arial" w:eastAsia="Arial" w:hAnsi="Arial"/>
                <w:sz w:val="20"/>
                <w:szCs w:val="20"/>
                <w:color w:val="auto"/>
              </w:rPr>
              <w:t>Sole power to vote or to direct the vote</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(ii)</w:t>
            </w:r>
          </w:p>
        </w:tc>
        <w:tc>
          <w:tcPr>
            <w:tcW w:w="5500" w:type="dxa"/>
            <w:vAlign w:val="bottom"/>
          </w:tcPr>
          <w:p>
            <w:pPr>
              <w:ind w:left="320"/>
              <w:spacing w:after="0"/>
              <w:rPr>
                <w:sz w:val="20"/>
                <w:szCs w:val="20"/>
                <w:color w:val="auto"/>
              </w:rPr>
            </w:pPr>
            <w:r>
              <w:rPr>
                <w:rFonts w:ascii="Arial" w:cs="Arial" w:eastAsia="Arial" w:hAnsi="Arial"/>
                <w:sz w:val="20"/>
                <w:szCs w:val="20"/>
                <w:color w:val="auto"/>
              </w:rPr>
              <w:t>Shared power to vote or to direct the vote</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(iii)</w:t>
            </w:r>
          </w:p>
        </w:tc>
        <w:tc>
          <w:tcPr>
            <w:tcW w:w="5500" w:type="dxa"/>
            <w:vAlign w:val="bottom"/>
          </w:tcPr>
          <w:p>
            <w:pPr>
              <w:ind w:left="320"/>
              <w:spacing w:after="0"/>
              <w:rPr>
                <w:sz w:val="20"/>
                <w:szCs w:val="20"/>
                <w:color w:val="auto"/>
              </w:rPr>
            </w:pPr>
            <w:r>
              <w:rPr>
                <w:rFonts w:ascii="Arial" w:cs="Arial" w:eastAsia="Arial" w:hAnsi="Arial"/>
                <w:sz w:val="20"/>
                <w:szCs w:val="20"/>
                <w:color w:val="auto"/>
              </w:rPr>
              <w:t>Sole power to dispose or to direct the disposition of</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80"/>
        </w:trPr>
        <w:tc>
          <w:tcPr>
            <w:tcW w:w="3060" w:type="dxa"/>
            <w:vAlign w:val="bottom"/>
          </w:tcPr>
          <w:p>
            <w:pPr>
              <w:ind w:left="2460"/>
              <w:spacing w:after="0"/>
              <w:rPr>
                <w:sz w:val="20"/>
                <w:szCs w:val="20"/>
                <w:color w:val="auto"/>
              </w:rPr>
            </w:pPr>
            <w:r>
              <w:rPr>
                <w:rFonts w:ascii="Arial" w:cs="Arial" w:eastAsia="Arial" w:hAnsi="Arial"/>
                <w:sz w:val="20"/>
                <w:szCs w:val="20"/>
                <w:color w:val="auto"/>
              </w:rPr>
              <w:t>(iv)</w:t>
            </w:r>
          </w:p>
        </w:tc>
        <w:tc>
          <w:tcPr>
            <w:tcW w:w="5500" w:type="dxa"/>
            <w:vAlign w:val="bottom"/>
          </w:tcPr>
          <w:p>
            <w:pPr>
              <w:ind w:left="320"/>
              <w:spacing w:after="0"/>
              <w:rPr>
                <w:sz w:val="20"/>
                <w:szCs w:val="20"/>
                <w:color w:val="auto"/>
              </w:rPr>
            </w:pPr>
            <w:r>
              <w:rPr>
                <w:rFonts w:ascii="Arial" w:cs="Arial" w:eastAsia="Arial" w:hAnsi="Arial"/>
                <w:sz w:val="20"/>
                <w:szCs w:val="20"/>
                <w:color w:val="auto"/>
              </w:rPr>
              <w:t>Shared power to dispose or to direct the disposition of</w:t>
            </w:r>
          </w:p>
        </w:tc>
        <w:tc>
          <w:tcPr>
            <w:tcW w:w="120" w:type="dxa"/>
            <w:vAlign w:val="bottom"/>
          </w:tcPr>
          <w:p>
            <w:pPr>
              <w:spacing w:after="0"/>
              <w:rPr>
                <w:sz w:val="24"/>
                <w:szCs w:val="24"/>
                <w:color w:val="auto"/>
              </w:rPr>
            </w:pPr>
          </w:p>
        </w:tc>
        <w:tc>
          <w:tcPr>
            <w:tcW w:w="2560" w:type="dxa"/>
            <w:vAlign w:val="bottom"/>
            <w:gridSpan w:val="2"/>
          </w:tcPr>
          <w:p>
            <w:pPr>
              <w:jc w:val="right"/>
              <w:ind w:right="81"/>
              <w:spacing w:after="0"/>
              <w:rPr>
                <w:sz w:val="20"/>
                <w:szCs w:val="20"/>
                <w:color w:val="auto"/>
              </w:rPr>
            </w:pPr>
            <w:r>
              <w:rPr>
                <w:rFonts w:ascii="Arial" w:cs="Arial" w:eastAsia="Arial" w:hAnsi="Arial"/>
                <w:sz w:val="20"/>
                <w:szCs w:val="20"/>
                <w:color w:val="auto"/>
              </w:rPr>
              <w:t>0  .</w:t>
            </w:r>
          </w:p>
        </w:tc>
      </w:tr>
      <w:tr>
        <w:trPr>
          <w:trHeight w:val="475"/>
        </w:trPr>
        <w:tc>
          <w:tcPr>
            <w:tcW w:w="8560" w:type="dxa"/>
            <w:vAlign w:val="bottom"/>
            <w:gridSpan w:val="2"/>
          </w:tcPr>
          <w:p>
            <w:pPr>
              <w:ind w:left="2460"/>
              <w:spacing w:after="0"/>
              <w:rPr>
                <w:sz w:val="20"/>
                <w:szCs w:val="20"/>
                <w:color w:val="auto"/>
              </w:rPr>
            </w:pPr>
            <w:r>
              <w:rPr>
                <w:rFonts w:ascii="Arial" w:cs="Arial" w:eastAsia="Arial" w:hAnsi="Arial"/>
                <w:sz w:val="20"/>
                <w:szCs w:val="20"/>
                <w:color w:val="auto"/>
              </w:rPr>
              <w:t>Number of shares as to which Casdin Partners GP, LLC has:</w:t>
            </w:r>
          </w:p>
        </w:tc>
        <w:tc>
          <w:tcPr>
            <w:tcW w:w="1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491"/>
        </w:trPr>
        <w:tc>
          <w:tcPr>
            <w:tcW w:w="3060" w:type="dxa"/>
            <w:vAlign w:val="bottom"/>
          </w:tcPr>
          <w:p>
            <w:pPr>
              <w:ind w:left="2460"/>
              <w:spacing w:after="0"/>
              <w:rPr>
                <w:sz w:val="20"/>
                <w:szCs w:val="20"/>
                <w:color w:val="auto"/>
              </w:rPr>
            </w:pPr>
            <w:r>
              <w:rPr>
                <w:rFonts w:ascii="Arial" w:cs="Arial" w:eastAsia="Arial" w:hAnsi="Arial"/>
                <w:sz w:val="20"/>
                <w:szCs w:val="20"/>
                <w:color w:val="auto"/>
              </w:rPr>
              <w:t>(i)</w:t>
            </w:r>
          </w:p>
        </w:tc>
        <w:tc>
          <w:tcPr>
            <w:tcW w:w="5500" w:type="dxa"/>
            <w:vAlign w:val="bottom"/>
          </w:tcPr>
          <w:p>
            <w:pPr>
              <w:ind w:left="320"/>
              <w:spacing w:after="0"/>
              <w:rPr>
                <w:sz w:val="20"/>
                <w:szCs w:val="20"/>
                <w:color w:val="auto"/>
              </w:rPr>
            </w:pPr>
            <w:r>
              <w:rPr>
                <w:rFonts w:ascii="Arial" w:cs="Arial" w:eastAsia="Arial" w:hAnsi="Arial"/>
                <w:sz w:val="20"/>
                <w:szCs w:val="20"/>
                <w:color w:val="auto"/>
              </w:rPr>
              <w:t>Sole power to vote or to direct the vote</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(ii)</w:t>
            </w:r>
          </w:p>
        </w:tc>
        <w:tc>
          <w:tcPr>
            <w:tcW w:w="5500" w:type="dxa"/>
            <w:vAlign w:val="bottom"/>
          </w:tcPr>
          <w:p>
            <w:pPr>
              <w:ind w:left="320"/>
              <w:spacing w:after="0"/>
              <w:rPr>
                <w:sz w:val="20"/>
                <w:szCs w:val="20"/>
                <w:color w:val="auto"/>
              </w:rPr>
            </w:pPr>
            <w:r>
              <w:rPr>
                <w:rFonts w:ascii="Arial" w:cs="Arial" w:eastAsia="Arial" w:hAnsi="Arial"/>
                <w:sz w:val="20"/>
                <w:szCs w:val="20"/>
                <w:color w:val="auto"/>
              </w:rPr>
              <w:t>Shared power to vote or to direct the vote</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80"/>
        </w:trPr>
        <w:tc>
          <w:tcPr>
            <w:tcW w:w="3060" w:type="dxa"/>
            <w:vAlign w:val="bottom"/>
          </w:tcPr>
          <w:p>
            <w:pPr>
              <w:ind w:left="2460"/>
              <w:spacing w:after="0"/>
              <w:rPr>
                <w:sz w:val="20"/>
                <w:szCs w:val="20"/>
                <w:color w:val="auto"/>
              </w:rPr>
            </w:pPr>
            <w:r>
              <w:rPr>
                <w:rFonts w:ascii="Arial" w:cs="Arial" w:eastAsia="Arial" w:hAnsi="Arial"/>
                <w:sz w:val="20"/>
                <w:szCs w:val="20"/>
                <w:color w:val="auto"/>
              </w:rPr>
              <w:t>(iii)</w:t>
            </w:r>
          </w:p>
        </w:tc>
        <w:tc>
          <w:tcPr>
            <w:tcW w:w="5500" w:type="dxa"/>
            <w:vAlign w:val="bottom"/>
          </w:tcPr>
          <w:p>
            <w:pPr>
              <w:ind w:left="320"/>
              <w:spacing w:after="0"/>
              <w:rPr>
                <w:sz w:val="20"/>
                <w:szCs w:val="20"/>
                <w:color w:val="auto"/>
              </w:rPr>
            </w:pPr>
            <w:r>
              <w:rPr>
                <w:rFonts w:ascii="Arial" w:cs="Arial" w:eastAsia="Arial" w:hAnsi="Arial"/>
                <w:sz w:val="20"/>
                <w:szCs w:val="20"/>
                <w:color w:val="auto"/>
              </w:rPr>
              <w:t>Sole power to dispose or to direct the disposition of</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(iv)</w:t>
            </w:r>
          </w:p>
        </w:tc>
        <w:tc>
          <w:tcPr>
            <w:tcW w:w="5500" w:type="dxa"/>
            <w:vAlign w:val="bottom"/>
          </w:tcPr>
          <w:p>
            <w:pPr>
              <w:ind w:left="320"/>
              <w:spacing w:after="0"/>
              <w:rPr>
                <w:sz w:val="20"/>
                <w:szCs w:val="20"/>
                <w:color w:val="auto"/>
              </w:rPr>
            </w:pPr>
            <w:r>
              <w:rPr>
                <w:rFonts w:ascii="Arial" w:cs="Arial" w:eastAsia="Arial" w:hAnsi="Arial"/>
                <w:sz w:val="20"/>
                <w:szCs w:val="20"/>
                <w:color w:val="auto"/>
              </w:rPr>
              <w:t>Shared power to dispose or to direct the disposition of</w:t>
            </w:r>
          </w:p>
        </w:tc>
        <w:tc>
          <w:tcPr>
            <w:tcW w:w="120" w:type="dxa"/>
            <w:vAlign w:val="bottom"/>
          </w:tcPr>
          <w:p>
            <w:pPr>
              <w:spacing w:after="0"/>
              <w:rPr>
                <w:sz w:val="24"/>
                <w:szCs w:val="24"/>
                <w:color w:val="auto"/>
              </w:rPr>
            </w:pPr>
          </w:p>
        </w:tc>
        <w:tc>
          <w:tcPr>
            <w:tcW w:w="2560" w:type="dxa"/>
            <w:vAlign w:val="bottom"/>
            <w:gridSpan w:val="2"/>
          </w:tcPr>
          <w:p>
            <w:pPr>
              <w:jc w:val="right"/>
              <w:ind w:right="81"/>
              <w:spacing w:after="0"/>
              <w:rPr>
                <w:sz w:val="20"/>
                <w:szCs w:val="20"/>
                <w:color w:val="auto"/>
              </w:rPr>
            </w:pPr>
            <w:r>
              <w:rPr>
                <w:rFonts w:ascii="Arial" w:cs="Arial" w:eastAsia="Arial" w:hAnsi="Arial"/>
                <w:sz w:val="20"/>
                <w:szCs w:val="20"/>
                <w:color w:val="auto"/>
              </w:rPr>
              <w:t>0  .</w:t>
            </w:r>
          </w:p>
        </w:tc>
      </w:tr>
      <w:tr>
        <w:trPr>
          <w:trHeight w:val="718"/>
        </w:trPr>
        <w:tc>
          <w:tcPr>
            <w:tcW w:w="8560" w:type="dxa"/>
            <w:vAlign w:val="bottom"/>
            <w:gridSpan w:val="2"/>
          </w:tcPr>
          <w:p>
            <w:pPr>
              <w:ind w:left="2460"/>
              <w:spacing w:after="0"/>
              <w:rPr>
                <w:sz w:val="20"/>
                <w:szCs w:val="20"/>
                <w:color w:val="auto"/>
              </w:rPr>
            </w:pPr>
            <w:r>
              <w:rPr>
                <w:rFonts w:ascii="Arial" w:cs="Arial" w:eastAsia="Arial" w:hAnsi="Arial"/>
                <w:sz w:val="20"/>
                <w:szCs w:val="20"/>
                <w:color w:val="auto"/>
              </w:rPr>
              <w:t>Number of shares as to which Eli Casdin has:</w:t>
            </w:r>
          </w:p>
        </w:tc>
        <w:tc>
          <w:tcPr>
            <w:tcW w:w="1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491"/>
        </w:trPr>
        <w:tc>
          <w:tcPr>
            <w:tcW w:w="3060" w:type="dxa"/>
            <w:vAlign w:val="bottom"/>
          </w:tcPr>
          <w:p>
            <w:pPr>
              <w:ind w:left="2460"/>
              <w:spacing w:after="0"/>
              <w:rPr>
                <w:sz w:val="20"/>
                <w:szCs w:val="20"/>
                <w:color w:val="auto"/>
              </w:rPr>
            </w:pPr>
            <w:r>
              <w:rPr>
                <w:rFonts w:ascii="Arial" w:cs="Arial" w:eastAsia="Arial" w:hAnsi="Arial"/>
                <w:sz w:val="20"/>
                <w:szCs w:val="20"/>
                <w:color w:val="auto"/>
              </w:rPr>
              <w:t>(i)</w:t>
            </w:r>
          </w:p>
        </w:tc>
        <w:tc>
          <w:tcPr>
            <w:tcW w:w="5500" w:type="dxa"/>
            <w:vAlign w:val="bottom"/>
          </w:tcPr>
          <w:p>
            <w:pPr>
              <w:ind w:left="320"/>
              <w:spacing w:after="0"/>
              <w:rPr>
                <w:sz w:val="20"/>
                <w:szCs w:val="20"/>
                <w:color w:val="auto"/>
              </w:rPr>
            </w:pPr>
            <w:r>
              <w:rPr>
                <w:rFonts w:ascii="Arial" w:cs="Arial" w:eastAsia="Arial" w:hAnsi="Arial"/>
                <w:sz w:val="20"/>
                <w:szCs w:val="20"/>
                <w:color w:val="auto"/>
              </w:rPr>
              <w:t>Sole power to vote or to direct the vote</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(ii)</w:t>
            </w:r>
          </w:p>
        </w:tc>
        <w:tc>
          <w:tcPr>
            <w:tcW w:w="5500" w:type="dxa"/>
            <w:vAlign w:val="bottom"/>
          </w:tcPr>
          <w:p>
            <w:pPr>
              <w:ind w:left="320"/>
              <w:spacing w:after="0"/>
              <w:rPr>
                <w:sz w:val="20"/>
                <w:szCs w:val="20"/>
                <w:color w:val="auto"/>
              </w:rPr>
            </w:pPr>
            <w:r>
              <w:rPr>
                <w:rFonts w:ascii="Arial" w:cs="Arial" w:eastAsia="Arial" w:hAnsi="Arial"/>
                <w:sz w:val="20"/>
                <w:szCs w:val="20"/>
                <w:color w:val="auto"/>
              </w:rPr>
              <w:t>Shared power to vote or to direct the vote</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80"/>
        </w:trPr>
        <w:tc>
          <w:tcPr>
            <w:tcW w:w="3060" w:type="dxa"/>
            <w:vAlign w:val="bottom"/>
          </w:tcPr>
          <w:p>
            <w:pPr>
              <w:ind w:left="2460"/>
              <w:spacing w:after="0"/>
              <w:rPr>
                <w:sz w:val="20"/>
                <w:szCs w:val="20"/>
                <w:color w:val="auto"/>
              </w:rPr>
            </w:pPr>
            <w:r>
              <w:rPr>
                <w:rFonts w:ascii="Arial" w:cs="Arial" w:eastAsia="Arial" w:hAnsi="Arial"/>
                <w:sz w:val="20"/>
                <w:szCs w:val="20"/>
                <w:color w:val="auto"/>
              </w:rPr>
              <w:t>(iii)</w:t>
            </w:r>
          </w:p>
        </w:tc>
        <w:tc>
          <w:tcPr>
            <w:tcW w:w="5500" w:type="dxa"/>
            <w:vAlign w:val="bottom"/>
          </w:tcPr>
          <w:p>
            <w:pPr>
              <w:ind w:left="320"/>
              <w:spacing w:after="0"/>
              <w:rPr>
                <w:sz w:val="20"/>
                <w:szCs w:val="20"/>
                <w:color w:val="auto"/>
              </w:rPr>
            </w:pPr>
            <w:r>
              <w:rPr>
                <w:rFonts w:ascii="Arial" w:cs="Arial" w:eastAsia="Arial" w:hAnsi="Arial"/>
                <w:sz w:val="20"/>
                <w:szCs w:val="20"/>
                <w:color w:val="auto"/>
              </w:rPr>
              <w:t>Sole power to dispose or to direct the disposition of</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3060" w:type="dxa"/>
            <w:vAlign w:val="bottom"/>
          </w:tcPr>
          <w:p>
            <w:pPr>
              <w:ind w:left="2460"/>
              <w:spacing w:after="0"/>
              <w:rPr>
                <w:sz w:val="20"/>
                <w:szCs w:val="20"/>
                <w:color w:val="auto"/>
              </w:rPr>
            </w:pPr>
            <w:r>
              <w:rPr>
                <w:rFonts w:ascii="Arial" w:cs="Arial" w:eastAsia="Arial" w:hAnsi="Arial"/>
                <w:sz w:val="20"/>
                <w:szCs w:val="20"/>
                <w:color w:val="auto"/>
              </w:rPr>
              <w:t>(iv)</w:t>
            </w:r>
          </w:p>
        </w:tc>
        <w:tc>
          <w:tcPr>
            <w:tcW w:w="5620" w:type="dxa"/>
            <w:vAlign w:val="bottom"/>
            <w:gridSpan w:val="2"/>
          </w:tcPr>
          <w:p>
            <w:pPr>
              <w:ind w:left="320"/>
              <w:spacing w:after="0"/>
              <w:rPr>
                <w:sz w:val="20"/>
                <w:szCs w:val="20"/>
                <w:color w:val="auto"/>
              </w:rPr>
            </w:pPr>
            <w:r>
              <w:rPr>
                <w:rFonts w:ascii="Arial" w:cs="Arial" w:eastAsia="Arial" w:hAnsi="Arial"/>
                <w:sz w:val="20"/>
                <w:szCs w:val="20"/>
                <w:color w:val="auto"/>
              </w:rPr>
              <w:t>Shared power to dispose or to direct the disposition of</w:t>
            </w:r>
          </w:p>
        </w:tc>
        <w:tc>
          <w:tcPr>
            <w:tcW w:w="2560" w:type="dxa"/>
            <w:vAlign w:val="bottom"/>
            <w:gridSpan w:val="2"/>
          </w:tcPr>
          <w:p>
            <w:pPr>
              <w:jc w:val="right"/>
              <w:ind w:right="81"/>
              <w:spacing w:after="0"/>
              <w:rPr>
                <w:sz w:val="20"/>
                <w:szCs w:val="20"/>
                <w:color w:val="auto"/>
              </w:rPr>
            </w:pPr>
            <w:r>
              <w:rPr>
                <w:rFonts w:ascii="Arial" w:cs="Arial" w:eastAsia="Arial" w:hAnsi="Arial"/>
                <w:sz w:val="20"/>
                <w:szCs w:val="20"/>
                <w:color w:val="auto"/>
              </w:rPr>
              <w:t>0  .</w:t>
            </w:r>
          </w:p>
        </w:tc>
      </w:tr>
      <w:tr>
        <w:trPr>
          <w:trHeight w:val="484"/>
        </w:trPr>
        <w:tc>
          <w:tcPr>
            <w:tcW w:w="306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7" w:right="339" w:bottom="1440" w:gutter="0" w:footer="0" w:header="0"/>
        </w:sectPr>
      </w:pPr>
    </w:p>
    <w:bookmarkStart w:id="8" w:name="page9"/>
    <w:bookmarkEnd w:id="8"/>
    <w:p>
      <w:pPr>
        <w:ind w:left="100"/>
        <w:spacing w:after="0"/>
        <w:tabs>
          <w:tab w:leader="none" w:pos="15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43" w:lineRule="exact"/>
        <w:rPr>
          <w:sz w:val="20"/>
          <w:szCs w:val="20"/>
          <w:color w:val="auto"/>
        </w:rPr>
      </w:pPr>
    </w:p>
    <w:p>
      <w:pPr>
        <w:ind w:left="1580" w:right="56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270510</wp:posOffset>
            </wp:positionV>
            <wp:extent cx="5349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43" w:lineRule="exact"/>
        <w:rPr>
          <w:sz w:val="20"/>
          <w:szCs w:val="20"/>
          <w:color w:val="auto"/>
        </w:rPr>
      </w:pPr>
    </w:p>
    <w:p>
      <w:pPr>
        <w:ind w:left="1680" w:right="140"/>
        <w:spacing w:after="0" w:line="260" w:lineRule="auto"/>
        <w:rPr>
          <w:sz w:val="20"/>
          <w:szCs w:val="20"/>
          <w:color w:val="auto"/>
        </w:rPr>
      </w:pPr>
      <w:r>
        <w:rPr>
          <w:rFonts w:ascii="Arial" w:cs="Arial" w:eastAsia="Arial" w:hAnsi="Arial"/>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4"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19050</wp:posOffset>
            </wp:positionV>
            <wp:extent cx="61290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680" w:right="500" w:hanging="1676"/>
        <w:spacing w:after="0" w:line="260" w:lineRule="auto"/>
        <w:tabs>
          <w:tab w:leader="none" w:pos="16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w:t>
      </w:r>
    </w:p>
    <w:p>
      <w:pPr>
        <w:spacing w:after="0" w:line="204" w:lineRule="exact"/>
        <w:rPr>
          <w:sz w:val="20"/>
          <w:szCs w:val="20"/>
          <w:color w:val="auto"/>
        </w:rPr>
      </w:pPr>
    </w:p>
    <w:p>
      <w:pPr>
        <w:ind w:left="1680" w:right="60"/>
        <w:spacing w:after="0" w:line="246" w:lineRule="auto"/>
        <w:rPr>
          <w:sz w:val="20"/>
          <w:szCs w:val="20"/>
          <w:color w:val="auto"/>
        </w:rPr>
      </w:pPr>
      <w:r>
        <w:rPr>
          <w:rFonts w:ascii="Arial" w:cs="Arial" w:eastAsia="Arial" w:hAnsi="Arial"/>
          <w:sz w:val="20"/>
          <w:szCs w:val="20"/>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19050</wp:posOffset>
            </wp:positionV>
            <wp:extent cx="6129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43" w:lineRule="exact"/>
        <w:rPr>
          <w:sz w:val="20"/>
          <w:szCs w:val="20"/>
          <w:color w:val="auto"/>
        </w:rPr>
      </w:pPr>
    </w:p>
    <w:p>
      <w:pPr>
        <w:ind w:left="1680" w:right="20" w:hanging="7"/>
        <w:spacing w:after="0" w:line="291"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19050</wp:posOffset>
            </wp:positionV>
            <wp:extent cx="61290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43" w:lineRule="exact"/>
        <w:rPr>
          <w:sz w:val="20"/>
          <w:szCs w:val="20"/>
          <w:color w:val="auto"/>
        </w:rPr>
      </w:pPr>
    </w:p>
    <w:p>
      <w:pPr>
        <w:jc w:val="both"/>
        <w:ind w:left="1680" w:right="260" w:hanging="7"/>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19050</wp:posOffset>
            </wp:positionV>
            <wp:extent cx="6129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9"/>
          <w:szCs w:val="19"/>
          <w:color w:val="auto"/>
        </w:rPr>
        <w:t>Certification.</w:t>
      </w:r>
    </w:p>
    <w:p>
      <w:pPr>
        <w:spacing w:after="0" w:line="243" w:lineRule="exact"/>
        <w:rPr>
          <w:sz w:val="20"/>
          <w:szCs w:val="20"/>
          <w:color w:val="auto"/>
        </w:rPr>
      </w:pPr>
    </w:p>
    <w:p>
      <w:pPr>
        <w:ind w:left="1680"/>
        <w:spacing w:after="0" w:line="266"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r>
        <w:rPr>
          <w:rFonts w:ascii="Arial" w:cs="Arial" w:eastAsia="Arial" w:hAnsi="Arial"/>
          <w:sz w:val="20"/>
          <w:szCs w:val="20"/>
          <w:color w:val="auto"/>
        </w:rPr>
        <w:t>,</w:t>
      </w:r>
      <w:r>
        <w:rPr>
          <w:rFonts w:ascii="Arial" w:cs="Arial" w:eastAsia="Arial" w:hAnsi="Arial"/>
          <w:sz w:val="19"/>
          <w:szCs w:val="19"/>
          <w:color w:val="auto"/>
        </w:rPr>
        <w:t xml:space="preserve">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17" w:right="45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0" w:lineRule="exact"/>
        <w:rPr>
          <w:sz w:val="20"/>
          <w:szCs w:val="20"/>
          <w:color w:val="auto"/>
        </w:rPr>
      </w:pPr>
    </w:p>
    <w:p>
      <w:pPr>
        <w:jc w:val="center"/>
        <w:ind w:left="4860"/>
        <w:spacing w:after="0"/>
        <w:rPr>
          <w:sz w:val="20"/>
          <w:szCs w:val="20"/>
          <w:color w:val="auto"/>
        </w:rPr>
      </w:pPr>
      <w:r>
        <w:rPr>
          <w:rFonts w:ascii="Arial" w:cs="Arial" w:eastAsia="Arial" w:hAnsi="Arial"/>
          <w:sz w:val="20"/>
          <w:szCs w:val="20"/>
          <w:color w:val="auto"/>
        </w:rPr>
        <w:t>February 14, 2023</w:t>
      </w:r>
    </w:p>
    <w:p>
      <w:pPr>
        <w:spacing w:after="0" w:line="27" w:lineRule="exact"/>
        <w:rPr>
          <w:sz w:val="20"/>
          <w:szCs w:val="20"/>
          <w:color w:val="auto"/>
        </w:rPr>
      </w:pPr>
    </w:p>
    <w:p>
      <w:pPr>
        <w:jc w:val="center"/>
        <w:ind w:left="48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-143510</wp:posOffset>
            </wp:positionV>
            <wp:extent cx="2348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Casdin Capital,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(Name/Title)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Casdin Partners Master Fund, L.P.*</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Casdin Partners GP, LLC, its general partner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(Name/Title)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Casdin Partners GP,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(Name/Title)</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The Reporting Persons disclaim beneficial ownership in the Shares reported herein except to the extent of their pecuniary interest therein.</w:t>
      </w:r>
    </w:p>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74" w:right="41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u w:val="single" w:color="auto"/>
          <w:color w:val="auto"/>
        </w:rPr>
        <w:t>Exhibit 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The undersigned agree that this Schedule 13G amendment dated February 14, 2023 relating to the Common Stock, par value $0.001 per share of Tango Therapeutics, Inc., shall be filed on behalf of the undersigned.</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Casdin Capital,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(Name/Title)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Casdin Partners Master Fund, L.P.</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Casdin Partners GP, LLC, its general partner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(Name/Title)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Casdin Partners GP,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(Name/Title)</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2023-02-14T05:32:19Z</dcterms:created>
  <dcterms:modified xsi:type="dcterms:W3CDTF">2023-02-14T05:32:19Z</dcterms:modified>
</cp:coreProperties>
</file>