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233680</wp:posOffset>
            </wp:positionV>
            <wp:extent cx="1517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258445</wp:posOffset>
            </wp:positionV>
            <wp:extent cx="15170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August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248920</wp:posOffset>
            </wp:positionV>
            <wp:extent cx="14655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TANGO THERAPEUTICS,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231775</wp:posOffset>
            </wp:positionV>
            <wp:extent cx="1517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60" w:type="dxa"/>
        <w:tblCellMar>
          <w:top w:w="0" w:type="dxa"/>
          <w:left w:w="0" w:type="dxa"/>
          <w:bottom w:w="0" w:type="dxa"/>
          <w:right w:w="0" w:type="dxa"/>
        </w:tblCellMar>
      </w:tblPr>
      <w:tr>
        <w:trPr>
          <w:trHeight w:val="212"/>
        </w:trPr>
        <w:tc>
          <w:tcPr>
            <w:tcW w:w="2760" w:type="dxa"/>
            <w:vAlign w:val="bottom"/>
          </w:tcPr>
          <w:p>
            <w:pPr>
              <w:jc w:val="center"/>
              <w:ind w:right="123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2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color w:val="auto"/>
              </w:rPr>
              <w:t>001-39485</w:t>
            </w:r>
          </w:p>
        </w:tc>
        <w:tc>
          <w:tcPr>
            <w:tcW w:w="2420" w:type="dxa"/>
            <w:vAlign w:val="bottom"/>
          </w:tcPr>
          <w:p>
            <w:pPr>
              <w:jc w:val="center"/>
              <w:ind w:left="1371"/>
              <w:spacing w:after="0"/>
              <w:rPr>
                <w:sz w:val="20"/>
                <w:szCs w:val="20"/>
                <w:color w:val="auto"/>
              </w:rPr>
            </w:pPr>
            <w:r>
              <w:rPr>
                <w:rFonts w:ascii="Times New Roman" w:cs="Times New Roman" w:eastAsia="Times New Roman" w:hAnsi="Times New Roman"/>
                <w:sz w:val="16"/>
                <w:szCs w:val="16"/>
                <w:b w:val="1"/>
                <w:bCs w:val="1"/>
                <w:color w:val="auto"/>
              </w:rPr>
              <w:t>85-1195036</w:t>
            </w:r>
          </w:p>
        </w:tc>
      </w:tr>
      <w:tr>
        <w:trPr>
          <w:trHeight w:val="135"/>
        </w:trPr>
        <w:tc>
          <w:tcPr>
            <w:tcW w:w="2760" w:type="dxa"/>
            <w:vAlign w:val="bottom"/>
          </w:tcPr>
          <w:p>
            <w:pPr>
              <w:jc w:val="center"/>
              <w:ind w:right="1271"/>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3520" w:type="dxa"/>
            <w:vAlign w:val="bottom"/>
          </w:tcPr>
          <w:p>
            <w:pPr>
              <w:ind w:left="1360"/>
              <w:spacing w:after="0" w:line="135"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420" w:type="dxa"/>
            <w:vAlign w:val="bottom"/>
          </w:tcPr>
          <w:p>
            <w:pPr>
              <w:jc w:val="center"/>
              <w:ind w:left="1371"/>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760" w:type="dxa"/>
            <w:vAlign w:val="bottom"/>
          </w:tcPr>
          <w:p>
            <w:pPr>
              <w:jc w:val="center"/>
              <w:ind w:right="1251"/>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3520" w:type="dxa"/>
            <w:vAlign w:val="bottom"/>
          </w:tcPr>
          <w:p>
            <w:pPr>
              <w:ind w:left="13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420" w:type="dxa"/>
            <w:vAlign w:val="bottom"/>
          </w:tcPr>
          <w:p>
            <w:pPr>
              <w:jc w:val="center"/>
              <w:ind w:left="137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spacing w:after="0" w:line="200" w:lineRule="exact"/>
        <w:rPr>
          <w:sz w:val="24"/>
          <w:szCs w:val="24"/>
          <w:color w:val="auto"/>
        </w:rPr>
      </w:pPr>
    </w:p>
    <w:p>
      <w:pPr>
        <w:sectPr>
          <w:pgSz w:w="11900" w:h="16838" w:orient="portrait"/>
          <w:cols w:equalWidth="0" w:num="1">
            <w:col w:w="11240"/>
          </w:cols>
          <w:pgMar w:left="320" w:top="1019" w:right="339" w:bottom="1440" w:gutter="0" w:footer="0" w:header="0"/>
        </w:sectPr>
      </w:pPr>
    </w:p>
    <w:p>
      <w:pPr>
        <w:spacing w:after="0" w:line="3"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6"/>
          <w:szCs w:val="16"/>
          <w:b w:val="1"/>
          <w:bCs w:val="1"/>
          <w:color w:val="auto"/>
        </w:rPr>
        <w:t>201 Brookline Ave., Suite 901</w:t>
      </w:r>
    </w:p>
    <w:p>
      <w:pPr>
        <w:spacing w:after="0" w:line="28"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6"/>
          <w:szCs w:val="16"/>
          <w:b w:val="1"/>
          <w:bCs w:val="1"/>
          <w:color w:val="auto"/>
        </w:rPr>
        <w:t>Boston, MA</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02215</w:t>
      </w:r>
    </w:p>
    <w:p>
      <w:pPr>
        <w:spacing w:after="0" w:line="28" w:lineRule="exact"/>
        <w:rPr>
          <w:sz w:val="24"/>
          <w:szCs w:val="24"/>
          <w:color w:val="auto"/>
        </w:rPr>
      </w:pPr>
    </w:p>
    <w:p>
      <w:pPr>
        <w:sectPr>
          <w:pgSz w:w="11900" w:h="16838" w:orient="portrait"/>
          <w:cols w:equalWidth="0" w:num="2">
            <w:col w:w="6580" w:space="720"/>
            <w:col w:w="3940"/>
          </w:cols>
          <w:pgMar w:left="320" w:top="1019" w:right="339" w:bottom="1440" w:gutter="0" w:footer="0" w:header="0"/>
          <w:type w:val="continuous"/>
        </w:sectPr>
      </w:pPr>
    </w:p>
    <w:p>
      <w:pPr>
        <w:jc w:val="center"/>
        <w:ind w:left="96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200" w:lineRule="exact"/>
        <w:rPr>
          <w:sz w:val="24"/>
          <w:szCs w:val="24"/>
          <w:color w:val="auto"/>
        </w:rPr>
      </w:pPr>
    </w:p>
    <w:p>
      <w:pPr>
        <w:sectPr>
          <w:pgSz w:w="11900" w:h="16838" w:orient="portrait"/>
          <w:cols w:equalWidth="0" w:num="2">
            <w:col w:w="6520" w:space="720"/>
            <w:col w:w="4000"/>
          </w:cols>
          <w:pgMar w:left="320" w:top="1019"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857-320-4900</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244475</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14d-2(b)under the Exchange Act (17 CFR 240.14d-2(b))</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13e-4(c)under the Exchange Act (17 CFR 240.13e-4(c))</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2"/>
              </w:rPr>
              <w:t>Trading</w:t>
            </w:r>
          </w:p>
        </w:tc>
        <w:tc>
          <w:tcPr>
            <w:tcW w:w="100" w:type="dxa"/>
            <w:vAlign w:val="bottom"/>
          </w:tcPr>
          <w:p>
            <w:pPr>
              <w:spacing w:after="0"/>
              <w:rPr>
                <w:sz w:val="12"/>
                <w:szCs w:val="12"/>
                <w:color w:val="auto"/>
              </w:rPr>
            </w:pPr>
          </w:p>
        </w:tc>
        <w:tc>
          <w:tcPr>
            <w:tcW w:w="36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6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20" w:type="dxa"/>
            <w:vAlign w:val="bottom"/>
          </w:tcPr>
          <w:p>
            <w:pPr>
              <w:spacing w:after="0"/>
              <w:rPr>
                <w:sz w:val="14"/>
                <w:szCs w:val="1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0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62"/>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w:t>
            </w:r>
          </w:p>
        </w:tc>
        <w:tc>
          <w:tcPr>
            <w:tcW w:w="120" w:type="dxa"/>
            <w:vAlign w:val="bottom"/>
          </w:tcPr>
          <w:p>
            <w:pPr>
              <w:spacing w:after="0"/>
              <w:rPr>
                <w:sz w:val="22"/>
                <w:szCs w:val="22"/>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TNGX</w:t>
            </w:r>
          </w:p>
        </w:tc>
        <w:tc>
          <w:tcPr>
            <w:tcW w:w="1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r>
        <w:trPr>
          <w:trHeight w:val="212"/>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222" w:lineRule="exact"/>
        <w:rPr>
          <w:sz w:val="24"/>
          <w:szCs w:val="24"/>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(§230.405of this chapter) or Rule 12b-2 of the Securities Exchange Act of 1934 (§240.12b-2 of this chapter).</w:t>
      </w:r>
    </w:p>
    <w:p>
      <w:pPr>
        <w:spacing w:after="0" w:line="34" w:lineRule="exact"/>
        <w:rPr>
          <w:sz w:val="24"/>
          <w:szCs w:val="24"/>
          <w:color w:val="auto"/>
        </w:rPr>
      </w:pPr>
    </w:p>
    <w:p>
      <w:pPr>
        <w:ind w:left="9320"/>
        <w:spacing w:after="0" w:line="184" w:lineRule="exact"/>
        <w:rPr>
          <w:sz w:val="20"/>
          <w:szCs w:val="20"/>
          <w:color w:val="auto"/>
        </w:rPr>
      </w:pPr>
      <w:r>
        <w:rPr>
          <w:rFonts w:ascii="Times New Roman" w:cs="Times New Roman" w:eastAsia="Times New Roman" w:hAnsi="Times New Roman"/>
          <w:sz w:val="16"/>
          <w:szCs w:val="16"/>
          <w:color w:val="auto"/>
        </w:rPr>
        <w:t>Emerging growth company</w:t>
      </w:r>
      <w:r>
        <w:rPr>
          <w:rFonts w:ascii="MS PGothic" w:cs="MS PGothic" w:eastAsia="MS PGothic" w:hAnsi="MS PGothic"/>
          <w:sz w:val="16"/>
          <w:szCs w:val="16"/>
          <w:color w:val="auto"/>
        </w:rPr>
        <w:t>☒</w:t>
      </w:r>
    </w:p>
    <w:p>
      <w:pPr>
        <w:spacing w:after="0" w:line="24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20"/>
          <w:szCs w:val="20"/>
          <w:color w:val="auto"/>
        </w:rPr>
        <w:t>On August 7, 2024, Tango Therapeutics, Inc. (Tango or the Company) issued a press release relating to its results of operations and financial condition for the quarter ended June 30, 2024. A copy of the press release is furnished as Exhibit 99.1 to this Current Report on Form 8-K.</w:t>
      </w:r>
    </w:p>
    <w:p>
      <w:pPr>
        <w:spacing w:after="0" w:line="18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0"/>
          <w:szCs w:val="20"/>
          <w:color w:val="auto"/>
        </w:rPr>
        <w:t>The press release, and the information set forth therein (including Exhibit 99.1),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24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8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r>
              <w:rPr>
                <w:rFonts w:ascii="Times New Roman" w:cs="Times New Roman" w:eastAsia="Times New Roman" w:hAnsi="Times New Roman"/>
                <w:sz w:val="19"/>
                <w:szCs w:val="19"/>
                <w:color w:val="auto"/>
              </w:rPr>
              <w:t>.</w:t>
            </w:r>
          </w:p>
        </w:tc>
        <w:tc>
          <w:tcPr>
            <w:tcW w:w="720" w:type="dxa"/>
            <w:vAlign w:val="bottom"/>
          </w:tcPr>
          <w:p>
            <w:pPr>
              <w:spacing w:after="0"/>
              <w:rPr>
                <w:sz w:val="18"/>
                <w:szCs w:val="18"/>
                <w:color w:val="auto"/>
              </w:rPr>
            </w:pP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99.1</w:t>
            </w:r>
          </w:p>
        </w:tc>
        <w:tc>
          <w:tcPr>
            <w:tcW w:w="28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9"/>
              </w:rPr>
              <w:t>Press Release issued by Tango Therapeutics, Inc. on August 7, 2024 relating to its results of operations and financial condition</w:t>
            </w: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Borders>
              <w:right w:val="single" w:sz="8" w:color="0000FF"/>
            </w:tcBorders>
            <w:gridSpan w:val="3"/>
            <w:shd w:val="clear" w:color="auto" w:fill="0000FF"/>
          </w:tcPr>
          <w:p>
            <w:pPr>
              <w:spacing w:after="0" w:line="20" w:lineRule="exact"/>
              <w:rPr>
                <w:sz w:val="1"/>
                <w:szCs w:val="1"/>
                <w:color w:val="auto"/>
              </w:rPr>
            </w:pPr>
          </w:p>
        </w:tc>
        <w:tc>
          <w:tcPr>
            <w:tcW w:w="7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2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color w:val="0000FF"/>
              </w:rPr>
              <w:t>for the quarter ended June 30, 2024.</w:t>
            </w:r>
          </w:p>
        </w:tc>
      </w:tr>
      <w:tr>
        <w:trPr>
          <w:trHeight w:val="20"/>
        </w:trPr>
        <w:tc>
          <w:tcPr>
            <w:tcW w:w="8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EE"/>
            </w:tcBorders>
            <w:gridSpan w:val="3"/>
            <w:shd w:val="clear" w:color="auto" w:fill="0000FF"/>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404"/>
        </w:trPr>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28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203"/>
        </w:trPr>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79" w:lineRule="exact"/>
        <w:rPr>
          <w:sz w:val="20"/>
          <w:szCs w:val="20"/>
          <w:color w:val="auto"/>
        </w:rPr>
      </w:pPr>
    </w:p>
    <w:p>
      <w:pPr>
        <w:ind w:right="500" w:firstLine="50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780" w:type="dxa"/>
            <w:vAlign w:val="bottom"/>
          </w:tcPr>
          <w:p>
            <w:pPr>
              <w:spacing w:after="0"/>
              <w:rPr>
                <w:sz w:val="24"/>
                <w:szCs w:val="24"/>
                <w:color w:val="auto"/>
              </w:rPr>
            </w:pPr>
          </w:p>
        </w:tc>
        <w:tc>
          <w:tcPr>
            <w:tcW w:w="8460" w:type="dxa"/>
            <w:vAlign w:val="bottom"/>
            <w:gridSpan w:val="3"/>
          </w:tcPr>
          <w:p>
            <w:pPr>
              <w:ind w:left="76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434"/>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Dated: August 7, 2024</w:t>
            </w:r>
          </w:p>
        </w:tc>
        <w:tc>
          <w:tcPr>
            <w:tcW w:w="8460" w:type="dxa"/>
            <w:vAlign w:val="bottom"/>
            <w:gridSpan w:val="3"/>
          </w:tcPr>
          <w:p>
            <w:pPr>
              <w:jc w:val="center"/>
              <w:ind w:right="4160"/>
              <w:spacing w:after="0"/>
              <w:rPr>
                <w:sz w:val="20"/>
                <w:szCs w:val="20"/>
                <w:color w:val="auto"/>
              </w:rPr>
            </w:pPr>
            <w:r>
              <w:rPr>
                <w:rFonts w:ascii="Times New Roman" w:cs="Times New Roman" w:eastAsia="Times New Roman" w:hAnsi="Times New Roman"/>
                <w:sz w:val="22"/>
                <w:szCs w:val="22"/>
                <w:color w:val="auto"/>
              </w:rPr>
              <w:t>By: /s/ Douglas Barry</w:t>
            </w:r>
          </w:p>
        </w:tc>
      </w:tr>
      <w:tr>
        <w:trPr>
          <w:trHeight w:val="236"/>
        </w:trPr>
        <w:tc>
          <w:tcPr>
            <w:tcW w:w="2780" w:type="dxa"/>
            <w:vAlign w:val="bottom"/>
          </w:tcPr>
          <w:p>
            <w:pPr>
              <w:spacing w:after="0"/>
              <w:rPr>
                <w:sz w:val="20"/>
                <w:szCs w:val="20"/>
                <w:color w:val="auto"/>
              </w:rPr>
            </w:pPr>
          </w:p>
        </w:tc>
        <w:tc>
          <w:tcPr>
            <w:tcW w:w="1580" w:type="dxa"/>
            <w:vAlign w:val="bottom"/>
          </w:tcPr>
          <w:p>
            <w:pPr>
              <w:ind w:left="76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540" w:type="dxa"/>
            <w:vAlign w:val="bottom"/>
            <w:tcBorders>
              <w:top w:val="single" w:sz="8" w:color="auto"/>
            </w:tcBorders>
          </w:tcPr>
          <w:p>
            <w:pPr>
              <w:jc w:val="center"/>
              <w:ind w:right="292"/>
              <w:spacing w:after="0" w:line="236" w:lineRule="exact"/>
              <w:rPr>
                <w:sz w:val="20"/>
                <w:szCs w:val="20"/>
                <w:color w:val="auto"/>
              </w:rPr>
            </w:pPr>
            <w:r>
              <w:rPr>
                <w:rFonts w:ascii="Times New Roman" w:cs="Times New Roman" w:eastAsia="Times New Roman" w:hAnsi="Times New Roman"/>
                <w:sz w:val="22"/>
                <w:szCs w:val="22"/>
                <w:color w:val="auto"/>
                <w:w w:val="88"/>
              </w:rPr>
              <w:t>Douglas Barry</w:t>
            </w:r>
          </w:p>
        </w:tc>
        <w:tc>
          <w:tcPr>
            <w:tcW w:w="5340" w:type="dxa"/>
            <w:vAlign w:val="bottom"/>
          </w:tcPr>
          <w:p>
            <w:pPr>
              <w:spacing w:after="0"/>
              <w:rPr>
                <w:sz w:val="20"/>
                <w:szCs w:val="20"/>
                <w:color w:val="auto"/>
              </w:rPr>
            </w:pPr>
          </w:p>
        </w:tc>
      </w:tr>
      <w:tr>
        <w:trPr>
          <w:trHeight w:val="282"/>
        </w:trPr>
        <w:tc>
          <w:tcPr>
            <w:tcW w:w="2780" w:type="dxa"/>
            <w:vAlign w:val="bottom"/>
          </w:tcPr>
          <w:p>
            <w:pPr>
              <w:spacing w:after="0"/>
              <w:rPr>
                <w:sz w:val="24"/>
                <w:szCs w:val="24"/>
                <w:color w:val="auto"/>
              </w:rPr>
            </w:pPr>
          </w:p>
        </w:tc>
        <w:tc>
          <w:tcPr>
            <w:tcW w:w="8460" w:type="dxa"/>
            <w:vAlign w:val="bottom"/>
            <w:gridSpan w:val="3"/>
          </w:tcPr>
          <w:p>
            <w:pPr>
              <w:ind w:left="760"/>
              <w:spacing w:after="0"/>
              <w:rPr>
                <w:sz w:val="20"/>
                <w:szCs w:val="20"/>
                <w:color w:val="auto"/>
              </w:rPr>
            </w:pPr>
            <w:r>
              <w:rPr>
                <w:rFonts w:ascii="Times New Roman" w:cs="Times New Roman" w:eastAsia="Times New Roman" w:hAnsi="Times New Roman"/>
                <w:sz w:val="22"/>
                <w:szCs w:val="22"/>
                <w:color w:val="auto"/>
              </w:rPr>
              <w:t>Title: General Counsel</w:t>
            </w:r>
          </w:p>
        </w:tc>
      </w:tr>
      <w:tr>
        <w:trPr>
          <w:trHeight w:val="967"/>
        </w:trPr>
        <w:tc>
          <w:tcPr>
            <w:tcW w:w="27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 w:name="page4"/>
    <w:bookmarkEnd w:id="3"/>
    <w:p>
      <w:pPr>
        <w:spacing w:after="0" w:line="3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4305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jc w:val="center"/>
        <w:ind w:right="-59"/>
        <w:spacing w:after="0"/>
        <w:rPr>
          <w:sz w:val="20"/>
          <w:szCs w:val="20"/>
          <w:color w:val="auto"/>
        </w:rPr>
      </w:pPr>
      <w:r>
        <w:rPr>
          <w:rFonts w:ascii="Calibri" w:cs="Calibri" w:eastAsia="Calibri" w:hAnsi="Calibri"/>
          <w:sz w:val="22"/>
          <w:szCs w:val="22"/>
          <w:b w:val="1"/>
          <w:bCs w:val="1"/>
          <w:color w:val="auto"/>
        </w:rPr>
        <w:t>Tango Therapeutcs Reports Second Quarter 2024 Financial Results</w:t>
      </w:r>
    </w:p>
    <w:p>
      <w:pPr>
        <w:spacing w:after="0" w:line="1" w:lineRule="exact"/>
        <w:rPr>
          <w:sz w:val="20"/>
          <w:szCs w:val="20"/>
          <w:color w:val="auto"/>
        </w:rPr>
      </w:pPr>
    </w:p>
    <w:p>
      <w:pPr>
        <w:jc w:val="center"/>
        <w:ind w:right="-119"/>
        <w:spacing w:after="0"/>
        <w:rPr>
          <w:sz w:val="20"/>
          <w:szCs w:val="20"/>
          <w:color w:val="auto"/>
        </w:rPr>
      </w:pPr>
      <w:r>
        <w:rPr>
          <w:rFonts w:ascii="Calibri" w:cs="Calibri" w:eastAsia="Calibri" w:hAnsi="Calibri"/>
          <w:sz w:val="22"/>
          <w:szCs w:val="22"/>
          <w:b w:val="1"/>
          <w:bCs w:val="1"/>
          <w:color w:val="auto"/>
        </w:rPr>
        <w:t>and Provides Business Highlights</w:t>
      </w:r>
    </w:p>
    <w:p>
      <w:pPr>
        <w:spacing w:after="0" w:line="282" w:lineRule="exact"/>
        <w:rPr>
          <w:sz w:val="20"/>
          <w:szCs w:val="20"/>
          <w:color w:val="auto"/>
        </w:rPr>
      </w:pPr>
    </w:p>
    <w:p>
      <w:pPr>
        <w:ind w:left="120"/>
        <w:spacing w:after="0"/>
        <w:rPr>
          <w:sz w:val="20"/>
          <w:szCs w:val="20"/>
          <w:color w:val="auto"/>
        </w:rPr>
      </w:pPr>
      <w:r>
        <w:rPr>
          <w:rFonts w:ascii="Calibri" w:cs="Calibri" w:eastAsia="Calibri" w:hAnsi="Calibri"/>
          <w:sz w:val="21"/>
          <w:szCs w:val="21"/>
          <w:i w:val="1"/>
          <w:iCs w:val="1"/>
          <w:color w:val="auto"/>
        </w:rPr>
        <w:t>– Dose expansion ongoing in TNG908 and TNG462 phase 1/2 clinical trials; comprehensive clinical data update for the PRMT5</w:t>
      </w:r>
    </w:p>
    <w:p>
      <w:pPr>
        <w:spacing w:after="0" w:line="3" w:lineRule="exact"/>
        <w:rPr>
          <w:sz w:val="20"/>
          <w:szCs w:val="20"/>
          <w:color w:val="auto"/>
        </w:rPr>
      </w:pPr>
    </w:p>
    <w:p>
      <w:pPr>
        <w:ind w:left="4260"/>
        <w:spacing w:after="0"/>
        <w:rPr>
          <w:sz w:val="20"/>
          <w:szCs w:val="20"/>
          <w:color w:val="auto"/>
        </w:rPr>
      </w:pPr>
      <w:r>
        <w:rPr>
          <w:rFonts w:ascii="Calibri" w:cs="Calibri" w:eastAsia="Calibri" w:hAnsi="Calibri"/>
          <w:sz w:val="22"/>
          <w:szCs w:val="22"/>
          <w:i w:val="1"/>
          <w:iCs w:val="1"/>
          <w:color w:val="auto"/>
        </w:rPr>
        <w:t>program expected in 2H 2024 –</w:t>
      </w:r>
    </w:p>
    <w:p>
      <w:pPr>
        <w:spacing w:after="0" w:line="271" w:lineRule="exact"/>
        <w:rPr>
          <w:sz w:val="20"/>
          <w:szCs w:val="20"/>
          <w:color w:val="auto"/>
        </w:rPr>
      </w:pPr>
    </w:p>
    <w:p>
      <w:pPr>
        <w:ind w:left="2720"/>
        <w:spacing w:after="0"/>
        <w:rPr>
          <w:sz w:val="20"/>
          <w:szCs w:val="20"/>
          <w:color w:val="auto"/>
        </w:rPr>
      </w:pPr>
      <w:r>
        <w:rPr>
          <w:rFonts w:ascii="Calibri" w:cs="Calibri" w:eastAsia="Calibri" w:hAnsi="Calibri"/>
          <w:sz w:val="22"/>
          <w:szCs w:val="22"/>
          <w:i w:val="1"/>
          <w:iCs w:val="1"/>
          <w:color w:val="auto"/>
        </w:rPr>
        <w:t>– Patent enrollment is ongoing in TNG260 phase 1/2 clinical trial –</w:t>
      </w:r>
    </w:p>
    <w:p>
      <w:pPr>
        <w:spacing w:after="0" w:line="282" w:lineRule="exact"/>
        <w:rPr>
          <w:sz w:val="20"/>
          <w:szCs w:val="20"/>
          <w:color w:val="auto"/>
        </w:rPr>
      </w:pPr>
    </w:p>
    <w:p>
      <w:pPr>
        <w:ind w:left="160"/>
        <w:spacing w:after="0"/>
        <w:rPr>
          <w:sz w:val="20"/>
          <w:szCs w:val="20"/>
          <w:color w:val="auto"/>
        </w:rPr>
      </w:pPr>
      <w:r>
        <w:rPr>
          <w:rFonts w:ascii="Calibri" w:cs="Calibri" w:eastAsia="Calibri" w:hAnsi="Calibri"/>
          <w:sz w:val="21"/>
          <w:szCs w:val="21"/>
          <w:i w:val="1"/>
          <w:iCs w:val="1"/>
          <w:color w:val="auto"/>
        </w:rPr>
        <w:t>– Strong cash positon of $322 million as of June 30, 2024; cash runway into 2027 expected to fund clinical programs through</w:t>
      </w:r>
    </w:p>
    <w:p>
      <w:pPr>
        <w:spacing w:after="0" w:line="3" w:lineRule="exact"/>
        <w:rPr>
          <w:sz w:val="20"/>
          <w:szCs w:val="20"/>
          <w:color w:val="auto"/>
        </w:rPr>
      </w:pPr>
    </w:p>
    <w:p>
      <w:pPr>
        <w:ind w:left="4820"/>
        <w:spacing w:after="0"/>
        <w:rPr>
          <w:sz w:val="20"/>
          <w:szCs w:val="20"/>
          <w:color w:val="auto"/>
        </w:rPr>
      </w:pPr>
      <w:r>
        <w:rPr>
          <w:rFonts w:ascii="Calibri" w:cs="Calibri" w:eastAsia="Calibri" w:hAnsi="Calibri"/>
          <w:sz w:val="22"/>
          <w:szCs w:val="22"/>
          <w:i w:val="1"/>
          <w:iCs w:val="1"/>
          <w:color w:val="auto"/>
        </w:rPr>
        <w:t>proof-of-concept –</w:t>
      </w:r>
    </w:p>
    <w:p>
      <w:pPr>
        <w:spacing w:after="0" w:line="200" w:lineRule="exact"/>
        <w:rPr>
          <w:sz w:val="20"/>
          <w:szCs w:val="20"/>
          <w:color w:val="auto"/>
        </w:rPr>
      </w:pPr>
    </w:p>
    <w:p>
      <w:pPr>
        <w:spacing w:after="0" w:line="352" w:lineRule="exact"/>
        <w:rPr>
          <w:sz w:val="20"/>
          <w:szCs w:val="20"/>
          <w:color w:val="auto"/>
        </w:rPr>
      </w:pPr>
    </w:p>
    <w:p>
      <w:pPr>
        <w:spacing w:after="0" w:line="237" w:lineRule="auto"/>
        <w:rPr>
          <w:sz w:val="20"/>
          <w:szCs w:val="20"/>
          <w:color w:val="auto"/>
        </w:rPr>
      </w:pPr>
      <w:r>
        <w:rPr>
          <w:rFonts w:ascii="Calibri" w:cs="Calibri" w:eastAsia="Calibri" w:hAnsi="Calibri"/>
          <w:sz w:val="22"/>
          <w:szCs w:val="22"/>
          <w:b w:val="1"/>
          <w:bCs w:val="1"/>
          <w:color w:val="auto"/>
        </w:rPr>
        <w:t xml:space="preserve">BOSTON, Mass. – August 7, 2024 </w:t>
      </w:r>
      <w:r>
        <w:rPr>
          <w:rFonts w:ascii="Calibri" w:cs="Calibri" w:eastAsia="Calibri" w:hAnsi="Calibri"/>
          <w:sz w:val="22"/>
          <w:szCs w:val="22"/>
          <w:color w:val="auto"/>
        </w:rPr>
        <w:t>– Tango Therapeutcs, Inc. (NASDAQ: TNGX), a clinical-stage biotechnology company</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commited to discovering and delivering the next generaton of precision cancer medicines, reported its fnancial results for the second quarter ended June 30, 2024, and provided business highlights.</w:t>
      </w:r>
    </w:p>
    <w:p>
      <w:pPr>
        <w:spacing w:after="0" w:line="284" w:lineRule="exact"/>
        <w:rPr>
          <w:sz w:val="20"/>
          <w:szCs w:val="20"/>
          <w:color w:val="auto"/>
        </w:rPr>
      </w:pPr>
    </w:p>
    <w:p>
      <w:pPr>
        <w:ind w:right="80"/>
        <w:spacing w:after="0" w:line="239" w:lineRule="auto"/>
        <w:rPr>
          <w:sz w:val="20"/>
          <w:szCs w:val="20"/>
          <w:color w:val="auto"/>
        </w:rPr>
      </w:pPr>
      <w:r>
        <w:rPr>
          <w:rFonts w:ascii="Calibri" w:cs="Calibri" w:eastAsia="Calibri" w:hAnsi="Calibri"/>
          <w:sz w:val="22"/>
          <w:szCs w:val="22"/>
          <w:color w:val="auto"/>
        </w:rPr>
        <w:t>“In the second quarter, we contnued to advance the dose expansion portons of the TNG908 and TNG462 phase 1/2 clinical trials. We are progressing these molecules with the intent of remaining a leader in developing PRMT5 inhibitors for multple cancers. We look forward to sharing a comprehensive clinical data update for the PRMT5 program later this year,” said Barbara Weber, M.D., President and Chief Executve Ofcer of Tango Therapeutcs. “In additon, we contnue to advance TNG260 for cancers with STK11 loss-of-functon mutatons and patent enrollment is ongoing in the phase 1/2 clinical trial.”</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Recent Business Highlights</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Pipeline Update</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TNG908, a blood-brain barrier penetrant, MTA-cooperatve PRMT5 inhibitor</w:t>
      </w:r>
    </w:p>
    <w:p>
      <w:pPr>
        <w:spacing w:after="0" w:line="120" w:lineRule="exact"/>
        <w:rPr>
          <w:sz w:val="20"/>
          <w:szCs w:val="20"/>
          <w:color w:val="auto"/>
        </w:rPr>
      </w:pPr>
    </w:p>
    <w:p>
      <w:pPr>
        <w:jc w:val="both"/>
        <w:ind w:left="1020" w:right="200" w:hanging="503"/>
        <w:spacing w:after="0" w:line="237" w:lineRule="auto"/>
        <w:tabs>
          <w:tab w:leader="none" w:pos="10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Enrollment in the dose expansion porton of the TNG908 phase 1/2 clinical trial is ongoing. Expansion cohorts are being enrolled in MTAP-deleted solid tumors in glioblastoma (GBM), non-small cell lung and pancreatc cancers at 600 mg BID.</w:t>
      </w:r>
    </w:p>
    <w:p>
      <w:pPr>
        <w:spacing w:after="0" w:line="111"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MTAP deletons occur in approximately 10%-15% of all human cancers, including 40% of GBM.</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TNG462, a potentally best-in-class MTA-cooperatve PRMT5 inhibitor</w:t>
      </w:r>
    </w:p>
    <w:p>
      <w:pPr>
        <w:spacing w:after="0" w:line="120" w:lineRule="exact"/>
        <w:rPr>
          <w:sz w:val="20"/>
          <w:szCs w:val="20"/>
          <w:color w:val="auto"/>
        </w:rPr>
      </w:pPr>
    </w:p>
    <w:p>
      <w:pPr>
        <w:ind w:left="1020" w:right="20" w:hanging="503"/>
        <w:spacing w:after="0" w:line="237" w:lineRule="auto"/>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dose expansion porton of the TNG462 phase 1/2 clinical trial is ongoing. Two doses are being evaluated (200 mg QD and 300 mg QD) in non-small cell lung and pancreatc cancer, as well as a histology-agnostc cohort enriched for cholangiocarcinoma, mesothelioma, sarcoma and bladder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 w:name="page5"/>
    <w:bookmarkEnd w:id="4"/>
    <w:p>
      <w:pPr>
        <w:spacing w:after="0" w:line="24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TNG260, a frst-in-class, highly selectve CoREST complex inhibitor</w:t>
      </w:r>
    </w:p>
    <w:p>
      <w:pPr>
        <w:spacing w:after="0" w:line="120" w:lineRule="exact"/>
        <w:rPr>
          <w:sz w:val="20"/>
          <w:szCs w:val="20"/>
          <w:color w:val="auto"/>
        </w:rPr>
      </w:pPr>
    </w:p>
    <w:p>
      <w:pPr>
        <w:ind w:left="1020" w:right="40" w:hanging="503"/>
        <w:spacing w:after="0" w:line="237"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TNG260 phase 1/2 clinical trial is ongoing, evaluatng the safety, pharmacokinetcs, pharmacodynamics and efcacy of TNG260 in combinaton with pembrolizumab in patents with locally advanced or metastatc solid tumors with an STK11 loss-of-functon mutaton. To date, safety, tolerability and pharmacokinetc profles are favorable.</w:t>
      </w:r>
    </w:p>
    <w:p>
      <w:pPr>
        <w:spacing w:after="0" w:line="122" w:lineRule="exact"/>
        <w:rPr>
          <w:rFonts w:ascii="Times New Roman" w:cs="Times New Roman" w:eastAsia="Times New Roman" w:hAnsi="Times New Roman"/>
          <w:sz w:val="22"/>
          <w:szCs w:val="22"/>
          <w:color w:val="auto"/>
        </w:rPr>
      </w:pPr>
    </w:p>
    <w:p>
      <w:pPr>
        <w:ind w:left="1020" w:right="120" w:hanging="503"/>
        <w:spacing w:after="0" w:line="235"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STK11 mutatons occur in approximately 15% of non-small cell lung, 15% of cervical, 10% of carcinoma of unknown primary, 5% of breast and 3% of pancreatc cancers.</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Business Highlights</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Gilead strategic collaboraton</w:t>
      </w:r>
    </w:p>
    <w:p>
      <w:pPr>
        <w:spacing w:after="0" w:line="109"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 June, Gilead licensed a drug discovery program for a $12.0 million license fee.</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Upcoming Milestones</w:t>
      </w:r>
    </w:p>
    <w:p>
      <w:pPr>
        <w:spacing w:after="0" w:line="120" w:lineRule="exact"/>
        <w:rPr>
          <w:sz w:val="20"/>
          <w:szCs w:val="20"/>
          <w:color w:val="auto"/>
        </w:rPr>
      </w:pPr>
    </w:p>
    <w:p>
      <w:pPr>
        <w:ind w:left="1020" w:right="100" w:hanging="503"/>
        <w:spacing w:after="0" w:line="235" w:lineRule="auto"/>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comprehensive update of the PRMT5 program, including clinical data from the ongoing phase 1/2 clinical trials of TNG908 and TNG462, is expected in 2H 2024.</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Financial Results</w:t>
      </w:r>
    </w:p>
    <w:p>
      <w:pPr>
        <w:spacing w:after="0" w:line="282" w:lineRule="exact"/>
        <w:rPr>
          <w:sz w:val="20"/>
          <w:szCs w:val="20"/>
          <w:color w:val="auto"/>
        </w:rPr>
      </w:pPr>
    </w:p>
    <w:p>
      <w:pPr>
        <w:ind w:right="120"/>
        <w:spacing w:after="0" w:line="235" w:lineRule="auto"/>
        <w:rPr>
          <w:sz w:val="20"/>
          <w:szCs w:val="20"/>
          <w:color w:val="auto"/>
        </w:rPr>
      </w:pPr>
      <w:r>
        <w:rPr>
          <w:rFonts w:ascii="Calibri" w:cs="Calibri" w:eastAsia="Calibri" w:hAnsi="Calibri"/>
          <w:sz w:val="22"/>
          <w:szCs w:val="22"/>
          <w:color w:val="auto"/>
        </w:rPr>
        <w:t>As of June 30, 2024, the Company held $322.1 million in cash, cash equivalents and marketable securites, which the Company expects to be sufcient to fund operatons into 2027.</w:t>
      </w:r>
    </w:p>
    <w:p>
      <w:pPr>
        <w:spacing w:after="0" w:line="284" w:lineRule="exact"/>
        <w:rPr>
          <w:sz w:val="20"/>
          <w:szCs w:val="20"/>
          <w:color w:val="auto"/>
        </w:rPr>
      </w:pPr>
    </w:p>
    <w:p>
      <w:pPr>
        <w:spacing w:after="0" w:line="238" w:lineRule="auto"/>
        <w:rPr>
          <w:sz w:val="20"/>
          <w:szCs w:val="20"/>
          <w:color w:val="auto"/>
        </w:rPr>
      </w:pPr>
      <w:r>
        <w:rPr>
          <w:rFonts w:ascii="Calibri" w:cs="Calibri" w:eastAsia="Calibri" w:hAnsi="Calibri"/>
          <w:sz w:val="22"/>
          <w:szCs w:val="22"/>
          <w:color w:val="auto"/>
        </w:rPr>
        <w:t>Collaboraton revenue was $7.8 million for the three months ended June 30, 2024, compared to $9.6 million for the same period in 2023, and $14.2 million for the six months ended June 30, 2024 compared to $15.4 million for the same period in 2023. Research costs incurred under the collaboraton were lower during the three months ended June 30, 2024 which resulted in lower collaboraton revenue amounts recognized.</w:t>
      </w:r>
    </w:p>
    <w:p>
      <w:pPr>
        <w:spacing w:after="0" w:line="285" w:lineRule="exact"/>
        <w:rPr>
          <w:sz w:val="20"/>
          <w:szCs w:val="20"/>
          <w:color w:val="auto"/>
        </w:rPr>
      </w:pPr>
    </w:p>
    <w:p>
      <w:pPr>
        <w:jc w:val="both"/>
        <w:ind w:right="380"/>
        <w:spacing w:after="0" w:line="237" w:lineRule="auto"/>
        <w:rPr>
          <w:sz w:val="20"/>
          <w:szCs w:val="20"/>
          <w:color w:val="auto"/>
        </w:rPr>
      </w:pPr>
      <w:r>
        <w:rPr>
          <w:rFonts w:ascii="Calibri" w:cs="Calibri" w:eastAsia="Calibri" w:hAnsi="Calibri"/>
          <w:sz w:val="22"/>
          <w:szCs w:val="22"/>
          <w:color w:val="auto"/>
        </w:rPr>
        <w:t>License revenue was $12.1 million for the three and six months ended June 30, 2024, compared to $5.0 million for both the three and six months ended June 30, 2023. The increase is primarily due to licensing a drug discovery program to Gilead for $12.0 million during the second quarter of 2024.</w:t>
      </w:r>
    </w:p>
    <w:p>
      <w:pPr>
        <w:spacing w:after="0" w:line="284" w:lineRule="exact"/>
        <w:rPr>
          <w:sz w:val="20"/>
          <w:szCs w:val="20"/>
          <w:color w:val="auto"/>
        </w:rPr>
      </w:pPr>
    </w:p>
    <w:p>
      <w:pPr>
        <w:ind w:right="100"/>
        <w:spacing w:after="0" w:line="238" w:lineRule="auto"/>
        <w:rPr>
          <w:sz w:val="20"/>
          <w:szCs w:val="20"/>
          <w:color w:val="auto"/>
        </w:rPr>
      </w:pPr>
      <w:r>
        <w:rPr>
          <w:rFonts w:ascii="Calibri" w:cs="Calibri" w:eastAsia="Calibri" w:hAnsi="Calibri"/>
          <w:sz w:val="22"/>
          <w:szCs w:val="22"/>
          <w:color w:val="auto"/>
        </w:rPr>
        <w:t>Research and development expenses were $38.7 million for the three months ended June 30, 2024, compared to $28.7 million for the same period in 2023, and $76.7 million for the six months ended June 30, 2024 compared to $56.7 million for the same period in 2023. The change is due to increased spend related to the advancement of our clinical and preclinical programs and personnel-related costs to support our research and development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 w:name="page6"/>
    <w:bookmarkEnd w:id="5"/>
    <w:p>
      <w:pPr>
        <w:ind w:right="160"/>
        <w:spacing w:after="0" w:line="237" w:lineRule="auto"/>
        <w:rPr>
          <w:sz w:val="20"/>
          <w:szCs w:val="20"/>
          <w:color w:val="auto"/>
        </w:rPr>
      </w:pPr>
      <w:r>
        <w:rPr>
          <w:rFonts w:ascii="Calibri" w:cs="Calibri" w:eastAsia="Calibri" w:hAnsi="Calibri"/>
          <w:sz w:val="22"/>
          <w:szCs w:val="22"/>
          <w:color w:val="auto"/>
        </w:rPr>
        <w:t>General and administratve expenses were $10.8 million for the three months ended June 30, 2024, compared to $9.2 million for the same period in 2023, and $21.4 million for the six months ended June 30, 2024 compared to $17.2 million for the same period in 2023. The change was primarily due to increases in personnel-related costs.</w:t>
      </w:r>
    </w:p>
    <w:p>
      <w:pPr>
        <w:spacing w:after="0" w:line="284" w:lineRule="exact"/>
        <w:rPr>
          <w:sz w:val="20"/>
          <w:szCs w:val="20"/>
          <w:color w:val="auto"/>
        </w:rPr>
      </w:pPr>
    </w:p>
    <w:p>
      <w:pPr>
        <w:ind w:right="300"/>
        <w:spacing w:after="0" w:line="237" w:lineRule="auto"/>
        <w:rPr>
          <w:sz w:val="20"/>
          <w:szCs w:val="20"/>
          <w:color w:val="auto"/>
        </w:rPr>
      </w:pPr>
      <w:r>
        <w:rPr>
          <w:rFonts w:ascii="Calibri" w:cs="Calibri" w:eastAsia="Calibri" w:hAnsi="Calibri"/>
          <w:sz w:val="22"/>
          <w:szCs w:val="22"/>
          <w:color w:val="auto"/>
        </w:rPr>
        <w:t>Net loss for the three months ended June 30, 2024 was $25.6 million, or $0.24 per share, compared to a net loss of $20.7 million, or $0.23 per share, in the same period in 2023. Net loss for the six months ended June 30, 2024 was $63.5 million, or $0.58 per share, compared to a net loss of $48.7 million, or $0.55 per share, in the same period in 2023.</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Tango Therapeutcs</w:t>
      </w:r>
    </w:p>
    <w:p>
      <w:pPr>
        <w:spacing w:after="0" w:line="282" w:lineRule="exact"/>
        <w:rPr>
          <w:sz w:val="20"/>
          <w:szCs w:val="20"/>
          <w:color w:val="auto"/>
        </w:rPr>
      </w:pPr>
    </w:p>
    <w:p>
      <w:pPr>
        <w:spacing w:after="0" w:line="253" w:lineRule="auto"/>
        <w:rPr>
          <w:sz w:val="20"/>
          <w:szCs w:val="20"/>
          <w:color w:val="auto"/>
        </w:rPr>
      </w:pPr>
      <w:r>
        <w:rPr>
          <w:rFonts w:ascii="Calibri" w:cs="Calibri" w:eastAsia="Calibri" w:hAnsi="Calibri"/>
          <w:sz w:val="21"/>
          <w:szCs w:val="21"/>
          <w:color w:val="auto"/>
        </w:rPr>
        <w:t>Tango Therapeutcs is a clinical-stage biotechnology company dedicated to discovering novel drug targets and delivering the next generaton of precision medicine for the treatment of cancer. Using an approach that starts and ends with patents, Tango leverages the genetc principle of synthetc lethality to discover and develop therapies that take aim at critcal targets in cancer. This includes expanding the universe of precision oncology targets into novel areas such as tumor suppressor gene loss and their contributon to the ability of cancer cells to evade immune cell killing. For more informaton, please visit www.tangotx.com.</w:t>
      </w:r>
    </w:p>
    <w:p>
      <w:pPr>
        <w:spacing w:after="0" w:line="25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Forward-Looking Statements</w:t>
      </w:r>
    </w:p>
    <w:p>
      <w:pPr>
        <w:spacing w:after="0" w:line="282" w:lineRule="exact"/>
        <w:rPr>
          <w:sz w:val="20"/>
          <w:szCs w:val="20"/>
          <w:color w:val="auto"/>
        </w:rPr>
      </w:pPr>
    </w:p>
    <w:p>
      <w:pPr>
        <w:ind w:right="20"/>
        <w:spacing w:after="0"/>
        <w:rPr>
          <w:sz w:val="20"/>
          <w:szCs w:val="20"/>
          <w:color w:val="auto"/>
        </w:rPr>
      </w:pPr>
      <w:r>
        <w:rPr>
          <w:rFonts w:ascii="Calibri" w:cs="Calibri" w:eastAsia="Calibri" w:hAnsi="Calibri"/>
          <w:sz w:val="22"/>
          <w:szCs w:val="22"/>
          <w:color w:val="auto"/>
        </w:rPr>
        <w:t>Certain statements in this press release may be considered forward-looking statements. Forward-looking statements generally relate to future events, Tango’s future operatng performance and goals, the antcipated benefts of therapies and combinaton therapies (that include a Tango pipeline product), as well as the expectatons, beliefs and development objectves for Tango’s product pipeline and clinical trials. In some cases, you can identfy forward-looking statements by terminology such as “may”, “should”, “expect”, “intend”, “will”, “goal”, “estmate”, “antcipate”, “believe”, “predict”, “designed,” “potental” or “contnue”, or the negatves of these terms or variatons of them or similar terminology. For example, implicit or explicit statements concerning the following include or consttute forward-looking statements: the Company is progressing its molecules with the intent of remaining a leader in developing PRMT5 inhibitors for multple cancers; the Company expects cash runway into 2027 and this cash runway is expected to fund all clinical programs through proof-of-concept; the Company is enrolling patents in the dose expansion porton of the TNG908 and TNG462 phase 1/2 clinical trials; the Company expects to share a comprehensive clinical data update on our PRMT5 program later this year; the Company contnues to advance TNG260 for cancers with STK11 loss-of-functon mutatons, with patent enrollment ongoing in the phase 1/2 clinical trial; Tango is commited to discovering and delivering the next generaton of precision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900430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 w:name="page7"/>
    <w:bookmarkEnd w:id="6"/>
    <w:p>
      <w:pPr>
        <w:spacing w:after="0" w:line="252" w:lineRule="auto"/>
        <w:rPr>
          <w:sz w:val="20"/>
          <w:szCs w:val="20"/>
          <w:color w:val="auto"/>
        </w:rPr>
      </w:pPr>
      <w:r>
        <w:rPr>
          <w:rFonts w:ascii="Calibri" w:cs="Calibri" w:eastAsia="Calibri" w:hAnsi="Calibri"/>
          <w:sz w:val="21"/>
          <w:szCs w:val="21"/>
          <w:color w:val="auto"/>
        </w:rPr>
        <w:t>medicines; and the expected tming of: (i) development candidate declaraton for certain targets; (ii) initatng IND-enabling studies; (iii) fling INDs; (iv) clinical trial initaton, dose escalaton and dose expansion and (v) disclosing inital, interim, additonal and fnal clinical trial results; and the expected benefts of the Company's development candidates and other product candidates. Such forward-looking statements are subject to risks, uncertaintes, and other factors which could cause actual results to difer materially from those expressed or implied by such forward-looking statements. These forward-looking statements are based upon estmates and assumptons that, while considered reasonable by Tango and its management, are inherently uncertain. New risks and uncertaintes may emerge from tme to tme, and it is not possible to predict all risks and uncertaintes. Factors that may cause actual results to difer materially from current expectatons include, but are not limited to: benefts of product candidates seen in preclinical tests and analyses may not be evident when tested in later preclinical studies or in clinical trials or when used in broader patent populatons (if approved for commercial sale); Tango has limited experience conductng clinical trials (and will rely on a third party to operate its clinical trials) and may not be able to commence the clinical trial (including opening clinical trial sites, dosing the frst patent, and contnued enrollment and dosing of an adequate number of clinical trial partcipants) when expected, may not be able to contnue dosing, initate dose escalaton and/or dose expansion on antcipated tmelines, and may not generate results (including fnal, inital or additonal safety, efcacy data and proof-of-mechanism and proof-of-concept) in the antcipated tmeframe (or at all); Tango’s pipeline products may not be safe and/or efectve in humans; Tango has a limited operatng history and has not generated any revenue to date from product sales, and may never become proftable; other companies may be able to identfy and develop product candidates more quickly than the Company and commercially introduce the product prior to the Company; the Company’s proprietary discovery platorm is novel and may not identfy any synthetc lethal targets for future development; the Company may not be able to identfy development candidates on the schedule it antcipates due to technical, fnancial or other reasons; the Company may not be able to fle INDs for development candidates on tme, or at all, due to technical or fnancial reasons or otherwise; the Company may utlize cash resources more quickly than antcipated; Tango will need to raise capital in the future and if we are unable to raise capital when needed or on atractve terms, we would be forced to delay, scale back or discontnue some of our development programs or future commercializaton eforts (which may delay fling of INDs, dosing patents, initaton of dose expansion, reportng clinical trial results and fling new drug applicatons); Tango’s approach to the discovery and development of product candidates is novel and unproven, which makes it difcult to predict the tme, cost of development, and likelihood of successfully developing any products; the Company may be unable to advance our preclinical development programs into and through the clinic for safety or efcacy reasons or commercialize our product candidates or we may experience signifcant delays in doing so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902970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7" w:name="page8"/>
    <w:bookmarkEnd w:id="7"/>
    <w:p>
      <w:pPr>
        <w:spacing w:after="0"/>
        <w:rPr>
          <w:sz w:val="20"/>
          <w:szCs w:val="20"/>
          <w:color w:val="auto"/>
        </w:rPr>
      </w:pPr>
      <w:r>
        <w:rPr>
          <w:rFonts w:ascii="Calibri" w:cs="Calibri" w:eastAsia="Calibri" w:hAnsi="Calibri"/>
          <w:sz w:val="22"/>
          <w:szCs w:val="22"/>
          <w:color w:val="auto"/>
        </w:rPr>
        <w:t>result of factors beyond Tango’s control; the Company may not be able to realize the benefts of orphan drug or Fast Track designaton (and such designatons may not advance any antcipated approval tmelines); Tango may not identfy or discover additonal product candidates or may expend limited resources to pursue a partcular product candidate or indicaton and fail to capitalize on product candidates or indicatons that may be more proftable or for which there is a greater likelihood of success; the Company’s product candidates may cause adverse or other undesirable side efects (or may not show requisite efcacy) that could, among other things, delay or prevent regulatory approval; our dependence on one or a limited number third partes for conductng clinical trials and producing drug substance and drug product (including drug substance, which is currently sole sourced); government regulaton may negatvely impact the Company’s business, including the potental approval of the BIOSECURE Act; and our ability to obtain and maintain patent and other intellectual property protecton for our technology and product candidates or the scope of intellectual property protecton obtained is not sufciently broad. Additonal informaton concerning risks, uncertaintes and assumptons can be found in Tango’s flings with the Securites and Exchange Commission (SEC), including the risk factors referenced in Tango’s Annual Report on Form 10-K for the fscal year ended December 31, 2023, as supplemented and/or modifed by its most recent Quarterly Report on Form 10-Q. You should not place undue reliance on forward-looking statements in this press release, which speak only as of the date they are made and are qualifed in their entrety by reference to the cautonary statements herein. Tango specifcally disclaims any duty to update these forward-looking statements.</w:t>
      </w:r>
    </w:p>
    <w:p>
      <w:pPr>
        <w:spacing w:after="0" w:line="28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Investor Contact: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Sam Martn/Andrew Vulis</w:t>
      </w:r>
    </w:p>
    <w:p>
      <w:pPr>
        <w:spacing w:after="0"/>
        <w:rPr>
          <w:sz w:val="20"/>
          <w:szCs w:val="20"/>
          <w:color w:val="auto"/>
        </w:rPr>
      </w:pPr>
      <w:r>
        <w:rPr>
          <w:rFonts w:ascii="Calibri" w:cs="Calibri" w:eastAsia="Calibri" w:hAnsi="Calibri"/>
          <w:sz w:val="22"/>
          <w:szCs w:val="22"/>
          <w:color w:val="auto"/>
        </w:rPr>
        <w:t>Argot Partners</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0000FF"/>
        </w:rPr>
        <w:t>tango@argotpartners.com</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Media Contact: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Amanda Brown Galgay</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SVP, Corporate Communicatons, Tango Therapeutcs</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0000FF"/>
        </w:rPr>
        <w:t>media@tangotx.com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0" w:right="379" w:bottom="1440" w:gutter="0" w:footer="0" w:header="0"/>
        </w:sectPr>
      </w:pPr>
    </w:p>
    <w:bookmarkStart w:id="8" w:name="page9"/>
    <w:bookmarkEnd w:id="8"/>
    <w:p>
      <w:pPr>
        <w:spacing w:after="0" w:line="240"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Consolidated Statements of Operatons</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(In thousands, except share and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8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60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54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r>
      <w:tr>
        <w:trPr>
          <w:trHeight w:val="263"/>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100" w:type="dxa"/>
            <w:vAlign w:val="bottom"/>
            <w:shd w:val="clear" w:color="auto" w:fill="CFF0FC"/>
          </w:tcPr>
          <w:p>
            <w:pPr>
              <w:spacing w:after="0"/>
              <w:rPr>
                <w:sz w:val="22"/>
                <w:szCs w:val="22"/>
                <w:color w:val="auto"/>
              </w:rPr>
            </w:pPr>
          </w:p>
        </w:tc>
      </w:tr>
      <w:tr>
        <w:trPr>
          <w:trHeight w:val="25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21"/>
                <w:szCs w:val="21"/>
                <w:color w:val="auto"/>
              </w:rPr>
            </w:pPr>
          </w:p>
        </w:tc>
      </w:tr>
      <w:tr>
        <w:trPr>
          <w:trHeight w:val="250"/>
        </w:trPr>
        <w:tc>
          <w:tcPr>
            <w:tcW w:w="5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14,598</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26,346</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
        </w:trPr>
        <w:tc>
          <w:tcPr>
            <w:tcW w:w="5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0"/>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23"/>
                <w:szCs w:val="2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38,654</w:t>
            </w:r>
          </w:p>
        </w:tc>
        <w:tc>
          <w:tcPr>
            <w:tcW w:w="26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28,671</w:t>
            </w:r>
          </w:p>
        </w:tc>
        <w:tc>
          <w:tcPr>
            <w:tcW w:w="2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76,719</w:t>
            </w:r>
          </w:p>
        </w:tc>
        <w:tc>
          <w:tcPr>
            <w:tcW w:w="28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56,710</w:t>
            </w:r>
          </w:p>
        </w:tc>
        <w:tc>
          <w:tcPr>
            <w:tcW w:w="100" w:type="dxa"/>
            <w:vAlign w:val="bottom"/>
            <w:shd w:val="clear" w:color="auto" w:fill="CFF0FC"/>
          </w:tcPr>
          <w:p>
            <w:pPr>
              <w:spacing w:after="0"/>
              <w:rPr>
                <w:sz w:val="23"/>
                <w:szCs w:val="23"/>
                <w:color w:val="auto"/>
              </w:rPr>
            </w:pPr>
          </w:p>
        </w:tc>
      </w:tr>
      <w:tr>
        <w:trPr>
          <w:trHeight w:val="250"/>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21,434</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17,188</w:t>
            </w:r>
          </w:p>
        </w:tc>
        <w:tc>
          <w:tcPr>
            <w:tcW w:w="100" w:type="dxa"/>
            <w:vAlign w:val="bottom"/>
          </w:tcPr>
          <w:p>
            <w:pPr>
              <w:spacing w:after="0"/>
              <w:rPr>
                <w:sz w:val="21"/>
                <w:szCs w:val="21"/>
                <w:color w:val="auto"/>
              </w:rPr>
            </w:pPr>
          </w:p>
        </w:tc>
      </w:tr>
      <w:tr>
        <w:trPr>
          <w:trHeight w:val="250"/>
        </w:trPr>
        <w:tc>
          <w:tcPr>
            <w:tcW w:w="54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49,427</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37,845</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98,153</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(29,552 )</w:t>
            </w:r>
          </w:p>
        </w:tc>
        <w:tc>
          <w:tcPr>
            <w:tcW w:w="2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(23,247 )</w:t>
            </w:r>
          </w:p>
        </w:tc>
        <w:tc>
          <w:tcPr>
            <w:tcW w:w="2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(71,807 )</w:t>
            </w:r>
          </w:p>
        </w:tc>
        <w:tc>
          <w:tcPr>
            <w:tcW w:w="26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(53,534 )</w:t>
            </w:r>
          </w:p>
        </w:tc>
      </w:tr>
      <w:tr>
        <w:trPr>
          <w:trHeight w:val="250"/>
        </w:trPr>
        <w:tc>
          <w:tcPr>
            <w:tcW w:w="54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6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(25,486 )</w:t>
            </w:r>
          </w:p>
        </w:tc>
        <w:tc>
          <w:tcPr>
            <w:tcW w:w="26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(20,646 )</w:t>
            </w:r>
          </w:p>
        </w:tc>
        <w:tc>
          <w:tcPr>
            <w:tcW w:w="2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(63,360 )</w:t>
            </w:r>
          </w:p>
        </w:tc>
        <w:tc>
          <w:tcPr>
            <w:tcW w:w="26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(48,654 )</w:t>
            </w:r>
          </w:p>
        </w:tc>
      </w:tr>
      <w:tr>
        <w:trPr>
          <w:trHeight w:val="256"/>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(65 )</w:t>
            </w:r>
          </w:p>
        </w:tc>
        <w:tc>
          <w:tcPr>
            <w:tcW w:w="2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(64 )</w:t>
            </w:r>
          </w:p>
        </w:tc>
        <w:tc>
          <w:tcPr>
            <w:tcW w:w="20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(105 )</w:t>
            </w:r>
          </w:p>
        </w:tc>
        <w:tc>
          <w:tcPr>
            <w:tcW w:w="26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(64 )</w:t>
            </w:r>
          </w:p>
        </w:tc>
      </w:tr>
      <w:tr>
        <w:trPr>
          <w:trHeight w:val="20"/>
        </w:trPr>
        <w:tc>
          <w:tcPr>
            <w:tcW w:w="54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(25,551 )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(20,710 )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(63,465 )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(48,718 )</w:t>
            </w:r>
          </w:p>
        </w:tc>
      </w:tr>
      <w:tr>
        <w:trPr>
          <w:trHeight w:val="270"/>
        </w:trPr>
        <w:tc>
          <w:tcPr>
            <w:tcW w:w="544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(0.24 )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(0.23 )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(0.58 )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(0.55 )</w:t>
            </w:r>
          </w:p>
        </w:tc>
      </w:tr>
      <w:tr>
        <w:trPr>
          <w:trHeight w:val="211"/>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108,314,279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88,354,590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108,692,822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88,281,368</w:t>
            </w:r>
          </w:p>
        </w:tc>
        <w:tc>
          <w:tcPr>
            <w:tcW w:w="100" w:type="dxa"/>
            <w:vAlign w:val="bottom"/>
          </w:tcPr>
          <w:p>
            <w:pPr>
              <w:spacing w:after="0"/>
              <w:rPr>
                <w:sz w:val="20"/>
                <w:szCs w:val="20"/>
                <w:color w:val="auto"/>
              </w:rPr>
            </w:pPr>
          </w:p>
        </w:tc>
      </w:tr>
      <w:tr>
        <w:trPr>
          <w:trHeight w:val="3530"/>
        </w:trPr>
        <w:tc>
          <w:tcPr>
            <w:tcW w:w="5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-4431030</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-4431030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-4431030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-4431030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-3745230</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-3745230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-3745230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-3745230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-3402330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-3402330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-3402330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-3059430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-3059430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-3059430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40"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400" w:type="dxa"/>
            <w:vAlign w:val="bottom"/>
          </w:tcPr>
          <w:p>
            <w:pPr>
              <w:spacing w:after="0"/>
              <w:rPr>
                <w:sz w:val="16"/>
                <w:szCs w:val="16"/>
                <w:color w:val="auto"/>
              </w:rPr>
            </w:pPr>
          </w:p>
        </w:tc>
        <w:tc>
          <w:tcPr>
            <w:tcW w:w="11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40" w:type="dxa"/>
            <w:vAlign w:val="bottom"/>
          </w:tcPr>
          <w:p>
            <w:pPr>
              <w:jc w:val="right"/>
              <w:ind w:right="98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51,566</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66,385</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Marketable securities</w:t>
            </w:r>
          </w:p>
        </w:tc>
        <w:tc>
          <w:tcPr>
            <w:tcW w:w="11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270,545</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270,500</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tcPr>
          <w:p>
            <w:pPr>
              <w:spacing w:after="0"/>
              <w:rPr>
                <w:sz w:val="19"/>
                <w:szCs w:val="19"/>
                <w:color w:val="auto"/>
              </w:rPr>
            </w:pPr>
          </w:p>
        </w:tc>
      </w:tr>
      <w:tr>
        <w:trPr>
          <w:trHeight w:val="233"/>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6,299</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328,410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346,538</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1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9,095</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9,908</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41,371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43,508</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11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00" w:type="dxa"/>
            <w:vAlign w:val="bottom"/>
            <w:shd w:val="clear" w:color="auto" w:fill="CFF0FC"/>
          </w:tcPr>
          <w:p>
            <w:pPr>
              <w:spacing w:after="0"/>
              <w:rPr>
                <w:sz w:val="20"/>
                <w:szCs w:val="20"/>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9"/>
                <w:szCs w:val="19"/>
                <w:color w:val="auto"/>
              </w:rPr>
            </w:pPr>
          </w:p>
        </w:tc>
      </w:tr>
      <w:tr>
        <w:trPr>
          <w:trHeight w:val="223"/>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140" w:type="dxa"/>
            <w:vAlign w:val="bottom"/>
            <w:shd w:val="clear" w:color="auto" w:fill="CFF0FC"/>
          </w:tcPr>
          <w:p>
            <w:pPr>
              <w:jc w:val="right"/>
              <w:ind w:right="98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381,453</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402,567</w:t>
            </w:r>
          </w:p>
        </w:tc>
        <w:tc>
          <w:tcPr>
            <w:tcW w:w="100" w:type="dxa"/>
            <w:vAlign w:val="bottom"/>
            <w:shd w:val="clear" w:color="auto" w:fill="CFF0FC"/>
          </w:tcPr>
          <w:p>
            <w:pPr>
              <w:spacing w:after="0"/>
              <w:rPr>
                <w:sz w:val="19"/>
                <w:szCs w:val="19"/>
                <w:color w:val="auto"/>
              </w:rPr>
            </w:pPr>
          </w:p>
        </w:tc>
      </w:tr>
      <w:tr>
        <w:trPr>
          <w:trHeight w:val="221"/>
        </w:trPr>
        <w:tc>
          <w:tcPr>
            <w:tcW w:w="7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8"/>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140" w:type="dxa"/>
            <w:vAlign w:val="bottom"/>
          </w:tcPr>
          <w:p>
            <w:pPr>
              <w:jc w:val="right"/>
              <w:ind w:right="98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2,785</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1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16,774</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15,401</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100" w:type="dxa"/>
            <w:vAlign w:val="bottom"/>
          </w:tcPr>
          <w:p>
            <w:pPr>
              <w:spacing w:after="0"/>
              <w:rPr>
                <w:sz w:val="19"/>
                <w:szCs w:val="19"/>
                <w:color w:val="auto"/>
              </w:rPr>
            </w:pPr>
          </w:p>
        </w:tc>
      </w:tr>
      <w:tr>
        <w:trPr>
          <w:trHeight w:val="233"/>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11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23,668</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43,868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45,938</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1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35,473</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36,838</w:t>
            </w:r>
          </w:p>
        </w:tc>
        <w:tc>
          <w:tcPr>
            <w:tcW w:w="100" w:type="dxa"/>
            <w:vAlign w:val="bottom"/>
            <w:shd w:val="clear" w:color="auto" w:fill="CFF0FC"/>
          </w:tcPr>
          <w:p>
            <w:pPr>
              <w:spacing w:after="0"/>
              <w:rPr>
                <w:sz w:val="20"/>
                <w:szCs w:val="20"/>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54,439</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66,683</w:t>
            </w:r>
          </w:p>
        </w:tc>
        <w:tc>
          <w:tcPr>
            <w:tcW w:w="100" w:type="dxa"/>
            <w:vAlign w:val="bottom"/>
          </w:tcPr>
          <w:p>
            <w:pPr>
              <w:spacing w:after="0"/>
              <w:rPr>
                <w:sz w:val="19"/>
                <w:szCs w:val="19"/>
                <w:color w:val="auto"/>
              </w:rPr>
            </w:pPr>
          </w:p>
        </w:tc>
      </w:tr>
      <w:tr>
        <w:trPr>
          <w:trHeight w:val="230"/>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133,780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149,459</w:t>
            </w:r>
          </w:p>
        </w:tc>
        <w:tc>
          <w:tcPr>
            <w:tcW w:w="100" w:type="dxa"/>
            <w:vAlign w:val="bottom"/>
            <w:shd w:val="clear" w:color="auto" w:fill="CFF0FC"/>
          </w:tcPr>
          <w:p>
            <w:pPr>
              <w:spacing w:after="0"/>
              <w:rPr>
                <w:sz w:val="19"/>
                <w:szCs w:val="19"/>
                <w:color w:val="auto"/>
              </w:rPr>
            </w:pPr>
          </w:p>
        </w:tc>
      </w:tr>
      <w:tr>
        <w:trPr>
          <w:trHeight w:val="223"/>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247,673</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253,108</w:t>
            </w:r>
          </w:p>
        </w:tc>
        <w:tc>
          <w:tcPr>
            <w:tcW w:w="100" w:type="dxa"/>
            <w:vAlign w:val="bottom"/>
          </w:tcPr>
          <w:p>
            <w:pPr>
              <w:spacing w:after="0"/>
              <w:rPr>
                <w:sz w:val="19"/>
                <w:szCs w:val="19"/>
                <w:color w:val="auto"/>
              </w:rPr>
            </w:pPr>
          </w:p>
        </w:tc>
      </w:tr>
      <w:tr>
        <w:trPr>
          <w:trHeight w:val="263"/>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140" w:type="dxa"/>
            <w:vAlign w:val="bottom"/>
            <w:shd w:val="clear" w:color="auto" w:fill="CFF0FC"/>
          </w:tcPr>
          <w:p>
            <w:pPr>
              <w:jc w:val="right"/>
              <w:ind w:right="98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381,453</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402,567</w:t>
            </w:r>
          </w:p>
        </w:tc>
        <w:tc>
          <w:tcPr>
            <w:tcW w:w="100" w:type="dxa"/>
            <w:vAlign w:val="bottom"/>
            <w:shd w:val="clear" w:color="auto" w:fill="CFF0FC"/>
          </w:tcPr>
          <w:p>
            <w:pPr>
              <w:spacing w:after="0"/>
              <w:rPr>
                <w:sz w:val="22"/>
                <w:szCs w:val="22"/>
                <w:color w:val="auto"/>
              </w:rPr>
            </w:pPr>
          </w:p>
        </w:tc>
      </w:tr>
      <w:tr>
        <w:trPr>
          <w:trHeight w:val="1614"/>
        </w:trPr>
        <w:tc>
          <w:tcPr>
            <w:tcW w:w="7400" w:type="dxa"/>
            <w:vAlign w:val="bottom"/>
            <w:tcBorders>
              <w:top w:val="single" w:sz="8" w:color="CFF0FC"/>
              <w:bottom w:val="single" w:sz="8" w:color="9A9A9A"/>
            </w:tcBorders>
          </w:tcPr>
          <w:p>
            <w:pPr>
              <w:spacing w:after="0"/>
              <w:rPr>
                <w:sz w:val="24"/>
                <w:szCs w:val="24"/>
                <w:color w:val="auto"/>
              </w:rPr>
            </w:pPr>
          </w:p>
        </w:tc>
        <w:tc>
          <w:tcPr>
            <w:tcW w:w="1140" w:type="dxa"/>
            <w:vAlign w:val="bottom"/>
            <w:tcBorders>
              <w:top w:val="single" w:sz="8" w:color="auto"/>
              <w:bottom w:val="single" w:sz="8" w:color="9A9A9A"/>
            </w:tcBorders>
          </w:tcPr>
          <w:p>
            <w:pPr>
              <w:spacing w:after="0"/>
              <w:rPr>
                <w:sz w:val="24"/>
                <w:szCs w:val="24"/>
                <w:color w:val="auto"/>
              </w:rPr>
            </w:pPr>
          </w:p>
        </w:tc>
        <w:tc>
          <w:tcPr>
            <w:tcW w:w="58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4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-3745230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-3745230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-2853690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-1971040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-1070610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-1053465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2024-08-07T06:12:45Z</dcterms:created>
  <dcterms:modified xsi:type="dcterms:W3CDTF">2024-08-07T06:12:45Z</dcterms:modified>
</cp:coreProperties>
</file>