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Josh La Grange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Fried, Frank, Harris, Shriver &amp; Jacobson, 801 17th Street, NW</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202-639-7497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BCTG Holdings,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8"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MVA Investors,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8"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Number of Shares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8" w:orient="portrait"/>
          <w:cols w:equalWidth="0" w:num="2">
            <w:col w:w="960" w:space="160"/>
            <w:col w:w="8979"/>
          </w:cols>
          <w:pgMar w:left="360" w:top="126" w:right="1440" w:bottom="0" w:gutter="0" w:footer="0" w:header="0"/>
          <w:type w:val="continuous"/>
        </w:sectPr>
      </w:pPr>
    </w:p>
    <w:bookmarkStart w:id="2" w:name="page3"/>
    <w:bookmarkEnd w:id="2"/>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326,886.00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326,886.00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326,886.00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Davis Aaron 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32,500.00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10,707,885.00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32,500.00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10,707,885.00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10,740,385.00</w:t>
      </w:r>
    </w:p>
    <w:p>
      <w:pPr>
        <w:sectPr>
          <w:pgSz w:w="11900" w:h="16860" w:orient="portrait"/>
          <w:cols w:equalWidth="0" w:num="2">
            <w:col w:w="1060" w:space="60"/>
            <w:col w:w="8979"/>
          </w:cols>
          <w:pgMar w:left="360" w:top="111" w:right="1440" w:bottom="0" w:gutter="0" w:footer="0" w:header="0"/>
          <w:type w:val="continuous"/>
        </w:sectPr>
      </w:pPr>
    </w:p>
    <w:bookmarkStart w:id="3" w:name="page4"/>
    <w:bookmarkEnd w:id="3"/>
    <w:p>
      <w:pPr>
        <w:jc w:val="right"/>
        <w:ind w:right="1599"/>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Boxer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3" w:right="1440" w:bottom="76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10,380,999.00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10,380,999.00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10,380,999.00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ectPr>
          <w:pgSz w:w="11900" w:h="16838" w:orient="portrait"/>
          <w:cols w:equalWidth="0" w:num="2">
            <w:col w:w="1060" w:space="60"/>
            <w:col w:w="8979"/>
          </w:cols>
          <w:pgMar w:left="360" w:top="113" w:right="1440" w:bottom="761"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201 BROOKLINE AVENUE, SUITE 901, BOSTON, MASSACHUSETTS , 02215.</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With respect to Boxer Capital Management, LLC ("BCM"), BCTG Holdings, LLC ("BCTG Holdings"), MVA</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Investors, LLC ("MVA Investors") and Aaron I. Davis (together with BCM, BCTG Holdings and MVA Investors,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"Reporting Persons"), this amendment (this "Amendment No. 7") further amends and supplements the statement on Schedule 13D filed on August 20, 2021 (the "Original Filing") by BCTG Holdings, MVA Investors, Mr. Davis and certain other persons with respect to the Common Stock, par value $0.001 (the "Common Stock") of Tango Therapeutics, Inc. (the "Issuer"), as previously amended and filed on January 4, 2022 ("Amendment No. 1"), August 16, 2023 ("Amendment No. 2"), October 18, 2023 ("Amendment No. 3"), October 15, 2024 ("Amendment No. 4"), October 28, 2024 (Amendment No. 5), and November 7, 2024 ("Amendment No. 6"). Capitalized terms used herein but not defined herein shall have the respective meanings defined in the Original Filing, as previously amended. The Original Filing, as previously amended, is further amended hereby only as specifically set forth herein, provided that with respect to any Item amended herein, if such Item is incorporated by reference into any other Item in the Original Filing, as previously amended, such incorporation by reference is also amended hereby. BCTG Holdings reports</w:t>
      </w:r>
    </w:p>
    <w:p>
      <w:pPr>
        <w:spacing w:after="0" w:line="251" w:lineRule="exact"/>
        <w:rPr>
          <w:sz w:val="20"/>
          <w:szCs w:val="20"/>
          <w:color w:val="auto"/>
        </w:rPr>
      </w:pPr>
    </w:p>
    <w:p>
      <w:pPr>
        <w:ind w:right="1240" w:firstLine="952"/>
        <w:spacing w:after="0" w:line="270" w:lineRule="auto"/>
        <w:rPr>
          <w:sz w:val="20"/>
          <w:szCs w:val="20"/>
          <w:color w:val="auto"/>
        </w:rPr>
      </w:pPr>
      <w:r>
        <w:rPr>
          <w:rFonts w:ascii="Times New Roman" w:cs="Times New Roman" w:eastAsia="Times New Roman" w:hAnsi="Times New Roman"/>
          <w:sz w:val="22"/>
          <w:szCs w:val="22"/>
          <w:color w:val="auto"/>
        </w:rPr>
        <w:t>herein that it has ceased to beneficially own more than 5% of the outstanding shares of Common Stock. Item 3. Source and Amount of Funds or Other Consideration</w:t>
      </w:r>
    </w:p>
    <w:p>
      <w:pPr>
        <w:spacing w:after="0" w:line="1"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Item 3 is hereby amended by the addition of the following: On December 30, 2024, BCTG Holdings distributed 6,770,357 shares of Common Stock to an account managed by BCM and 218,093 shares of Common Stock to MVA Investors, for no consideration. Consequently, BCTG Holdings has ceased to beneficially own any shares of Common Stock of the Issuer.</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20"/>
        <w:spacing w:after="0" w:line="256" w:lineRule="auto"/>
        <w:rPr>
          <w:sz w:val="20"/>
          <w:szCs w:val="20"/>
          <w:color w:val="auto"/>
        </w:rPr>
      </w:pPr>
      <w:r>
        <w:rPr>
          <w:rFonts w:ascii="Times New Roman" w:cs="Times New Roman" w:eastAsia="Times New Roman" w:hAnsi="Times New Roman"/>
          <w:sz w:val="22"/>
          <w:szCs w:val="22"/>
          <w:color w:val="auto"/>
        </w:rPr>
        <w:t>Item 4 is hereby amended by the addition of the following: The disclosure set forth above in Item 3 is hereby incorporated herein.</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40"/>
        <w:spacing w:after="0" w:line="249" w:lineRule="auto"/>
        <w:rPr>
          <w:sz w:val="20"/>
          <w:szCs w:val="20"/>
          <w:color w:val="auto"/>
        </w:rPr>
      </w:pPr>
      <w:r>
        <w:rPr>
          <w:rFonts w:ascii="Times New Roman" w:cs="Times New Roman" w:eastAsia="Times New Roman" w:hAnsi="Times New Roman"/>
          <w:sz w:val="21"/>
          <w:szCs w:val="21"/>
          <w:color w:val="auto"/>
        </w:rPr>
        <w:t>For information regarding beneficial ownership, see the information presented on the cover pages. All percentages are based on 107,450,318 shares of the Issuer's Common Stock outstanding, which is (i) 107,417,818 shares of the Issuer's Common Stock outstanding as of November 1, 2024 as set forth in the Issuer's 10-Q filed with the Securities</w:t>
      </w:r>
    </w:p>
    <w:p>
      <w:pPr>
        <w:spacing w:after="0" w:line="1" w:lineRule="exact"/>
        <w:rPr>
          <w:sz w:val="20"/>
          <w:szCs w:val="20"/>
          <w:color w:val="auto"/>
        </w:rPr>
      </w:pPr>
    </w:p>
    <w:p>
      <w:pPr>
        <w:ind w:left="920" w:right="20" w:hanging="912"/>
        <w:spacing w:after="0" w:line="234"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Exchange Commission on November 6, 2024, plus (ii) 32,500 shares of Common Stock subject to options to purchase shares of Common Stock, held by Mr. Davis, exercisable in the next 60 days. The Reporting Persons may be deemed to beneficially own, in the aggregate, 10,740,385 shares of Common Stock, representing beneficial ownership of 9.996% of the outstanding shares of Common Stock.</w:t>
      </w:r>
    </w:p>
    <w:p>
      <w:pPr>
        <w:spacing w:after="0" w:line="15" w:lineRule="exact"/>
        <w:rPr>
          <w:rFonts w:ascii="Times New Roman" w:cs="Times New Roman" w:eastAsia="Times New Roman" w:hAnsi="Times New Roman"/>
          <w:sz w:val="22"/>
          <w:szCs w:val="22"/>
          <w:color w:val="auto"/>
        </w:rPr>
      </w:pPr>
    </w:p>
    <w:p>
      <w:pPr>
        <w:ind w:left="920" w:right="1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For information regarding beneficial ownership, see the information presented on the cover pages. All percentages are based on 107,450,318 shares of the Issuer's Common Stock outstanding, which is (i) 107,417,818 shares of the Issuer's Common Stock outstanding as of November 1, 2024 as set forth in the Issuer's 10-Q filed with the Securities</w:t>
      </w:r>
    </w:p>
    <w:p>
      <w:pPr>
        <w:spacing w:after="0" w:line="1" w:lineRule="exact"/>
        <w:rPr>
          <w:rFonts w:ascii="Times New Roman" w:cs="Times New Roman" w:eastAsia="Times New Roman" w:hAnsi="Times New Roman"/>
          <w:sz w:val="22"/>
          <w:szCs w:val="22"/>
          <w:color w:val="auto"/>
        </w:rPr>
      </w:pPr>
    </w:p>
    <w:p>
      <w:pPr>
        <w:ind w:left="920" w:right="20" w:hanging="912"/>
        <w:spacing w:after="0" w:line="234"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Exchange Commission on November 6, 2024, plus (ii) 32,500 shares of Common Stock subject to options to purchase shares of Common Stock, held by Mr. Davis, exercisable in the next 60 days. The Reporting Persons may be deemed to beneficially own, in the aggregate, 10,740,385 shares of Common Stock, representing beneficial ownership of 9.996% of the outstanding shares of Common Stock.</w:t>
      </w:r>
    </w:p>
    <w:p>
      <w:pPr>
        <w:spacing w:after="0" w:line="15"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described herein in Item 4 or transactions previously reported on Form 4, the Reporting Persons have not engaged in any transactions in the Common Stock since Amendment No.6.</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Other than as described herein and except as may result from indirect interests of investors in MVA Investors or</w:t>
      </w:r>
    </w:p>
    <w:p>
      <w:pPr>
        <w:spacing w:after="0" w:line="14" w:lineRule="exact"/>
        <w:rPr>
          <w:rFonts w:ascii="Times New Roman" w:cs="Times New Roman" w:eastAsia="Times New Roman" w:hAnsi="Times New Roman"/>
          <w:sz w:val="39"/>
          <w:szCs w:val="39"/>
          <w:color w:val="auto"/>
          <w:vertAlign w:val="subscript"/>
        </w:rPr>
      </w:pPr>
    </w:p>
    <w:p>
      <w:pPr>
        <w:ind w:left="920" w:right="58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BCM, no persons other than the Reporting Persons have the right to receive or the power to direct the receipt of dividends, or proceeds of sale of such securities outlined in this report.</w:t>
      </w:r>
    </w:p>
    <w:p>
      <w:pPr>
        <w:spacing w:after="0" w:line="16" w:lineRule="exact"/>
        <w:rPr>
          <w:rFonts w:ascii="Times New Roman" w:cs="Times New Roman" w:eastAsia="Times New Roman" w:hAnsi="Times New Roman"/>
          <w:sz w:val="22"/>
          <w:szCs w:val="22"/>
          <w:color w:val="auto"/>
        </w:rPr>
      </w:pPr>
    </w:p>
    <w:p>
      <w:pPr>
        <w:ind w:left="920" w:right="6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described in Item 3 above, as of December 30, 2024, BCTG Holdings ceased to beneficially own more than 5% of the outstanding shares of Common Stock.</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BCTG Holdings, LLC</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I. Davis</w:t>
      </w:r>
    </w:p>
    <w:p>
      <w:pPr>
        <w:sectPr>
          <w:pgSz w:w="11900" w:h="16838" w:orient="portrait"/>
          <w:cols w:equalWidth="0" w:num="1">
            <w:col w:w="11160"/>
          </w:cols>
          <w:pgMar w:left="360" w:top="110" w:right="379" w:bottom="0" w:gutter="0" w:footer="0" w:header="0"/>
        </w:sectPr>
      </w:pPr>
    </w:p>
    <w:bookmarkStart w:id="5" w:name="page6"/>
    <w:bookmarkEnd w:id="5"/>
    <w:p>
      <w:pPr>
        <w:ind w:left="2360"/>
        <w:spacing w:after="0"/>
        <w:rPr>
          <w:sz w:val="20"/>
          <w:szCs w:val="20"/>
          <w:color w:val="auto"/>
        </w:rPr>
      </w:pPr>
      <w:r>
        <w:rPr>
          <w:rFonts w:ascii="Times New Roman" w:cs="Times New Roman" w:eastAsia="Times New Roman" w:hAnsi="Times New Roman"/>
          <w:sz w:val="22"/>
          <w:szCs w:val="22"/>
          <w:color w:val="auto"/>
        </w:rPr>
        <w:t>Name/Title: Aaron I. Davis, Manager</w:t>
      </w:r>
    </w:p>
    <w:p>
      <w:pPr>
        <w:spacing w:after="0" w:line="45"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01/02/2025</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MVA Investors, LLC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I. Davis</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Aaron I. Davis, Authorized Signatory</w:t>
      </w:r>
    </w:p>
    <w:p>
      <w:pPr>
        <w:spacing w:after="0" w:line="56"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Davis Aaron I.</w:t>
      </w:r>
    </w:p>
    <w:p>
      <w:pPr>
        <w:spacing w:after="0" w:line="152"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I. Davis</w:t>
      </w:r>
    </w:p>
    <w:p>
      <w:pPr>
        <w:spacing w:after="0" w:line="4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Name/Title: Aaron I. Davis, Individually</w:t>
      </w:r>
    </w:p>
    <w:p>
      <w:pPr>
        <w:spacing w:after="0" w:line="44"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01/02/2025</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Boxer Capital Management, LLC</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I. Davis</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Aaron I. Davis, Managing Member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2025-01-02T06:12:25Z</dcterms:created>
  <dcterms:modified xsi:type="dcterms:W3CDTF">2025-01-02T06:12:25Z</dcterms:modified>
</cp:coreProperties>
</file>