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3"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140" w:right="1600" w:hanging="311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ectPr>
          <w:pgSz w:w="11900" w:h="16838" w:orient="portrait"/>
          <w:cols w:equalWidth="0" w:num="1">
            <w:col w:w="11240"/>
          </w:cols>
          <w:pgMar w:left="320" w:top="1307"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700" w:space="240"/>
            <w:col w:w="3300"/>
          </w:cols>
          <w:pgMar w:left="320" w:top="130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8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02215</w:t>
            </w:r>
          </w:p>
        </w:tc>
        <w:tc>
          <w:tcPr>
            <w:tcW w:w="0" w:type="dxa"/>
            <w:vAlign w:val="bottom"/>
          </w:tcPr>
          <w:p>
            <w:pPr>
              <w:spacing w:after="0"/>
              <w:rPr>
                <w:sz w:val="1"/>
                <w:szCs w:val="1"/>
                <w:color w:val="auto"/>
              </w:rPr>
            </w:pPr>
          </w:p>
        </w:tc>
      </w:tr>
      <w:tr>
        <w:trPr>
          <w:trHeight w:val="173"/>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1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(857) 320-4900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80" w:type="dxa"/>
            <w:vAlign w:val="bottom"/>
          </w:tcPr>
          <w:p>
            <w:pPr>
              <w:jc w:val="center"/>
              <w:ind w:right="196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60" w:type="dxa"/>
            <w:vAlign w:val="bottom"/>
            <w:gridSpan w:val="6"/>
          </w:tcPr>
          <w:p>
            <w:pPr>
              <w:jc w:val="center"/>
              <w:ind w:left="35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0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5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80" w:type="dxa"/>
            <w:vAlign w:val="bottom"/>
            <w:vMerge w:val="restart"/>
          </w:tcPr>
          <w:p>
            <w:pPr>
              <w:jc w:val="center"/>
              <w:ind w:right="8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821"/>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0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2, 2024, the registrant had 106,846,262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1156970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vMerge w:val="continue"/>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jc w:val="both"/>
        <w:ind w:right="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2023. These risks include, among others, the following (which is not an exhaustive list of all such risks):</w:t>
      </w:r>
    </w:p>
    <w:p>
      <w:pPr>
        <w:spacing w:after="0" w:line="68" w:lineRule="exact"/>
        <w:rPr>
          <w:sz w:val="20"/>
          <w:szCs w:val="20"/>
          <w:color w:val="auto"/>
        </w:rPr>
      </w:pPr>
    </w:p>
    <w:p>
      <w:pPr>
        <w:ind w:left="1040" w:right="180" w:hanging="46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89" w:lineRule="exact"/>
        <w:rPr>
          <w:rFonts w:ascii="Times New Roman" w:cs="Times New Roman" w:eastAsia="Times New Roman" w:hAnsi="Times New Roman"/>
          <w:sz w:val="18"/>
          <w:szCs w:val="18"/>
          <w:color w:val="auto"/>
        </w:rPr>
      </w:pPr>
    </w:p>
    <w:p>
      <w:pPr>
        <w:ind w:left="1040" w:right="8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75" w:lineRule="exact"/>
        <w:rPr>
          <w:rFonts w:ascii="Times New Roman" w:cs="Times New Roman" w:eastAsia="Times New Roman" w:hAnsi="Times New Roman"/>
          <w:sz w:val="18"/>
          <w:szCs w:val="18"/>
          <w:color w:val="auto"/>
        </w:rPr>
      </w:pPr>
    </w:p>
    <w:p>
      <w:pPr>
        <w:jc w:val="both"/>
        <w:ind w:left="10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89" w:lineRule="exact"/>
        <w:rPr>
          <w:rFonts w:ascii="Times New Roman" w:cs="Times New Roman" w:eastAsia="Times New Roman" w:hAnsi="Times New Roman"/>
          <w:sz w:val="18"/>
          <w:szCs w:val="18"/>
          <w:color w:val="auto"/>
        </w:rPr>
      </w:pPr>
    </w:p>
    <w:p>
      <w:pPr>
        <w:ind w:left="1040" w:right="18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75" w:lineRule="exact"/>
        <w:rPr>
          <w:rFonts w:ascii="Times New Roman" w:cs="Times New Roman" w:eastAsia="Times New Roman" w:hAnsi="Times New Roman"/>
          <w:sz w:val="18"/>
          <w:szCs w:val="18"/>
          <w:color w:val="auto"/>
        </w:rPr>
      </w:pPr>
    </w:p>
    <w:p>
      <w:pPr>
        <w:ind w:left="1040" w:right="2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9" w:lineRule="exact"/>
        <w:rPr>
          <w:rFonts w:ascii="Times New Roman" w:cs="Times New Roman" w:eastAsia="Times New Roman" w:hAnsi="Times New Roman"/>
          <w:sz w:val="18"/>
          <w:szCs w:val="18"/>
          <w:color w:val="auto"/>
        </w:rPr>
      </w:pPr>
    </w:p>
    <w:p>
      <w:pPr>
        <w:ind w:left="1040" w:right="160" w:hanging="452"/>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p>
      <w:pPr>
        <w:spacing w:after="0" w:line="193" w:lineRule="exact"/>
        <w:rPr>
          <w:rFonts w:ascii="Times New Roman" w:cs="Times New Roman" w:eastAsia="Times New Roman" w:hAnsi="Times New Roman"/>
          <w:sz w:val="18"/>
          <w:szCs w:val="18"/>
          <w:color w:val="auto"/>
        </w:rPr>
      </w:pPr>
    </w:p>
    <w:p>
      <w:pPr>
        <w:ind w:left="1040" w:right="2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75" w:lineRule="exact"/>
        <w:rPr>
          <w:rFonts w:ascii="Times New Roman" w:cs="Times New Roman" w:eastAsia="Times New Roman" w:hAnsi="Times New Roman"/>
          <w:sz w:val="18"/>
          <w:szCs w:val="18"/>
          <w:color w:val="auto"/>
        </w:rPr>
      </w:pPr>
    </w:p>
    <w:p>
      <w:pPr>
        <w:ind w:left="1040" w:right="300" w:hanging="452"/>
        <w:spacing w:after="0" w:line="312" w:lineRule="auto"/>
        <w:tabs>
          <w:tab w:leader="none" w:pos="10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3" w:lineRule="exact"/>
        <w:rPr>
          <w:rFonts w:ascii="Times New Roman" w:cs="Times New Roman" w:eastAsia="Times New Roman" w:hAnsi="Times New Roman"/>
          <w:sz w:val="17"/>
          <w:szCs w:val="17"/>
          <w:color w:val="auto"/>
        </w:rPr>
      </w:pPr>
    </w:p>
    <w:p>
      <w:pPr>
        <w:ind w:left="1040" w:hanging="452"/>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93" w:lineRule="exact"/>
        <w:rPr>
          <w:rFonts w:ascii="Times New Roman" w:cs="Times New Roman" w:eastAsia="Times New Roman" w:hAnsi="Times New Roman"/>
          <w:sz w:val="18"/>
          <w:szCs w:val="18"/>
          <w:color w:val="auto"/>
        </w:rPr>
      </w:pPr>
    </w:p>
    <w:p>
      <w:pPr>
        <w:ind w:left="1040" w:right="24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75" w:lineRule="exact"/>
        <w:rPr>
          <w:rFonts w:ascii="Times New Roman" w:cs="Times New Roman" w:eastAsia="Times New Roman" w:hAnsi="Times New Roman"/>
          <w:sz w:val="18"/>
          <w:szCs w:val="18"/>
          <w:color w:val="auto"/>
        </w:rPr>
      </w:pPr>
    </w:p>
    <w:p>
      <w:pPr>
        <w:ind w:left="1040" w:right="52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89" w:lineRule="exact"/>
        <w:rPr>
          <w:rFonts w:ascii="Times New Roman" w:cs="Times New Roman" w:eastAsia="Times New Roman" w:hAnsi="Times New Roman"/>
          <w:sz w:val="18"/>
          <w:szCs w:val="18"/>
          <w:color w:val="auto"/>
        </w:rPr>
      </w:pPr>
    </w:p>
    <w:p>
      <w:pPr>
        <w:ind w:left="1040" w:right="6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89" w:lineRule="exact"/>
        <w:rPr>
          <w:rFonts w:ascii="Times New Roman" w:cs="Times New Roman" w:eastAsia="Times New Roman" w:hAnsi="Times New Roman"/>
          <w:sz w:val="18"/>
          <w:szCs w:val="18"/>
          <w:color w:val="auto"/>
        </w:rPr>
      </w:pPr>
    </w:p>
    <w:p>
      <w:pPr>
        <w:ind w:left="1040" w:right="1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left="1040" w:right="900" w:hanging="46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75" w:lineRule="exact"/>
        <w:rPr>
          <w:rFonts w:ascii="Times New Roman" w:cs="Times New Roman" w:eastAsia="Times New Roman" w:hAnsi="Times New Roman"/>
          <w:sz w:val="18"/>
          <w:szCs w:val="18"/>
          <w:color w:val="auto"/>
        </w:rPr>
      </w:pPr>
    </w:p>
    <w:p>
      <w:pPr>
        <w:ind w:left="1040" w:right="80" w:hanging="452"/>
        <w:spacing w:after="0" w:line="261"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93" w:lineRule="exact"/>
        <w:rPr>
          <w:rFonts w:ascii="Times New Roman" w:cs="Times New Roman" w:eastAsia="Times New Roman" w:hAnsi="Times New Roman"/>
          <w:sz w:val="18"/>
          <w:szCs w:val="18"/>
          <w:color w:val="auto"/>
        </w:rPr>
      </w:pPr>
    </w:p>
    <w:p>
      <w:pPr>
        <w:ind w:left="1040" w:right="100" w:hanging="452"/>
        <w:spacing w:after="0" w:line="261"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3" w:lineRule="exact"/>
        <w:rPr>
          <w:rFonts w:ascii="Times New Roman" w:cs="Times New Roman" w:eastAsia="Times New Roman" w:hAnsi="Times New Roman"/>
          <w:sz w:val="18"/>
          <w:szCs w:val="18"/>
          <w:color w:val="auto"/>
        </w:rPr>
      </w:pPr>
    </w:p>
    <w:p>
      <w:pPr>
        <w:ind w:left="1040" w:right="80" w:hanging="452"/>
        <w:spacing w:after="0" w:line="258"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and drug product to be used in our product candidates (for the active pharmaceutical ingredient for all of our clinical trial products, an affiliate of WuXi AppTec is the sole source of all of such supply), and WuXi AppTec, has been the subject of a recent proposed Congressional legislation that, if approved, could materially restrict our ability to conduct business with, and obtain API from WuXi, and the loss of any of these suppliers, including WuXi, could significantly harm our business.</w:t>
      </w:r>
    </w:p>
    <w:p>
      <w:pPr>
        <w:spacing w:after="0" w:line="196" w:lineRule="exact"/>
        <w:rPr>
          <w:rFonts w:ascii="Times New Roman" w:cs="Times New Roman" w:eastAsia="Times New Roman" w:hAnsi="Times New Roman"/>
          <w:sz w:val="18"/>
          <w:szCs w:val="18"/>
          <w:color w:val="auto"/>
        </w:rPr>
      </w:pPr>
    </w:p>
    <w:p>
      <w:pPr>
        <w:ind w:left="1040" w:right="140" w:hanging="452"/>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75" w:lineRule="exact"/>
        <w:rPr>
          <w:rFonts w:ascii="Times New Roman" w:cs="Times New Roman" w:eastAsia="Times New Roman" w:hAnsi="Times New Roman"/>
          <w:sz w:val="18"/>
          <w:szCs w:val="18"/>
          <w:color w:val="auto"/>
        </w:rPr>
      </w:pPr>
    </w:p>
    <w:p>
      <w:pPr>
        <w:ind w:left="1040" w:right="80" w:hanging="452"/>
        <w:spacing w:after="0" w:line="26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89"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84" w:lineRule="exact"/>
        <w:rPr>
          <w:sz w:val="20"/>
          <w:szCs w:val="20"/>
          <w:color w:val="auto"/>
        </w:rPr>
      </w:pPr>
    </w:p>
    <w:p>
      <w:pPr>
        <w:ind w:left="1040" w:right="40" w:hanging="452"/>
        <w:spacing w:after="0" w:line="25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IND filings and acceptance, active enrollment in clinical trials, dosing in clinical trials, future plans for dose expansions, and initiation and completion of studies or clinical trials and related preparatory work, and the period during which the results of the clinical trials (including initial and final trial results) will become available (such as clinical data from the ongoing TNG908 and TNG462 clinical trials expected in 2024);</w:t>
      </w:r>
    </w:p>
    <w:p>
      <w:pPr>
        <w:spacing w:after="0" w:line="196" w:lineRule="exact"/>
        <w:rPr>
          <w:rFonts w:ascii="Times New Roman" w:cs="Times New Roman" w:eastAsia="Times New Roman" w:hAnsi="Times New Roman"/>
          <w:sz w:val="18"/>
          <w:szCs w:val="18"/>
          <w:color w:val="auto"/>
        </w:rPr>
      </w:pPr>
    </w:p>
    <w:p>
      <w:pPr>
        <w:ind w:left="1040" w:right="300" w:hanging="452"/>
        <w:spacing w:after="0" w:line="312"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53" w:lineRule="exact"/>
        <w:rPr>
          <w:rFonts w:ascii="Times New Roman" w:cs="Times New Roman" w:eastAsia="Times New Roman" w:hAnsi="Times New Roman"/>
          <w:sz w:val="17"/>
          <w:szCs w:val="17"/>
          <w:color w:val="auto"/>
        </w:rPr>
      </w:pPr>
    </w:p>
    <w:p>
      <w:pPr>
        <w:ind w:left="1040" w:right="180" w:hanging="452"/>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75" w:lineRule="exact"/>
        <w:rPr>
          <w:rFonts w:ascii="Times New Roman" w:cs="Times New Roman" w:eastAsia="Times New Roman" w:hAnsi="Times New Roman"/>
          <w:sz w:val="18"/>
          <w:szCs w:val="18"/>
          <w:color w:val="auto"/>
        </w:rPr>
      </w:pPr>
    </w:p>
    <w:p>
      <w:pPr>
        <w:ind w:left="1040" w:right="80" w:hanging="452"/>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ind w:left="452" w:right="220" w:hanging="452"/>
        <w:spacing w:after="0" w:line="266"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late 2026);</w:t>
      </w:r>
    </w:p>
    <w:p>
      <w:pPr>
        <w:spacing w:after="0" w:line="18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38" w:lineRule="exact"/>
        <w:rPr>
          <w:rFonts w:ascii="Times New Roman" w:cs="Times New Roman" w:eastAsia="Times New Roman" w:hAnsi="Times New Roman"/>
          <w:sz w:val="18"/>
          <w:szCs w:val="18"/>
          <w:color w:val="auto"/>
        </w:rPr>
      </w:pPr>
    </w:p>
    <w:p>
      <w:pPr>
        <w:ind w:left="452"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38" w:lineRule="exact"/>
        <w:rPr>
          <w:rFonts w:ascii="Times New Roman" w:cs="Times New Roman" w:eastAsia="Times New Roman" w:hAnsi="Times New Roman"/>
          <w:sz w:val="18"/>
          <w:szCs w:val="18"/>
          <w:color w:val="auto"/>
        </w:rPr>
      </w:pPr>
    </w:p>
    <w:p>
      <w:pPr>
        <w:ind w:left="452" w:right="1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452" w:right="2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38" w:lineRule="exact"/>
        <w:rPr>
          <w:rFonts w:ascii="Times New Roman" w:cs="Times New Roman" w:eastAsia="Times New Roman" w:hAnsi="Times New Roman"/>
          <w:sz w:val="18"/>
          <w:szCs w:val="18"/>
          <w:color w:val="auto"/>
        </w:rPr>
      </w:pPr>
    </w:p>
    <w:p>
      <w:pPr>
        <w:ind w:left="452" w:right="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(such as CMS) and foreign regulatory authorities;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38" w:lineRule="exact"/>
        <w:rPr>
          <w:rFonts w:ascii="Times New Roman" w:cs="Times New Roman" w:eastAsia="Times New Roman" w:hAnsi="Times New Roman"/>
          <w:sz w:val="18"/>
          <w:szCs w:val="18"/>
          <w:color w:val="auto"/>
        </w:rPr>
      </w:pPr>
    </w:p>
    <w:p>
      <w:pPr>
        <w:ind w:left="452" w:right="7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175" w:lineRule="exact"/>
        <w:rPr>
          <w:rFonts w:ascii="Times New Roman" w:cs="Times New Roman" w:eastAsia="Times New Roman" w:hAnsi="Times New Roman"/>
          <w:sz w:val="18"/>
          <w:szCs w:val="18"/>
          <w:color w:val="auto"/>
        </w:rPr>
      </w:pPr>
    </w:p>
    <w:p>
      <w:pPr>
        <w:ind w:left="452" w:right="180" w:hanging="452"/>
        <w:spacing w:after="0" w:line="312" w:lineRule="auto"/>
        <w:tabs>
          <w:tab w:leader="none" w:pos="4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53"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38" w:lineRule="exact"/>
        <w:rPr>
          <w:rFonts w:ascii="Times New Roman" w:cs="Times New Roman" w:eastAsia="Times New Roman" w:hAnsi="Times New Roman"/>
          <w:sz w:val="18"/>
          <w:szCs w:val="18"/>
          <w:color w:val="auto"/>
        </w:rPr>
      </w:pPr>
    </w:p>
    <w:p>
      <w:pPr>
        <w:ind w:left="452" w:right="34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75" w:lineRule="exact"/>
        <w:rPr>
          <w:rFonts w:ascii="Times New Roman" w:cs="Times New Roman" w:eastAsia="Times New Roman" w:hAnsi="Times New Roman"/>
          <w:sz w:val="18"/>
          <w:szCs w:val="18"/>
          <w:color w:val="auto"/>
        </w:rPr>
      </w:pPr>
    </w:p>
    <w:p>
      <w:pPr>
        <w:jc w:val="both"/>
        <w:ind w:left="452" w:right="100" w:hanging="452"/>
        <w:spacing w:after="0" w:line="266"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expectation that TNG348 has both single agent activity and combination activity with a PARP inhibitor and TNG260 could be among the first oncology molecules to leverage the benefits of genetically-based patient selection; and</w:t>
      </w:r>
    </w:p>
    <w:p>
      <w:pPr>
        <w:spacing w:after="0" w:line="200" w:lineRule="exact"/>
        <w:rPr>
          <w:sz w:val="20"/>
          <w:szCs w:val="20"/>
          <w:color w:val="auto"/>
        </w:rPr>
      </w:pPr>
    </w:p>
    <w:p>
      <w:pPr>
        <w:spacing w:after="0" w:line="205"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32"/>
          </w:cols>
          <w:pgMar w:left="908" w:top="1201" w:right="359" w:bottom="1440" w:gutter="0" w:footer="0" w:header="0"/>
        </w:sectPr>
      </w:pPr>
    </w:p>
    <w:bookmarkStart w:id="5" w:name="page6"/>
    <w:bookmarkEnd w:id="5"/>
    <w:p>
      <w:pPr>
        <w:ind w:left="1040" w:right="240" w:hanging="45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identified in Part II, Item 1A of this Quarterly Report on Form 10-Q and in Part I, Item 1A of our Annual Report on Form 10-K for the year ended December 31, 2023 - in both cases, see section titled “Risk Factors.”</w:t>
      </w:r>
    </w:p>
    <w:p>
      <w:pPr>
        <w:spacing w:after="0" w:line="391"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our Annual Report on Form 10-K for the year ended December 31, 2023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2023.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DEFINED TERMS IN THIS QUARTERLY REPORT ON FORM 10-Q</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for the three months ended March 31, 2024, we use the following defined terms:</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 Tango Therapeutics, Inc.);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“HRD+” means homologous recombination deficient;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means this Quarterly Report on Form 10-Q for the three months ended March 31,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“SDMA” means symmetric di-methylation of specific arginine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4"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line="257" w:lineRule="auto"/>
        <w:rPr>
          <w:sz w:val="20"/>
          <w:szCs w:val="20"/>
          <w:color w:val="auto"/>
        </w:rPr>
      </w:pPr>
      <w:r>
        <w:rPr>
          <w:rFonts w:ascii="Times New Roman" w:cs="Times New Roman" w:eastAsia="Times New Roman" w:hAnsi="Times New Roman"/>
          <w:sz w:val="18"/>
          <w:szCs w:val="18"/>
          <w:color w:val="auto"/>
        </w:rPr>
        <w:t xml:space="preserve">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282,436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352,036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346,538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406,222</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62,812</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28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200,000,000 shares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at March 31, 2024 and December 31, 2023, respectively;</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106,730,785 and 102,202,759 shares issued and outstanding as of</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r>
      <w:tr>
        <w:trPr>
          <w:trHeight w:val="25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673,772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624,076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(257 )</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(409,170 )</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(371,256 )</w:t>
            </w:r>
          </w:p>
        </w:tc>
      </w:tr>
      <w:tr>
        <w:trPr>
          <w:trHeight w:val="236"/>
        </w:trPr>
        <w:tc>
          <w:tcPr>
            <w:tcW w:w="66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264,452</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253,108</w:t>
            </w:r>
          </w:p>
        </w:tc>
        <w:tc>
          <w:tcPr>
            <w:tcW w:w="100" w:type="dxa"/>
            <w:vAlign w:val="bottom"/>
            <w:tcBorders>
              <w:top w:val="single" w:sz="8" w:color="CFF0FC"/>
            </w:tcBorders>
          </w:tcPr>
          <w:p>
            <w:pPr>
              <w:spacing w:after="0"/>
              <w:rPr>
                <w:sz w:val="20"/>
                <w:szCs w:val="20"/>
                <w:color w:val="auto"/>
              </w:rPr>
            </w:pPr>
          </w:p>
        </w:tc>
      </w:tr>
      <w:tr>
        <w:trPr>
          <w:trHeight w:val="277"/>
        </w:trPr>
        <w:tc>
          <w:tcPr>
            <w:tcW w:w="6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406,222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-3710940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-3710940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-2142490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-2142490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6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tcPr>
          <w:p>
            <w:pPr>
              <w:spacing w:after="0"/>
              <w:rPr>
                <w:sz w:val="20"/>
                <w:szCs w:val="20"/>
                <w:color w:val="auto"/>
              </w:rPr>
            </w:pPr>
          </w:p>
        </w:tc>
      </w:tr>
      <w:tr>
        <w:trPr>
          <w:trHeight w:val="237"/>
        </w:trPr>
        <w:tc>
          <w:tcPr>
            <w:tcW w:w="6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(42,255 )</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(30,286 )</w:t>
            </w:r>
          </w:p>
        </w:tc>
      </w:tr>
      <w:tr>
        <w:trPr>
          <w:trHeight w:val="24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0"/>
                <w:szCs w:val="20"/>
                <w:color w:val="auto"/>
              </w:rPr>
            </w:pPr>
          </w:p>
        </w:tc>
      </w:tr>
      <w:tr>
        <w:trPr>
          <w:trHeight w:val="243"/>
        </w:trPr>
        <w:tc>
          <w:tcPr>
            <w:tcW w:w="6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0"/>
                <w:szCs w:val="20"/>
                <w:color w:val="auto"/>
              </w:rPr>
            </w:pPr>
          </w:p>
        </w:tc>
      </w:tr>
      <w:tr>
        <w:trPr>
          <w:trHeight w:val="241"/>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(37,874 )</w:t>
            </w:r>
          </w:p>
        </w:tc>
        <w:tc>
          <w:tcPr>
            <w:tcW w:w="3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(28,008 )</w:t>
            </w:r>
          </w:p>
        </w:tc>
      </w:tr>
      <w:tr>
        <w:trPr>
          <w:trHeight w:val="23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3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(37,914 )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(28,008 )</w:t>
            </w:r>
          </w:p>
        </w:tc>
      </w:tr>
      <w:tr>
        <w:trPr>
          <w:trHeight w:val="241"/>
        </w:trPr>
        <w:tc>
          <w:tcPr>
            <w:tcW w:w="666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(0.32 )</w:t>
            </w: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108,171,463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88,193,917</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(37,914 )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(28,008 )</w:t>
            </w:r>
          </w:p>
        </w:tc>
      </w:tr>
      <w:tr>
        <w:trPr>
          <w:trHeight w:val="24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(443 )</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(38,357 )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(26,504 )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-2545080</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-2545080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-1919605</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-1919605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-1276985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-1276985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-24765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-8255</wp:posOffset>
            </wp:positionV>
            <wp:extent cx="59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517"/>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9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2"/>
                <w:szCs w:val="12"/>
                <w:b w:val="1"/>
                <w:bCs w:val="1"/>
                <w:color w:val="auto"/>
              </w:rPr>
              <w:t>Loss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102,202,759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624,076</w:t>
            </w:r>
          </w:p>
        </w:tc>
        <w:tc>
          <w:tcPr>
            <w:tcW w:w="220" w:type="dxa"/>
            <w:vAlign w:val="bottom"/>
            <w:tcBorders>
              <w:left w:val="single" w:sz="8" w:color="CFF0FC"/>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(371,256 )</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526,826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4,001,200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41,719</w:t>
            </w:r>
          </w:p>
        </w:tc>
        <w:tc>
          <w:tcPr>
            <w:tcW w:w="220" w:type="dxa"/>
            <w:vAlign w:val="bottom"/>
            <w:tcBorders>
              <w:lef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tcBorders>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(443 )</w:t>
            </w: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(443 )</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(37,914 )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(37,914 )</w:t>
            </w:r>
          </w:p>
        </w:tc>
        <w:tc>
          <w:tcPr>
            <w:tcW w:w="0" w:type="dxa"/>
            <w:vAlign w:val="bottom"/>
          </w:tcPr>
          <w:p>
            <w:pPr>
              <w:spacing w:after="0"/>
              <w:rPr>
                <w:sz w:val="1"/>
                <w:szCs w:val="1"/>
                <w:color w:val="auto"/>
              </w:rPr>
            </w:pPr>
          </w:p>
        </w:tc>
      </w:tr>
      <w:tr>
        <w:trPr>
          <w:trHeight w:val="20"/>
        </w:trPr>
        <w:tc>
          <w:tcPr>
            <w:tcW w:w="30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106,730,785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673,772</w:t>
            </w:r>
          </w:p>
        </w:tc>
        <w:tc>
          <w:tcPr>
            <w:tcW w:w="220" w:type="dxa"/>
            <w:vAlign w:val="bottom"/>
            <w:tcBorders>
              <w:lef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(409,170 )</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30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2120" w:type="dxa"/>
            <w:vAlign w:val="bottom"/>
            <w:gridSpan w:val="5"/>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64"/>
        </w:trPr>
        <w:tc>
          <w:tcPr>
            <w:tcW w:w="3060" w:type="dxa"/>
            <w:vAlign w:val="bottom"/>
          </w:tcPr>
          <w:p>
            <w:pPr>
              <w:spacing w:after="0"/>
              <w:rPr>
                <w:sz w:val="14"/>
                <w:szCs w:val="14"/>
                <w:color w:val="auto"/>
              </w:rPr>
            </w:pPr>
          </w:p>
        </w:tc>
        <w:tc>
          <w:tcPr>
            <w:tcW w:w="212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88,179,374</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522,605</w:t>
            </w:r>
          </w:p>
        </w:tc>
        <w:tc>
          <w:tcPr>
            <w:tcW w:w="220" w:type="dxa"/>
            <w:vAlign w:val="bottom"/>
            <w:tcBorders>
              <w:left w:val="single" w:sz="8" w:color="CFF0FC"/>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(3,705 )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(269,512 )</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249,476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30,590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220" w:type="dxa"/>
            <w:vAlign w:val="bottom"/>
            <w:tcBorders>
              <w:lef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(28,008 )</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(28,008 )</w:t>
            </w:r>
          </w:p>
        </w:tc>
        <w:tc>
          <w:tcPr>
            <w:tcW w:w="0" w:type="dxa"/>
            <w:vAlign w:val="bottom"/>
          </w:tcPr>
          <w:p>
            <w:pPr>
              <w:spacing w:after="0"/>
              <w:rPr>
                <w:sz w:val="1"/>
                <w:szCs w:val="1"/>
                <w:color w:val="auto"/>
              </w:rPr>
            </w:pPr>
          </w:p>
        </w:tc>
      </w:tr>
      <w:tr>
        <w:trPr>
          <w:trHeight w:val="20"/>
        </w:trPr>
        <w:tc>
          <w:tcPr>
            <w:tcW w:w="306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88,209,964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526,897</w:t>
            </w:r>
          </w:p>
        </w:tc>
        <w:tc>
          <w:tcPr>
            <w:tcW w:w="2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(2,201 )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(297,520 )</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-1448435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-1430655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-1448435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-1430655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-1448435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-1430655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-1448435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-1430655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-1448435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-1430655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-144780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-144780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-144780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-144780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(37,914 )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(28,008 )</w:t>
            </w:r>
          </w:p>
        </w:tc>
        <w:tc>
          <w:tcPr>
            <w:tcW w:w="0" w:type="dxa"/>
            <w:vAlign w:val="bottom"/>
          </w:tcPr>
          <w:p>
            <w:pPr>
              <w:spacing w:after="0"/>
              <w:rPr>
                <w:sz w:val="1"/>
                <w:szCs w:val="1"/>
                <w:color w:val="auto"/>
              </w:rPr>
            </w:pPr>
          </w:p>
        </w:tc>
      </w:tr>
      <w:tr>
        <w:trPr>
          <w:trHeight w:val="215"/>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(1,371 )</w:t>
            </w: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(893 )</w:t>
            </w:r>
          </w:p>
        </w:tc>
        <w:tc>
          <w:tcPr>
            <w:tcW w:w="0" w:type="dxa"/>
            <w:vAlign w:val="bottom"/>
          </w:tcPr>
          <w:p>
            <w:pPr>
              <w:spacing w:after="0"/>
              <w:rPr>
                <w:sz w:val="1"/>
                <w:szCs w:val="1"/>
                <w:color w:val="auto"/>
              </w:rPr>
            </w:pPr>
          </w:p>
        </w:tc>
      </w:tr>
      <w:tr>
        <w:trPr>
          <w:trHeight w:val="23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(2,783 )</w:t>
            </w:r>
          </w:p>
        </w:tc>
        <w:tc>
          <w:tcPr>
            <w:tcW w:w="0" w:type="dxa"/>
            <w:vAlign w:val="bottom"/>
          </w:tcPr>
          <w:p>
            <w:pPr>
              <w:spacing w:after="0"/>
              <w:rPr>
                <w:sz w:val="1"/>
                <w:szCs w:val="1"/>
                <w:color w:val="auto"/>
              </w:rPr>
            </w:pPr>
          </w:p>
        </w:tc>
      </w:tr>
      <w:tr>
        <w:trPr>
          <w:trHeight w:val="23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(1,609 )</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(6,703 )</w:t>
            </w: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(188 )</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(6,471 )</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(5,766 )</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6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(37,857 )</w:t>
            </w:r>
          </w:p>
        </w:tc>
        <w:tc>
          <w:tcPr>
            <w:tcW w:w="3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(34,907 )</w:t>
            </w:r>
          </w:p>
        </w:tc>
        <w:tc>
          <w:tcPr>
            <w:tcW w:w="0" w:type="dxa"/>
            <w:vAlign w:val="bottom"/>
          </w:tcPr>
          <w:p>
            <w:pPr>
              <w:spacing w:after="0"/>
              <w:rPr>
                <w:sz w:val="1"/>
                <w:szCs w:val="1"/>
                <w:color w:val="auto"/>
              </w:rPr>
            </w:pPr>
          </w:p>
        </w:tc>
      </w:tr>
      <w:tr>
        <w:trPr>
          <w:trHeight w:val="241"/>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(195 )</w:t>
            </w: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23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(120,263 )</w:t>
            </w: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(52,534 )</w:t>
            </w: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(11,203 )</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at-the-market offerings, net of issuance costs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w:t>
            </w:r>
          </w:p>
        </w:tc>
        <w:tc>
          <w:tcPr>
            <w:tcW w:w="3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 shares under ESPP</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(6,078 )</w:t>
            </w: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(3,283 )</w:t>
            </w:r>
          </w:p>
        </w:tc>
        <w:tc>
          <w:tcPr>
            <w:tcW w:w="0" w:type="dxa"/>
            <w:vAlign w:val="bottom"/>
          </w:tcPr>
          <w:p>
            <w:pPr>
              <w:spacing w:after="0"/>
              <w:rPr>
                <w:sz w:val="1"/>
                <w:szCs w:val="1"/>
                <w:color w:val="auto"/>
              </w:rPr>
            </w:pPr>
          </w:p>
        </w:tc>
      </w:tr>
      <w:tr>
        <w:trPr>
          <w:trHeight w:val="23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63,730</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for leases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-2299970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-2299970</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-1545590</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-1545590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-911225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-911225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2022, the Company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gross proceeds of $43.0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3"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2024 and 2023 are not necessarily indicative of the results for the year ending December 31, 2024, any other interim periods, or any future year or period. The unaudited condensed consolidated financial statements for the three months ended March 31, 2024 and 2023 have been prepared on the same basis as and should be read in conjunction with the audited consolidated financial statements and notes included in the Company’s Annual Report on Form 10-K for the year ended December 31, 2023 as filed with the SEC on March 18, 2024.</w:t>
      </w:r>
    </w:p>
    <w:p>
      <w:pPr>
        <w:spacing w:after="0" w:line="18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2023, except as described below.</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20"/>
                <w:szCs w:val="20"/>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8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21"/>
                <w:szCs w:val="21"/>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21"/>
                <w:szCs w:val="21"/>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remaining lease term or 10 years</w:t>
            </w:r>
          </w:p>
        </w:tc>
      </w:tr>
    </w:tbl>
    <w:p>
      <w:pPr>
        <w:spacing w:after="0" w:line="19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is intended to improve financial reporting by requiring disclosure of incremental segment information on an annual and interim basis for all public entities to enable investors to develop more decision-useful financial analyses. The standard is effective for fiscal years beginning after December 15, 2023, and interim periods within fiscal years beginning after December 15, 2024. Upon adoption, the standard should be applied retrospectively to all prior periods presented in the financial statements. Early adoption is permitted. The Company is evaluating the potential impact of this adoption on the consolidated financial statements and related disclosures.</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Upon adoption, the standard should be applied on a prospective basis, although retrospective application is permitted. Early adoption is permitted. The Company is evaluating the potential impact of this adoption on the consolidated financial statements and related disclosures.</w:t>
      </w:r>
    </w:p>
    <w:p>
      <w:pPr>
        <w:spacing w:after="0" w:line="181"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initial target discovery and validation research and development efforts begun under the 2018 Gilead Agreement. Under the Gilead Agreement:</w:t>
      </w:r>
    </w:p>
    <w:p>
      <w:pPr>
        <w:spacing w:after="0" w:line="117" w:lineRule="exact"/>
        <w:rPr>
          <w:sz w:val="20"/>
          <w:szCs w:val="20"/>
          <w:color w:val="auto"/>
        </w:rPr>
      </w:pPr>
    </w:p>
    <w:p>
      <w:pPr>
        <w:ind w:left="1020" w:right="3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including as of the March 31, 2024 balance sheet date, Gilead maintains an ownership of less than 10% of the Company's common stock and is thus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March 31, 2024. The total transaction price was comprised of the $50.0 million upfront payment pursuant to the 2018 Gilead Agreement, the $125.0 million upfront payment pursuant to the Gilead Agreement, and $24.0 million in payment pursuant to research option-extension fees in December 2020 and in September 2021. During the three months ended March 31, 2024 and 2023, the Company recognized $6.5 million and $5.8 million, respectively, of collaboration revenue associated with the Gilead agreements based on performance completed during each period.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March 31, 2024 and December 31, 2023, the Company had short-term deferred revenue of $23.1 million and $25.7 million, respectively, and long-term deferred revenue of $62.8 million and $66.7 million, respectively, related to the Gilead collaboration. The remaining long-term deferred revenue is expected to be recognized proportionally to the completed obligations over an expected remaining contractual term of approximately 3.4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Agreements are recorded as research and development expense.</w:t>
      </w:r>
    </w:p>
    <w:p>
      <w:pPr>
        <w:spacing w:after="0" w:line="221"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247,379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247,379</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tcPr>
          <w:p>
            <w:pPr>
              <w:spacing w:after="0"/>
              <w:rPr>
                <w:sz w:val="20"/>
                <w:szCs w:val="20"/>
                <w:color w:val="auto"/>
              </w:rPr>
            </w:pP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286,399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tcPr>
          <w:p>
            <w:pPr>
              <w:spacing w:after="0"/>
              <w:rPr>
                <w:sz w:val="20"/>
                <w:szCs w:val="20"/>
                <w:color w:val="auto"/>
              </w:rPr>
            </w:pP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275,210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-1739265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-1722755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-1739265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-1722755</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-1739265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-1722755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-1739265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-1722755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months ended March 31, 2024.</w:t>
      </w:r>
    </w:p>
    <w:p>
      <w:pPr>
        <w:spacing w:after="0" w:line="22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980" w:type="dxa"/>
            <w:vAlign w:val="bottom"/>
          </w:tcPr>
          <w:p>
            <w:pPr>
              <w:jc w:val="center"/>
              <w:ind w:left="16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ind w:left="30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Loss</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247,574</w:t>
            </w:r>
          </w:p>
        </w:tc>
        <w:tc>
          <w:tcPr>
            <w:tcW w:w="1240" w:type="dxa"/>
            <w:vAlign w:val="bottom"/>
            <w:gridSpan w:val="2"/>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gridSpan w:val="2"/>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282,693</w:t>
            </w:r>
          </w:p>
        </w:tc>
        <w:tc>
          <w:tcPr>
            <w:tcW w:w="260" w:type="dxa"/>
            <w:vAlign w:val="bottom"/>
          </w:tcPr>
          <w:p>
            <w:pPr>
              <w:spacing w:after="0"/>
              <w:rPr>
                <w:sz w:val="20"/>
                <w:szCs w:val="20"/>
                <w:color w:val="auto"/>
              </w:rPr>
            </w:pPr>
          </w:p>
        </w:tc>
        <w:tc>
          <w:tcPr>
            <w:tcW w:w="980" w:type="dxa"/>
            <w:vAlign w:val="bottom"/>
          </w:tcPr>
          <w:p>
            <w:pPr>
              <w:jc w:val="right"/>
              <w:ind w:right="80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-1224915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-1224915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-1224915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-1224915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(139 )</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270,314</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-187960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$42.9 million as of March 31, 2024 with contractual maturity dates greater than one year.</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300" w:type="dxa"/>
            <w:vAlign w:val="bottom"/>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22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Unrealized loss</w:t>
            </w:r>
          </w:p>
        </w:tc>
        <w:tc>
          <w:tcPr>
            <w:tcW w:w="100" w:type="dxa"/>
            <w:vAlign w:val="bottom"/>
          </w:tcPr>
          <w:p>
            <w:pPr>
              <w:spacing w:after="0"/>
              <w:rPr>
                <w:sz w:val="21"/>
                <w:szCs w:val="21"/>
                <w:color w:val="auto"/>
              </w:rPr>
            </w:pPr>
          </w:p>
        </w:tc>
        <w:tc>
          <w:tcPr>
            <w:tcW w:w="20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6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161,683</w:t>
            </w:r>
          </w:p>
        </w:tc>
        <w:tc>
          <w:tcPr>
            <w:tcW w:w="100" w:type="dxa"/>
            <w:vAlign w:val="bottom"/>
            <w:tcBorders>
              <w:left w:val="single" w:sz="8" w:color="CFF0FC"/>
            </w:tcBorders>
            <w:shd w:val="clear" w:color="auto" w:fill="CFF0FC"/>
          </w:tcPr>
          <w:p>
            <w:pPr>
              <w:spacing w:after="0"/>
              <w:rPr>
                <w:sz w:val="20"/>
                <w:szCs w:val="20"/>
                <w:color w:val="auto"/>
              </w:rPr>
            </w:pPr>
          </w:p>
        </w:tc>
        <w:tc>
          <w:tcPr>
            <w:tcW w:w="860" w:type="dxa"/>
            <w:vAlign w:val="bottom"/>
            <w:gridSpan w:val="3"/>
            <w:shd w:val="clear" w:color="auto" w:fill="CFF0FC"/>
          </w:tcPr>
          <w:p>
            <w:pPr>
              <w:jc w:val="right"/>
              <w:ind w:right="46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(246 )</w:t>
            </w:r>
          </w:p>
        </w:tc>
        <w:tc>
          <w:tcPr>
            <w:tcW w:w="2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20"/>
                <w:szCs w:val="20"/>
                <w:color w:val="auto"/>
              </w:rPr>
            </w:pPr>
          </w:p>
        </w:tc>
        <w:tc>
          <w:tcPr>
            <w:tcW w:w="6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FF0FC"/>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161,683</w:t>
            </w:r>
          </w:p>
        </w:tc>
        <w:tc>
          <w:tcPr>
            <w:tcW w:w="680" w:type="dxa"/>
            <w:vAlign w:val="bottom"/>
            <w:tcBorders>
              <w:left w:val="single" w:sz="8" w:color="CFF0FC"/>
            </w:tcBorders>
            <w:gridSpan w:val="4"/>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(246 )</w:t>
            </w:r>
          </w:p>
        </w:tc>
      </w:tr>
      <w:tr>
        <w:trPr>
          <w:trHeight w:val="239"/>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26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6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178,414</w:t>
            </w:r>
          </w:p>
        </w:tc>
        <w:tc>
          <w:tcPr>
            <w:tcW w:w="100" w:type="dxa"/>
            <w:vAlign w:val="bottom"/>
            <w:tcBorders>
              <w:left w:val="single" w:sz="8" w:color="CFF0FC"/>
            </w:tcBorders>
            <w:shd w:val="clear" w:color="auto" w:fill="CFF0FC"/>
          </w:tcPr>
          <w:p>
            <w:pPr>
              <w:spacing w:after="0"/>
              <w:rPr>
                <w:sz w:val="22"/>
                <w:szCs w:val="22"/>
                <w:color w:val="auto"/>
              </w:rPr>
            </w:pPr>
          </w:p>
        </w:tc>
        <w:tc>
          <w:tcPr>
            <w:tcW w:w="260" w:type="dxa"/>
            <w:vAlign w:val="bottom"/>
            <w:tcBorders>
              <w:right w:val="single" w:sz="8" w:color="CFF0FC"/>
            </w:tcBorders>
            <w:gridSpan w:val="2"/>
            <w:shd w:val="clear" w:color="auto" w:fill="CFF0FC"/>
          </w:tcPr>
          <w:p>
            <w:pPr>
              <w:spacing w:after="0"/>
              <w:rPr>
                <w:sz w:val="22"/>
                <w:szCs w:val="22"/>
                <w:color w:val="auto"/>
              </w:rPr>
            </w:pPr>
          </w:p>
        </w:tc>
        <w:tc>
          <w:tcPr>
            <w:tcW w:w="600" w:type="dxa"/>
            <w:vAlign w:val="bottom"/>
            <w:shd w:val="clear" w:color="auto" w:fill="CFF0FC"/>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(261 )</w:t>
            </w:r>
          </w:p>
        </w:tc>
        <w:tc>
          <w:tcPr>
            <w:tcW w:w="2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20" w:type="dxa"/>
            <w:vAlign w:val="bottom"/>
            <w:tcBorders>
              <w:left w:val="single" w:sz="8" w:color="CFF0FC"/>
            </w:tcBorders>
            <w:shd w:val="clear" w:color="auto" w:fill="CFF0FC"/>
          </w:tcPr>
          <w:p>
            <w:pPr>
              <w:spacing w:after="0"/>
              <w:rPr>
                <w:sz w:val="22"/>
                <w:szCs w:val="22"/>
                <w:color w:val="auto"/>
              </w:rPr>
            </w:pPr>
          </w:p>
        </w:tc>
        <w:tc>
          <w:tcPr>
            <w:tcW w:w="6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shd w:val="clear" w:color="auto" w:fill="CFF0FC"/>
          </w:tcPr>
          <w:p>
            <w:pPr>
              <w:spacing w:after="0"/>
              <w:rPr>
                <w:sz w:val="22"/>
                <w:szCs w:val="22"/>
                <w:color w:val="auto"/>
              </w:rPr>
            </w:pPr>
          </w:p>
        </w:tc>
        <w:tc>
          <w:tcPr>
            <w:tcW w:w="1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191,363</w:t>
            </w:r>
          </w:p>
        </w:tc>
        <w:tc>
          <w:tcPr>
            <w:tcW w:w="680" w:type="dxa"/>
            <w:vAlign w:val="bottom"/>
            <w:tcBorders>
              <w:left w:val="single" w:sz="8" w:color="CFF0FC"/>
            </w:tcBorders>
            <w:gridSpan w:val="4"/>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(310 )</w:t>
            </w:r>
          </w:p>
        </w:tc>
      </w:tr>
      <w:tr>
        <w:trPr>
          <w:trHeight w:val="20"/>
        </w:trPr>
        <w:tc>
          <w:tcPr>
            <w:tcW w:w="26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73"/>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300" w:type="dxa"/>
            <w:vAlign w:val="bottom"/>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Unrealized loss</w:t>
            </w:r>
          </w:p>
        </w:tc>
        <w:tc>
          <w:tcPr>
            <w:tcW w:w="140" w:type="dxa"/>
            <w:vAlign w:val="bottom"/>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26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100" w:type="dxa"/>
            <w:vAlign w:val="bottom"/>
            <w:tcBorders>
              <w:left w:val="single" w:sz="8" w:color="CFF0FC"/>
            </w:tcBorders>
            <w:shd w:val="clear" w:color="auto" w:fill="CFF0FC"/>
          </w:tcPr>
          <w:p>
            <w:pPr>
              <w:spacing w:after="0"/>
              <w:rPr>
                <w:sz w:val="20"/>
                <w:szCs w:val="20"/>
                <w:color w:val="auto"/>
              </w:rPr>
            </w:pPr>
          </w:p>
        </w:tc>
        <w:tc>
          <w:tcPr>
            <w:tcW w:w="8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20" w:type="dxa"/>
            <w:vAlign w:val="bottom"/>
            <w:tcBorders>
              <w:left w:val="single" w:sz="8" w:color="CFF0FC"/>
            </w:tcBorders>
            <w:shd w:val="clear" w:color="auto" w:fill="CFF0FC"/>
          </w:tcPr>
          <w:p>
            <w:pPr>
              <w:spacing w:after="0"/>
              <w:rPr>
                <w:sz w:val="20"/>
                <w:szCs w:val="20"/>
                <w:color w:val="auto"/>
              </w:rPr>
            </w:pPr>
          </w:p>
        </w:tc>
        <w:tc>
          <w:tcPr>
            <w:tcW w:w="6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w:t>
            </w:r>
          </w:p>
        </w:tc>
        <w:tc>
          <w:tcPr>
            <w:tcW w:w="680" w:type="dxa"/>
            <w:vAlign w:val="bottom"/>
            <w:tcBorders>
              <w:left w:val="single" w:sz="8" w:color="CFF0FC"/>
            </w:tcBorders>
            <w:gridSpan w:val="4"/>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r>
      <w:tr>
        <w:trPr>
          <w:trHeight w:val="239"/>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(139 )</w:t>
            </w:r>
          </w:p>
        </w:tc>
      </w:tr>
      <w:tr>
        <w:trPr>
          <w:trHeight w:val="20"/>
        </w:trPr>
        <w:tc>
          <w:tcPr>
            <w:tcW w:w="2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6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100" w:type="dxa"/>
            <w:vAlign w:val="bottom"/>
            <w:tcBorders>
              <w:left w:val="single" w:sz="8" w:color="CFF0FC"/>
            </w:tcBorders>
            <w:shd w:val="clear" w:color="auto" w:fill="CFF0FC"/>
          </w:tcPr>
          <w:p>
            <w:pPr>
              <w:spacing w:after="0"/>
              <w:rPr>
                <w:sz w:val="22"/>
                <w:szCs w:val="22"/>
                <w:color w:val="auto"/>
              </w:rPr>
            </w:pPr>
          </w:p>
        </w:tc>
        <w:tc>
          <w:tcPr>
            <w:tcW w:w="260" w:type="dxa"/>
            <w:vAlign w:val="bottom"/>
            <w:tcBorders>
              <w:right w:val="single" w:sz="8" w:color="CFF0FC"/>
            </w:tcBorders>
            <w:gridSpan w:val="2"/>
            <w:shd w:val="clear" w:color="auto" w:fill="CFF0FC"/>
          </w:tcPr>
          <w:p>
            <w:pPr>
              <w:spacing w:after="0"/>
              <w:rPr>
                <w:sz w:val="22"/>
                <w:szCs w:val="22"/>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20" w:type="dxa"/>
            <w:vAlign w:val="bottom"/>
            <w:tcBorders>
              <w:left w:val="single" w:sz="8" w:color="CFF0FC"/>
            </w:tcBorders>
            <w:shd w:val="clear" w:color="auto" w:fill="CFF0FC"/>
          </w:tcPr>
          <w:p>
            <w:pPr>
              <w:spacing w:after="0"/>
              <w:rPr>
                <w:sz w:val="22"/>
                <w:szCs w:val="22"/>
                <w:color w:val="auto"/>
              </w:rPr>
            </w:pPr>
          </w:p>
        </w:tc>
        <w:tc>
          <w:tcPr>
            <w:tcW w:w="6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(161 )</w:t>
            </w:r>
          </w:p>
        </w:tc>
        <w:tc>
          <w:tcPr>
            <w:tcW w:w="1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92,021</w:t>
            </w:r>
          </w:p>
        </w:tc>
        <w:tc>
          <w:tcPr>
            <w:tcW w:w="680" w:type="dxa"/>
            <w:vAlign w:val="bottom"/>
            <w:tcBorders>
              <w:left w:val="single" w:sz="8" w:color="CFF0FC"/>
            </w:tcBorders>
            <w:gridSpan w:val="4"/>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(195 )</w:t>
            </w:r>
          </w:p>
        </w:tc>
      </w:tr>
      <w:tr>
        <w:trPr>
          <w:trHeight w:val="20"/>
        </w:trPr>
        <w:tc>
          <w:tcPr>
            <w:tcW w:w="26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-1482090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-1464945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-1482090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-1464945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-1482090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-1464945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-1482090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-1464945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-1482090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-1464945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-1482090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-1464945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March 31, 2024,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$1.4 million and $1.8 million in accrued interest at March 31, 2024 and December 31, 2023,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p>
      <w:pPr>
        <w:ind w:left="520" w:right="7500" w:hanging="512"/>
        <w:spacing w:after="0" w:line="503" w:lineRule="auto"/>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gridSpan w:val="2"/>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19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8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3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tcPr>
          <w:p>
            <w:pPr>
              <w:spacing w:after="0"/>
              <w:rPr>
                <w:sz w:val="20"/>
                <w:szCs w:val="20"/>
                <w:color w:val="auto"/>
              </w:rPr>
            </w:pPr>
          </w:p>
        </w:tc>
        <w:tc>
          <w:tcPr>
            <w:tcW w:w="22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(6,613 )</w:t>
            </w:r>
          </w:p>
        </w:tc>
        <w:tc>
          <w:tcPr>
            <w:tcW w:w="52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(5,989 )</w:t>
            </w:r>
          </w:p>
        </w:tc>
      </w:tr>
      <w:tr>
        <w:trPr>
          <w:trHeight w:val="277"/>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3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$0.6 million and $0.6 million for the three months ended March 31, 2024 and 2023,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and 2023, the Company maintained a restricted cash balance of $2.6 million and $3.4 million, respectively, all of which was related to a security deposit associated with the Company’s facility lease. The cash will remain restricted in accordance with the lease agreement absent the event of a lease termination or modification. The reconciliation of cash and cash equivalents and restricted cash to amounts presented in the condensed consolidated statements of cash flows are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83"/>
        </w:trPr>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57,252</w:t>
            </w:r>
          </w:p>
        </w:tc>
        <w:tc>
          <w:tcPr>
            <w:tcW w:w="80" w:type="dxa"/>
            <w:vAlign w:val="bottom"/>
            <w:shd w:val="clear" w:color="auto" w:fill="CFF0FC"/>
          </w:tcPr>
          <w:p>
            <w:pPr>
              <w:spacing w:after="0"/>
              <w:rPr>
                <w:sz w:val="20"/>
                <w:szCs w:val="20"/>
                <w:color w:val="auto"/>
              </w:rPr>
            </w:pPr>
          </w:p>
        </w:tc>
      </w:tr>
      <w:tr>
        <w:trPr>
          <w:trHeight w:val="23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63,730</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right="8120" w:hanging="512"/>
        <w:spacing w:after="0" w:line="532" w:lineRule="auto"/>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Other Funding Commitments</w:t>
      </w:r>
    </w:p>
    <w:p>
      <w:pPr>
        <w:spacing w:after="0" w:line="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The Company, from time to time, may be party to litigation arising in the ordinary course of business. The Company was not subject to any material legal proceedings as of March 31, 2024,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68" w:lineRule="exact"/>
        <w:rPr>
          <w:sz w:val="20"/>
          <w:szCs w:val="20"/>
          <w:color w:val="auto"/>
        </w:rPr>
      </w:pPr>
    </w:p>
    <w:p>
      <w:pPr>
        <w:ind w:left="520" w:right="7560" w:hanging="512"/>
        <w:spacing w:after="0" w:line="503" w:lineRule="auto"/>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Stock </w:t>
      </w:r>
      <w:r>
        <w:rPr>
          <w:rFonts w:ascii="Times New Roman" w:cs="Times New Roman" w:eastAsia="Times New Roman" w:hAnsi="Times New Roman"/>
          <w:sz w:val="18"/>
          <w:szCs w:val="18"/>
          <w:b w:val="1"/>
          <w:bCs w:val="1"/>
          <w:i w:val="1"/>
          <w:iCs w:val="1"/>
          <w:color w:val="auto"/>
        </w:rPr>
        <w:t>Undesignated Preferred Stock</w:t>
      </w: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March 31, 2024. The shares of preferred stock are currently undesignated and no shares are issued or outstanding.</w:t>
      </w:r>
    </w:p>
    <w:p>
      <w:pPr>
        <w:spacing w:after="0" w:line="172" w:lineRule="exact"/>
        <w:rPr>
          <w:sz w:val="20"/>
          <w:szCs w:val="20"/>
          <w:color w:val="auto"/>
        </w:rPr>
      </w:pPr>
    </w:p>
    <w:p>
      <w:pPr>
        <w:ind w:left="520" w:right="8620" w:hanging="512"/>
        <w:spacing w:after="0" w:line="532" w:lineRule="auto"/>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Company's stockholders approved the 2021 Plan under which stock options, restricted stock units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 As of March 31, 2024, the Company had 6,731,840 shares available for future issuance under the 2021 Plan.</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2023 Inducement Plan (the Inducement Plan) became effective upon approval of the Company's board of directors in February 2023. The Inducement Plan allows the Company to make equity and equity-based incentive awards to individuals who were not previously employees or directors of the Company. As of March 31, 2024, the Company had 2,057,750 shares available for future issuance under the Inducement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40" w:type="dxa"/>
            <w:vAlign w:val="bottom"/>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center"/>
              <w:ind w:left="75"/>
              <w:spacing w:after="0"/>
              <w:rPr>
                <w:sz w:val="20"/>
                <w:szCs w:val="20"/>
                <w:color w:val="auto"/>
              </w:rPr>
            </w:pPr>
            <w:r>
              <w:rPr>
                <w:rFonts w:ascii="Times New Roman" w:cs="Times New Roman" w:eastAsia="Times New Roman" w:hAnsi="Times New Roman"/>
                <w:sz w:val="18"/>
                <w:szCs w:val="18"/>
                <w:color w:val="auto"/>
                <w:w w:val="98"/>
              </w:rPr>
              <w:t>3,806</w:t>
            </w:r>
          </w:p>
        </w:tc>
        <w:tc>
          <w:tcPr>
            <w:tcW w:w="1520" w:type="dxa"/>
            <w:vAlign w:val="bottom"/>
            <w:gridSpan w:val="2"/>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FF0FC"/>
          </w:tcPr>
          <w:p>
            <w:pPr>
              <w:spacing w:after="0"/>
              <w:rPr>
                <w:sz w:val="21"/>
                <w:szCs w:val="2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8"/>
              </w:rPr>
              <w:t>2,913</w:t>
            </w:r>
          </w:p>
        </w:tc>
        <w:tc>
          <w:tcPr>
            <w:tcW w:w="3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20"/>
                <w:szCs w:val="20"/>
                <w:color w:val="auto"/>
              </w:rPr>
            </w:pPr>
          </w:p>
        </w:tc>
      </w:tr>
      <w:tr>
        <w:trPr>
          <w:trHeight w:val="237"/>
        </w:trPr>
        <w:tc>
          <w:tcPr>
            <w:tcW w:w="6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center"/>
              <w:ind w:left="75"/>
              <w:spacing w:after="0"/>
              <w:rPr>
                <w:sz w:val="20"/>
                <w:szCs w:val="20"/>
                <w:color w:val="auto"/>
              </w:rPr>
            </w:pPr>
            <w:r>
              <w:rPr>
                <w:rFonts w:ascii="Times New Roman" w:cs="Times New Roman" w:eastAsia="Times New Roman" w:hAnsi="Times New Roman"/>
                <w:sz w:val="18"/>
                <w:szCs w:val="18"/>
                <w:color w:val="auto"/>
                <w:w w:val="98"/>
              </w:rPr>
              <w:t>6,719</w:t>
            </w:r>
          </w:p>
        </w:tc>
        <w:tc>
          <w:tcPr>
            <w:tcW w:w="3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2024:</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Pr>
          <w:p>
            <w:pPr>
              <w:jc w:val="center"/>
              <w:ind w:left="3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960" w:type="dxa"/>
            <w:vAlign w:val="bottom"/>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top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16,734,960</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8"/>
              </w:rPr>
              <w:t>62,640,906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4,288,631</w:t>
            </w:r>
          </w:p>
        </w:tc>
        <w:tc>
          <w:tcPr>
            <w:tcW w:w="260" w:type="dxa"/>
            <w:vAlign w:val="bottom"/>
          </w:tcPr>
          <w:p>
            <w:pPr>
              <w:spacing w:after="0"/>
              <w:rPr>
                <w:sz w:val="20"/>
                <w:szCs w:val="20"/>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12.12</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(333,511 )</w:t>
            </w: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(100,855 )</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March 31, 2024</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20,589,225</w:t>
            </w:r>
          </w:p>
        </w:tc>
        <w:tc>
          <w:tcPr>
            <w:tcW w:w="2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8"/>
              </w:rPr>
              <w:t>37,007,114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as of March 31,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9,348,930</w:t>
            </w:r>
          </w:p>
        </w:tc>
        <w:tc>
          <w:tcPr>
            <w:tcW w:w="260" w:type="dxa"/>
            <w:vAlign w:val="bottom"/>
          </w:tcPr>
          <w:p>
            <w:pPr>
              <w:spacing w:after="0"/>
              <w:rPr>
                <w:sz w:val="20"/>
                <w:szCs w:val="20"/>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24,344,914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stock options was $63.6 million, which the Company expects to recognize over a remaining weighted-average period of 2.7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three months ended March 31, 2024:</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18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757,514</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709,718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(197,925 )</w:t>
            </w: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(14,851 )</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March 31, 2024</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1,254,456</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RSUs was $10.7 million, which the Company expects to recognize over a remaining weighted-average period of 2.4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00" w:lineRule="exact"/>
        <w:rPr>
          <w:sz w:val="20"/>
          <w:szCs w:val="20"/>
          <w:color w:val="auto"/>
        </w:rPr>
      </w:pPr>
    </w:p>
    <w:p>
      <w:pPr>
        <w:spacing w:after="0" w:line="24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upon the closing of the Business Combination. During the three months ended March 31, 2024, the Company issued zero shares of common stock under the 2021 ESPP.</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9" w:name="page20"/>
    <w:bookmarkEnd w:id="19"/>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31"/>
        </w:trPr>
        <w:tc>
          <w:tcPr>
            <w:tcW w:w="69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gridSpan w:val="4"/>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(37,914 )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(28,008 )</w:t>
            </w:r>
          </w:p>
        </w:tc>
      </w:tr>
      <w:tr>
        <w:trPr>
          <w:trHeight w:val="241"/>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108,171,463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88,193,917</w:t>
            </w:r>
          </w:p>
        </w:tc>
        <w:tc>
          <w:tcPr>
            <w:tcW w:w="100" w:type="dxa"/>
            <w:vAlign w:val="bottom"/>
          </w:tcPr>
          <w:p>
            <w:pPr>
              <w:spacing w:after="0"/>
              <w:rPr>
                <w:sz w:val="20"/>
                <w:szCs w:val="20"/>
                <w:color w:val="auto"/>
              </w:rPr>
            </w:pPr>
          </w:p>
        </w:tc>
      </w:tr>
      <w:tr>
        <w:trPr>
          <w:trHeight w:val="23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(0.32 )</w:t>
            </w:r>
          </w:p>
        </w:tc>
      </w:tr>
      <w:tr>
        <w:trPr>
          <w:trHeight w:val="20"/>
        </w:trPr>
        <w:tc>
          <w:tcPr>
            <w:tcW w:w="6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1" w:lineRule="exact"/>
        <w:rPr>
          <w:sz w:val="20"/>
          <w:szCs w:val="20"/>
          <w:color w:val="auto"/>
        </w:rPr>
      </w:pPr>
    </w:p>
    <w:tbl>
      <w:tblPr>
        <w:tblLayout w:type="fixed"/>
        <w:tblInd w:w="760"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238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60" w:type="dxa"/>
            <w:vAlign w:val="bottom"/>
          </w:tcPr>
          <w:p>
            <w:pPr>
              <w:spacing w:after="0"/>
              <w:rPr>
                <w:sz w:val="14"/>
                <w:szCs w:val="14"/>
                <w:color w:val="auto"/>
              </w:rPr>
            </w:pPr>
          </w:p>
        </w:tc>
        <w:tc>
          <w:tcPr>
            <w:tcW w:w="18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20,589,225</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17,018,240</w:t>
            </w:r>
          </w:p>
        </w:tc>
        <w:tc>
          <w:tcPr>
            <w:tcW w:w="100" w:type="dxa"/>
            <w:vAlign w:val="bottom"/>
            <w:shd w:val="clear" w:color="auto" w:fill="CFF0FC"/>
          </w:tcPr>
          <w:p>
            <w:pPr>
              <w:spacing w:after="0"/>
              <w:rPr>
                <w:sz w:val="20"/>
                <w:szCs w:val="20"/>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1,254,456</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633,626</w:t>
            </w:r>
          </w:p>
        </w:tc>
        <w:tc>
          <w:tcPr>
            <w:tcW w:w="100" w:type="dxa"/>
            <w:vAlign w:val="bottom"/>
          </w:tcPr>
          <w:p>
            <w:pPr>
              <w:spacing w:after="0"/>
              <w:rPr>
                <w:sz w:val="20"/>
                <w:szCs w:val="20"/>
                <w:color w:val="auto"/>
              </w:rPr>
            </w:pPr>
          </w:p>
        </w:tc>
      </w:tr>
      <w:tr>
        <w:trPr>
          <w:trHeight w:val="237"/>
        </w:trPr>
        <w:tc>
          <w:tcPr>
            <w:tcW w:w="6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21,843,681</w:t>
            </w: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17,651,866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-0.1% and 0.0% for the three months ended March 31, 2024 and 2023, respectively. The income tax provision was less than $0.1 million and $0 for the three months ended March 31, 2024 and 2023, respectively. Consistent with the prior year, for 2024 the Company assessed the requirement to capitalize and amortize research and experimentation expenditures for US tax purposes, which remains effective as of March 31, 2024. The Company is forecasting a taxable loss position in 2024 for which no tax benefit is recorded due to the valuation allowance maintained against the Company’s deferred tax assets.</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2024 and 2023 differed from the 21.0% federal statutory rate primarily due to the valuation allowance maintained against the Company’s deferred tax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2023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2023,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8"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Our lead program, TNG908, is an MTA-cooperative inhibitor of PRMT5 designed to work selectively in cancer cells with an MTAP deletion. MTAP-deletion occurs in approximately 10% to 15% of all human tumors including glioblastoma, non-small cell lung cancer and pancreatic cancer. In preclinical studies, TNG908 demonstrated 15-fold greater potency in MTAP-deleted cancer cells versus normal cells and robust efficacy in vitro and in vivo. Initial pharmacodynamic (PD) data from the ongoing TNG908 Phase 1/2 study,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In the second quarter of 2024, we initiated the dose expansion portion of the phase 1/2 clinical trial, opening cohorts in glioblastoma, non-small cell lung and pancreatic cancers at 600 mg twice-daily (BID). Clinical data from the ongoing trial are expected in the second half of 2024.</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who may benefit from a PRMT5 inhibitor, and the resulting potential business opportunity, we also developed a next-generation PRMT5 inhibitor, TNG462, with increased potency, MTAP 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similar to TNG908, evaluating safety and efficacy in multiple tumor types in a Phase 1/2 clinical trial. GBM is excluded from the clinical trial as TNG462 is not expected to cross the blood-brain barrier. The TNG462 IND was cleared by the FDA in the first quarter of 2023 and we announced the first patient in the Phase 1/2 clinical trial was dosed in July 2023. Patients are actively being enrolled in the dose escalation portion of the trial and to date, the safety, tolerability and pharmacokinetics profiles of TNG462 remain favorable with increasing doses. We expect to initiate the dose expansion portion of the phase 1/2 clinical trial in the second quarter of 2024. Clinical data from the ongoing trial are expected in the second half of 2024.</w:t>
      </w:r>
    </w:p>
    <w:p>
      <w:pPr>
        <w:spacing w:after="0" w:line="18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mutation, a setting where an anti-PD-1 antibody alone is inactive. In the first quarter of 2023, the FDA cleared the TNG260 IND and we announced the first patient in the Phase 1/2 clinical trial was dosed in July 2023. Patients are actively being enrolled in the dose escalation portion of the trial and to date, the safety, tolerability and pharmacokinetics profiles of TNG260 remain favorable. The trial is evaluating the safety, pharmacokinetics, PD and efficacy of TNG260 in combination with pembrolizumab, with a one cycle single agent run-in phase to evaluate the safety and PK of TNG260, in patients with locally advanced or metastatic solid tumors with 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 w:name="page22"/>
    <w:bookmarkEnd w:id="21"/>
    <w:p>
      <w:pPr>
        <w:ind w:right="460"/>
        <w:spacing w:after="0" w:line="282" w:lineRule="auto"/>
        <w:rPr>
          <w:sz w:val="20"/>
          <w:szCs w:val="20"/>
          <w:color w:val="auto"/>
        </w:rPr>
      </w:pPr>
      <w:r>
        <w:rPr>
          <w:rFonts w:ascii="Times New Roman" w:cs="Times New Roman" w:eastAsia="Times New Roman" w:hAnsi="Times New Roman"/>
          <w:sz w:val="18"/>
          <w:szCs w:val="18"/>
          <w:color w:val="auto"/>
        </w:rPr>
        <w:t>STK11 loss-of-function mutation. We believe that TNG260 could be among the first oncology molecules to leverage the benefits of genetically-based patient selection (STK11-mutation) with checkpoint inhibitor therapy.</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developing TNG348, a novel allosteric inhibitor of USP1 for treatment of BRCA1, BRCA2-mutant and other HRD+ cancers. HRD+ cancers, including BRCA 1/2 mutations, represent approximately 50% of ovarian, 25% of breast, 10% of prostate and 5%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inhibitor-naïve and PARP inhibitor-resistant BRCA1/2 mutant and other HRD+ cancers. Additionally, we expect TNG348 to synergize with PARP inhibitors in these acquired resistance settings, effectively restoring sensitivity to PARPi. The FDA cleared the TNG348 IND in the third quarter of 2023 and we announced the first patient in the Phase 1/2 clinical trial was dosed in January 2024. Patients are actively being enrolled in the dose escalation portion of the trial and to date, single agent pharmacokinetic, pharmacodynamic, safety and tolerability data are favorable.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$225.1 million through our collaboration with Gilead and $123.0 million of gross proceeds through (i) $80.0 million from the private placement of common shares and pre-funded warrants to purchase common shares in August 2023 and (ii) $43.0 million from our "at-the-market" stock offering program in January 2024.</w:t>
      </w:r>
    </w:p>
    <w:p>
      <w:pPr>
        <w:spacing w:after="0" w:line="18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March 31, 2024 of $343.6 million will enable us to fund our operating expenses and capital expenditure requirements at least into late 2026. Since inception, we have incurred significant operating losses. For the three months ended March 31, 2024 and 2023, our net losses were $37.9 million and $28.0 million, respectively. We had an accumulated deficit of $409.2 million as of March 31, 2024.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gross proceeds of $43.0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w:t>
      </w:r>
    </w:p>
    <w:p>
      <w:pPr>
        <w:spacing w:after="0" w:line="19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$113.1 million has been recognized as collaboration revenue related to the upfront and research option-extension payments from the Gilead agreements.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we recognized $6.5 million and $5.8 million, respectively, of collaboration revenue associated with the Gilead agreements based on performance completed during each period.</w:t>
      </w:r>
    </w:p>
    <w:p>
      <w:pPr>
        <w:spacing w:after="0" w:line="16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Refer to Note 2 and Note 3 to our unaudited condensed consolidated financial statements and related notes appearing elsewhere in this Quarterly Report on Form 10-Q and our audited consolidated financial statements and related notes for the year ended December 31, 2023 included in our Annual Report on Form 10-K for additional information regarding our revenue recognition accounting policy and our collaboration agreement with Gilead.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18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0"/>
                <w:szCs w:val="20"/>
                <w:color w:val="auto"/>
              </w:rPr>
            </w:pPr>
          </w:p>
        </w:tc>
      </w:tr>
      <w:tr>
        <w:trPr>
          <w:trHeight w:val="247"/>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r>
      <w:tr>
        <w:trPr>
          <w:trHeight w:val="247"/>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20"/>
                <w:szCs w:val="20"/>
                <w:color w:val="auto"/>
              </w:rPr>
            </w:pPr>
          </w:p>
        </w:tc>
      </w:tr>
      <w:tr>
        <w:trPr>
          <w:trHeight w:val="277"/>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86" w:lineRule="exact"/>
        <w:rPr>
          <w:sz w:val="20"/>
          <w:szCs w:val="20"/>
          <w:color w:val="auto"/>
        </w:rPr>
      </w:pPr>
    </w:p>
    <w:p>
      <w:pPr>
        <w:ind w:left="1140" w:right="58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month periods ended March 31, 2024 and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5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(42,255 )</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(30,286 )</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(11,969 )</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(37,874 )</w:t>
            </w:r>
          </w:p>
        </w:tc>
        <w:tc>
          <w:tcPr>
            <w:tcW w:w="1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(28,008 )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(9,866 )</w:t>
            </w:r>
          </w:p>
        </w:tc>
        <w:tc>
          <w:tcPr>
            <w:tcW w:w="0" w:type="dxa"/>
            <w:vAlign w:val="bottom"/>
          </w:tcPr>
          <w:p>
            <w:pPr>
              <w:spacing w:after="0"/>
              <w:rPr>
                <w:sz w:val="1"/>
                <w:szCs w:val="1"/>
                <w:color w:val="auto"/>
              </w:rPr>
            </w:pPr>
          </w:p>
        </w:tc>
      </w:tr>
      <w:tr>
        <w:trPr>
          <w:trHeight w:val="23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(37,914 )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(28,008 )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(9,906 )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-1276985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-1276985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-1276985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-650875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-650875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-650875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$6.5 million and $5.8 million for the three months ended March 31, 2024 and 2023, respectively, was derived from the Gilead collaboration. Research costs incurred under the collaboration were similar during each of the three month periods presented which resulted in similar collaboration revenue amounts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$38.1 million for the three months ended March 31, 2024 compared to $28.0 million for the three months ended March 31, 2023. The increase was primarily due to a $6.4 million increase relating to the advancement of our clinical programs. Additionally, the increase was also due to $3.8 million in personnel-related costs, including share-based compensation expense and additional headcount to support our research and development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$10.7 million for the three months ended March 31, 2024 compared to $8.0 million for the three months ended March 31, 2023. The increase of $2.7 million was primarily due to $2.2 million in personnel-related costs, including share-based compensation expense and additional headcount.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$2.2 million for the three months ended March 31, 2024 compared to $1.0 million for the three months ended March 31, 2023, with the increase attributed to an increase in interest rates in 2024 as compared to 2023.</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$2.2 million for the three months ended March 31, 2024 compared to other income, net of $1.2 million for the three months ended March 31, 2023, with the increase attributed to accretion on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was less than $0.1 million for the three months ended March 31, 2024 and $0 for the three months ended March 31, 2023. The income tax provision amount for the period ended March 31, 2024 is primarily attributable to state taxes on interest income earned on marketable securities.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26" w:name="page27"/>
    <w:bookmarkEnd w:id="26"/>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$123.0 million of gross proceeds through the $80.0 million private placement of common shares and pre-funded warrants to purchase common shares in August 2023, as well as $43.0 million of gross proceeds from our "at-the-market" stock offering program in January 2024, and another $225.1 million through our collaboration with Gilead. As of March 31, 2024, we had cash and cash equivalents and marketable securities of $343.6 million.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March 31, 2024 of $343.6 million will enable us to fund our operating expenses and capital expenditure requirements at least into late 2026. We have based this estimate on assumptions that may prove to be wrong, and we could expend our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three month periods presented:</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(37,857 )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(34,907 )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(2,950 )</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(11,203 )</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(42,754 )</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(6,078 )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(3,283 )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(2,795 )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$37.9 million for the three months ended March 31, 2024 compared to net cash used in operating activities of $34.9 million for the three months ended March 31, 2023. The increase in net cash used in operating activities for the three months ended March 31, 2024 was primarily due to an increase to the net loss as a direct result of higher operating expenses related to the advancement of our programs and personnel-related costs. The increase was partially offset by changes in operating assets and liabilities and higher non-cash expenses, including stock compensation.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$11.2 million for the three months ended March 31, 2024 compared to net cash provided by investing activities of $31.5 million for the three months ended March 31, 2023. The change was primarily due to an increase in purchases of marketable securities as compared to the three months ended March 31, 2023, which was partially offset by an increase in sales and maturities of marketable securities as compared to the three months ended March 31, 2023.</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$43.0 million for the three months ended March 31, 2024 compared to net cash provided by financing activities of $0.1 million for the three months ended March 31, 2023. The cash provided by financing activities for three months ended March 31, 2024 consisted of the $41.7 million in net proceeds received from our "at-the-market" stock offering program in January 2024, as well as the cash provided from the exercises of stock options. The cash provided by financing activities for the three months ended March 31, 2023 was the result of cash provided from the exercises of stock options.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2024 and the effects that such obligations are expected to have on our liquidity and cash flows in future periods: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1"/>
                <w:szCs w:val="11"/>
                <w:color w:val="auto"/>
              </w:rPr>
            </w:pP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54,085</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March 31, 2024. Refer to Note 7 to our audited consolidated financial statements and related notes included in our Annual Report on Form 10-K for the year ended December 31, 2023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March 31,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March 31, 2024 and December 31, 2023, we were unable to estimate the timing or likelihood of achieving these milestones or generating future product sales. Refer to Note 8 to our audited consolidated financial statements and related notes included in our Annual Report on Form 10-K for the year ended December 31, 2023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2023,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t>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79" w:lineRule="exact"/>
        <w:rPr>
          <w:sz w:val="20"/>
          <w:szCs w:val="20"/>
          <w:color w:val="auto"/>
        </w:rPr>
      </w:pPr>
    </w:p>
    <w:p>
      <w:pPr>
        <w:ind w:left="1020" w:right="2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Quarterly Report on Form 10-Q;</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$343.6 million and $336.9 million as of March 31, 2024 and December 31, 2023,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months ended March 31, 2024. However, if inflation remains at current levels for an extended period of time, or increases, our costs are likely to increase, which may negatively impact our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1" w:name="page32"/>
    <w:bookmarkEnd w:id="31"/>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March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200" w:firstLine="8"/>
        <w:spacing w:after="0" w:line="260"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March 31, 2024 that materially affected, or were reasonably likely to materially affect, the Company’s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2023,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the year ended December 31, 2023 as filed with the SEC on March 18, 2024.</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officers informed us of the adoption, modification or termination of a “Rule 10b5-1 trading arrangement” or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560" w:type="dxa"/>
            <w:vAlign w:val="bottom"/>
            <w:gridSpan w:val="11"/>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56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Second Amended and Restated Certificate of Incorporation of Tango Therapeutics, Inc. (incorporated by reference to Exhibit 3.1 to the</w:t>
              </w:r>
            </w:hyperlink>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Registrant’s registration statement on Form S-1 filed with the SEC on September 10,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Amended and Restated Bylaws of Tango Therapeutics, Inc. (incorporated by reference to Exhibit 4.2 to the Registrant’s registration</w:t>
              </w:r>
            </w:hyperlink>
          </w:p>
        </w:tc>
        <w:tc>
          <w:tcPr>
            <w:tcW w:w="4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3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4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1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2" w:lineRule="exact"/>
        <w:rPr>
          <w:sz w:val="20"/>
          <w:szCs w:val="20"/>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right="80" w:hanging="512"/>
        <w:spacing w:after="0" w:line="255" w:lineRule="auto"/>
        <w:tabs>
          <w:tab w:leader="none" w:pos="4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20"/>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Dated: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-125095</wp:posOffset>
            </wp:positionV>
            <wp:extent cx="32658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6" w:name="page37"/>
    <w:bookmarkEnd w:id="36"/>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4"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ind w:left="380" w:hanging="372"/>
        <w:spacing w:after="0" w:line="254" w:lineRule="auto"/>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May 8,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Chief Executive Officer</w:t>
      </w:r>
    </w:p>
    <w:p>
      <w:pPr>
        <w:ind w:left="18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both"/>
        <w:ind w:left="380" w:hanging="372"/>
        <w:spacing w:after="0" w:line="254" w:lineRule="auto"/>
        <w:tabs>
          <w:tab w:leader="none" w:pos="3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May 8,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Chief Financial Officer</w:t>
      </w:r>
    </w:p>
    <w:p>
      <w:pPr>
        <w:ind w:left="27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March 31, 2024 as filed with the Securities and Exchange Commission (the “Report”), I, Barbara Weber, M.D., Chief Executive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May 8,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Executive Officer</w:t>
      </w:r>
    </w:p>
    <w:p>
      <w:pPr>
        <w:ind w:left="15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March 31, 2024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May 8,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Financial Officer</w:t>
      </w:r>
    </w:p>
    <w:p>
      <w:pPr>
        <w:ind w:left="15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
      <w:numFmt w:val="bullet"/>
      <w:start w:val="1"/>
    </w:lvl>
    <w:lvl w:ilvl="1">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Roman"/>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6"/>
    </w:lvl>
  </w:abstractNum>
  <w:abstractNum w:abstractNumId="15">
    <w:nsid w:val="8EDBDAB"/>
    <w:multiLevelType w:val="hybridMultilevel"/>
    <w:lvl w:ilvl="0">
      <w:lvlJc w:val="left"/>
      <w:lvlText w:val="%1."/>
      <w:numFmt w:val="decimal"/>
      <w:start w:val="7"/>
    </w:lvl>
  </w:abstractNum>
  <w:abstractNum w:abstractNumId="16">
    <w:nsid w:val="79838CB2"/>
    <w:multiLevelType w:val="hybridMultilevel"/>
    <w:lvl w:ilvl="0">
      <w:lvlJc w:val="left"/>
      <w:lvlText w:val="%1."/>
      <w:numFmt w:val="decimal"/>
      <w:start w:val="8"/>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decimal"/>
      <w:start w:val="10"/>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4"/>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5"/>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80" Type="http://schemas.openxmlformats.org/officeDocument/2006/relationships/hyperlink" Target="https://www.sec.gov/ix?doc=/Archives/edgar/data/0001819133/000119312521269987/d118907ds1.htm" TargetMode="External"/><Relationship Id="rId181" Type="http://schemas.openxmlformats.org/officeDocument/2006/relationships/hyperlink" Target="https://www.sec.gov/Archives/edgar/data/1819133/000119312521298942/d2117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2024-05-08T06:32:15Z</dcterms:created>
  <dcterms:modified xsi:type="dcterms:W3CDTF">2024-05-08T06:32:15Z</dcterms:modified>
</cp:coreProperties>
</file>