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November 21, 2025</w:t>
      </w:r>
    </w:p>
    <w:p>
      <w:pPr>
        <w:spacing w:after="0" w:line="27"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66675</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99695</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108585</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115570</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1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33"/>
          <w:szCs w:val="33"/>
          <w:b w:val="1"/>
          <w:bCs w:val="1"/>
          <w:color w:val="auto"/>
        </w:rPr>
        <w:t>TANGO THERAPEUTICS, INC.</w:t>
      </w:r>
    </w:p>
    <w:p>
      <w:pPr>
        <w:spacing w:after="0" w:line="45" w:lineRule="exact"/>
        <w:rPr>
          <w:sz w:val="24"/>
          <w:szCs w:val="24"/>
          <w:color w:val="auto"/>
        </w:rPr>
      </w:pPr>
    </w:p>
    <w:tbl>
      <w:tblPr>
        <w:tblLayout w:type="fixed"/>
        <w:tblInd w:w="2800" w:type="dxa"/>
        <w:tblCellMar>
          <w:top w:w="0" w:type="dxa"/>
          <w:left w:w="0" w:type="dxa"/>
          <w:bottom w:w="0" w:type="dxa"/>
          <w:right w:w="0" w:type="dxa"/>
        </w:tblCellMar>
      </w:tblPr>
      <w:tr>
        <w:trPr>
          <w:trHeight w:val="183"/>
        </w:trPr>
        <w:tc>
          <w:tcPr>
            <w:tcW w:w="442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1140" w:type="dxa"/>
            <w:vAlign w:val="bottom"/>
          </w:tcPr>
          <w:p>
            <w:pPr>
              <w:spacing w:after="0"/>
              <w:rPr>
                <w:sz w:val="15"/>
                <w:szCs w:val="15"/>
                <w:color w:val="auto"/>
              </w:rPr>
            </w:pPr>
          </w:p>
        </w:tc>
      </w:tr>
      <w:tr>
        <w:trPr>
          <w:trHeight w:val="158"/>
        </w:trPr>
        <w:tc>
          <w:tcPr>
            <w:tcW w:w="196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2"/>
        </w:trPr>
        <w:tc>
          <w:tcPr>
            <w:tcW w:w="4420" w:type="dxa"/>
            <w:vAlign w:val="bottom"/>
            <w:gridSpan w:val="3"/>
          </w:tcPr>
          <w:p>
            <w:pPr>
              <w:jc w:val="center"/>
              <w:ind w:right="298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85-1195036</w:t>
            </w:r>
          </w:p>
        </w:tc>
      </w:tr>
      <w:tr>
        <w:trPr>
          <w:trHeight w:val="114"/>
        </w:trPr>
        <w:tc>
          <w:tcPr>
            <w:tcW w:w="4420" w:type="dxa"/>
            <w:vAlign w:val="bottom"/>
            <w:gridSpan w:val="3"/>
          </w:tcPr>
          <w:p>
            <w:pPr>
              <w:jc w:val="center"/>
              <w:ind w:right="296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4420" w:type="dxa"/>
            <w:vAlign w:val="bottom"/>
            <w:gridSpan w:val="3"/>
          </w:tcPr>
          <w:p>
            <w:pPr>
              <w:jc w:val="center"/>
              <w:ind w:right="29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201 Brookline Avenue, Suite 901</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Boston, MA 02215</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(857) 320-4900</w:t>
      </w:r>
    </w:p>
    <w:p>
      <w:pPr>
        <w:spacing w:after="0" w:line="1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107950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Barbara Weber, M.D.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201 Brookline Avenue, Suite 901</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Boston, MA 02215</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(857) 320-4900</w:t>
      </w:r>
    </w:p>
    <w:p>
      <w:pPr>
        <w:spacing w:after="0" w:line="1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107950</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31" w:lineRule="exact"/>
        <w:rPr>
          <w:sz w:val="24"/>
          <w:szCs w:val="24"/>
          <w:color w:val="auto"/>
        </w:rPr>
      </w:pPr>
    </w:p>
    <w:tbl>
      <w:tblPr>
        <w:tblLayout w:type="fixed"/>
        <w:tblInd w:w="2920" w:type="dxa"/>
        <w:tblCellMar>
          <w:top w:w="0" w:type="dxa"/>
          <w:left w:w="0" w:type="dxa"/>
          <w:bottom w:w="0" w:type="dxa"/>
          <w:right w:w="0" w:type="dxa"/>
        </w:tblCellMar>
      </w:tblPr>
      <w:tr>
        <w:trPr>
          <w:trHeight w:val="165"/>
        </w:trPr>
        <w:tc>
          <w:tcPr>
            <w:tcW w:w="1860" w:type="dxa"/>
            <w:vAlign w:val="bottom"/>
          </w:tcPr>
          <w:p>
            <w:pPr>
              <w:spacing w:after="0"/>
              <w:rPr>
                <w:sz w:val="14"/>
                <w:szCs w:val="14"/>
                <w:color w:val="auto"/>
              </w:rPr>
            </w:pPr>
          </w:p>
        </w:tc>
        <w:tc>
          <w:tcPr>
            <w:tcW w:w="3900" w:type="dxa"/>
            <w:vAlign w:val="bottom"/>
          </w:tcPr>
          <w:p>
            <w:pPr>
              <w:ind w:left="60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240"/>
        </w:trPr>
        <w:tc>
          <w:tcPr>
            <w:tcW w:w="1860" w:type="dxa"/>
            <w:vAlign w:val="bottom"/>
          </w:tcPr>
          <w:p>
            <w:pPr>
              <w:jc w:val="center"/>
              <w:ind w:right="558"/>
              <w:spacing w:after="0"/>
              <w:rPr>
                <w:sz w:val="20"/>
                <w:szCs w:val="20"/>
                <w:color w:val="auto"/>
              </w:rPr>
            </w:pPr>
            <w:r>
              <w:rPr>
                <w:rFonts w:ascii="Times New Roman" w:cs="Times New Roman" w:eastAsia="Times New Roman" w:hAnsi="Times New Roman"/>
                <w:sz w:val="12"/>
                <w:szCs w:val="12"/>
                <w:b w:val="1"/>
                <w:bCs w:val="1"/>
                <w:color w:val="auto"/>
              </w:rPr>
              <w:t>Mitchell S. Bloom, Esq.</w:t>
            </w:r>
          </w:p>
        </w:tc>
        <w:tc>
          <w:tcPr>
            <w:tcW w:w="3900" w:type="dxa"/>
            <w:vAlign w:val="bottom"/>
          </w:tcPr>
          <w:p>
            <w:pPr>
              <w:jc w:val="center"/>
              <w:ind w:left="2138"/>
              <w:spacing w:after="0"/>
              <w:rPr>
                <w:sz w:val="20"/>
                <w:szCs w:val="20"/>
                <w:color w:val="auto"/>
              </w:rPr>
            </w:pPr>
            <w:r>
              <w:rPr>
                <w:rFonts w:ascii="Times New Roman" w:cs="Times New Roman" w:eastAsia="Times New Roman" w:hAnsi="Times New Roman"/>
                <w:sz w:val="12"/>
                <w:szCs w:val="12"/>
                <w:b w:val="1"/>
                <w:bCs w:val="1"/>
                <w:color w:val="auto"/>
              </w:rPr>
              <w:t>Julie Fogarty</w:t>
            </w:r>
          </w:p>
        </w:tc>
      </w:tr>
      <w:tr>
        <w:trPr>
          <w:trHeight w:val="156"/>
        </w:trPr>
        <w:tc>
          <w:tcPr>
            <w:tcW w:w="1860" w:type="dxa"/>
            <w:vAlign w:val="bottom"/>
          </w:tcPr>
          <w:p>
            <w:pPr>
              <w:jc w:val="center"/>
              <w:ind w:right="538"/>
              <w:spacing w:after="0"/>
              <w:rPr>
                <w:sz w:val="20"/>
                <w:szCs w:val="20"/>
                <w:color w:val="auto"/>
              </w:rPr>
            </w:pPr>
            <w:r>
              <w:rPr>
                <w:rFonts w:ascii="Times New Roman" w:cs="Times New Roman" w:eastAsia="Times New Roman" w:hAnsi="Times New Roman"/>
                <w:sz w:val="12"/>
                <w:szCs w:val="12"/>
                <w:b w:val="1"/>
                <w:bCs w:val="1"/>
                <w:color w:val="auto"/>
              </w:rPr>
              <w:t>Sarah Ashfaq, Esq.</w:t>
            </w:r>
          </w:p>
        </w:tc>
        <w:tc>
          <w:tcPr>
            <w:tcW w:w="3900" w:type="dxa"/>
            <w:vAlign w:val="bottom"/>
          </w:tcPr>
          <w:p>
            <w:pPr>
              <w:jc w:val="center"/>
              <w:ind w:left="2138"/>
              <w:spacing w:after="0"/>
              <w:rPr>
                <w:sz w:val="20"/>
                <w:szCs w:val="20"/>
                <w:color w:val="auto"/>
              </w:rPr>
            </w:pPr>
            <w:r>
              <w:rPr>
                <w:rFonts w:ascii="Times New Roman" w:cs="Times New Roman" w:eastAsia="Times New Roman" w:hAnsi="Times New Roman"/>
                <w:sz w:val="12"/>
                <w:szCs w:val="12"/>
                <w:b w:val="1"/>
                <w:bCs w:val="1"/>
                <w:color w:val="auto"/>
              </w:rPr>
              <w:t>Vice President, Legal</w:t>
            </w:r>
          </w:p>
        </w:tc>
      </w:tr>
      <w:tr>
        <w:trPr>
          <w:trHeight w:val="156"/>
        </w:trPr>
        <w:tc>
          <w:tcPr>
            <w:tcW w:w="1860" w:type="dxa"/>
            <w:vAlign w:val="bottom"/>
          </w:tcPr>
          <w:p>
            <w:pPr>
              <w:jc w:val="center"/>
              <w:ind w:right="558"/>
              <w:spacing w:after="0"/>
              <w:rPr>
                <w:sz w:val="20"/>
                <w:szCs w:val="20"/>
                <w:color w:val="auto"/>
              </w:rPr>
            </w:pPr>
            <w:r>
              <w:rPr>
                <w:rFonts w:ascii="Times New Roman" w:cs="Times New Roman" w:eastAsia="Times New Roman" w:hAnsi="Times New Roman"/>
                <w:sz w:val="12"/>
                <w:szCs w:val="12"/>
                <w:b w:val="1"/>
                <w:bCs w:val="1"/>
                <w:color w:val="auto"/>
              </w:rPr>
              <w:t>Goodwin Procter LLP</w:t>
            </w:r>
          </w:p>
        </w:tc>
        <w:tc>
          <w:tcPr>
            <w:tcW w:w="3900" w:type="dxa"/>
            <w:vAlign w:val="bottom"/>
          </w:tcPr>
          <w:p>
            <w:pPr>
              <w:jc w:val="center"/>
              <w:ind w:left="2118"/>
              <w:spacing w:after="0"/>
              <w:rPr>
                <w:sz w:val="20"/>
                <w:szCs w:val="20"/>
                <w:color w:val="auto"/>
              </w:rPr>
            </w:pPr>
            <w:r>
              <w:rPr>
                <w:rFonts w:ascii="Times New Roman" w:cs="Times New Roman" w:eastAsia="Times New Roman" w:hAnsi="Times New Roman"/>
                <w:sz w:val="12"/>
                <w:szCs w:val="12"/>
                <w:b w:val="1"/>
                <w:bCs w:val="1"/>
                <w:color w:val="auto"/>
              </w:rPr>
              <w:t>Tango Therapeutics, Inc.</w:t>
            </w:r>
          </w:p>
        </w:tc>
      </w:tr>
      <w:tr>
        <w:trPr>
          <w:trHeight w:val="156"/>
        </w:trPr>
        <w:tc>
          <w:tcPr>
            <w:tcW w:w="1860" w:type="dxa"/>
            <w:vAlign w:val="bottom"/>
          </w:tcPr>
          <w:p>
            <w:pPr>
              <w:jc w:val="center"/>
              <w:ind w:right="538"/>
              <w:spacing w:after="0"/>
              <w:rPr>
                <w:sz w:val="20"/>
                <w:szCs w:val="20"/>
                <w:color w:val="auto"/>
              </w:rPr>
            </w:pPr>
            <w:r>
              <w:rPr>
                <w:rFonts w:ascii="Times New Roman" w:cs="Times New Roman" w:eastAsia="Times New Roman" w:hAnsi="Times New Roman"/>
                <w:sz w:val="12"/>
                <w:szCs w:val="12"/>
                <w:b w:val="1"/>
                <w:bCs w:val="1"/>
                <w:color w:val="auto"/>
              </w:rPr>
              <w:t>100 Northern Avenue</w:t>
            </w:r>
          </w:p>
        </w:tc>
        <w:tc>
          <w:tcPr>
            <w:tcW w:w="3900" w:type="dxa"/>
            <w:vAlign w:val="bottom"/>
          </w:tcPr>
          <w:p>
            <w:pPr>
              <w:jc w:val="center"/>
              <w:ind w:left="2118"/>
              <w:spacing w:after="0"/>
              <w:rPr>
                <w:sz w:val="20"/>
                <w:szCs w:val="20"/>
                <w:color w:val="auto"/>
              </w:rPr>
            </w:pPr>
            <w:r>
              <w:rPr>
                <w:rFonts w:ascii="Times New Roman" w:cs="Times New Roman" w:eastAsia="Times New Roman" w:hAnsi="Times New Roman"/>
                <w:sz w:val="12"/>
                <w:szCs w:val="12"/>
                <w:b w:val="1"/>
                <w:bCs w:val="1"/>
                <w:color w:val="auto"/>
              </w:rPr>
              <w:t>201 Brookline Avenue, Suite 901</w:t>
            </w:r>
          </w:p>
        </w:tc>
      </w:tr>
      <w:tr>
        <w:trPr>
          <w:trHeight w:val="156"/>
        </w:trPr>
        <w:tc>
          <w:tcPr>
            <w:tcW w:w="1860" w:type="dxa"/>
            <w:vAlign w:val="bottom"/>
          </w:tcPr>
          <w:p>
            <w:pPr>
              <w:jc w:val="center"/>
              <w:ind w:right="538"/>
              <w:spacing w:after="0"/>
              <w:rPr>
                <w:sz w:val="20"/>
                <w:szCs w:val="20"/>
                <w:color w:val="auto"/>
              </w:rPr>
            </w:pPr>
            <w:r>
              <w:rPr>
                <w:rFonts w:ascii="Times New Roman" w:cs="Times New Roman" w:eastAsia="Times New Roman" w:hAnsi="Times New Roman"/>
                <w:sz w:val="12"/>
                <w:szCs w:val="12"/>
                <w:b w:val="1"/>
                <w:bCs w:val="1"/>
                <w:color w:val="auto"/>
              </w:rPr>
              <w:t>Boston, MA 02210</w:t>
            </w:r>
          </w:p>
        </w:tc>
        <w:tc>
          <w:tcPr>
            <w:tcW w:w="3900" w:type="dxa"/>
            <w:vAlign w:val="bottom"/>
          </w:tcPr>
          <w:p>
            <w:pPr>
              <w:jc w:val="center"/>
              <w:ind w:left="2138"/>
              <w:spacing w:after="0"/>
              <w:rPr>
                <w:sz w:val="20"/>
                <w:szCs w:val="20"/>
                <w:color w:val="auto"/>
              </w:rPr>
            </w:pPr>
            <w:r>
              <w:rPr>
                <w:rFonts w:ascii="Times New Roman" w:cs="Times New Roman" w:eastAsia="Times New Roman" w:hAnsi="Times New Roman"/>
                <w:sz w:val="12"/>
                <w:szCs w:val="12"/>
                <w:b w:val="1"/>
                <w:bCs w:val="1"/>
                <w:color w:val="auto"/>
              </w:rPr>
              <w:t>Boston, MA 02215</w:t>
            </w:r>
          </w:p>
        </w:tc>
      </w:tr>
      <w:tr>
        <w:trPr>
          <w:trHeight w:val="165"/>
        </w:trPr>
        <w:tc>
          <w:tcPr>
            <w:tcW w:w="1860" w:type="dxa"/>
            <w:vAlign w:val="bottom"/>
          </w:tcPr>
          <w:p>
            <w:pPr>
              <w:jc w:val="center"/>
              <w:ind w:right="538"/>
              <w:spacing w:after="0"/>
              <w:rPr>
                <w:sz w:val="20"/>
                <w:szCs w:val="20"/>
                <w:color w:val="auto"/>
              </w:rPr>
            </w:pPr>
            <w:r>
              <w:rPr>
                <w:rFonts w:ascii="Times New Roman" w:cs="Times New Roman" w:eastAsia="Times New Roman" w:hAnsi="Times New Roman"/>
                <w:sz w:val="12"/>
                <w:szCs w:val="12"/>
                <w:b w:val="1"/>
                <w:bCs w:val="1"/>
                <w:color w:val="auto"/>
              </w:rPr>
              <w:t>(617) 570-1000</w:t>
            </w:r>
          </w:p>
        </w:tc>
        <w:tc>
          <w:tcPr>
            <w:tcW w:w="3900" w:type="dxa"/>
            <w:vAlign w:val="bottom"/>
          </w:tcPr>
          <w:p>
            <w:pPr>
              <w:jc w:val="center"/>
              <w:ind w:left="2138"/>
              <w:spacing w:after="0"/>
              <w:rPr>
                <w:sz w:val="20"/>
                <w:szCs w:val="20"/>
                <w:color w:val="auto"/>
              </w:rPr>
            </w:pPr>
            <w:r>
              <w:rPr>
                <w:rFonts w:ascii="Times New Roman" w:cs="Times New Roman" w:eastAsia="Times New Roman" w:hAnsi="Times New Roman"/>
                <w:sz w:val="12"/>
                <w:szCs w:val="12"/>
                <w:b w:val="1"/>
                <w:bCs w:val="1"/>
                <w:color w:val="auto"/>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127635</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6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this registration statement becomes effective.</w:t>
      </w:r>
    </w:p>
    <w:p>
      <w:pPr>
        <w:spacing w:after="0" w:line="77" w:lineRule="exact"/>
        <w:rPr>
          <w:sz w:val="24"/>
          <w:szCs w:val="24"/>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28" w:lineRule="exact"/>
        <w:rPr>
          <w:sz w:val="24"/>
          <w:szCs w:val="24"/>
          <w:color w:val="auto"/>
        </w:rPr>
      </w:pPr>
    </w:p>
    <w:p>
      <w:pPr>
        <w:ind w:left="1400" w:right="339"/>
        <w:spacing w:after="0" w:line="169"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58" w:lineRule="exact"/>
        <w:rPr>
          <w:sz w:val="24"/>
          <w:szCs w:val="24"/>
          <w:color w:val="auto"/>
        </w:rPr>
      </w:pPr>
    </w:p>
    <w:p>
      <w:pPr>
        <w:ind w:left="1400" w:right="29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8" w:lineRule="exact"/>
        <w:rPr>
          <w:sz w:val="24"/>
          <w:szCs w:val="24"/>
          <w:color w:val="auto"/>
        </w:rPr>
      </w:pPr>
    </w:p>
    <w:p>
      <w:pPr>
        <w:ind w:left="1400" w:right="73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8" w:lineRule="exact"/>
        <w:rPr>
          <w:sz w:val="24"/>
          <w:szCs w:val="24"/>
          <w:color w:val="auto"/>
        </w:rPr>
      </w:pPr>
    </w:p>
    <w:p>
      <w:pPr>
        <w:ind w:left="1400" w:right="75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58" w:lineRule="exact"/>
        <w:rPr>
          <w:sz w:val="24"/>
          <w:szCs w:val="24"/>
          <w:color w:val="auto"/>
        </w:rPr>
      </w:pPr>
    </w:p>
    <w:p>
      <w:pPr>
        <w:ind w:left="1400" w:right="39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58" w:lineRule="exact"/>
        <w:rPr>
          <w:sz w:val="24"/>
          <w:szCs w:val="24"/>
          <w:color w:val="auto"/>
        </w:rPr>
      </w:pPr>
    </w:p>
    <w:p>
      <w:pPr>
        <w:ind w:left="1400" w:right="299"/>
        <w:spacing w:after="0" w:line="293"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 w:lineRule="exact"/>
        <w:rPr>
          <w:sz w:val="24"/>
          <w:szCs w:val="24"/>
          <w:color w:val="auto"/>
        </w:rPr>
      </w:pPr>
    </w:p>
    <w:tbl>
      <w:tblPr>
        <w:tblLayout w:type="fixed"/>
        <w:tblInd w:w="1400" w:type="dxa"/>
        <w:tblCellMar>
          <w:top w:w="0" w:type="dxa"/>
          <w:left w:w="0" w:type="dxa"/>
          <w:bottom w:w="0" w:type="dxa"/>
          <w:right w:w="0" w:type="dxa"/>
        </w:tblCellMar>
      </w:tblP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8"/>
        </w:trPr>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58" w:lineRule="exact"/>
        <w:rPr>
          <w:sz w:val="24"/>
          <w:szCs w:val="24"/>
          <w:color w:val="auto"/>
        </w:rPr>
      </w:pPr>
    </w:p>
    <w:p>
      <w:pPr>
        <w:ind w:left="1400" w:right="559"/>
        <w:spacing w:after="0" w:line="16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57150</wp:posOffset>
            </wp:positionV>
            <wp:extent cx="5387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90170</wp:posOffset>
            </wp:positionV>
            <wp:extent cx="5387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99" w:lineRule="exact"/>
        <w:rPr>
          <w:sz w:val="20"/>
          <w:szCs w:val="20"/>
          <w:color w:val="auto"/>
        </w:rPr>
      </w:pPr>
    </w:p>
    <w:p>
      <w:pPr>
        <w:ind w:left="1740" w:right="619" w:hanging="255"/>
        <w:spacing w:after="0" w:line="278"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by us of an indeterminate amount of our common stock, preferred stock, debt securities, warrants to purchase our common stock, and/or units from time to time in one or more offerings; and</w:t>
      </w:r>
    </w:p>
    <w:p>
      <w:pPr>
        <w:spacing w:after="0" w:line="53" w:lineRule="exact"/>
        <w:rPr>
          <w:rFonts w:ascii="Times New Roman" w:cs="Times New Roman" w:eastAsia="Times New Roman" w:hAnsi="Times New Roman"/>
          <w:sz w:val="14"/>
          <w:szCs w:val="14"/>
          <w:color w:val="auto"/>
        </w:rPr>
      </w:pPr>
    </w:p>
    <w:p>
      <w:pPr>
        <w:ind w:left="1740" w:right="479" w:hanging="255"/>
        <w:spacing w:after="0" w:line="263"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supplement covering the offering, issuance and sale by us of up to a maximum aggregate offering price of up to $100,000,000 of our common stock that may be issued and sold from time to time under an Sales Agreement, or the sales agreement, which we entered into with Leerink Partners LLC, as sales agent in November 2025.</w:t>
      </w:r>
    </w:p>
    <w:p>
      <w:pPr>
        <w:spacing w:after="0" w:line="136"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w:t>
      </w:r>
    </w:p>
    <w:p>
      <w:pPr>
        <w:sectPr>
          <w:pgSz w:w="11900" w:h="16838" w:orient="portrait"/>
          <w:cols w:equalWidth="0" w:num="1">
            <w:col w:w="10159"/>
          </w:cols>
          <w:pgMar w:left="300" w:top="38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132715</wp:posOffset>
            </wp:positionV>
            <wp:extent cx="1749425" cy="521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3"/>
          <w:szCs w:val="33"/>
          <w:b w:val="1"/>
          <w:bCs w:val="1"/>
          <w:color w:val="auto"/>
        </w:rPr>
        <w:t>Tango Therapeutics, Inc.</w:t>
      </w:r>
    </w:p>
    <w:p>
      <w:pPr>
        <w:spacing w:after="0" w:line="1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58" w:lineRule="exact"/>
        <w:rPr>
          <w:sz w:val="20"/>
          <w:szCs w:val="20"/>
          <w:color w:val="auto"/>
        </w:rPr>
      </w:pPr>
    </w:p>
    <w:p>
      <w:pPr>
        <w:ind w:left="1400" w:right="439"/>
        <w:spacing w:after="0" w:line="292" w:lineRule="auto"/>
        <w:rPr>
          <w:sz w:val="20"/>
          <w:szCs w:val="20"/>
          <w:color w:val="auto"/>
        </w:rPr>
      </w:pPr>
      <w:r>
        <w:rPr>
          <w:rFonts w:ascii="Times New Roman" w:cs="Times New Roman" w:eastAsia="Times New Roman" w:hAnsi="Times New Roman"/>
          <w:sz w:val="13"/>
          <w:szCs w:val="13"/>
          <w:color w:val="auto"/>
        </w:rPr>
        <w:t>We may offer and sell, from time to time issue, in one or more series or classes, shares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20"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42"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 On November 20, 2025, the closing price for our common stock, as reported on The Nasdaq Global Market, was $8.90 per share.</w:t>
      </w:r>
    </w:p>
    <w:p>
      <w:pPr>
        <w:spacing w:after="0" w:line="116" w:lineRule="exact"/>
        <w:rPr>
          <w:sz w:val="20"/>
          <w:szCs w:val="20"/>
          <w:color w:val="auto"/>
        </w:rPr>
      </w:pPr>
    </w:p>
    <w:p>
      <w:pPr>
        <w:ind w:left="1400" w:right="599"/>
        <w:spacing w:after="0" w:line="267"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certain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3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22" w:lineRule="exact"/>
        <w:rPr>
          <w:sz w:val="20"/>
          <w:szCs w:val="20"/>
          <w:color w:val="auto"/>
        </w:rPr>
      </w:pPr>
    </w:p>
    <w:p>
      <w:pPr>
        <w:ind w:left="1400" w:right="29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The date of this prospectus is November 21, 2025.</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00" w:type="dxa"/>
            <w:vAlign w:val="bottom"/>
          </w:tcPr>
          <w:p>
            <w:pPr>
              <w:spacing w:after="0"/>
              <w:rPr>
                <w:sz w:val="15"/>
                <w:szCs w:val="15"/>
                <w:color w:val="auto"/>
              </w:rPr>
            </w:pPr>
          </w:p>
        </w:tc>
      </w:tr>
      <w:tr>
        <w:trPr>
          <w:trHeight w:val="322"/>
        </w:trPr>
        <w:tc>
          <w:tcPr>
            <w:tcW w:w="1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920" w:type="dxa"/>
            <w:vAlign w:val="bottom"/>
            <w:gridSpan w:val="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6"/>
        </w:trPr>
        <w:tc>
          <w:tcPr>
            <w:tcW w:w="664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6"/>
        </w:trPr>
        <w:tc>
          <w:tcPr>
            <w:tcW w:w="664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146"/>
        </w:trPr>
        <w:tc>
          <w:tcPr>
            <w:tcW w:w="410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OUR COMPANY</w:t>
            </w:r>
          </w:p>
        </w:tc>
        <w:tc>
          <w:tcPr>
            <w:tcW w:w="2540" w:type="dxa"/>
            <w:vAlign w:val="bottom"/>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6"/>
        </w:trPr>
        <w:tc>
          <w:tcPr>
            <w:tcW w:w="122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420" w:type="dxa"/>
            <w:vAlign w:val="bottom"/>
            <w:gridSpan w:val="10"/>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w:t>
            </w:r>
          </w:p>
        </w:tc>
      </w:tr>
      <w:tr>
        <w:trPr>
          <w:trHeight w:val="146"/>
        </w:trPr>
        <w:tc>
          <w:tcPr>
            <w:tcW w:w="664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SECURITIES THAT MAY BE OFFERED</w:t>
            </w: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6"/>
        </w:trPr>
        <w:tc>
          <w:tcPr>
            <w:tcW w:w="238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260" w:type="dxa"/>
            <w:vAlign w:val="bottom"/>
            <w:gridSpan w:val="3"/>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6"/>
        </w:trPr>
        <w:tc>
          <w:tcPr>
            <w:tcW w:w="234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4300" w:type="dxa"/>
            <w:vAlign w:val="bottom"/>
            <w:gridSpan w:val="4"/>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19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4720" w:type="dxa"/>
            <w:vAlign w:val="bottom"/>
            <w:gridSpan w:val="6"/>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6"/>
        </w:trPr>
        <w:tc>
          <w:tcPr>
            <w:tcW w:w="156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5080" w:type="dxa"/>
            <w:vAlign w:val="bottom"/>
            <w:gridSpan w:val="9"/>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146"/>
        </w:trPr>
        <w:tc>
          <w:tcPr>
            <w:tcW w:w="158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5060" w:type="dxa"/>
            <w:vAlign w:val="bottom"/>
            <w:gridSpan w:val="8"/>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664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3"/>
          </w:tcPr>
          <w:p>
            <w:pPr>
              <w:spacing w:after="0"/>
              <w:rPr>
                <w:sz w:val="12"/>
                <w:szCs w:val="12"/>
                <w:color w:val="auto"/>
              </w:rPr>
            </w:pPr>
          </w:p>
        </w:tc>
        <w:tc>
          <w:tcPr>
            <w:tcW w:w="5520" w:type="dxa"/>
            <w:vAlign w:val="bottom"/>
            <w:gridSpan w:val="11"/>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294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700" w:type="dxa"/>
            <w:vAlign w:val="bottom"/>
            <w:gridSpan w:val="2"/>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22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INCORPORATION BY REFERENCE</w:t>
            </w:r>
          </w:p>
        </w:tc>
        <w:tc>
          <w:tcPr>
            <w:tcW w:w="4440" w:type="dxa"/>
            <w:vAlign w:val="bottom"/>
            <w:gridSpan w:val="5"/>
          </w:tcPr>
          <w:p>
            <w:pPr>
              <w:spacing w:after="0"/>
              <w:rPr>
                <w:sz w:val="12"/>
                <w:szCs w:val="12"/>
                <w:color w:val="auto"/>
              </w:rPr>
            </w:pPr>
          </w:p>
        </w:tc>
        <w:tc>
          <w:tcPr>
            <w:tcW w:w="1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w:t>
            </w: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399"/>
        <w:spacing w:after="0" w:line="258"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which we refer to as the “SEC,” as a “well-known seasoned issuer” as defined in Rule 405 under the Securities Act of 1933, as amended (the “Securities Act”). Under this shelf registration process, we and/or selling stockholders may from time to time sell any combination of the securities described in this prospectus in one or more offerings.</w:t>
      </w:r>
    </w:p>
    <w:p>
      <w:pPr>
        <w:spacing w:after="0" w:line="140" w:lineRule="exact"/>
        <w:rPr>
          <w:sz w:val="20"/>
          <w:szCs w:val="20"/>
          <w:color w:val="auto"/>
        </w:rPr>
      </w:pPr>
    </w:p>
    <w:p>
      <w:pPr>
        <w:ind w:left="1400" w:right="359"/>
        <w:spacing w:after="0" w:line="251"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and/or selling stockholders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This prospectus, together with any accompanying prospectus supplement and any free writing prospectus that we have authorized for use in connection with a specific offering, contains important information you should know before investing in our securities, including important information about us and the securities being offered. You should read both this prospectus and the accompanying prospectus supplement (and any free writing prospectus) together with the additional information described under the headings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 beginning on page 29 of this prospectus.</w:t>
      </w:r>
    </w:p>
    <w:p>
      <w:pPr>
        <w:spacing w:after="0" w:line="148"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(and any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(or in any free writing prospectus) contains market data, industry statistics and other data that have been obtained or compiled from information made available by independent third parties. The industry in which we operate is subject to a high degree of uncertainty and risk due to a variety of factors, including those described in the section entitled “Risk Factors” of our most recent Annual Report on Form 10-K. These and other factors could cause the estimates to differ materially from those expressed in these publications.</w:t>
      </w:r>
    </w:p>
    <w:p>
      <w:pPr>
        <w:spacing w:after="0" w:line="146" w:lineRule="exact"/>
        <w:rPr>
          <w:sz w:val="20"/>
          <w:szCs w:val="20"/>
          <w:color w:val="auto"/>
        </w:rPr>
      </w:pPr>
    </w:p>
    <w:p>
      <w:pPr>
        <w:ind w:left="1400" w:right="419"/>
        <w:spacing w:after="0" w:line="281" w:lineRule="auto"/>
        <w:rPr>
          <w:sz w:val="20"/>
          <w:szCs w:val="20"/>
          <w:color w:val="auto"/>
        </w:rPr>
      </w:pPr>
      <w:r>
        <w:rPr>
          <w:rFonts w:ascii="Times New Roman" w:cs="Times New Roman" w:eastAsia="Times New Roman" w:hAnsi="Times New Roman"/>
          <w:sz w:val="14"/>
          <w:szCs w:val="14"/>
          <w:b w:val="1"/>
          <w:bCs w:val="1"/>
          <w:color w:val="auto"/>
        </w:rPr>
        <w:t>THIS PROSPECTUS MAY NOT BE USED TO OFFER AND SELL SECURITIES UNLESS IT IS ACCOMPANIED BY AN ADDITIONAL PROSPECTUS OR A PROSPECTUS SUPPLEMENT.</w:t>
      </w:r>
    </w:p>
    <w:p>
      <w:pPr>
        <w:spacing w:after="0" w:line="124" w:lineRule="exact"/>
        <w:rPr>
          <w:sz w:val="20"/>
          <w:szCs w:val="20"/>
          <w:color w:val="auto"/>
        </w:rPr>
      </w:pPr>
    </w:p>
    <w:p>
      <w:pPr>
        <w:ind w:left="1400" w:right="379"/>
        <w:spacing w:after="0" w:line="278" w:lineRule="auto"/>
        <w:rPr>
          <w:sz w:val="20"/>
          <w:szCs w:val="20"/>
          <w:color w:val="auto"/>
        </w:rPr>
      </w:pPr>
      <w:r>
        <w:rPr>
          <w:rFonts w:ascii="Times New Roman" w:cs="Times New Roman" w:eastAsia="Times New Roman" w:hAnsi="Times New Roman"/>
          <w:sz w:val="14"/>
          <w:szCs w:val="14"/>
          <w:color w:val="auto"/>
        </w:rPr>
        <w:t>As used in this prospectus, unless the context otherwise requires, references to “Tango,” “company,” “we,” “us” and “our” refer to Tango Therapeutics, Inc. and, where appropriate, our subsidiaries.</w:t>
      </w:r>
    </w:p>
    <w:p>
      <w:pPr>
        <w:spacing w:after="0" w:line="12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spacing w:after="0" w:line="229" w:lineRule="auto"/>
        <w:rPr>
          <w:sz w:val="20"/>
          <w:szCs w:val="20"/>
          <w:color w:val="auto"/>
        </w:rPr>
      </w:pPr>
      <w:r>
        <w:rPr>
          <w:rFonts w:ascii="Times New Roman" w:cs="Times New Roman" w:eastAsia="Times New Roman" w:hAnsi="Times New Roman"/>
          <w:sz w:val="14"/>
          <w:szCs w:val="14"/>
          <w:color w:val="auto"/>
        </w:rPr>
        <w:t xml:space="preserve">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but such references should not be construed as any indicator that their respective owners will not assert, to the fullest extent under applicable law, their rights thereto.</w:t>
      </w:r>
    </w:p>
    <w:p>
      <w:pPr>
        <w:spacing w:after="0" w:line="1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4"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99" w:lineRule="exact"/>
        <w:rPr>
          <w:sz w:val="20"/>
          <w:szCs w:val="20"/>
          <w:color w:val="auto"/>
        </w:rPr>
      </w:pPr>
    </w:p>
    <w:p>
      <w:pPr>
        <w:ind w:left="2160" w:right="299" w:hanging="342"/>
        <w:spacing w:after="0" w:line="252"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72" w:lineRule="exact"/>
        <w:rPr>
          <w:rFonts w:ascii="Times New Roman" w:cs="Times New Roman" w:eastAsia="Times New Roman" w:hAnsi="Times New Roman"/>
          <w:sz w:val="14"/>
          <w:szCs w:val="14"/>
          <w:color w:val="auto"/>
        </w:rPr>
      </w:pPr>
    </w:p>
    <w:p>
      <w:pPr>
        <w:ind w:left="2160" w:right="379" w:hanging="342"/>
        <w:spacing w:after="0" w:line="318" w:lineRule="auto"/>
        <w:tabs>
          <w:tab w:leader="none" w:pos="21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30" w:lineRule="exact"/>
        <w:rPr>
          <w:rFonts w:ascii="Times New Roman" w:cs="Times New Roman" w:eastAsia="Times New Roman" w:hAnsi="Times New Roman"/>
          <w:sz w:val="13"/>
          <w:szCs w:val="13"/>
          <w:color w:val="auto"/>
        </w:rPr>
      </w:pPr>
    </w:p>
    <w:p>
      <w:pPr>
        <w:ind w:left="2160" w:right="2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53" w:lineRule="exact"/>
        <w:rPr>
          <w:rFonts w:ascii="Times New Roman" w:cs="Times New Roman" w:eastAsia="Times New Roman" w:hAnsi="Times New Roman"/>
          <w:sz w:val="14"/>
          <w:szCs w:val="14"/>
          <w:color w:val="auto"/>
        </w:rPr>
      </w:pPr>
    </w:p>
    <w:p>
      <w:pPr>
        <w:ind w:left="2160" w:right="7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6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ability to enforce our intellectual property rights;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capital requirements, and our need for additional financing;</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(if approved) and any other approved products;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including the expectation that we will continue to incur operating losses and negative cash flow;</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98" w:lineRule="exact"/>
        <w:rPr>
          <w:rFonts w:ascii="Times New Roman" w:cs="Times New Roman" w:eastAsia="Times New Roman" w:hAnsi="Times New Roman"/>
          <w:sz w:val="14"/>
          <w:szCs w:val="14"/>
          <w:color w:val="auto"/>
        </w:rPr>
      </w:pPr>
    </w:p>
    <w:p>
      <w:pPr>
        <w:ind w:left="2160" w:right="75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third parties with whom we contract) to produce our products or product candidates with advantages in turnaround times or manufacturing cost;</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industry;</w:t>
      </w:r>
    </w:p>
    <w:p>
      <w:pPr>
        <w:spacing w:after="0" w:line="98" w:lineRule="exact"/>
        <w:rPr>
          <w:rFonts w:ascii="Times New Roman" w:cs="Times New Roman" w:eastAsia="Times New Roman" w:hAnsi="Times New Roman"/>
          <w:sz w:val="14"/>
          <w:szCs w:val="14"/>
          <w:color w:val="auto"/>
        </w:rPr>
      </w:pPr>
    </w:p>
    <w:p>
      <w:pPr>
        <w:ind w:left="2160" w:right="53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crises on our business operations, including but not limited to our preclinical studies and clinical trials and any future studies or trials;</w:t>
      </w:r>
    </w:p>
    <w:p>
      <w:pPr>
        <w:spacing w:after="0" w:line="53" w:lineRule="exact"/>
        <w:rPr>
          <w:rFonts w:ascii="Times New Roman" w:cs="Times New Roman" w:eastAsia="Times New Roman" w:hAnsi="Times New Roman"/>
          <w:sz w:val="14"/>
          <w:szCs w:val="14"/>
          <w:color w:val="auto"/>
        </w:rPr>
      </w:pPr>
    </w:p>
    <w:p>
      <w:pPr>
        <w:ind w:left="2160" w:right="419" w:hanging="342"/>
        <w:spacing w:after="0" w:line="25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64"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400" w:right="339"/>
        <w:spacing w:after="0" w:line="258" w:lineRule="auto"/>
        <w:rPr>
          <w:sz w:val="20"/>
          <w:szCs w:val="20"/>
          <w:color w:val="auto"/>
        </w:rPr>
      </w:pPr>
      <w:r>
        <w:rPr>
          <w:rFonts w:ascii="Times New Roman" w:cs="Times New Roman" w:eastAsia="Times New Roman" w:hAnsi="Times New Roman"/>
          <w:sz w:val="14"/>
          <w:szCs w:val="14"/>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0"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We may from time-to-time provide estimates, projections and other information concerning our industry, our financial performance, our business and the markets for our programs, product candidates and collaborations.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45" w:lineRule="exact"/>
        <w:rPr>
          <w:sz w:val="20"/>
          <w:szCs w:val="20"/>
          <w:color w:val="auto"/>
        </w:rPr>
      </w:pPr>
    </w:p>
    <w:p>
      <w:pPr>
        <w:jc w:val="both"/>
        <w:ind w:left="1400" w:right="779"/>
        <w:spacing w:after="0" w:line="263" w:lineRule="auto"/>
        <w:rPr>
          <w:sz w:val="20"/>
          <w:szCs w:val="20"/>
          <w:color w:val="auto"/>
        </w:rPr>
      </w:pPr>
      <w:r>
        <w:rPr>
          <w:rFonts w:ascii="Times New Roman" w:cs="Times New Roman" w:eastAsia="Times New Roman" w:hAnsi="Times New Roman"/>
          <w:sz w:val="14"/>
          <w:szCs w:val="14"/>
          <w:color w:val="auto"/>
        </w:rPr>
        <w:t>We are currently developing two methylthioadenosine phosphorylase (MTAP)-deleted selective PRMT5 inhibitors: vopimetostat (TNG462) for non-CNS cancers, including pancreatic and lung cancer, and TNG456, our next-generation, brain-penetrant protein arginine methyltransferase 5 (PRMT5) inhibitor, for central nervous system (“CNS”) cancers, including glioblastoma (GBM).</w:t>
      </w:r>
    </w:p>
    <w:p>
      <w:pPr>
        <w:spacing w:after="0" w:line="136" w:lineRule="exact"/>
        <w:rPr>
          <w:sz w:val="20"/>
          <w:szCs w:val="20"/>
          <w:color w:val="auto"/>
        </w:rPr>
      </w:pPr>
    </w:p>
    <w:p>
      <w:pPr>
        <w:ind w:left="1400" w:right="439"/>
        <w:spacing w:after="0" w:line="255" w:lineRule="auto"/>
        <w:rPr>
          <w:sz w:val="20"/>
          <w:szCs w:val="20"/>
          <w:color w:val="auto"/>
        </w:rPr>
      </w:pPr>
      <w:r>
        <w:rPr>
          <w:rFonts w:ascii="Times New Roman" w:cs="Times New Roman" w:eastAsia="Times New Roman" w:hAnsi="Times New Roman"/>
          <w:sz w:val="14"/>
          <w:szCs w:val="14"/>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w:t>
      </w:r>
    </w:p>
    <w:p>
      <w:pPr>
        <w:spacing w:after="0" w:line="143" w:lineRule="exact"/>
        <w:rPr>
          <w:sz w:val="20"/>
          <w:szCs w:val="20"/>
          <w:color w:val="auto"/>
        </w:rPr>
      </w:pPr>
    </w:p>
    <w:p>
      <w:pPr>
        <w:ind w:left="1400" w:right="279"/>
        <w:spacing w:after="0" w:line="273" w:lineRule="auto"/>
        <w:rPr>
          <w:sz w:val="20"/>
          <w:szCs w:val="20"/>
          <w:color w:val="auto"/>
        </w:rPr>
      </w:pPr>
      <w:r>
        <w:rPr>
          <w:rFonts w:ascii="Times New Roman" w:cs="Times New Roman" w:eastAsia="Times New Roman" w:hAnsi="Times New Roman"/>
          <w:sz w:val="13"/>
          <w:szCs w:val="13"/>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33"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26"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40" w:lineRule="exact"/>
        <w:rPr>
          <w:sz w:val="20"/>
          <w:szCs w:val="20"/>
          <w:color w:val="auto"/>
        </w:rPr>
      </w:pPr>
    </w:p>
    <w:p>
      <w:pPr>
        <w:ind w:left="1400" w:right="1139"/>
        <w:spacing w:after="0" w:line="278" w:lineRule="auto"/>
        <w:rPr>
          <w:sz w:val="20"/>
          <w:szCs w:val="20"/>
          <w:color w:val="auto"/>
        </w:rPr>
      </w:pPr>
      <w:r>
        <w:rPr>
          <w:rFonts w:ascii="Times New Roman" w:cs="Times New Roman" w:eastAsia="Times New Roman" w:hAnsi="Times New Roman"/>
          <w:sz w:val="14"/>
          <w:szCs w:val="14"/>
          <w:color w:val="auto"/>
        </w:rPr>
        <w:t>In May 2025, the first patient was treated with TNG456 in the dose escalation portion of the Phase 1/2 clinical trial to evaluate the safety, pharmacokinetics, pharmacodynamics and antitumor activity of TNG456 as a</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26"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45"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43" w:lineRule="exact"/>
        <w:rPr>
          <w:sz w:val="20"/>
          <w:szCs w:val="20"/>
          <w:color w:val="auto"/>
        </w:rPr>
      </w:pPr>
    </w:p>
    <w:p>
      <w:pPr>
        <w:ind w:left="1400" w:right="359"/>
        <w:spacing w:after="0" w:line="263" w:lineRule="auto"/>
        <w:rPr>
          <w:sz w:val="20"/>
          <w:szCs w:val="20"/>
          <w:color w:val="auto"/>
        </w:rPr>
      </w:pPr>
      <w:r>
        <w:rPr>
          <w:rFonts w:ascii="Times New Roman" w:cs="Times New Roman" w:eastAsia="Times New Roman" w:hAnsi="Times New Roman"/>
          <w:sz w:val="14"/>
          <w:szCs w:val="14"/>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339"/>
        <w:spacing w:after="0" w:line="275" w:lineRule="auto"/>
        <w:rPr>
          <w:sz w:val="20"/>
          <w:szCs w:val="20"/>
          <w:color w:val="auto"/>
        </w:rPr>
      </w:pPr>
      <w:r>
        <w:rPr>
          <w:rFonts w:ascii="Times New Roman" w:cs="Times New Roman" w:eastAsia="Times New Roman" w:hAnsi="Times New Roman"/>
          <w:sz w:val="13"/>
          <w:szCs w:val="13"/>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8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SECURITIES THAT MAY BE OFFERED</w:t>
      </w:r>
    </w:p>
    <w:p>
      <w:pPr>
        <w:spacing w:after="0" w:line="174"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2" w:lineRule="exact"/>
        <w:rPr>
          <w:sz w:val="20"/>
          <w:szCs w:val="20"/>
          <w:color w:val="auto"/>
        </w:rPr>
      </w:pPr>
    </w:p>
    <w:p>
      <w:pPr>
        <w:ind w:left="1400" w:right="319"/>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and Outstanding Stock</w:t>
      </w:r>
    </w:p>
    <w:p>
      <w:pPr>
        <w:spacing w:after="0" w:line="91"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certificate of incorporation provides the following with respect to the rights, powers, preferences and privileges of the common stock.</w:t>
      </w:r>
    </w:p>
    <w:p>
      <w:pPr>
        <w:spacing w:after="0" w:line="170" w:lineRule="exact"/>
        <w:rPr>
          <w:sz w:val="20"/>
          <w:szCs w:val="20"/>
          <w:color w:val="auto"/>
        </w:rPr>
      </w:pPr>
    </w:p>
    <w:p>
      <w:pPr>
        <w:ind w:left="1400" w:right="51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Voting Power. </w:t>
      </w: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34" w:lineRule="exact"/>
        <w:rPr>
          <w:sz w:val="20"/>
          <w:szCs w:val="20"/>
          <w:color w:val="auto"/>
        </w:rPr>
      </w:pPr>
    </w:p>
    <w:p>
      <w:pPr>
        <w:jc w:val="both"/>
        <w:ind w:left="1400" w:right="31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common stock will be entitled to receive such dividends, if any, as may be declared from time to time by our board of directors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34" w:lineRule="exact"/>
        <w:rPr>
          <w:sz w:val="20"/>
          <w:szCs w:val="20"/>
          <w:color w:val="auto"/>
        </w:rPr>
      </w:pPr>
    </w:p>
    <w:p>
      <w:pPr>
        <w:jc w:val="both"/>
        <w:ind w:left="1400" w:right="33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Liquidation, Dissolution and Winding Up. </w:t>
      </w:r>
      <w:r>
        <w:rPr>
          <w:rFonts w:ascii="Times New Roman" w:cs="Times New Roman" w:eastAsia="Times New Roman" w:hAnsi="Times New Roman"/>
          <w:sz w:val="14"/>
          <w:szCs w:val="14"/>
          <w:color w:val="auto"/>
        </w:rPr>
        <w:t>In the event of Tango’s voluntary or involuntary liquidation, dissolution, distribution of assets or winding-up,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34" w:lineRule="exact"/>
        <w:rPr>
          <w:sz w:val="20"/>
          <w:szCs w:val="20"/>
          <w:color w:val="auto"/>
        </w:rPr>
      </w:pPr>
    </w:p>
    <w:p>
      <w:pPr>
        <w:ind w:left="1400" w:right="439"/>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Preemptive or Other Rights. </w:t>
      </w:r>
      <w:r>
        <w:rPr>
          <w:rFonts w:ascii="Times New Roman" w:cs="Times New Roman" w:eastAsia="Times New Roman" w:hAnsi="Times New Roman"/>
          <w:sz w:val="14"/>
          <w:szCs w:val="14"/>
          <w:color w:val="auto"/>
        </w:rPr>
        <w:t>Our common stock has no preemptive rights, conversion rights or other subscription rights or redemption or sinking fund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Listing of Securities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for our common stock is Computershare Trust Company, N.A.</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1" w:lineRule="exact"/>
        <w:rPr>
          <w:sz w:val="20"/>
          <w:szCs w:val="20"/>
          <w:color w:val="auto"/>
        </w:rPr>
      </w:pPr>
    </w:p>
    <w:p>
      <w:pPr>
        <w:ind w:left="1400" w:right="399"/>
        <w:spacing w:after="0" w:line="258" w:lineRule="auto"/>
        <w:rPr>
          <w:sz w:val="20"/>
          <w:szCs w:val="20"/>
          <w:color w:val="auto"/>
        </w:rPr>
      </w:pPr>
      <w:r>
        <w:rPr>
          <w:rFonts w:ascii="Times New Roman" w:cs="Times New Roman" w:eastAsia="Times New Roman" w:hAnsi="Times New Roman"/>
          <w:sz w:val="14"/>
          <w:szCs w:val="14"/>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1"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In particular, the Amended and Restated Registration and Stockholder Rights Agreement provides for the following registration rights:</w:t>
      </w:r>
    </w:p>
    <w:p>
      <w:pPr>
        <w:spacing w:after="0" w:line="97" w:lineRule="exact"/>
        <w:rPr>
          <w:sz w:val="20"/>
          <w:szCs w:val="20"/>
          <w:color w:val="auto"/>
        </w:rPr>
      </w:pPr>
    </w:p>
    <w:p>
      <w:pPr>
        <w:ind w:left="2160" w:right="319" w:hanging="342"/>
        <w:spacing w:after="0" w:line="254"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Shelf registration/demand registration rights</w:t>
      </w:r>
      <w:r>
        <w:rPr>
          <w:rFonts w:ascii="Times New Roman" w:cs="Times New Roman" w:eastAsia="Times New Roman" w:hAnsi="Times New Roman"/>
          <w:sz w:val="14"/>
          <w:szCs w:val="14"/>
          <w:color w:val="auto"/>
        </w:rPr>
        <w:t>. At any time and from time to time when an effective shelf registration statement is on file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9" w:lineRule="exact"/>
        <w:rPr>
          <w:rFonts w:ascii="Times New Roman" w:cs="Times New Roman" w:eastAsia="Times New Roman" w:hAnsi="Times New Roman"/>
          <w:sz w:val="14"/>
          <w:szCs w:val="14"/>
          <w:color w:val="auto"/>
        </w:rPr>
      </w:pPr>
    </w:p>
    <w:p>
      <w:pPr>
        <w:ind w:left="2160" w:right="499" w:hanging="342"/>
        <w:spacing w:after="0" w:line="259"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Piggyback registration rights</w:t>
      </w:r>
      <w:r>
        <w:rPr>
          <w:rFonts w:ascii="Times New Roman" w:cs="Times New Roman" w:eastAsia="Times New Roman" w:hAnsi="Times New Roman"/>
          <w:sz w:val="14"/>
          <w:szCs w:val="14"/>
          <w:color w:val="auto"/>
        </w:rPr>
        <w:t>. Subject to exceptions for certain offerings and registration statements, if at any time, we propose to file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64" w:lineRule="exact"/>
        <w:rPr>
          <w:rFonts w:ascii="Times New Roman" w:cs="Times New Roman" w:eastAsia="Times New Roman" w:hAnsi="Times New Roman"/>
          <w:sz w:val="14"/>
          <w:szCs w:val="14"/>
          <w:color w:val="auto"/>
        </w:rPr>
      </w:pPr>
    </w:p>
    <w:p>
      <w:pPr>
        <w:ind w:left="2160" w:right="299" w:hanging="342"/>
        <w:spacing w:after="0" w:line="259"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w:t>
      </w:r>
      <w:r>
        <w:rPr>
          <w:rFonts w:ascii="Times New Roman" w:cs="Times New Roman" w:eastAsia="Times New Roman" w:hAnsi="Times New Roman"/>
          <w:sz w:val="14"/>
          <w:szCs w:val="14"/>
          <w:color w:val="auto"/>
        </w:rPr>
        <w:t>. The Amended and Restated Registration and Stockholder Rights Agreement contains customary cross-indemnification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Expiration of Registration Rights</w:t>
      </w:r>
    </w:p>
    <w:p>
      <w:pPr>
        <w:spacing w:after="0" w:line="91" w:lineRule="exact"/>
        <w:rPr>
          <w:sz w:val="20"/>
          <w:szCs w:val="20"/>
          <w:color w:val="auto"/>
        </w:rPr>
      </w:pPr>
    </w:p>
    <w:p>
      <w:pPr>
        <w:ind w:left="1400" w:right="419"/>
        <w:spacing w:after="0" w:line="263" w:lineRule="auto"/>
        <w:rPr>
          <w:sz w:val="20"/>
          <w:szCs w:val="20"/>
          <w:color w:val="auto"/>
        </w:rPr>
      </w:pPr>
      <w:r>
        <w:rPr>
          <w:rFonts w:ascii="Times New Roman" w:cs="Times New Roman" w:eastAsia="Times New Roman" w:hAnsi="Times New Roman"/>
          <w:sz w:val="14"/>
          <w:szCs w:val="14"/>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217" w:lineRule="exact"/>
        <w:rPr>
          <w:sz w:val="20"/>
          <w:szCs w:val="20"/>
          <w:color w:val="auto"/>
        </w:rPr>
      </w:pPr>
    </w:p>
    <w:p>
      <w:pPr>
        <w:ind w:left="1400" w:right="3519"/>
        <w:spacing w:after="0" w:line="373" w:lineRule="auto"/>
        <w:rPr>
          <w:sz w:val="20"/>
          <w:szCs w:val="20"/>
          <w:color w:val="auto"/>
        </w:rPr>
      </w:pPr>
      <w:r>
        <w:rPr>
          <w:rFonts w:ascii="Times New Roman" w:cs="Times New Roman" w:eastAsia="Times New Roman" w:hAnsi="Times New Roman"/>
          <w:sz w:val="14"/>
          <w:szCs w:val="14"/>
          <w:b w:val="1"/>
          <w:bCs w:val="1"/>
          <w:color w:val="auto"/>
        </w:rPr>
        <w:t xml:space="preserve">Anti-Takeover Effects of our Certificate of Incorporation and Bylaws and Delaware Law </w:t>
      </w:r>
      <w:r>
        <w:rPr>
          <w:rFonts w:ascii="Times New Roman" w:cs="Times New Roman" w:eastAsia="Times New Roman" w:hAnsi="Times New Roman"/>
          <w:sz w:val="14"/>
          <w:szCs w:val="14"/>
          <w:b w:val="1"/>
          <w:bCs w:val="1"/>
          <w:i w:val="1"/>
          <w:iCs w:val="1"/>
          <w:color w:val="auto"/>
        </w:rPr>
        <w:t>Certificate of Incorporation and Bylaws</w:t>
      </w:r>
    </w:p>
    <w:p>
      <w:pPr>
        <w:spacing w:after="0" w:line="1"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Our certificate of incorporation and bylaws include a number of provisions that may have the effect of delaying, deferring or preventing another party from acquiring control of us and encouraging persons considering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99"/>
        <w:spacing w:after="0" w:line="278" w:lineRule="auto"/>
        <w:rPr>
          <w:sz w:val="20"/>
          <w:szCs w:val="20"/>
          <w:color w:val="auto"/>
        </w:rPr>
      </w:pPr>
      <w:r>
        <w:rPr>
          <w:rFonts w:ascii="Times New Roman" w:cs="Times New Roman" w:eastAsia="Times New Roman" w:hAnsi="Times New Roman"/>
          <w:sz w:val="14"/>
          <w:szCs w:val="14"/>
          <w:color w:val="auto"/>
        </w:rPr>
        <w:t>unsolicited tender offers or other unilateral takeover proposals to negotiate with our board of directors rather than pursue non-negotiated takeover attempts. These provisions include the items described below:</w:t>
      </w:r>
    </w:p>
    <w:p>
      <w:pPr>
        <w:spacing w:after="0" w:line="53" w:lineRule="exact"/>
        <w:rPr>
          <w:sz w:val="20"/>
          <w:szCs w:val="20"/>
          <w:color w:val="auto"/>
        </w:rPr>
      </w:pPr>
    </w:p>
    <w:p>
      <w:pPr>
        <w:ind w:left="2160" w:right="45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our board of directors;</w:t>
      </w:r>
    </w:p>
    <w:p>
      <w:pPr>
        <w:spacing w:after="0" w:line="98" w:lineRule="exact"/>
        <w:rPr>
          <w:rFonts w:ascii="Times New Roman" w:cs="Times New Roman" w:eastAsia="Times New Roman" w:hAnsi="Times New Roman"/>
          <w:sz w:val="14"/>
          <w:szCs w:val="14"/>
          <w:color w:val="auto"/>
        </w:rPr>
      </w:pPr>
    </w:p>
    <w:p>
      <w:pPr>
        <w:jc w:val="both"/>
        <w:ind w:left="2160" w:right="659" w:hanging="342"/>
        <w:spacing w:after="0" w:line="263"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63" w:lineRule="exact"/>
        <w:rPr>
          <w:rFonts w:ascii="Times New Roman" w:cs="Times New Roman" w:eastAsia="Times New Roman" w:hAnsi="Times New Roman"/>
          <w:sz w:val="14"/>
          <w:szCs w:val="14"/>
          <w:color w:val="auto"/>
        </w:rPr>
      </w:pPr>
    </w:p>
    <w:p>
      <w:pPr>
        <w:ind w:left="2160" w:right="339" w:hanging="342"/>
        <w:spacing w:after="0" w:line="255"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70"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by our board of directors pursuant to a resolution adopted by a majority of the directors then in office;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divided into three classes of directors, and with the directors serving three-year terms, therefore making it more difficult for stockholders to change the composition of our board of directors;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52"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72"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91" w:lineRule="exact"/>
        <w:rPr>
          <w:sz w:val="20"/>
          <w:szCs w:val="20"/>
          <w:color w:val="auto"/>
        </w:rPr>
      </w:pPr>
    </w:p>
    <w:p>
      <w:pPr>
        <w:ind w:left="1400" w:right="439"/>
        <w:spacing w:after="0" w:line="263" w:lineRule="auto"/>
        <w:rPr>
          <w:sz w:val="20"/>
          <w:szCs w:val="20"/>
          <w:color w:val="auto"/>
        </w:rPr>
      </w:pPr>
      <w:r>
        <w:rPr>
          <w:rFonts w:ascii="Times New Roman" w:cs="Times New Roman" w:eastAsia="Times New Roman" w:hAnsi="Times New Roman"/>
          <w:sz w:val="14"/>
          <w:szCs w:val="14"/>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91" w:lineRule="exact"/>
        <w:rPr>
          <w:sz w:val="20"/>
          <w:szCs w:val="20"/>
          <w:color w:val="auto"/>
        </w:rPr>
      </w:pPr>
    </w:p>
    <w:p>
      <w:pPr>
        <w:jc w:val="both"/>
        <w:ind w:left="1400" w:right="459"/>
        <w:spacing w:after="0" w:line="292" w:lineRule="auto"/>
        <w:rPr>
          <w:sz w:val="20"/>
          <w:szCs w:val="20"/>
          <w:color w:val="auto"/>
        </w:rPr>
      </w:pPr>
      <w:r>
        <w:rPr>
          <w:rFonts w:ascii="Times New Roman" w:cs="Times New Roman" w:eastAsia="Times New Roman" w:hAnsi="Times New Roman"/>
          <w:sz w:val="13"/>
          <w:szCs w:val="13"/>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4"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3"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3" w:lineRule="exact"/>
        <w:rPr>
          <w:sz w:val="20"/>
          <w:szCs w:val="20"/>
          <w:color w:val="auto"/>
        </w:rPr>
      </w:pPr>
    </w:p>
    <w:p>
      <w:pPr>
        <w:jc w:val="both"/>
        <w:ind w:left="1400" w:right="299"/>
        <w:spacing w:after="0" w:line="258"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0" w:lineRule="exact"/>
        <w:rPr>
          <w:sz w:val="20"/>
          <w:szCs w:val="20"/>
          <w:color w:val="auto"/>
        </w:rPr>
      </w:pPr>
    </w:p>
    <w:p>
      <w:pPr>
        <w:ind w:left="1400" w:right="359"/>
        <w:spacing w:after="0" w:line="284" w:lineRule="auto"/>
        <w:rPr>
          <w:sz w:val="20"/>
          <w:szCs w:val="20"/>
          <w:color w:val="auto"/>
        </w:rPr>
      </w:pPr>
      <w:r>
        <w:rPr>
          <w:rFonts w:ascii="Times New Roman" w:cs="Times New Roman" w:eastAsia="Times New Roman" w:hAnsi="Times New Roman"/>
          <w:sz w:val="13"/>
          <w:szCs w:val="13"/>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9" w:lineRule="exact"/>
        <w:rPr>
          <w:sz w:val="20"/>
          <w:szCs w:val="20"/>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hanging="342"/>
        <w:spacing w:after="0" w:line="25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6" w:lineRule="exact"/>
        <w:rPr>
          <w:rFonts w:ascii="Times New Roman" w:cs="Times New Roman" w:eastAsia="Times New Roman" w:hAnsi="Times New Roman"/>
          <w:sz w:val="14"/>
          <w:szCs w:val="14"/>
          <w:color w:val="auto"/>
        </w:rPr>
      </w:pPr>
    </w:p>
    <w:p>
      <w:pPr>
        <w:ind w:left="2160" w:right="419" w:hanging="342"/>
        <w:spacing w:after="0" w:line="318" w:lineRule="auto"/>
        <w:tabs>
          <w:tab w:leader="none" w:pos="21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3" w:lineRule="exact"/>
        <w:rPr>
          <w:rFonts w:ascii="Times New Roman" w:cs="Times New Roman" w:eastAsia="Times New Roman" w:hAnsi="Times New Roman"/>
          <w:sz w:val="14"/>
          <w:szCs w:val="14"/>
          <w:color w:val="auto"/>
        </w:rPr>
      </w:pPr>
    </w:p>
    <w:p>
      <w:pPr>
        <w:ind w:left="2160" w:right="59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4"/>
          <w:szCs w:val="14"/>
          <w:color w:val="auto"/>
        </w:rPr>
      </w:pPr>
    </w:p>
    <w:p>
      <w:pPr>
        <w:ind w:left="2160" w:right="639" w:hanging="342"/>
        <w:spacing w:after="0" w:line="263"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3"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3" w:lineRule="exact"/>
        <w:rPr>
          <w:rFonts w:ascii="Times New Roman" w:cs="Times New Roman" w:eastAsia="Times New Roman" w:hAnsi="Times New Roman"/>
          <w:sz w:val="14"/>
          <w:szCs w:val="14"/>
          <w:color w:val="auto"/>
        </w:rPr>
      </w:pPr>
    </w:p>
    <w:p>
      <w:pPr>
        <w:ind w:left="2160" w:right="279" w:hanging="342"/>
        <w:spacing w:after="0" w:line="25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6"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4"/>
          <w:szCs w:val="14"/>
          <w:color w:val="auto"/>
        </w:rPr>
      </w:pPr>
    </w:p>
    <w:p>
      <w:pPr>
        <w:ind w:left="2160" w:right="107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3" w:lineRule="exact"/>
        <w:rPr>
          <w:rFonts w:ascii="Times New Roman" w:cs="Times New Roman" w:eastAsia="Times New Roman" w:hAnsi="Times New Roman"/>
          <w:sz w:val="14"/>
          <w:szCs w:val="14"/>
          <w:color w:val="auto"/>
        </w:rPr>
      </w:pPr>
    </w:p>
    <w:p>
      <w:pPr>
        <w:ind w:left="2160" w:right="57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8"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4"/>
          <w:szCs w:val="14"/>
          <w:color w:val="auto"/>
        </w:rPr>
      </w:pPr>
    </w:p>
    <w:p>
      <w:pPr>
        <w:ind w:left="5580" w:right="379" w:hanging="3762"/>
        <w:spacing w:after="0" w:line="449" w:lineRule="auto"/>
        <w:tabs>
          <w:tab w:leader="none" w:pos="2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16</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3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1" w:lineRule="exact"/>
        <w:rPr>
          <w:sz w:val="20"/>
          <w:szCs w:val="20"/>
          <w:color w:val="auto"/>
        </w:rPr>
      </w:pPr>
    </w:p>
    <w:p>
      <w:pPr>
        <w:jc w:val="both"/>
        <w:ind w:left="1400" w:right="359"/>
        <w:spacing w:after="0" w:line="25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1"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1"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3" w:lineRule="exact"/>
        <w:rPr>
          <w:sz w:val="20"/>
          <w:szCs w:val="20"/>
          <w:color w:val="auto"/>
        </w:rPr>
      </w:pPr>
    </w:p>
    <w:p>
      <w:pPr>
        <w:jc w:val="both"/>
        <w:ind w:left="2160" w:right="339" w:hanging="342"/>
        <w:spacing w:after="0" w:line="263"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3" w:lineRule="exact"/>
        <w:rPr>
          <w:rFonts w:ascii="Times New Roman" w:cs="Times New Roman" w:eastAsia="Times New Roman" w:hAnsi="Times New Roman"/>
          <w:sz w:val="14"/>
          <w:szCs w:val="14"/>
          <w:color w:val="auto"/>
        </w:rPr>
      </w:pPr>
    </w:p>
    <w:p>
      <w:pPr>
        <w:ind w:left="2160" w:right="339" w:hanging="342"/>
        <w:spacing w:after="0" w:line="284" w:lineRule="auto"/>
        <w:tabs>
          <w:tab w:leader="none" w:pos="21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51" w:lineRule="exact"/>
        <w:rPr>
          <w:rFonts w:ascii="Times New Roman" w:cs="Times New Roman" w:eastAsia="Times New Roman" w:hAnsi="Times New Roman"/>
          <w:sz w:val="13"/>
          <w:szCs w:val="13"/>
          <w:color w:val="auto"/>
        </w:rPr>
      </w:pPr>
    </w:p>
    <w:p>
      <w:pPr>
        <w:ind w:left="2160" w:right="299" w:hanging="342"/>
        <w:spacing w:after="0" w:line="25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72"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439"/>
        <w:spacing w:after="0" w:line="258" w:lineRule="auto"/>
        <w:rPr>
          <w:sz w:val="20"/>
          <w:szCs w:val="20"/>
          <w:color w:val="auto"/>
        </w:rPr>
      </w:pPr>
      <w:r>
        <w:rPr>
          <w:rFonts w:ascii="Times New Roman" w:cs="Times New Roman" w:eastAsia="Times New Roman" w:hAnsi="Times New Roman"/>
          <w:sz w:val="14"/>
          <w:szCs w:val="14"/>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0" w:lineRule="exact"/>
        <w:rPr>
          <w:sz w:val="20"/>
          <w:szCs w:val="20"/>
          <w:color w:val="auto"/>
        </w:rPr>
      </w:pPr>
    </w:p>
    <w:p>
      <w:pPr>
        <w:ind w:left="1400" w:right="519"/>
        <w:spacing w:after="0" w:line="263"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6"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0" w:lineRule="exact"/>
        <w:rPr>
          <w:sz w:val="20"/>
          <w:szCs w:val="20"/>
          <w:color w:val="auto"/>
        </w:rPr>
      </w:pPr>
    </w:p>
    <w:p>
      <w:pPr>
        <w:ind w:left="2160" w:hanging="342"/>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3" w:lineRule="exact"/>
        <w:rPr>
          <w:sz w:val="20"/>
          <w:szCs w:val="20"/>
          <w:color w:val="auto"/>
        </w:rPr>
      </w:pPr>
    </w:p>
    <w:p>
      <w:pPr>
        <w:ind w:left="2160" w:hanging="34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4"/>
          <w:szCs w:val="14"/>
          <w:color w:val="auto"/>
        </w:rPr>
      </w:pPr>
    </w:p>
    <w:p>
      <w:pPr>
        <w:ind w:left="2160" w:right="639" w:hanging="342"/>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6"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9" w:lineRule="exact"/>
        <w:rPr>
          <w:sz w:val="20"/>
          <w:szCs w:val="20"/>
          <w:color w:val="auto"/>
        </w:rPr>
      </w:pPr>
    </w:p>
    <w:p>
      <w:pPr>
        <w:ind w:left="2160" w:hanging="34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w:t>
      </w:r>
      <w:r>
        <w:rPr>
          <w:rFonts w:ascii="Times New Roman" w:cs="Times New Roman" w:eastAsia="Times New Roman" w:hAnsi="Times New Roman"/>
          <w:sz w:val="14"/>
          <w:szCs w:val="14"/>
          <w:i w:val="1"/>
          <w:iCs w:val="1"/>
          <w:color w:val="auto"/>
        </w:rPr>
        <w:t>Description of Debt Securities—Consolidation, Merger or Sale</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99" w:hanging="342"/>
        <w:spacing w:after="0" w:line="258"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6" w:lineRule="exact"/>
        <w:rPr>
          <w:rFonts w:ascii="Times New Roman" w:cs="Times New Roman" w:eastAsia="Times New Roman" w:hAnsi="Times New Roman"/>
          <w:sz w:val="14"/>
          <w:szCs w:val="14"/>
          <w:color w:val="auto"/>
        </w:rPr>
      </w:pPr>
    </w:p>
    <w:p>
      <w:pPr>
        <w:ind w:left="2160" w:right="879" w:hanging="342"/>
        <w:spacing w:after="0" w:line="278"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8" w:lineRule="exact"/>
        <w:rPr>
          <w:rFonts w:ascii="Times New Roman" w:cs="Times New Roman" w:eastAsia="Times New Roman" w:hAnsi="Times New Roman"/>
          <w:sz w:val="14"/>
          <w:szCs w:val="14"/>
          <w:color w:val="auto"/>
        </w:rPr>
      </w:pPr>
    </w:p>
    <w:p>
      <w:pPr>
        <w:jc w:val="both"/>
        <w:ind w:left="2160" w:right="379" w:hanging="342"/>
        <w:spacing w:after="0" w:line="263" w:lineRule="auto"/>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w:t>
      </w:r>
      <w:r>
        <w:rPr>
          <w:rFonts w:ascii="Times New Roman" w:cs="Times New Roman" w:eastAsia="Times New Roman" w:hAnsi="Times New Roman"/>
          <w:sz w:val="14"/>
          <w:szCs w:val="14"/>
          <w:i w:val="1"/>
          <w:iCs w:val="1"/>
          <w:color w:val="auto"/>
        </w:rPr>
        <w:t>Description of Debt Securities—General</w:t>
      </w:r>
      <w:r>
        <w:rPr>
          <w:rFonts w:ascii="Times New Roman" w:cs="Times New Roman" w:eastAsia="Times New Roman" w:hAnsi="Times New Roman"/>
          <w:sz w:val="14"/>
          <w:szCs w:val="14"/>
          <w:color w:val="auto"/>
        </w:rPr>
        <w:t>”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2" w:lineRule="exact"/>
        <w:rPr>
          <w:sz w:val="20"/>
          <w:szCs w:val="20"/>
          <w:color w:val="auto"/>
        </w:rPr>
      </w:pPr>
    </w:p>
    <w:p>
      <w:pPr>
        <w:ind w:left="1400" w:right="339"/>
        <w:spacing w:after="0" w:line="258"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7" w:lineRule="exact"/>
        <w:rPr>
          <w:sz w:val="20"/>
          <w:szCs w:val="20"/>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1"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3" w:lineRule="exact"/>
        <w:rPr>
          <w:sz w:val="20"/>
          <w:szCs w:val="20"/>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78"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1" w:lineRule="exact"/>
        <w:rPr>
          <w:sz w:val="20"/>
          <w:szCs w:val="20"/>
          <w:color w:val="auto"/>
        </w:rPr>
      </w:pPr>
    </w:p>
    <w:p>
      <w:pPr>
        <w:ind w:left="1400" w:right="439"/>
        <w:spacing w:after="0" w:line="254"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2" w:lineRule="exact"/>
        <w:rPr>
          <w:sz w:val="20"/>
          <w:szCs w:val="20"/>
          <w:color w:val="auto"/>
        </w:rPr>
      </w:pPr>
    </w:p>
    <w:p>
      <w:pPr>
        <w:jc w:val="both"/>
        <w:ind w:left="1400" w:right="339"/>
        <w:spacing w:after="0" w:line="263"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6"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3" w:lineRule="exact"/>
        <w:rPr>
          <w:sz w:val="20"/>
          <w:szCs w:val="20"/>
          <w:color w:val="auto"/>
        </w:rPr>
      </w:pPr>
    </w:p>
    <w:p>
      <w:pPr>
        <w:jc w:val="both"/>
        <w:ind w:left="1400" w:right="399"/>
        <w:spacing w:after="0" w:line="258"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9" w:lineRule="exact"/>
        <w:rPr>
          <w:sz w:val="20"/>
          <w:szCs w:val="20"/>
          <w:color w:val="auto"/>
        </w:rPr>
      </w:pPr>
    </w:p>
    <w:p>
      <w:pPr>
        <w:jc w:val="both"/>
        <w:ind w:left="2160" w:right="479" w:hanging="342"/>
        <w:spacing w:after="0" w:line="26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1" w:lineRule="exact"/>
        <w:rPr>
          <w:sz w:val="20"/>
          <w:szCs w:val="20"/>
          <w:color w:val="auto"/>
        </w:rPr>
      </w:pPr>
    </w:p>
    <w:p>
      <w:pPr>
        <w:ind w:left="1400" w:right="379"/>
        <w:spacing w:after="0" w:line="255"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1" w:lineRule="exact"/>
        <w:rPr>
          <w:sz w:val="20"/>
          <w:szCs w:val="20"/>
          <w:color w:val="auto"/>
        </w:rPr>
      </w:pPr>
    </w:p>
    <w:p>
      <w:pPr>
        <w:ind w:left="1400" w:right="299"/>
        <w:spacing w:after="0" w:line="263"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6"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2" w:lineRule="exact"/>
        <w:rPr>
          <w:sz w:val="20"/>
          <w:szCs w:val="20"/>
          <w:color w:val="auto"/>
        </w:rPr>
      </w:pPr>
    </w:p>
    <w:p>
      <w:pPr>
        <w:ind w:left="1400" w:right="419"/>
        <w:spacing w:after="0" w:line="263"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except to the extent that the Trust Indenture Act is applicable.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2"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319"/>
        <w:spacing w:after="0" w:line="318" w:lineRule="auto"/>
        <w:rPr>
          <w:sz w:val="20"/>
          <w:szCs w:val="20"/>
          <w:color w:val="auto"/>
        </w:rPr>
      </w:pPr>
      <w:r>
        <w:rPr>
          <w:rFonts w:ascii="Times New Roman" w:cs="Times New Roman" w:eastAsia="Times New Roman" w:hAnsi="Times New Roman"/>
          <w:sz w:val="13"/>
          <w:szCs w:val="13"/>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03" w:lineRule="exact"/>
        <w:rPr>
          <w:sz w:val="20"/>
          <w:szCs w:val="20"/>
          <w:color w:val="auto"/>
        </w:rPr>
      </w:pPr>
    </w:p>
    <w:p>
      <w:pPr>
        <w:ind w:left="1400" w:right="499"/>
        <w:spacing w:after="0" w:line="263"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99" w:lineRule="exact"/>
        <w:rPr>
          <w:sz w:val="20"/>
          <w:szCs w:val="20"/>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4"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8"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7" w:lineRule="exact"/>
        <w:rPr>
          <w:sz w:val="20"/>
          <w:szCs w:val="20"/>
          <w:color w:val="auto"/>
        </w:rPr>
      </w:pPr>
    </w:p>
    <w:p>
      <w:pPr>
        <w:ind w:left="2160" w:right="499" w:hanging="342"/>
        <w:spacing w:after="0" w:line="278"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70" w:lineRule="exact"/>
        <w:rPr>
          <w:sz w:val="20"/>
          <w:szCs w:val="20"/>
          <w:color w:val="auto"/>
        </w:rPr>
      </w:pPr>
    </w:p>
    <w:p>
      <w:pPr>
        <w:ind w:left="1400" w:right="459"/>
        <w:spacing w:after="0" w:line="281"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Warrants</w:t>
      </w:r>
      <w:r>
        <w:rPr>
          <w:rFonts w:ascii="Times New Roman" w:cs="Times New Roman" w:eastAsia="Times New Roman" w:hAnsi="Times New Roman"/>
          <w:sz w:val="14"/>
          <w:szCs w:val="14"/>
          <w:color w:val="auto"/>
        </w:rPr>
        <w:t>” will apply to the securities included in each unit, to the extent relevant and as may be updated in any prospectus supplements.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91" w:lineRule="exact"/>
        <w:rPr>
          <w:sz w:val="20"/>
          <w:szCs w:val="20"/>
          <w:color w:val="auto"/>
        </w:rPr>
      </w:pPr>
    </w:p>
    <w:p>
      <w:pPr>
        <w:ind w:left="1400" w:right="559"/>
        <w:spacing w:after="0" w:line="278"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91" w:lineRule="exact"/>
        <w:rPr>
          <w:sz w:val="20"/>
          <w:szCs w:val="20"/>
          <w:color w:val="auto"/>
        </w:rPr>
      </w:pPr>
    </w:p>
    <w:p>
      <w:pPr>
        <w:jc w:val="both"/>
        <w:ind w:left="1400" w:right="359"/>
        <w:spacing w:after="0" w:line="263"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without Consent</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99" w:lineRule="exact"/>
        <w:rPr>
          <w:sz w:val="20"/>
          <w:szCs w:val="20"/>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26" w:lineRule="exact"/>
        <w:rPr>
          <w:sz w:val="20"/>
          <w:szCs w:val="20"/>
          <w:color w:val="auto"/>
        </w:rPr>
      </w:pPr>
    </w:p>
    <w:p>
      <w:pPr>
        <w:ind w:left="1400" w:right="359"/>
        <w:spacing w:after="0" w:line="263"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with Consent</w:t>
      </w:r>
    </w:p>
    <w:p>
      <w:pPr>
        <w:spacing w:after="0" w:line="91"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53" w:lineRule="exact"/>
        <w:rPr>
          <w:sz w:val="20"/>
          <w:szCs w:val="20"/>
          <w:color w:val="auto"/>
        </w:rPr>
      </w:pPr>
    </w:p>
    <w:p>
      <w:pPr>
        <w:ind w:left="2160" w:right="419" w:hanging="342"/>
        <w:spacing w:after="0" w:line="278"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99" w:lineRule="exact"/>
        <w:rPr>
          <w:sz w:val="20"/>
          <w:szCs w:val="20"/>
          <w:color w:val="auto"/>
        </w:rPr>
      </w:pPr>
    </w:p>
    <w:p>
      <w:pPr>
        <w:ind w:left="2160" w:right="599" w:hanging="342"/>
        <w:spacing w:after="0" w:line="278"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53" w:lineRule="exact"/>
        <w:rPr>
          <w:rFonts w:ascii="Times New Roman" w:cs="Times New Roman" w:eastAsia="Times New Roman" w:hAnsi="Times New Roman"/>
          <w:sz w:val="14"/>
          <w:szCs w:val="14"/>
          <w:color w:val="auto"/>
        </w:rPr>
      </w:pPr>
    </w:p>
    <w:p>
      <w:pPr>
        <w:jc w:val="both"/>
        <w:ind w:left="2160" w:right="399" w:hanging="342"/>
        <w:spacing w:after="0" w:line="318" w:lineRule="auto"/>
        <w:tabs>
          <w:tab w:leader="none" w:pos="21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03" w:lineRule="exact"/>
        <w:rPr>
          <w:sz w:val="20"/>
          <w:szCs w:val="20"/>
          <w:color w:val="auto"/>
        </w:rPr>
      </w:pPr>
    </w:p>
    <w:p>
      <w:pPr>
        <w:ind w:left="1400" w:right="839"/>
        <w:spacing w:after="0" w:line="278" w:lineRule="auto"/>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Unit Agreements Will Not Be Qualified under Trust Indenture Act</w:t>
      </w:r>
    </w:p>
    <w:p>
      <w:pPr>
        <w:spacing w:after="0" w:line="91" w:lineRule="exact"/>
        <w:rPr>
          <w:sz w:val="20"/>
          <w:szCs w:val="20"/>
          <w:color w:val="auto"/>
        </w:rPr>
      </w:pPr>
    </w:p>
    <w:p>
      <w:pPr>
        <w:ind w:left="1400" w:right="379"/>
        <w:spacing w:after="0" w:line="278"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Mergers and Similar Transactions Permitted; No Restrictive Covenants or Events of Default</w:t>
      </w:r>
    </w:p>
    <w:p>
      <w:pPr>
        <w:spacing w:after="0" w:line="91" w:lineRule="exact"/>
        <w:rPr>
          <w:sz w:val="20"/>
          <w:szCs w:val="20"/>
          <w:color w:val="auto"/>
        </w:rPr>
      </w:pPr>
    </w:p>
    <w:p>
      <w:pPr>
        <w:ind w:left="1400" w:right="319"/>
        <w:spacing w:after="0" w:line="263"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and assume our obligations under the unit agreements. We will then be relieved of any further obligation under these agreements.</w:t>
      </w:r>
    </w:p>
    <w:p>
      <w:pPr>
        <w:spacing w:after="0" w:line="172"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unit agreements and the units will be governed by New York law.</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1"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72"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3" w:lineRule="exact"/>
        <w:rPr>
          <w:sz w:val="20"/>
          <w:szCs w:val="20"/>
          <w:color w:val="auto"/>
        </w:rPr>
      </w:pPr>
    </w:p>
    <w:p>
      <w:pPr>
        <w:ind w:left="2160" w:right="479" w:hanging="342"/>
        <w:spacing w:after="0" w:line="278"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58"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6" w:lineRule="exact"/>
        <w:rPr>
          <w:rFonts w:ascii="Times New Roman" w:cs="Times New Roman" w:eastAsia="Times New Roman" w:hAnsi="Times New Roman"/>
          <w:sz w:val="14"/>
          <w:szCs w:val="14"/>
          <w:color w:val="auto"/>
        </w:rPr>
      </w:pPr>
    </w:p>
    <w:p>
      <w:pPr>
        <w:ind w:left="2160" w:right="299" w:hanging="342"/>
        <w:spacing w:after="0" w:line="254"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Payments and Notices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70" w:lineRule="exact"/>
        <w:rPr>
          <w:sz w:val="20"/>
          <w:szCs w:val="20"/>
          <w:color w:val="auto"/>
        </w:rPr>
      </w:pPr>
    </w:p>
    <w:p>
      <w:pPr>
        <w:ind w:left="2160" w:right="47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Market or any other securities exchange or quotation or trading service on which such securities may be listed, quoted or traded at the time of sale; and/or</w:t>
      </w:r>
    </w:p>
    <w:p>
      <w:pPr>
        <w:spacing w:after="0" w:line="53" w:lineRule="exact"/>
        <w:rPr>
          <w:rFonts w:ascii="Times New Roman" w:cs="Times New Roman" w:eastAsia="Times New Roman" w:hAnsi="Times New Roman"/>
          <w:sz w:val="14"/>
          <w:szCs w:val="14"/>
          <w:color w:val="auto"/>
        </w:rPr>
      </w:pPr>
    </w:p>
    <w:p>
      <w:pPr>
        <w:ind w:left="2160" w:right="59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otherwise than on The Nasdaq Global Market or such other securities exchanges or quotation or trading services.</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72"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99" w:lineRule="exact"/>
        <w:rPr>
          <w:sz w:val="20"/>
          <w:szCs w:val="20"/>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2" w:lineRule="exact"/>
        <w:rPr>
          <w:sz w:val="20"/>
          <w:szCs w:val="20"/>
          <w:color w:val="auto"/>
        </w:rPr>
      </w:pPr>
    </w:p>
    <w:p>
      <w:pPr>
        <w:ind w:left="1400" w:right="639"/>
        <w:spacing w:after="0" w:line="278"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3" w:lineRule="exact"/>
        <w:rPr>
          <w:sz w:val="20"/>
          <w:szCs w:val="20"/>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2"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63" w:lineRule="auto"/>
        <w:rPr>
          <w:sz w:val="20"/>
          <w:szCs w:val="20"/>
          <w:color w:val="auto"/>
        </w:rPr>
      </w:pPr>
      <w:r>
        <w:rPr>
          <w:rFonts w:ascii="Times New Roman" w:cs="Times New Roman" w:eastAsia="Times New Roman" w:hAnsi="Times New Roman"/>
          <w:sz w:val="14"/>
          <w:szCs w:val="14"/>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6" w:lineRule="exact"/>
        <w:rPr>
          <w:sz w:val="20"/>
          <w:szCs w:val="20"/>
          <w:color w:val="auto"/>
        </w:rPr>
      </w:pPr>
    </w:p>
    <w:p>
      <w:pPr>
        <w:jc w:val="both"/>
        <w:ind w:left="1400" w:right="399"/>
        <w:spacing w:after="0" w:line="263"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36" w:lineRule="exact"/>
        <w:rPr>
          <w:sz w:val="20"/>
          <w:szCs w:val="20"/>
          <w:color w:val="auto"/>
        </w:rPr>
      </w:pPr>
    </w:p>
    <w:p>
      <w:pPr>
        <w:jc w:val="both"/>
        <w:ind w:left="1400" w:right="299"/>
        <w:spacing w:after="0" w:line="292" w:lineRule="auto"/>
        <w:rPr>
          <w:sz w:val="20"/>
          <w:szCs w:val="20"/>
          <w:color w:val="auto"/>
        </w:rPr>
      </w:pPr>
      <w:r>
        <w:rPr>
          <w:rFonts w:ascii="Times New Roman" w:cs="Times New Roman" w:eastAsia="Times New Roman" w:hAnsi="Times New Roman"/>
          <w:sz w:val="13"/>
          <w:szCs w:val="13"/>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0" w:lineRule="exact"/>
        <w:rPr>
          <w:sz w:val="20"/>
          <w:szCs w:val="20"/>
          <w:color w:val="auto"/>
        </w:rPr>
      </w:pPr>
    </w:p>
    <w:p>
      <w:pPr>
        <w:ind w:left="1400" w:right="399"/>
        <w:spacing w:after="0" w:line="263"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36"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2160" w:right="37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4"/>
          <w:szCs w:val="14"/>
          <w:color w:val="auto"/>
        </w:rPr>
      </w:pPr>
    </w:p>
    <w:p>
      <w:pPr>
        <w:ind w:left="2160" w:right="359" w:hanging="342"/>
        <w:spacing w:after="0" w:line="263"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36"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43"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36"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3"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6"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42" w:lineRule="exact"/>
        <w:rPr>
          <w:sz w:val="20"/>
          <w:szCs w:val="20"/>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72"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Any underwriters, dealers and agents may engage in transactions with us, or perform services for us, in the ordinary course of business for which they receive compensation.</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3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419"/>
        <w:spacing w:after="0" w:line="254"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359"/>
        <w:spacing w:after="0" w:line="26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36"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Times New Roman" w:cs="Times New Roman" w:eastAsia="Times New Roman" w:hAnsi="Times New Roman"/>
          <w:sz w:val="14"/>
          <w:szCs w:val="14"/>
          <w:i w:val="1"/>
          <w:iCs w:val="1"/>
          <w:color w:val="auto"/>
        </w:rPr>
        <w:t>Description of Capital Stock.” We will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43"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4"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74" w:lineRule="exact"/>
        <w:rPr>
          <w:sz w:val="20"/>
          <w:szCs w:val="20"/>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filed with the SEC on February 27, 2025;</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from our amended definitive proxy statement on </w:t>
      </w:r>
      <w:hyperlink r:id="rId5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filed with the SEC on April 24, 2025;</w:t>
      </w:r>
    </w:p>
    <w:p>
      <w:pPr>
        <w:spacing w:after="0" w:line="6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2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quarters ended March 31, 2025, June 30, 2025 and September 30, 2025, filed with the SEC on </w:t>
      </w:r>
      <w:hyperlink r:id="rId53">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4">
        <w:r>
          <w:rPr>
            <w:rFonts w:ascii="Times New Roman" w:cs="Times New Roman" w:eastAsia="Times New Roman" w:hAnsi="Times New Roman"/>
            <w:sz w:val="14"/>
            <w:szCs w:val="14"/>
            <w:u w:val="single" w:color="auto"/>
            <w:color w:val="0000EE"/>
          </w:rPr>
          <w:t xml:space="preserve">August 5,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5">
        <w:r>
          <w:rPr>
            <w:rFonts w:ascii="Times New Roman" w:cs="Times New Roman" w:eastAsia="Times New Roman" w:hAnsi="Times New Roman"/>
            <w:sz w:val="14"/>
            <w:szCs w:val="14"/>
            <w:u w:val="single" w:color="auto"/>
            <w:color w:val="0000EE"/>
          </w:rPr>
          <w:t>November 4,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3" w:lineRule="exact"/>
        <w:rPr>
          <w:rFonts w:ascii="Times New Roman" w:cs="Times New Roman" w:eastAsia="Times New Roman" w:hAnsi="Times New Roman"/>
          <w:sz w:val="14"/>
          <w:szCs w:val="14"/>
          <w:color w:val="0000EE"/>
        </w:rPr>
      </w:pPr>
    </w:p>
    <w:p>
      <w:pPr>
        <w:ind w:left="2160" w:right="379" w:hanging="342"/>
        <w:spacing w:after="0" w:line="278"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6">
        <w:r>
          <w:rPr>
            <w:rFonts w:ascii="Times New Roman" w:cs="Times New Roman" w:eastAsia="Times New Roman" w:hAnsi="Times New Roman"/>
            <w:sz w:val="14"/>
            <w:szCs w:val="14"/>
            <w:u w:val="single" w:color="auto"/>
            <w:color w:val="0000EE"/>
          </w:rPr>
          <w:t>June 6, 2025</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August 25, 2025</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October 23, 2025</w:t>
        </w:r>
      </w:hyperlink>
      <w:r>
        <w:rPr>
          <w:rFonts w:ascii="Times New Roman" w:cs="Times New Roman" w:eastAsia="Times New Roman" w:hAnsi="Times New Roman"/>
          <w:sz w:val="14"/>
          <w:szCs w:val="14"/>
          <w:color w:val="auto"/>
        </w:rPr>
        <w:t xml:space="preserve">, </w:t>
      </w:r>
      <w:hyperlink r:id="rId59">
        <w:r>
          <w:rPr>
            <w:rFonts w:ascii="Times New Roman" w:cs="Times New Roman" w:eastAsia="Times New Roman" w:hAnsi="Times New Roman"/>
            <w:sz w:val="14"/>
            <w:szCs w:val="14"/>
            <w:u w:val="single" w:color="auto"/>
            <w:color w:val="0000EE"/>
          </w:rPr>
          <w:t>October 24, 2025</w:t>
        </w:r>
      </w:hyperlink>
      <w:r>
        <w:rPr>
          <w:rFonts w:ascii="Times New Roman" w:cs="Times New Roman" w:eastAsia="Times New Roman" w:hAnsi="Times New Roman"/>
          <w:sz w:val="14"/>
          <w:szCs w:val="14"/>
          <w:color w:val="auto"/>
        </w:rPr>
        <w:t>, but only to the extent that such information is filed, not furnished; and</w:t>
      </w:r>
    </w:p>
    <w:p>
      <w:pPr>
        <w:spacing w:after="0" w:line="5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6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September 2, 2020, including any amendments or reports filed for the purpose of updating such description, including </w:t>
      </w:r>
      <w:hyperlink r:id="rId61">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2024.</w:t>
      </w:r>
    </w:p>
    <w:p>
      <w:pPr>
        <w:spacing w:after="0" w:line="136" w:lineRule="exact"/>
        <w:rPr>
          <w:rFonts w:ascii="Times New Roman" w:cs="Times New Roman" w:eastAsia="Times New Roman" w:hAnsi="Times New Roman"/>
          <w:sz w:val="14"/>
          <w:szCs w:val="14"/>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26" w:lineRule="exact"/>
        <w:rPr>
          <w:rFonts w:ascii="Times New Roman" w:cs="Times New Roman" w:eastAsia="Times New Roman" w:hAnsi="Times New Roman"/>
          <w:sz w:val="14"/>
          <w:szCs w:val="14"/>
          <w:color w:val="auto"/>
        </w:rPr>
      </w:pPr>
    </w:p>
    <w:p>
      <w:pPr>
        <w:ind w:left="1400" w:right="659"/>
        <w:spacing w:after="0" w:line="278"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26" w:lineRule="exact"/>
        <w:rPr>
          <w:rFonts w:ascii="Times New Roman" w:cs="Times New Roman" w:eastAsia="Times New Roman" w:hAnsi="Times New Roman"/>
          <w:sz w:val="14"/>
          <w:szCs w:val="14"/>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36" w:lineRule="exact"/>
        <w:rPr>
          <w:rFonts w:ascii="Times New Roman" w:cs="Times New Roman" w:eastAsia="Times New Roman" w:hAnsi="Times New Roman"/>
          <w:sz w:val="14"/>
          <w:szCs w:val="14"/>
          <w:color w:val="auto"/>
        </w:rPr>
      </w:pPr>
    </w:p>
    <w:p>
      <w:pPr>
        <w:ind w:left="14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telephone number:</w:t>
      </w:r>
    </w:p>
    <w:p>
      <w:pPr>
        <w:spacing w:after="0" w:line="17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201 Brookline Avenue, Suite 901</w:t>
      </w:r>
    </w:p>
    <w:p>
      <w:pPr>
        <w:spacing w:after="0" w:line="2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Boston, MA 02215</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(857) 320-4900</w:t>
      </w:r>
    </w:p>
    <w:p>
      <w:pPr>
        <w:spacing w:after="0" w:line="105"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3"/>
          <w:szCs w:val="33"/>
          <w:b w:val="1"/>
          <w:bCs w:val="1"/>
          <w:color w:val="auto"/>
        </w:rPr>
        <w:t>Tango Therapeutics, Inc.</w:t>
      </w:r>
    </w:p>
    <w:p>
      <w:pPr>
        <w:spacing w:after="0" w:line="1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1294765</wp:posOffset>
            </wp:positionV>
            <wp:extent cx="112903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188595</wp:posOffset>
            </wp:positionV>
            <wp:extent cx="112903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338"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322580</wp:posOffset>
            </wp:positionV>
            <wp:extent cx="5387975"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361950</wp:posOffset>
            </wp:positionV>
            <wp:extent cx="538797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Prospectus dated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247650</wp:posOffset>
            </wp:positionV>
            <wp:extent cx="1749425" cy="521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74942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Up to $100,000,000</w:t>
      </w:r>
    </w:p>
    <w:p>
      <w:pPr>
        <w:spacing w:after="0" w:line="1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84"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We have entered into a Sales Agreement, or the sales agreement, with Leerink Partners LLC, or Leerink Partners, dated November 21, 2025, relating to the sale of shares of our common stock, par value $0.001 per share, offered by this prospectus supplement. In accordance with the terms of the sales agreement, under this prospectus supplement, we may offer and sell shares of our common stock having an aggregate offering price of up to $100,000,000 from time to time through Leerink Partners acting as our sales agent.</w:t>
      </w:r>
    </w:p>
    <w:p>
      <w:pPr>
        <w:spacing w:after="0" w:line="140" w:lineRule="exact"/>
        <w:rPr>
          <w:sz w:val="20"/>
          <w:szCs w:val="20"/>
          <w:color w:val="auto"/>
        </w:rPr>
      </w:pPr>
    </w:p>
    <w:p>
      <w:pPr>
        <w:ind w:left="1400" w:right="479"/>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“TNGX.” On November 20, 2025, the closing sale price of our common stock on The Nasdaq Global Market was $8.90 per share.</w:t>
      </w:r>
    </w:p>
    <w:p>
      <w:pPr>
        <w:spacing w:after="0" w:line="126"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Sales of our common stock, if any, under this prospectus supplement will be made by any method permitted that is deemed to be an “at the market offering” as defined in Rule 415(a)(4) promulgated under the Securities Act of 1933, as amended, or the Securities Act. Leerink Partners is not required to sell any specific number or dollar amount of securities, but will act as a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43"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Leerink Partners will be entitled to a commission of up to 3.0% of the gross sales price per share of common stock sold under the sales agreement. In connection with the sale of our common stock on our behalf, Leerink Partners will be deemed to be an “underwriter” within the meaning of the Securities Act and the compensation of Leerink Partners will be deemed to be underwriting commissions or discounts. See “Plan of Distribution” beginning on page S-15 for additional information regarding the compensation to be paid to Leerink Partners. We have also agreed to provide indemnification and contribution to Leerink Partners against certain liabilities, including liabilities under the Securities Act and the Securities Exchange Act of 1934, as amended, or the Exchange Act.</w:t>
      </w:r>
    </w:p>
    <w:p>
      <w:pPr>
        <w:spacing w:after="0" w:line="132" w:lineRule="exact"/>
        <w:rPr>
          <w:sz w:val="20"/>
          <w:szCs w:val="20"/>
          <w:color w:val="auto"/>
        </w:rPr>
      </w:pPr>
    </w:p>
    <w:p>
      <w:pPr>
        <w:ind w:left="1400" w:right="359"/>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S-9 of this prospectus supplement and under similar headings in the other documents that are incorporated by reference into this prospectus supplement concerning factors you should consider before investing in our common stock.</w:t>
      </w:r>
    </w:p>
    <w:p>
      <w:pPr>
        <w:spacing w:after="0" w:line="140" w:lineRule="exact"/>
        <w:rPr>
          <w:sz w:val="20"/>
          <w:szCs w:val="20"/>
          <w:color w:val="auto"/>
        </w:rPr>
      </w:pPr>
    </w:p>
    <w:p>
      <w:pPr>
        <w:ind w:left="1400" w:right="69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1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The date of this prospectus supplement is November 21, 2025.</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5"/>
                <w:szCs w:val="15"/>
                <w:color w:val="auto"/>
              </w:rPr>
            </w:pPr>
          </w:p>
        </w:tc>
      </w:tr>
      <w:tr>
        <w:trPr>
          <w:trHeight w:val="322"/>
        </w:trPr>
        <w:tc>
          <w:tcPr>
            <w:tcW w:w="65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6"/>
        </w:trPr>
        <w:tc>
          <w:tcPr>
            <w:tcW w:w="446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212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w:t>
            </w:r>
          </w:p>
        </w:tc>
      </w:tr>
      <w:tr>
        <w:trPr>
          <w:trHeight w:val="146"/>
        </w:trPr>
        <w:tc>
          <w:tcPr>
            <w:tcW w:w="254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4040" w:type="dxa"/>
            <w:vAlign w:val="bottom"/>
            <w:gridSpan w:val="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S-5</w:t>
            </w:r>
          </w:p>
        </w:tc>
      </w:tr>
      <w:tr>
        <w:trPr>
          <w:trHeight w:val="146"/>
        </w:trPr>
        <w:tc>
          <w:tcPr>
            <w:tcW w:w="658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6"/>
        </w:trPr>
        <w:tc>
          <w:tcPr>
            <w:tcW w:w="124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340" w:type="dxa"/>
            <w:vAlign w:val="bottom"/>
            <w:gridSpan w:val="7"/>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S-11</w:t>
            </w:r>
          </w:p>
        </w:tc>
      </w:tr>
      <w:tr>
        <w:trPr>
          <w:trHeight w:val="146"/>
        </w:trPr>
        <w:tc>
          <w:tcPr>
            <w:tcW w:w="658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DILUTION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S-12</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6"/>
        </w:trPr>
        <w:tc>
          <w:tcPr>
            <w:tcW w:w="12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DIVIDEND POLICY</w:t>
            </w:r>
          </w:p>
        </w:tc>
        <w:tc>
          <w:tcPr>
            <w:tcW w:w="536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S-14</w:t>
            </w:r>
          </w:p>
        </w:tc>
      </w:tr>
      <w:tr>
        <w:trPr>
          <w:trHeight w:val="146"/>
        </w:trPr>
        <w:tc>
          <w:tcPr>
            <w:tcW w:w="158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5000" w:type="dxa"/>
            <w:vAlign w:val="bottom"/>
            <w:gridSpan w:val="6"/>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S-15</w:t>
            </w:r>
          </w:p>
        </w:tc>
      </w:tr>
      <w:tr>
        <w:trPr>
          <w:trHeight w:val="146"/>
        </w:trPr>
        <w:tc>
          <w:tcPr>
            <w:tcW w:w="658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S-17</w:t>
            </w:r>
          </w:p>
        </w:tc>
      </w:tr>
      <w:tr>
        <w:trPr>
          <w:trHeight w:val="146"/>
        </w:trPr>
        <w:tc>
          <w:tcPr>
            <w:tcW w:w="66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2"/>
          </w:tcPr>
          <w:p>
            <w:pPr>
              <w:spacing w:after="0"/>
              <w:rPr>
                <w:sz w:val="12"/>
                <w:szCs w:val="12"/>
                <w:color w:val="auto"/>
              </w:rPr>
            </w:pPr>
          </w:p>
        </w:tc>
        <w:tc>
          <w:tcPr>
            <w:tcW w:w="5460" w:type="dxa"/>
            <w:vAlign w:val="bottom"/>
            <w:gridSpan w:val="9"/>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S-17</w:t>
            </w:r>
          </w:p>
        </w:tc>
      </w:tr>
      <w:tr>
        <w:trPr>
          <w:trHeight w:val="146"/>
        </w:trPr>
        <w:tc>
          <w:tcPr>
            <w:tcW w:w="294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640" w:type="dxa"/>
            <w:vAlign w:val="bottom"/>
            <w:gridSpan w:val="3"/>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S-17</w:t>
            </w:r>
          </w:p>
        </w:tc>
      </w:tr>
      <w:tr>
        <w:trPr>
          <w:trHeight w:val="146"/>
        </w:trPr>
        <w:tc>
          <w:tcPr>
            <w:tcW w:w="40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258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S-18</w:t>
            </w:r>
          </w:p>
        </w:tc>
      </w:tr>
    </w:tbl>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4"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This prospectus supplement is part of an automatic shelf registration statement that we filed with the Securities and Exchange Commission, or the SEC, as a “well-known seasoned issuer” as defined in Rule 405 under the Securities Act of 1933, as amended, or the Securities Act. Under the shelf registration, we and/or selling stockholders may offer shares of our common stock and preferred stock, various series of warrants to purchase common stock or preferred stock, debt securities or any combination thereof, from time to time in one or more offerings. Under this prospectus supplement, we may offer shares of our common stock having an aggregate offering price of up to $100,000,000 from time to time at prices and on terms to be determined by market conditions at the time of offering.</w:t>
      </w:r>
    </w:p>
    <w:p>
      <w:pPr>
        <w:spacing w:after="0" w:line="142"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Before buying any of the shares of common stock offered hereby, we urge you to read carefully this prospectus supplement,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45" w:lineRule="exact"/>
        <w:rPr>
          <w:sz w:val="20"/>
          <w:szCs w:val="20"/>
          <w:color w:val="auto"/>
        </w:rPr>
      </w:pPr>
    </w:p>
    <w:p>
      <w:pPr>
        <w:ind w:left="1400" w:right="319"/>
        <w:spacing w:after="0" w:line="277" w:lineRule="auto"/>
        <w:rPr>
          <w:sz w:val="20"/>
          <w:szCs w:val="20"/>
          <w:color w:val="auto"/>
        </w:rPr>
      </w:pPr>
      <w:r>
        <w:rPr>
          <w:rFonts w:ascii="Times New Roman" w:cs="Times New Roman" w:eastAsia="Times New Roman" w:hAnsi="Times New Roman"/>
          <w:sz w:val="13"/>
          <w:szCs w:val="13"/>
          <w:color w:val="auto"/>
        </w:rPr>
        <w:t>We have not authorized anyone to provide you with information other than the information that we have provided or incorporated by reference in this prospectus supplement or any accompanying prospectus supplement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29"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such representations, warranties and covenants may be qualified by schedules that are not publicly available). Accordingly, such representations, warranties and covenants should not be relied on as accurately representing the current state of our affairs.</w:t>
      </w:r>
    </w:p>
    <w:p>
      <w:pPr>
        <w:spacing w:after="0" w:line="142" w:lineRule="exact"/>
        <w:rPr>
          <w:sz w:val="20"/>
          <w:szCs w:val="20"/>
          <w:color w:val="auto"/>
        </w:rPr>
      </w:pPr>
    </w:p>
    <w:p>
      <w:pPr>
        <w:ind w:left="1400" w:right="639"/>
        <w:spacing w:after="0" w:line="278" w:lineRule="auto"/>
        <w:rPr>
          <w:sz w:val="20"/>
          <w:szCs w:val="20"/>
          <w:color w:val="auto"/>
        </w:rPr>
      </w:pPr>
      <w:r>
        <w:rPr>
          <w:rFonts w:ascii="Times New Roman" w:cs="Times New Roman" w:eastAsia="Times New Roman" w:hAnsi="Times New Roman"/>
          <w:sz w:val="14"/>
          <w:szCs w:val="14"/>
          <w:color w:val="auto"/>
        </w:rPr>
        <w:t>Unless otherwise stated, all references in this prospectus supplement to “we,” “us,” “our,” “Tango,” “the Company” and similar designations refer, collectively, to Tango Therapeutics, Inc., a Delaware corporation, and its consolidated subsidiaries.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4"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This prospectus supplement,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99" w:lineRule="exact"/>
        <w:rPr>
          <w:sz w:val="20"/>
          <w:szCs w:val="20"/>
          <w:color w:val="auto"/>
        </w:rPr>
      </w:pPr>
    </w:p>
    <w:p>
      <w:pPr>
        <w:ind w:left="2160" w:right="299" w:hanging="342"/>
        <w:spacing w:after="0" w:line="252"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72" w:lineRule="exact"/>
        <w:rPr>
          <w:rFonts w:ascii="Times New Roman" w:cs="Times New Roman" w:eastAsia="Times New Roman" w:hAnsi="Times New Roman"/>
          <w:sz w:val="14"/>
          <w:szCs w:val="14"/>
          <w:color w:val="auto"/>
        </w:rPr>
      </w:pPr>
    </w:p>
    <w:p>
      <w:pPr>
        <w:ind w:left="2160" w:right="379" w:hanging="342"/>
        <w:spacing w:after="0" w:line="318" w:lineRule="auto"/>
        <w:tabs>
          <w:tab w:leader="none" w:pos="216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30" w:lineRule="exact"/>
        <w:rPr>
          <w:rFonts w:ascii="Times New Roman" w:cs="Times New Roman" w:eastAsia="Times New Roman" w:hAnsi="Times New Roman"/>
          <w:sz w:val="13"/>
          <w:szCs w:val="13"/>
          <w:color w:val="auto"/>
        </w:rPr>
      </w:pPr>
    </w:p>
    <w:p>
      <w:pPr>
        <w:ind w:left="2160" w:right="29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53" w:lineRule="exact"/>
        <w:rPr>
          <w:rFonts w:ascii="Times New Roman" w:cs="Times New Roman" w:eastAsia="Times New Roman" w:hAnsi="Times New Roman"/>
          <w:sz w:val="14"/>
          <w:szCs w:val="14"/>
          <w:color w:val="auto"/>
        </w:rPr>
      </w:pPr>
    </w:p>
    <w:p>
      <w:pPr>
        <w:ind w:left="2160" w:right="79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6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our ability to enforce our intellectual property rights;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capital requirements, and our need for additional financing;</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(if approved) and any other approved products;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including the expectation that we will continue to incur operating losses and negative cash flow;</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98" w:lineRule="exact"/>
        <w:rPr>
          <w:rFonts w:ascii="Times New Roman" w:cs="Times New Roman" w:eastAsia="Times New Roman" w:hAnsi="Times New Roman"/>
          <w:sz w:val="14"/>
          <w:szCs w:val="14"/>
          <w:color w:val="auto"/>
        </w:rPr>
      </w:pPr>
    </w:p>
    <w:p>
      <w:pPr>
        <w:ind w:left="2160" w:right="75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third parties with whom we contract) to produce our products or product candidates with advantages in turnaround times or manufacturing cost;</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industry;</w:t>
      </w:r>
    </w:p>
    <w:p>
      <w:pPr>
        <w:spacing w:after="0" w:line="98" w:lineRule="exact"/>
        <w:rPr>
          <w:rFonts w:ascii="Times New Roman" w:cs="Times New Roman" w:eastAsia="Times New Roman" w:hAnsi="Times New Roman"/>
          <w:sz w:val="14"/>
          <w:szCs w:val="14"/>
          <w:color w:val="auto"/>
        </w:rPr>
      </w:pPr>
    </w:p>
    <w:p>
      <w:pPr>
        <w:ind w:left="2160" w:right="53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public health crises on our business operations, including but not limited to our preclinical studies and clinical trials and any future studies or trials;</w:t>
      </w:r>
    </w:p>
    <w:p>
      <w:pPr>
        <w:spacing w:after="0" w:line="53" w:lineRule="exact"/>
        <w:rPr>
          <w:rFonts w:ascii="Times New Roman" w:cs="Times New Roman" w:eastAsia="Times New Roman" w:hAnsi="Times New Roman"/>
          <w:sz w:val="14"/>
          <w:szCs w:val="14"/>
          <w:color w:val="auto"/>
        </w:rPr>
      </w:pPr>
    </w:p>
    <w:p>
      <w:pPr>
        <w:ind w:left="2160" w:right="419" w:hanging="342"/>
        <w:spacing w:after="0" w:line="25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64"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The forward-looking statements in this prospectus supplement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0"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We may from time-to-time provide estimates, projections and other information concerning our industry, our financial performance, our business and the markets for our programs, product candidates and collaborations.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15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393690" cy="4515485"/>
                    </a:xfrm>
                    <a:prstGeom prst="rect">
                      <a:avLst/>
                    </a:prstGeom>
                    <a:noFill/>
                  </pic:spPr>
                </pic:pic>
              </a:graphicData>
            </a:graphic>
          </wp:anchor>
        </w:drawing>
      </w:r>
    </w:p>
    <w:p>
      <w:pPr>
        <w:spacing w:after="0" w:line="3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2" w:lineRule="exact"/>
        <w:rPr>
          <w:sz w:val="20"/>
          <w:szCs w:val="20"/>
          <w:color w:val="auto"/>
        </w:rPr>
      </w:pPr>
    </w:p>
    <w:p>
      <w:pPr>
        <w:ind w:left="1540" w:right="419"/>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and this offering and does not contain all of the information that you should consider before investing in our common stock. You should read this prospectus supplement carefully, especially the risks of investing in our common stock discussed under “Risk Factors” beginning on page S-9 of this prospectus supplement and in Part I, Item 1A “Risk Factors” of our most recent annual report on Form 10-K and any subsequent Quarterly Reports on Form 10-Q or Current Reports on Form 8-K we file after the date of this prospectus supplement, which is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left="1540" w:right="519"/>
        <w:spacing w:after="0" w:line="252" w:lineRule="auto"/>
        <w:rPr>
          <w:sz w:val="20"/>
          <w:szCs w:val="20"/>
          <w:color w:val="auto"/>
        </w:rPr>
      </w:pPr>
      <w:r>
        <w:rPr>
          <w:rFonts w:ascii="Times New Roman" w:cs="Times New Roman" w:eastAsia="Times New Roman" w:hAnsi="Times New Roman"/>
          <w:sz w:val="14"/>
          <w:szCs w:val="14"/>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45" w:lineRule="exact"/>
        <w:rPr>
          <w:sz w:val="20"/>
          <w:szCs w:val="20"/>
          <w:color w:val="auto"/>
        </w:rPr>
      </w:pPr>
    </w:p>
    <w:p>
      <w:pPr>
        <w:jc w:val="both"/>
        <w:ind w:left="1540" w:right="639"/>
        <w:spacing w:after="0" w:line="263" w:lineRule="auto"/>
        <w:rPr>
          <w:sz w:val="20"/>
          <w:szCs w:val="20"/>
          <w:color w:val="auto"/>
        </w:rPr>
      </w:pPr>
      <w:r>
        <w:rPr>
          <w:rFonts w:ascii="Times New Roman" w:cs="Times New Roman" w:eastAsia="Times New Roman" w:hAnsi="Times New Roman"/>
          <w:sz w:val="14"/>
          <w:szCs w:val="14"/>
          <w:color w:val="auto"/>
        </w:rPr>
        <w:t>We are currently developing two methylthioadenosine phosphorylase (MTAP)-deleted selective PRMT5 inhibitors: vopimetostat (TNG462) for non-CNS cancers, including pancreatic and lung cancer, and TNG456, our next-generation, brain-penetrant protein arginine methyltransferase 5 (PRMT5) inhibitor, for central nervous system (“CNS”) cancers, including glioblastoma (GBM).</w:t>
      </w:r>
    </w:p>
    <w:p>
      <w:pPr>
        <w:spacing w:after="0" w:line="136" w:lineRule="exact"/>
        <w:rPr>
          <w:sz w:val="20"/>
          <w:szCs w:val="20"/>
          <w:color w:val="auto"/>
        </w:rPr>
      </w:pPr>
    </w:p>
    <w:p>
      <w:pPr>
        <w:ind w:left="1540" w:right="459"/>
        <w:spacing w:after="0" w:line="255" w:lineRule="auto"/>
        <w:rPr>
          <w:sz w:val="20"/>
          <w:szCs w:val="20"/>
          <w:color w:val="auto"/>
        </w:rPr>
      </w:pPr>
      <w:r>
        <w:rPr>
          <w:rFonts w:ascii="Times New Roman" w:cs="Times New Roman" w:eastAsia="Times New Roman" w:hAnsi="Times New Roman"/>
          <w:sz w:val="14"/>
          <w:szCs w:val="14"/>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w:t>
      </w:r>
    </w:p>
    <w:p>
      <w:pPr>
        <w:spacing w:after="0" w:line="143" w:lineRule="exact"/>
        <w:rPr>
          <w:sz w:val="20"/>
          <w:szCs w:val="20"/>
          <w:color w:val="auto"/>
        </w:rPr>
      </w:pPr>
    </w:p>
    <w:p>
      <w:pPr>
        <w:ind w:left="1540" w:right="419"/>
        <w:spacing w:after="0" w:line="251" w:lineRule="auto"/>
        <w:rPr>
          <w:sz w:val="20"/>
          <w:szCs w:val="20"/>
          <w:color w:val="auto"/>
        </w:rPr>
      </w:pPr>
      <w:r>
        <w:rPr>
          <w:rFonts w:ascii="Times New Roman" w:cs="Times New Roman" w:eastAsia="Times New Roman" w:hAnsi="Times New Roman"/>
          <w:sz w:val="14"/>
          <w:szCs w:val="14"/>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21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393690" cy="4621530"/>
                    </a:xfrm>
                    <a:prstGeom prst="rect">
                      <a:avLst/>
                    </a:prstGeom>
                    <a:noFill/>
                  </pic:spPr>
                </pic:pic>
              </a:graphicData>
            </a:graphic>
          </wp:anchor>
        </w:drawing>
      </w:r>
    </w:p>
    <w:p>
      <w:pPr>
        <w:spacing w:after="0" w:line="362" w:lineRule="exact"/>
        <w:rPr>
          <w:sz w:val="20"/>
          <w:szCs w:val="20"/>
          <w:color w:val="auto"/>
        </w:rPr>
      </w:pPr>
    </w:p>
    <w:p>
      <w:pPr>
        <w:ind w:left="1540" w:right="839"/>
        <w:spacing w:after="0" w:line="278" w:lineRule="auto"/>
        <w:rPr>
          <w:sz w:val="20"/>
          <w:szCs w:val="20"/>
          <w:color w:val="auto"/>
        </w:rPr>
      </w:pPr>
      <w:r>
        <w:rPr>
          <w:rFonts w:ascii="Times New Roman" w:cs="Times New Roman" w:eastAsia="Times New Roman" w:hAnsi="Times New Roman"/>
          <w:sz w:val="14"/>
          <w:szCs w:val="14"/>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26" w:lineRule="exact"/>
        <w:rPr>
          <w:sz w:val="20"/>
          <w:szCs w:val="20"/>
          <w:color w:val="auto"/>
        </w:rPr>
      </w:pPr>
    </w:p>
    <w:p>
      <w:pPr>
        <w:ind w:left="1540" w:right="719"/>
        <w:spacing w:after="0" w:line="284" w:lineRule="auto"/>
        <w:rPr>
          <w:sz w:val="20"/>
          <w:szCs w:val="20"/>
          <w:color w:val="auto"/>
        </w:rPr>
      </w:pPr>
      <w:r>
        <w:rPr>
          <w:rFonts w:ascii="Times New Roman" w:cs="Times New Roman" w:eastAsia="Times New Roman" w:hAnsi="Times New Roman"/>
          <w:sz w:val="13"/>
          <w:szCs w:val="13"/>
          <w:color w:val="auto"/>
        </w:rPr>
        <w:t>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24" w:lineRule="exact"/>
        <w:rPr>
          <w:sz w:val="20"/>
          <w:szCs w:val="20"/>
          <w:color w:val="auto"/>
        </w:rPr>
      </w:pPr>
    </w:p>
    <w:p>
      <w:pPr>
        <w:ind w:left="1540" w:right="619"/>
        <w:spacing w:after="0" w:line="258" w:lineRule="auto"/>
        <w:rPr>
          <w:sz w:val="20"/>
          <w:szCs w:val="20"/>
          <w:color w:val="auto"/>
        </w:rPr>
      </w:pPr>
      <w:r>
        <w:rPr>
          <w:rFonts w:ascii="Times New Roman" w:cs="Times New Roman" w:eastAsia="Times New Roman" w:hAnsi="Times New Roman"/>
          <w:sz w:val="14"/>
          <w:szCs w:val="14"/>
          <w:color w:val="auto"/>
        </w:rPr>
        <w:t>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40" w:lineRule="exact"/>
        <w:rPr>
          <w:sz w:val="20"/>
          <w:szCs w:val="20"/>
          <w:color w:val="auto"/>
        </w:rPr>
      </w:pPr>
    </w:p>
    <w:p>
      <w:pPr>
        <w:ind w:left="1540" w:right="419"/>
        <w:spacing w:after="0" w:line="251" w:lineRule="auto"/>
        <w:rPr>
          <w:sz w:val="20"/>
          <w:szCs w:val="20"/>
          <w:color w:val="auto"/>
        </w:rPr>
      </w:pPr>
      <w:r>
        <w:rPr>
          <w:rFonts w:ascii="Times New Roman" w:cs="Times New Roman" w:eastAsia="Times New Roman" w:hAnsi="Times New Roman"/>
          <w:sz w:val="14"/>
          <w:szCs w:val="14"/>
          <w:color w:val="auto"/>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48" w:lineRule="exact"/>
        <w:rPr>
          <w:sz w:val="20"/>
          <w:szCs w:val="20"/>
          <w:color w:val="auto"/>
        </w:rPr>
      </w:pPr>
    </w:p>
    <w:p>
      <w:pPr>
        <w:ind w:left="1540" w:right="499"/>
        <w:spacing w:after="0" w:line="255" w:lineRule="auto"/>
        <w:rPr>
          <w:sz w:val="20"/>
          <w:szCs w:val="20"/>
          <w:color w:val="auto"/>
        </w:rPr>
      </w:pPr>
      <w:r>
        <w:rPr>
          <w:rFonts w:ascii="Times New Roman" w:cs="Times New Roman" w:eastAsia="Times New Roman" w:hAnsi="Times New Roman"/>
          <w:sz w:val="14"/>
          <w:szCs w:val="14"/>
          <w:color w:val="auto"/>
        </w:rPr>
        <w:t>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91" w:lineRule="exact"/>
        <w:rPr>
          <w:sz w:val="20"/>
          <w:szCs w:val="20"/>
          <w:color w:val="auto"/>
        </w:rPr>
      </w:pPr>
    </w:p>
    <w:p>
      <w:pPr>
        <w:ind w:left="1540" w:right="419"/>
        <w:spacing w:after="0" w:line="253" w:lineRule="auto"/>
        <w:rPr>
          <w:sz w:val="20"/>
          <w:szCs w:val="20"/>
          <w:color w:val="auto"/>
        </w:rPr>
      </w:pPr>
      <w:r>
        <w:rPr>
          <w:rFonts w:ascii="Times New Roman" w:cs="Times New Roman" w:eastAsia="Times New Roman" w:hAnsi="Times New Roman"/>
          <w:sz w:val="14"/>
          <w:szCs w:val="14"/>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43" w:lineRule="exact"/>
        <w:rPr>
          <w:sz w:val="20"/>
          <w:szCs w:val="20"/>
          <w:color w:val="auto"/>
        </w:rPr>
      </w:pPr>
    </w:p>
    <w:p>
      <w:pPr>
        <w:jc w:val="both"/>
        <w:ind w:left="1540" w:right="439"/>
        <w:spacing w:after="0" w:line="263" w:lineRule="auto"/>
        <w:rPr>
          <w:sz w:val="20"/>
          <w:szCs w:val="20"/>
          <w:color w:val="auto"/>
        </w:rPr>
      </w:pPr>
      <w:r>
        <w:rPr>
          <w:rFonts w:ascii="Times New Roman" w:cs="Times New Roman" w:eastAsia="Times New Roman" w:hAnsi="Times New Roman"/>
          <w:sz w:val="14"/>
          <w:szCs w:val="14"/>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supplement, and you should not consider any information on, or that can be accessed through, our website as part of this prospectus supplement.</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69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393690" cy="446976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3" w:lineRule="exact"/>
        <w:rPr>
          <w:sz w:val="20"/>
          <w:szCs w:val="20"/>
          <w:color w:val="auto"/>
        </w:rPr>
      </w:pPr>
    </w:p>
    <w:p>
      <w:pPr>
        <w:ind w:left="1540"/>
        <w:spacing w:after="0"/>
        <w:tabs>
          <w:tab w:leader="none" w:pos="4640" w:val="left"/>
        </w:tabs>
        <w:rPr>
          <w:sz w:val="20"/>
          <w:szCs w:val="20"/>
          <w:color w:val="auto"/>
        </w:rPr>
      </w:pPr>
      <w:r>
        <w:rPr>
          <w:rFonts w:ascii="Times New Roman" w:cs="Times New Roman" w:eastAsia="Times New Roman" w:hAnsi="Times New Roman"/>
          <w:sz w:val="14"/>
          <w:szCs w:val="14"/>
          <w:b w:val="1"/>
          <w:bCs w:val="1"/>
          <w:color w:val="auto"/>
        </w:rPr>
        <w:t>Common stock offered by us</w:t>
      </w:r>
      <w:r>
        <w:rPr>
          <w:sz w:val="20"/>
          <w:szCs w:val="20"/>
          <w:color w:val="auto"/>
        </w:rPr>
        <w:tab/>
      </w:r>
      <w:r>
        <w:rPr>
          <w:rFonts w:ascii="Times New Roman" w:cs="Times New Roman" w:eastAsia="Times New Roman" w:hAnsi="Times New Roman"/>
          <w:sz w:val="13"/>
          <w:szCs w:val="13"/>
          <w:color w:val="auto"/>
        </w:rPr>
        <w:t>Shares of our common stock having an aggregate offering price of up to $100,000,000.</w:t>
      </w:r>
    </w:p>
    <w:p>
      <w:pPr>
        <w:spacing w:after="0" w:line="203" w:lineRule="exact"/>
        <w:rPr>
          <w:sz w:val="20"/>
          <w:szCs w:val="20"/>
          <w:color w:val="auto"/>
        </w:rPr>
      </w:pPr>
    </w:p>
    <w:p>
      <w:pPr>
        <w:ind w:left="4660" w:right="459" w:hanging="3107"/>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Common stock to be outstanding after this offering </w:t>
      </w:r>
      <w:r>
        <w:rPr>
          <w:rFonts w:ascii="Times New Roman" w:cs="Times New Roman" w:eastAsia="Times New Roman" w:hAnsi="Times New Roman"/>
          <w:sz w:val="14"/>
          <w:szCs w:val="14"/>
          <w:color w:val="auto"/>
        </w:rPr>
        <w:t>Up to 124,067,062 shares, assuming sales of 12,500,000 shares of our common stock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offering at an offering price of $8.00 per share, which was the last reported sale price of our common stock on The Nasdaq Global Market on November 18, 2025. The actual number of shares of common stock issued will vary depending on the sales price under this offering.</w:t>
      </w:r>
    </w:p>
    <w:p>
      <w:pPr>
        <w:sectPr>
          <w:pgSz w:w="11900" w:h="16838" w:orient="portrait"/>
          <w:cols w:equalWidth="0" w:num="1">
            <w:col w:w="10159"/>
          </w:cols>
          <w:pgMar w:left="300" w:top="383" w:right="1440" w:bottom="1440" w:gutter="0" w:footer="0" w:header="0"/>
        </w:sectPr>
      </w:pPr>
    </w:p>
    <w:p>
      <w:pPr>
        <w:spacing w:after="0" w:line="1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39"/>
        <w:spacing w:after="0" w:line="258" w:lineRule="auto"/>
        <w:rPr>
          <w:sz w:val="20"/>
          <w:szCs w:val="20"/>
          <w:color w:val="auto"/>
        </w:rPr>
      </w:pPr>
      <w:r>
        <w:rPr>
          <w:rFonts w:ascii="Times New Roman" w:cs="Times New Roman" w:eastAsia="Times New Roman" w:hAnsi="Times New Roman"/>
          <w:sz w:val="14"/>
          <w:szCs w:val="14"/>
          <w:color w:val="auto"/>
        </w:rPr>
        <w:t>“At the market offering” that may be made from time to time on The Nasdaq Global Market or such other national securities exchange on which our common stock is then listed, through our sales agent, Leerink Partners. See the section entitled “Plan of Distribution” on page S-15 of this prospectus supplement.</w:t>
      </w:r>
    </w:p>
    <w:p>
      <w:pPr>
        <w:spacing w:after="0" w:line="158"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559"/>
        <w:spacing w:after="0" w:line="274" w:lineRule="auto"/>
        <w:rPr>
          <w:sz w:val="20"/>
          <w:szCs w:val="20"/>
          <w:color w:val="auto"/>
        </w:rPr>
      </w:pPr>
      <w:r>
        <w:rPr>
          <w:rFonts w:ascii="Times New Roman" w:cs="Times New Roman" w:eastAsia="Times New Roman" w:hAnsi="Times New Roman"/>
          <w:sz w:val="13"/>
          <w:szCs w:val="13"/>
          <w:color w:val="auto"/>
        </w:rPr>
        <w:t>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See “Use of Proceeds” on page S-11 of this prospectus supplement.</w:t>
      </w:r>
    </w:p>
    <w:p>
      <w:pPr>
        <w:spacing w:after="0" w:line="151"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559"/>
        <w:spacing w:after="0" w:line="258" w:lineRule="auto"/>
        <w:rPr>
          <w:sz w:val="20"/>
          <w:szCs w:val="20"/>
          <w:color w:val="auto"/>
        </w:rPr>
      </w:pPr>
      <w:r>
        <w:rPr>
          <w:rFonts w:ascii="Times New Roman" w:cs="Times New Roman" w:eastAsia="Times New Roman" w:hAnsi="Times New Roman"/>
          <w:sz w:val="14"/>
          <w:szCs w:val="14"/>
          <w:color w:val="auto"/>
        </w:rPr>
        <w:t>You should read the “Risk Factors” section of this prospectus supplement beginning on page S-8 and other information included in, or incorporated by reference into, this prospectus supplement for a discussion of factors to consider before deciding to purchase shares of our common stock.</w:t>
      </w:r>
    </w:p>
    <w:p>
      <w:pPr>
        <w:spacing w:after="0" w:line="158"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3"/>
          <w:szCs w:val="13"/>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“TNGX”</w:t>
      </w:r>
    </w:p>
    <w:p>
      <w:pPr>
        <w:spacing w:after="0" w:line="194"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right="559"/>
        <w:spacing w:after="0" w:line="278"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after this offering is based on 111,567,062 shares of our common stock outstanding as of September 30, 2025 and excludes:</w:t>
      </w:r>
    </w:p>
    <w:p>
      <w:pPr>
        <w:spacing w:after="0" w:line="53" w:lineRule="exact"/>
        <w:rPr>
          <w:sz w:val="20"/>
          <w:szCs w:val="20"/>
          <w:color w:val="auto"/>
        </w:rPr>
      </w:pPr>
    </w:p>
    <w:p>
      <w:pPr>
        <w:ind w:left="2260" w:right="559" w:hanging="312"/>
        <w:spacing w:after="0" w:line="278" w:lineRule="auto"/>
        <w:tabs>
          <w:tab w:leader="none" w:pos="2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22,581,255 shares of common stock issuable upon the exercise of stock options outstanding as of September 30, 2025, at a weighted average exercise price of $6.59 per share;</w:t>
      </w:r>
    </w:p>
    <w:p>
      <w:pPr>
        <w:spacing w:after="0" w:line="53" w:lineRule="exact"/>
        <w:rPr>
          <w:rFonts w:ascii="Times New Roman" w:cs="Times New Roman" w:eastAsia="Times New Roman" w:hAnsi="Times New Roman"/>
          <w:sz w:val="14"/>
          <w:szCs w:val="14"/>
          <w:color w:val="auto"/>
        </w:rPr>
      </w:pPr>
    </w:p>
    <w:p>
      <w:pPr>
        <w:ind w:left="2260" w:right="819" w:hanging="312"/>
        <w:spacing w:after="0" w:line="278" w:lineRule="auto"/>
        <w:tabs>
          <w:tab w:leader="none" w:pos="2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249,635 shares of common stock issuable upon the exercise of stock options granted subsequent to September 30, 2025 through November 18, 2025, at a weighted average exercise price of $8.00 per share;</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1,277,837 shares of common stock issuable upon the vesting of restricted stock units as of September 30, 2025;</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3"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2455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393690" cy="2455545"/>
                    </a:xfrm>
                    <a:prstGeom prst="rect">
                      <a:avLst/>
                    </a:prstGeom>
                    <a:noFill/>
                  </pic:spPr>
                </pic:pic>
              </a:graphicData>
            </a:graphic>
          </wp:anchor>
        </w:drawing>
      </w:r>
    </w:p>
    <w:p>
      <w:pPr>
        <w:spacing w:after="0" w:line="362" w:lineRule="exact"/>
        <w:rPr>
          <w:sz w:val="20"/>
          <w:szCs w:val="20"/>
          <w:color w:val="auto"/>
        </w:rPr>
      </w:pPr>
    </w:p>
    <w:p>
      <w:pPr>
        <w:ind w:left="2260" w:hanging="312"/>
        <w:spacing w:after="0"/>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16,505 shares of common stock issuable upon the vesting of restricted stock units granted subsequent to September 30, 2025;</w:t>
      </w:r>
    </w:p>
    <w:p>
      <w:pPr>
        <w:spacing w:after="0" w:line="98" w:lineRule="exact"/>
        <w:rPr>
          <w:rFonts w:ascii="Times New Roman" w:cs="Times New Roman" w:eastAsia="Times New Roman" w:hAnsi="Times New Roman"/>
          <w:sz w:val="14"/>
          <w:szCs w:val="14"/>
          <w:color w:val="auto"/>
        </w:rPr>
      </w:pPr>
    </w:p>
    <w:p>
      <w:pPr>
        <w:ind w:left="2260" w:right="479" w:hanging="312"/>
        <w:spacing w:after="0" w:line="263"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8,058,954 shares of common stock available for future issuance under our 2021 Stock Option and Incentive Plan (the “2021 Plan”) as of September 30, 2025, as well as any automatic increases in the number of shares of common stock reserved for issuance under the 2021 Plan;</w:t>
      </w:r>
    </w:p>
    <w:p>
      <w:pPr>
        <w:spacing w:after="0" w:line="63" w:lineRule="exact"/>
        <w:rPr>
          <w:rFonts w:ascii="Times New Roman" w:cs="Times New Roman" w:eastAsia="Times New Roman" w:hAnsi="Times New Roman"/>
          <w:sz w:val="14"/>
          <w:szCs w:val="14"/>
          <w:color w:val="auto"/>
        </w:rPr>
      </w:pPr>
    </w:p>
    <w:p>
      <w:pPr>
        <w:ind w:left="2260" w:right="659" w:hanging="312"/>
        <w:spacing w:after="0" w:line="263"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3,694,805 shares of common stock available for future issuance under our 2021 Employee Stock Purchase Plan (the “ESPP”) as of September 30, 2025, as well as any automatic increases in the number of shares of common stock reserved for issuance under the ESPP;</w:t>
      </w:r>
    </w:p>
    <w:p>
      <w:pPr>
        <w:spacing w:after="0" w:line="6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261,556 shares of common stock granted under our ESPP issued subsequent to September 30, 2025 through November 18, 2025;</w:t>
      </w:r>
    </w:p>
    <w:p>
      <w:pPr>
        <w:spacing w:after="0" w:line="98" w:lineRule="exact"/>
        <w:rPr>
          <w:rFonts w:ascii="Times New Roman" w:cs="Times New Roman" w:eastAsia="Times New Roman" w:hAnsi="Times New Roman"/>
          <w:sz w:val="14"/>
          <w:szCs w:val="14"/>
          <w:color w:val="auto"/>
        </w:rPr>
      </w:pPr>
    </w:p>
    <w:p>
      <w:pPr>
        <w:ind w:left="2260" w:right="519" w:hanging="312"/>
        <w:spacing w:after="0" w:line="278"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21,023,337 shares of our common stock sold subsequent to September 30, 2025, pursuant to the underwriting agreement entered into on October 23, 2024 with the several underwriters named therein;</w:t>
      </w:r>
    </w:p>
    <w:p>
      <w:pPr>
        <w:spacing w:after="0" w:line="53" w:lineRule="exact"/>
        <w:rPr>
          <w:rFonts w:ascii="Times New Roman" w:cs="Times New Roman" w:eastAsia="Times New Roman" w:hAnsi="Times New Roman"/>
          <w:sz w:val="14"/>
          <w:szCs w:val="14"/>
          <w:color w:val="auto"/>
        </w:rPr>
      </w:pPr>
    </w:p>
    <w:p>
      <w:pPr>
        <w:ind w:left="2260" w:right="539" w:hanging="312"/>
        <w:spacing w:after="0" w:line="278"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1,732,101 shares of our common stock sold subsequent to September 30, 2025 pursuant to the securities purchase agreement entered into on October 23, 2025 with a certain accredited investor in connection with a private placement;</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2,041,015 shares of common stock available for future issuance under the 2023 Inducement Plan as of September 30, 2025; and</w:t>
      </w:r>
    </w:p>
    <w:p>
      <w:pPr>
        <w:spacing w:after="0" w:line="98" w:lineRule="exact"/>
        <w:rPr>
          <w:rFonts w:ascii="Times New Roman" w:cs="Times New Roman" w:eastAsia="Times New Roman" w:hAnsi="Times New Roman"/>
          <w:sz w:val="14"/>
          <w:szCs w:val="14"/>
          <w:color w:val="auto"/>
        </w:rPr>
      </w:pPr>
    </w:p>
    <w:p>
      <w:pPr>
        <w:ind w:left="2260" w:right="619" w:hanging="312"/>
        <w:spacing w:after="0" w:line="278"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3,226,458 shares of common stock subject to the exercise of pre-funded warrants issued subsequent to September 30, 2025 through November 18, 2025.</w:t>
      </w:r>
    </w:p>
    <w:p>
      <w:pPr>
        <w:spacing w:after="0" w:line="53" w:lineRule="exact"/>
        <w:rPr>
          <w:rFonts w:ascii="Times New Roman" w:cs="Times New Roman" w:eastAsia="Times New Roman" w:hAnsi="Times New Roman"/>
          <w:sz w:val="14"/>
          <w:szCs w:val="14"/>
          <w:color w:val="auto"/>
        </w:rPr>
      </w:pPr>
    </w:p>
    <w:p>
      <w:pPr>
        <w:ind w:left="2260" w:right="519" w:hanging="312"/>
        <w:spacing w:after="0" w:line="278" w:lineRule="auto"/>
        <w:tabs>
          <w:tab w:leader="none" w:pos="2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the information in this prospectus supplement assumes no exercise of outstanding stock options described above.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Before you decide to invest in our common stock, you should carefully consider the risks and uncertainties described below and in Part I, Item 1A “Risk Factors” of our most recent annual report on Form 10-K, and any subsequent Quarterly Reports on Form 10-Q or Current Reports on Form 8-K we file after the date of this prospectus supplement, together with all other information contained in this prospectus supplement and in our filings with the SEC that we have incorporated by reference in this prospectus supplement. If any of the following risks actually occur,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Moreover, the risks described are not the only ones that we face. Additional risks not presently known to us or that we currently believe are immaterial may also significantly impair our business operations. Please also read carefully the section above titled “Cautionary Note Regarding Forward-Looking Statements.”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Additional Risks Related to Our Common Stock and This Offering</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common stock in this offering, you may suffer immediate and substantial dilution of your investment.</w:t>
      </w:r>
    </w:p>
    <w:p>
      <w:pPr>
        <w:spacing w:after="0" w:line="9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12,500,000 shares of our common stock are sold at a price of $8.00 per share, the last reported sale price of our common stock on The Nasdaq Global Market on November 18, 2025, for aggregate proceeds to us of approximately $97,196,190 after deducting commissions and estimated aggregate offering expenses payable by us, you will experience immediate dilution of $5.93 per share, representing the difference between our as adjusted net tangible book value per share as of September 30, 2025 after giving effect to this offering and the assumed offering price. See the section entitled “Dilution” below for a more detailed illustration of the dilution you may incur if you participate in this offering.</w:t>
      </w:r>
    </w:p>
    <w:p>
      <w:pPr>
        <w:spacing w:after="0" w:line="230" w:lineRule="exact"/>
        <w:rPr>
          <w:sz w:val="20"/>
          <w:szCs w:val="20"/>
          <w:color w:val="auto"/>
        </w:rPr>
      </w:pPr>
    </w:p>
    <w:p>
      <w:pPr>
        <w:ind w:left="1400" w:right="6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use them in ways that you and other stockholders may not approve.</w:t>
      </w:r>
    </w:p>
    <w:p>
      <w:pPr>
        <w:spacing w:after="0" w:line="41" w:lineRule="exact"/>
        <w:rPr>
          <w:sz w:val="20"/>
          <w:szCs w:val="20"/>
          <w:color w:val="auto"/>
        </w:rPr>
      </w:pPr>
    </w:p>
    <w:p>
      <w:pPr>
        <w:ind w:left="1400" w:right="339"/>
        <w:spacing w:after="0" w:line="274" w:lineRule="auto"/>
        <w:rPr>
          <w:sz w:val="20"/>
          <w:szCs w:val="20"/>
          <w:color w:val="auto"/>
        </w:rPr>
      </w:pPr>
      <w:r>
        <w:rPr>
          <w:rFonts w:ascii="Times New Roman" w:cs="Times New Roman" w:eastAsia="Times New Roman" w:hAnsi="Times New Roman"/>
          <w:sz w:val="13"/>
          <w:szCs w:val="13"/>
          <w:color w:val="auto"/>
        </w:rPr>
        <w:t>We currently expect to use the net proceeds of this offering for working capital, capital expenditures and other general corporate purposes, including to fund the research and development of our product candidates.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91"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To raise additional capital, we may in the future offer additional shares of our common stock or other securities convertible into or exchangeable for our common stock at prices that may not be the same as the price per share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21" w:lineRule="exact"/>
        <w:rPr>
          <w:sz w:val="20"/>
          <w:szCs w:val="20"/>
          <w:color w:val="auto"/>
        </w:rPr>
      </w:pPr>
    </w:p>
    <w:p>
      <w:pPr>
        <w:ind w:left="1400" w:right="2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Future sales or issuances of our common stock in the public markets, or the perception of such sales, could depress the trading price of our common stock.</w:t>
      </w:r>
    </w:p>
    <w:p>
      <w:pPr>
        <w:spacing w:after="0" w:line="41"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and gross proceeds resulting from those sales, at any one time or in total, is uncertain.</w:t>
      </w:r>
    </w:p>
    <w:p>
      <w:pPr>
        <w:spacing w:after="0" w:line="9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Leerink Partners at any time throughout the term of the sales agreement. The number of shares that are sold by Leerink Partners after delivering a placement notice will fluctuate based on the market price of our common stock during the sales period and limits we set with Leerink Partners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23" w:lineRule="exact"/>
        <w:rPr>
          <w:sz w:val="20"/>
          <w:szCs w:val="20"/>
          <w:color w:val="auto"/>
        </w:rPr>
      </w:pPr>
    </w:p>
    <w:p>
      <w:pPr>
        <w:ind w:left="1400" w:right="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41" w:lineRule="exact"/>
        <w:rPr>
          <w:sz w:val="20"/>
          <w:szCs w:val="20"/>
          <w:color w:val="auto"/>
        </w:rPr>
      </w:pPr>
    </w:p>
    <w:p>
      <w:pPr>
        <w:ind w:left="1400" w:right="419"/>
        <w:spacing w:after="0" w:line="258"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419"/>
        <w:spacing w:after="0" w:line="292" w:lineRule="auto"/>
        <w:rPr>
          <w:sz w:val="20"/>
          <w:szCs w:val="20"/>
          <w:color w:val="auto"/>
        </w:rPr>
      </w:pPr>
      <w:r>
        <w:rPr>
          <w:rFonts w:ascii="Times New Roman" w:cs="Times New Roman" w:eastAsia="Times New Roman" w:hAnsi="Times New Roman"/>
          <w:sz w:val="13"/>
          <w:szCs w:val="13"/>
          <w:color w:val="auto"/>
        </w:rPr>
        <w:t>We may issue and sell shares of our common stock having aggregate sales proceeds of up to $100,000,000 from time to time under this prospectus supplement. The amount of the net proceeds to us from this offering will depend upon the number of shares of our common stock sold and the price at which they are sold. There can be no assurance that we will be able to sell any shares under or fully utilize the sales agreement with Leerink Partners.</w:t>
      </w:r>
    </w:p>
    <w:p>
      <w:pPr>
        <w:spacing w:after="0" w:line="120" w:lineRule="exact"/>
        <w:rPr>
          <w:sz w:val="20"/>
          <w:szCs w:val="20"/>
          <w:color w:val="auto"/>
        </w:rPr>
      </w:pPr>
    </w:p>
    <w:p>
      <w:pPr>
        <w:ind w:left="1400" w:right="419"/>
        <w:spacing w:after="0" w:line="252" w:lineRule="auto"/>
        <w:rPr>
          <w:sz w:val="20"/>
          <w:szCs w:val="20"/>
          <w:color w:val="auto"/>
        </w:rPr>
      </w:pPr>
      <w:r>
        <w:rPr>
          <w:rFonts w:ascii="Times New Roman" w:cs="Times New Roman" w:eastAsia="Times New Roman" w:hAnsi="Times New Roman"/>
          <w:sz w:val="14"/>
          <w:szCs w:val="14"/>
          <w:color w:val="auto"/>
        </w:rPr>
        <w:t>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45"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Leerink Partners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148"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We do not expect that the net proceeds from this offering, together with our existing cash, cash equivalents and investments, will be sufficient to enable us to fund the completion of development of any of our product candidates.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4"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If you invest in this offering, your ownership interest will be diluted (accreted) to the extent of the difference between the public offering price per share and the as-adjusted net tangible book value per share of our common stock after giving effect to this offering.</w:t>
      </w:r>
    </w:p>
    <w:p>
      <w:pPr>
        <w:spacing w:after="0" w:line="126"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As of September 30, 2025, we had net tangible book value of $160,030,300 or $1.43 per share of our common stock, based upon 111,567,062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43"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After giving effect to the sale of our common stock pursuant to this prospectus supplement in the aggregate amount of $100.0 million at an assumed offering price of $8.00 per share, the last reported sale price of our common stock on The Nasdaq Global Market on November 18, 2025, and after deducting commissions and estimated aggregate offering expenses payable by us, our net tangible book value as of September 30, 2025 would have been $257.2 million, or $2.07 per share of common stock. This represents an immediate increase in the net tangible book value of $0.64 per share to our existing stockholders and an immediate dilution in net tangible book value of $5.93 per share to new investors. The following table illustrates this per share accretion/dilution:</w:t>
      </w:r>
    </w:p>
    <w:p>
      <w:pPr>
        <w:spacing w:after="0" w:line="178" w:lineRule="exact"/>
        <w:rPr>
          <w:sz w:val="20"/>
          <w:szCs w:val="20"/>
          <w:color w:val="auto"/>
        </w:rPr>
      </w:pPr>
    </w:p>
    <w:tbl>
      <w:tblPr>
        <w:tblLayout w:type="fixed"/>
        <w:tblInd w:w="27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offering price per share</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4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as of September 30, 2025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44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Increase (decrease) per share attributable to sale of shares of common</w:t>
            </w: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 in this offering</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0.64</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68"/>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this offering</w:t>
            </w: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2.07</w:t>
            </w:r>
          </w:p>
        </w:tc>
        <w:tc>
          <w:tcPr>
            <w:tcW w:w="4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44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Dilution (accretion) per share to new investors purchasing shares in this</w:t>
            </w: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5.93</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table above assumes for illustrative purposes that an aggregate of 12,500,000 shares of our common stock are sold pursuant to this prospectus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supplement at a price of $8.00 per share, the last reported sale price of our common stock on The Nasdaq Global Market on November 18, 2025 from</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time to time at various prices. An increase of $1.00 per share in the price at which the shares are sold from the assumed offering price to $9.00 per share,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assuming all of our common stock in the aggregate amount of $100.0 million is sold at that price, would result in an adjusted net tangible book value per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 after the offering of $2.10 per share and would increase the dilution in net tangible book value per share to new investors in this offering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$6.90 per share, after deducting commissions and estimated aggregate offering expenses payable by us. A decrease of $1.00 per share in the price at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which the shares are sold from the assumed offering price to $7.00 per share, assuming all of our common stock in the aggregate amount of</w:t>
      </w:r>
    </w:p>
    <w:p>
      <w:pPr>
        <w:spacing w:after="0" w:line="5"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$100.0 million is sold at that price, would result in an adjusted net tangible book value per share after the offering of $2.04 per share and would result in the dilution of net tangible book value per share to new investors in this offering of $4.96 per share, after deducting commissions and estimated aggregate offering expenses payable by us. This information is supplied for illustrative purposes only.</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number of shares of our common stock to be outstanding after this offering is based on 111,567,062 shares of our common stock outstanding as of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September 30, 2025 and excludes:</w:t>
      </w:r>
    </w:p>
    <w:p>
      <w:pPr>
        <w:spacing w:after="0" w:line="84" w:lineRule="exact"/>
        <w:rPr>
          <w:sz w:val="20"/>
          <w:szCs w:val="20"/>
          <w:color w:val="auto"/>
        </w:rPr>
      </w:pPr>
    </w:p>
    <w:p>
      <w:pPr>
        <w:ind w:left="2160" w:right="659" w:hanging="342"/>
        <w:spacing w:after="0" w:line="278"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22,581,255 shares of common stock issuable upon the exercise of stock options outstanding as of September 30, 2025, at a weighted average exercise price of $6.59 per share;</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91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249,635 shares of common stock issuable upon the exercise of stock options granted subsequent to September 30, 2025 through November 18, 2025, at a weighted average exercise price of $8.00 per share;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1,277,837 shares of common stock issuable upon the vesting of restricted stock units as of September 30, 2025;</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16,505 shares of common stock issuable upon the vesting of restricted stock units granted subsequent to September 30, 2025;</w:t>
      </w:r>
    </w:p>
    <w:p>
      <w:pPr>
        <w:spacing w:after="0" w:line="98" w:lineRule="exact"/>
        <w:rPr>
          <w:rFonts w:ascii="Times New Roman" w:cs="Times New Roman" w:eastAsia="Times New Roman" w:hAnsi="Times New Roman"/>
          <w:sz w:val="14"/>
          <w:szCs w:val="14"/>
          <w:color w:val="auto"/>
        </w:rPr>
      </w:pPr>
    </w:p>
    <w:p>
      <w:pPr>
        <w:ind w:left="2160" w:right="439" w:hanging="342"/>
        <w:spacing w:after="0" w:line="26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8,058,954 shares of common stock available for future issuance under our 2021 Stock Option and Incentive Plan (the “2021 Plan”) as of September 30, 2025, as well as any automatic increases in the number of shares of common stock reserved for issuance under the 2021 Plan;</w:t>
      </w:r>
    </w:p>
    <w:p>
      <w:pPr>
        <w:spacing w:after="0" w:line="63" w:lineRule="exact"/>
        <w:rPr>
          <w:rFonts w:ascii="Times New Roman" w:cs="Times New Roman" w:eastAsia="Times New Roman" w:hAnsi="Times New Roman"/>
          <w:sz w:val="14"/>
          <w:szCs w:val="14"/>
          <w:color w:val="auto"/>
        </w:rPr>
      </w:pPr>
    </w:p>
    <w:p>
      <w:pPr>
        <w:ind w:left="2160" w:right="459" w:hanging="342"/>
        <w:spacing w:after="0" w:line="318" w:lineRule="auto"/>
        <w:tabs>
          <w:tab w:leader="none" w:pos="21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3,694,805 shares of common stock available for future issuance under our 2021 Employee Stock Purchase Plan (the “ESPP”) as of September 30, 2025, as well as any automatic increases in the number of shares of common stock reserved for issuance under the ESPP;</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261,556 shares of common stock granted under our ESPP granted subsequent to September 30, 2025 through November 18, 2025;</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21,023,337 shares of our common stock sold subsequent to September 30, 2025, pursuant to the underwriting agreement entered into on October 23, 2024 with the several underwriters named therein;</w:t>
      </w:r>
    </w:p>
    <w:p>
      <w:pPr>
        <w:spacing w:after="0" w:line="53" w:lineRule="exact"/>
        <w:rPr>
          <w:rFonts w:ascii="Times New Roman" w:cs="Times New Roman" w:eastAsia="Times New Roman" w:hAnsi="Times New Roman"/>
          <w:sz w:val="14"/>
          <w:szCs w:val="14"/>
          <w:color w:val="auto"/>
        </w:rPr>
      </w:pPr>
    </w:p>
    <w:p>
      <w:pPr>
        <w:ind w:left="2160" w:right="39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1,732,101 shares of our common stock sold subsequent to September 30, 2025 pursuant to the securities purchase agreement entered into on October 23, 2025 with a certain accredited investor in connection with a private placement;</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2,041,015 shares of common stock available for future issuance under the 2023 Inducement Plan as of September 30, 2025;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3,226,458 shares of common stock subject to the exercise of pre-funded warrants issued subsequent to September 30, 2025.</w:t>
      </w:r>
    </w:p>
    <w:p>
      <w:pPr>
        <w:spacing w:after="0" w:line="98" w:lineRule="exact"/>
        <w:rPr>
          <w:rFonts w:ascii="Times New Roman" w:cs="Times New Roman" w:eastAsia="Times New Roman" w:hAnsi="Times New Roman"/>
          <w:sz w:val="14"/>
          <w:szCs w:val="14"/>
          <w:color w:val="auto"/>
        </w:rPr>
      </w:pPr>
    </w:p>
    <w:p>
      <w:pPr>
        <w:ind w:left="2160" w:right="61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the information in this prospectus supplement assumes no exercise of outstanding stock options described above.</w:t>
      </w:r>
    </w:p>
    <w:p>
      <w:pPr>
        <w:spacing w:after="0" w:line="126" w:lineRule="exact"/>
        <w:rPr>
          <w:sz w:val="20"/>
          <w:szCs w:val="20"/>
          <w:color w:val="auto"/>
        </w:rPr>
      </w:pPr>
    </w:p>
    <w:p>
      <w:pPr>
        <w:ind w:left="1400" w:right="379"/>
        <w:spacing w:after="0" w:line="255" w:lineRule="auto"/>
        <w:rPr>
          <w:sz w:val="20"/>
          <w:szCs w:val="20"/>
          <w:color w:val="auto"/>
        </w:rPr>
      </w:pPr>
      <w:r>
        <w:rPr>
          <w:rFonts w:ascii="Times New Roman" w:cs="Times New Roman" w:eastAsia="Times New Roman" w:hAnsi="Times New Roman"/>
          <w:sz w:val="14"/>
          <w:szCs w:val="14"/>
          <w:color w:val="auto"/>
        </w:rPr>
        <w:t>To the extent that options outstanding as of September 30, 2025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4"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400" w:right="399"/>
        <w:spacing w:after="0" w:line="253" w:lineRule="auto"/>
        <w:rPr>
          <w:sz w:val="20"/>
          <w:szCs w:val="20"/>
          <w:color w:val="auto"/>
        </w:rPr>
      </w:pPr>
      <w:r>
        <w:rPr>
          <w:rFonts w:ascii="Times New Roman" w:cs="Times New Roman" w:eastAsia="Times New Roman" w:hAnsi="Times New Roman"/>
          <w:sz w:val="14"/>
          <w:szCs w:val="14"/>
          <w:color w:val="auto"/>
        </w:rPr>
        <w:t>We entered into a sales agreement with Leerink Partners, under which we may offer and sell from time to time our shares of common stock through Leerink Partners acting as agent. Pursuant to this prospectus supplement, we may offer and sell shares of our common stock having an aggregate offering price of up to $100,000,000. Sales of our shares of common stock, if any, under this prospectus supplement and the accompanying prospectus will be made by any method that is deemed to be an “at the market offering” as defined in Rule 415(a)(4) under the Securities Act, including any sales made directly on the Nasdaq Global Market or any other trading market for our common stock. The below description of the material provisions of the sales agreement does not purport to be a complete statement of its terms and conditions. A copy of the sales agreement is filed as an exhibit to our Registration Statement on Form S-3 of which this prospectus supplement forms a part.</w:t>
      </w:r>
    </w:p>
    <w:p>
      <w:pPr>
        <w:spacing w:after="0" w:line="143"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Leerink Partners will offer our common stock subject to the terms and conditions of the sales agreement on a daily basis or as otherwise agreed upon by us and Leerink Partners. We will designate the maximum amount of common stock to be sold through Leerink Partners on a daily basis or otherwise determine such maximum amount together with Leerink Partners. Subject to the terms and conditions of the sales agreement, Leerink Partners will use commercially reasonable efforts consistent to sell on our behalf all of the shares of common stock requested to be sold by use. We may instruct Leerink Partners not to sell common stock if the sales cannot be effected at or above the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w:t>
      </w:r>
    </w:p>
    <w:p>
      <w:pPr>
        <w:spacing w:after="0" w:line="145"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The aggregate compensation payable to Leerink Partners is up to 3.0% of the aggregate gross proceeds from the sale of the shares of common stock sold through the sales agreement. We have also agreed to reimburse up to an aggregate of $100,000 of Leerink Partners’ actual outside legal expenses incurred by it in connection with this offering plus certain ongoing expenses. We estimate that the total expenses for the offering payable by us, excluding any commissions or expense reimbursement payable to Leerink Partners under the sales agreement, will be approximately $2.8 million.</w:t>
      </w:r>
    </w:p>
    <w:p>
      <w:pPr>
        <w:spacing w:after="0" w:line="140" w:lineRule="exact"/>
        <w:rPr>
          <w:sz w:val="20"/>
          <w:szCs w:val="20"/>
          <w:color w:val="auto"/>
        </w:rPr>
      </w:pPr>
    </w:p>
    <w:p>
      <w:pPr>
        <w:ind w:left="1400" w:right="559"/>
        <w:spacing w:after="0" w:line="278" w:lineRule="auto"/>
        <w:rPr>
          <w:sz w:val="20"/>
          <w:szCs w:val="20"/>
          <w:color w:val="auto"/>
        </w:rPr>
      </w:pPr>
      <w:r>
        <w:rPr>
          <w:rFonts w:ascii="Times New Roman" w:cs="Times New Roman" w:eastAsia="Times New Roman" w:hAnsi="Times New Roman"/>
          <w:sz w:val="14"/>
          <w:szCs w:val="14"/>
          <w:color w:val="auto"/>
        </w:rPr>
        <w:t>The remaining sale proceeds, after deducting any expenses payable by us and any transaction fees imposed by any governmental, regulatory or self-regulatory organization in connection with the sales, will equal our net proceeds from the sale of such common stock.</w:t>
      </w:r>
    </w:p>
    <w:p>
      <w:pPr>
        <w:spacing w:after="0" w:line="126" w:lineRule="exact"/>
        <w:rPr>
          <w:sz w:val="20"/>
          <w:szCs w:val="20"/>
          <w:color w:val="auto"/>
        </w:rPr>
      </w:pPr>
    </w:p>
    <w:p>
      <w:pPr>
        <w:jc w:val="both"/>
        <w:ind w:left="1400" w:right="299"/>
        <w:spacing w:after="0" w:line="263" w:lineRule="auto"/>
        <w:rPr>
          <w:sz w:val="20"/>
          <w:szCs w:val="20"/>
          <w:color w:val="auto"/>
        </w:rPr>
      </w:pPr>
      <w:r>
        <w:rPr>
          <w:rFonts w:ascii="Times New Roman" w:cs="Times New Roman" w:eastAsia="Times New Roman" w:hAnsi="Times New Roman"/>
          <w:sz w:val="14"/>
          <w:szCs w:val="14"/>
          <w:color w:val="auto"/>
        </w:rPr>
        <w:t>Leerink Partners will provide written confirmation to us following the close of trading on The Nasdaq Global Market after each day on which our shares of common stock are sold under the sales agreement. Each confirmation will include the number of shares sold through Leerink Partners on that day and the net proceeds to us.</w:t>
      </w:r>
    </w:p>
    <w:p>
      <w:pPr>
        <w:spacing w:after="0" w:line="13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We will report at least quarterly the number of shares of common stock sold through Leerink Partners under the sales agreement and the net proceeds to us in connection with the sales of common stock.</w:t>
      </w:r>
    </w:p>
    <w:p>
      <w:pPr>
        <w:spacing w:after="0" w:line="126"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26" w:lineRule="exact"/>
        <w:rPr>
          <w:sz w:val="20"/>
          <w:szCs w:val="20"/>
          <w:color w:val="auto"/>
        </w:rPr>
      </w:pPr>
    </w:p>
    <w:p>
      <w:pPr>
        <w:ind w:left="1400" w:right="399"/>
        <w:spacing w:after="0" w:line="258" w:lineRule="auto"/>
        <w:rPr>
          <w:sz w:val="20"/>
          <w:szCs w:val="20"/>
          <w:color w:val="auto"/>
        </w:rPr>
      </w:pPr>
      <w:r>
        <w:rPr>
          <w:rFonts w:ascii="Times New Roman" w:cs="Times New Roman" w:eastAsia="Times New Roman" w:hAnsi="Times New Roman"/>
          <w:sz w:val="14"/>
          <w:szCs w:val="14"/>
          <w:color w:val="auto"/>
        </w:rPr>
        <w:t>In connection with the sales of our common stock on our behalf, Leerink Partners will be deemed to be an “underwriter” within the meaning of the Securities Act and the compensation of Leerink Partners will be deemed to be underwriting commissions or discounts. We have agreed in the sales agreement to provide indemnification and contribution to Leerink Partners against certain civil liabilities, including liabilities under the Securities Act. As sales agent, Leerink Partners will not engage in any transaction that stabilize our common stock.</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Nasdaq Global Market and trades under the symbol “TNGX.” The transfer agent of our common stock is currently Computershare Trust Company, N.A.</w:t>
      </w:r>
    </w:p>
    <w:p>
      <w:pPr>
        <w:spacing w:after="0" w:line="126"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Leerink Partners and/or their affiliates may have in the past and may in the future provide various investment banking and other financial services for us for which services they may have in the past or may in the future receive customary fees.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Goodwin Procter LLP, Boston, Massachusetts. Leerink Partners LLC is being represented in connection with this offering by Cooley LLP, New York, New York.</w:t>
      </w:r>
    </w:p>
    <w:p>
      <w:pPr>
        <w:spacing w:after="0" w:line="29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and on our investor website at https://tangotx.com. Our website is not a part of this prospectus supplement and is not incorporated by reference in this prospectus supplement.</w:t>
      </w:r>
    </w:p>
    <w:p>
      <w:pPr>
        <w:spacing w:after="0" w:line="136"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76" w:lineRule="exact"/>
        <w:rPr>
          <w:sz w:val="20"/>
          <w:szCs w:val="20"/>
          <w:color w:val="auto"/>
        </w:rPr>
      </w:pPr>
    </w:p>
    <w:p>
      <w:pPr>
        <w:ind w:left="2160" w:hanging="34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filed with the SEC on February 27, 2025;</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from our amended definitive proxy statement on </w:t>
      </w:r>
      <w:hyperlink r:id="rId5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filed with the SEC on April 24, 2025;</w:t>
      </w:r>
    </w:p>
    <w:p>
      <w:pPr>
        <w:spacing w:after="0" w:line="6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3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quarters ended March 31, 2025, June 30, 2025 and September 30, 2025, filed with the SEC on </w:t>
      </w:r>
      <w:hyperlink r:id="rId53">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4">
        <w:r>
          <w:rPr>
            <w:rFonts w:ascii="Times New Roman" w:cs="Times New Roman" w:eastAsia="Times New Roman" w:hAnsi="Times New Roman"/>
            <w:sz w:val="14"/>
            <w:szCs w:val="14"/>
            <w:u w:val="single" w:color="auto"/>
            <w:color w:val="0000EE"/>
          </w:rPr>
          <w:t xml:space="preserve">August 5,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5">
        <w:r>
          <w:rPr>
            <w:rFonts w:ascii="Times New Roman" w:cs="Times New Roman" w:eastAsia="Times New Roman" w:hAnsi="Times New Roman"/>
            <w:sz w:val="14"/>
            <w:szCs w:val="14"/>
            <w:u w:val="single" w:color="auto"/>
            <w:color w:val="0000EE"/>
          </w:rPr>
          <w:t xml:space="preserve">November 4, 2025 </w:t>
        </w:r>
      </w:hyperlink>
      <w:r>
        <w:rPr>
          <w:rFonts w:ascii="Times New Roman" w:cs="Times New Roman" w:eastAsia="Times New Roman" w:hAnsi="Times New Roman"/>
          <w:sz w:val="14"/>
          <w:szCs w:val="14"/>
          <w:color w:val="000000"/>
        </w:rPr>
        <w:t>respectively;</w:t>
      </w:r>
    </w:p>
    <w:p>
      <w:pPr>
        <w:spacing w:after="0" w:line="53" w:lineRule="exact"/>
        <w:rPr>
          <w:rFonts w:ascii="Times New Roman" w:cs="Times New Roman" w:eastAsia="Times New Roman" w:hAnsi="Times New Roman"/>
          <w:sz w:val="14"/>
          <w:szCs w:val="14"/>
          <w:color w:val="0000EE"/>
        </w:rPr>
      </w:pPr>
    </w:p>
    <w:p>
      <w:pPr>
        <w:ind w:left="2160" w:right="379" w:hanging="342"/>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6">
        <w:r>
          <w:rPr>
            <w:rFonts w:ascii="Times New Roman" w:cs="Times New Roman" w:eastAsia="Times New Roman" w:hAnsi="Times New Roman"/>
            <w:sz w:val="14"/>
            <w:szCs w:val="14"/>
            <w:u w:val="single" w:color="auto"/>
            <w:color w:val="0000EE"/>
          </w:rPr>
          <w:t>June 6, 2025</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August 25, 2025</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October 23, 2025</w:t>
        </w:r>
      </w:hyperlink>
      <w:r>
        <w:rPr>
          <w:rFonts w:ascii="Times New Roman" w:cs="Times New Roman" w:eastAsia="Times New Roman" w:hAnsi="Times New Roman"/>
          <w:sz w:val="14"/>
          <w:szCs w:val="14"/>
          <w:color w:val="auto"/>
        </w:rPr>
        <w:t xml:space="preserve">, </w:t>
      </w:r>
      <w:hyperlink r:id="rId59">
        <w:r>
          <w:rPr>
            <w:rFonts w:ascii="Times New Roman" w:cs="Times New Roman" w:eastAsia="Times New Roman" w:hAnsi="Times New Roman"/>
            <w:sz w:val="14"/>
            <w:szCs w:val="14"/>
            <w:u w:val="single" w:color="auto"/>
            <w:color w:val="0000EE"/>
          </w:rPr>
          <w:t>October 24, 2025</w:t>
        </w:r>
      </w:hyperlink>
      <w:r>
        <w:rPr>
          <w:rFonts w:ascii="Times New Roman" w:cs="Times New Roman" w:eastAsia="Times New Roman" w:hAnsi="Times New Roman"/>
          <w:sz w:val="14"/>
          <w:szCs w:val="14"/>
          <w:color w:val="auto"/>
        </w:rPr>
        <w:t>, but only to the extent that such information is filed, not furnished; and</w:t>
      </w:r>
    </w:p>
    <w:p>
      <w:pPr>
        <w:spacing w:after="0" w:line="5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6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September 2, 2020, including any amendments or reports filed for the purpose of updating such description, including </w:t>
      </w:r>
      <w:hyperlink r:id="rId61">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2024.</w:t>
      </w:r>
    </w:p>
    <w:p>
      <w:pPr>
        <w:spacing w:after="0" w:line="136" w:lineRule="exact"/>
        <w:rPr>
          <w:rFonts w:ascii="Times New Roman" w:cs="Times New Roman" w:eastAsia="Times New Roman" w:hAnsi="Times New Roman"/>
          <w:sz w:val="14"/>
          <w:szCs w:val="14"/>
          <w:color w:val="auto"/>
        </w:rPr>
      </w:pPr>
    </w:p>
    <w:p>
      <w:pPr>
        <w:ind w:left="1400" w:right="659"/>
        <w:spacing w:after="0" w:line="278"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supplement.</w:t>
      </w:r>
    </w:p>
    <w:p>
      <w:pPr>
        <w:spacing w:after="0" w:line="126" w:lineRule="exact"/>
        <w:rPr>
          <w:rFonts w:ascii="Times New Roman" w:cs="Times New Roman" w:eastAsia="Times New Roman" w:hAnsi="Times New Roman"/>
          <w:sz w:val="14"/>
          <w:szCs w:val="14"/>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36" w:lineRule="exact"/>
        <w:rPr>
          <w:rFonts w:ascii="Times New Roman" w:cs="Times New Roman" w:eastAsia="Times New Roman" w:hAnsi="Times New Roman"/>
          <w:sz w:val="14"/>
          <w:szCs w:val="14"/>
          <w:color w:val="auto"/>
        </w:rPr>
      </w:pPr>
    </w:p>
    <w:p>
      <w:pPr>
        <w:ind w:left="14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phone number:</w:t>
      </w:r>
    </w:p>
    <w:p>
      <w:pPr>
        <w:spacing w:after="0" w:line="17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Tango Therapeutics, Inc.</w:t>
      </w:r>
    </w:p>
    <w:p>
      <w:pPr>
        <w:spacing w:after="0" w:line="2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201 Brookline Ave., Suite 901</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Boston, MA 02215</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857-320-4900</w:t>
      </w:r>
    </w:p>
    <w:p>
      <w:pPr>
        <w:spacing w:after="0" w:line="157" w:lineRule="exact"/>
        <w:rPr>
          <w:rFonts w:ascii="Times New Roman" w:cs="Times New Roman" w:eastAsia="Times New Roman" w:hAnsi="Times New Roman"/>
          <w:sz w:val="14"/>
          <w:szCs w:val="14"/>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84"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747395</wp:posOffset>
            </wp:positionV>
            <wp:extent cx="1749425" cy="521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749425" cy="5213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Up to $100,000,000</w:t>
      </w:r>
    </w:p>
    <w:p>
      <w:pPr>
        <w:spacing w:after="0" w:line="1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1301750</wp:posOffset>
            </wp:positionV>
            <wp:extent cx="112903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189230</wp:posOffset>
            </wp:positionV>
            <wp:extent cx="112903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27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395605</wp:posOffset>
            </wp:positionV>
            <wp:extent cx="5387975"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435610</wp:posOffset>
            </wp:positionV>
            <wp:extent cx="538797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1"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The following table sets forth the various expenses to be incurred in connection with the sale and distribution of the securities being registered. All amounts shown are estimates except the SEC registration Fee.</w:t>
      </w:r>
    </w:p>
    <w:p>
      <w:pPr>
        <w:spacing w:after="0" w:line="162" w:lineRule="exact"/>
        <w:rPr>
          <w:sz w:val="20"/>
          <w:szCs w:val="20"/>
          <w:color w:val="auto"/>
        </w:rPr>
      </w:pPr>
    </w:p>
    <w:tbl>
      <w:tblPr>
        <w:tblLayout w:type="fixed"/>
        <w:tblInd w:w="2760" w:type="dxa"/>
        <w:tblCellMar>
          <w:top w:w="0" w:type="dxa"/>
          <w:left w:w="0" w:type="dxa"/>
          <w:bottom w:w="0" w:type="dxa"/>
          <w:right w:w="0" w:type="dxa"/>
        </w:tblCellMar>
      </w:tblPr>
      <w:tr>
        <w:trPr>
          <w:trHeight w:val="16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w:t>
            </w:r>
          </w:p>
        </w:tc>
      </w:tr>
      <w:tr>
        <w:trPr>
          <w:trHeight w:val="16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r>
      <w:tr>
        <w:trPr>
          <w:trHeight w:val="16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services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16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Legal fees of registrant’s counsel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150,000</w:t>
            </w:r>
          </w:p>
        </w:tc>
      </w:tr>
      <w:tr>
        <w:trPr>
          <w:trHeight w:val="16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303,810</w:t>
            </w:r>
          </w:p>
        </w:tc>
      </w:tr>
    </w:tbl>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1"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45" w:lineRule="exact"/>
        <w:rPr>
          <w:sz w:val="20"/>
          <w:szCs w:val="20"/>
          <w:color w:val="auto"/>
        </w:rPr>
      </w:pPr>
    </w:p>
    <w:p>
      <w:pPr>
        <w:jc w:val="both"/>
        <w:ind w:left="1400" w:right="299"/>
        <w:spacing w:after="0" w:line="263" w:lineRule="auto"/>
        <w:rPr>
          <w:sz w:val="20"/>
          <w:szCs w:val="20"/>
          <w:color w:val="auto"/>
        </w:rPr>
      </w:pPr>
      <w:r>
        <w:rPr>
          <w:rFonts w:ascii="Times New Roman" w:cs="Times New Roman" w:eastAsia="Times New Roman" w:hAnsi="Times New Roman"/>
          <w:sz w:val="14"/>
          <w:szCs w:val="14"/>
          <w:color w:val="auto"/>
        </w:rPr>
        <w:t>We have adopted provisions in our certificate of incorporation and bylaws that limit or eliminate the personal liability of our directors and officers to the fullest extent permitted by the DGCL, as it now exists or may in the future be amended. Consequently, a director and officer will not be personally liable to us or our stockholders for monetary damages or breach of fiduciary duty as a director or officer, except for liability for:</w:t>
      </w:r>
    </w:p>
    <w:p>
      <w:pPr>
        <w:spacing w:after="0" w:line="63" w:lineRule="exact"/>
        <w:rPr>
          <w:sz w:val="20"/>
          <w:szCs w:val="20"/>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officer’s or director’s duty of loyalty to us or our stockholders;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of the director or officer not in good faith or that involves intentional misconduct or a knowing violation of law;</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any unlawful payments related to dividends or unlawful stock purchases, redemptions or other distributions, as provided in Section 174 of the DGCL;</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officer or director derived an improper personal benefit.</w:t>
      </w:r>
    </w:p>
    <w:p>
      <w:pPr>
        <w:spacing w:after="0" w:line="172"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These limitations of liability do not alter director liability under the federal securities laws and do not affect the availability of equitable remedies such as an injunction or rescission.</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addition, our bylaws provide that:</w:t>
      </w:r>
    </w:p>
    <w:p>
      <w:pPr>
        <w:spacing w:after="0" w:line="99" w:lineRule="exact"/>
        <w:rPr>
          <w:sz w:val="20"/>
          <w:szCs w:val="20"/>
          <w:color w:val="auto"/>
        </w:rPr>
      </w:pPr>
    </w:p>
    <w:p>
      <w:pPr>
        <w:ind w:left="2160" w:right="439" w:hanging="342"/>
        <w:spacing w:after="0" w:line="278"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53" w:lineRule="exact"/>
        <w:rPr>
          <w:rFonts w:ascii="Times New Roman" w:cs="Times New Roman" w:eastAsia="Times New Roman" w:hAnsi="Times New Roman"/>
          <w:sz w:val="14"/>
          <w:szCs w:val="14"/>
          <w:color w:val="auto"/>
        </w:rPr>
      </w:pPr>
    </w:p>
    <w:p>
      <w:pPr>
        <w:jc w:val="both"/>
        <w:ind w:left="2160" w:right="599" w:hanging="342"/>
        <w:spacing w:after="0" w:line="263"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4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2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60" w:type="dxa"/>
            <w:vAlign w:val="bottom"/>
            <w:gridSpan w:val="1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1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NO.</w:t>
            </w:r>
          </w:p>
        </w:tc>
        <w:tc>
          <w:tcPr>
            <w:tcW w:w="660" w:type="dxa"/>
            <w:vAlign w:val="bottom"/>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660" w:type="dxa"/>
            <w:vAlign w:val="bottom"/>
          </w:tcPr>
          <w:p>
            <w:pPr>
              <w:spacing w:after="0"/>
              <w:rPr>
                <w:sz w:val="19"/>
                <w:szCs w:val="19"/>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1.2</w:t>
            </w:r>
          </w:p>
        </w:tc>
        <w:tc>
          <w:tcPr>
            <w:tcW w:w="660" w:type="dxa"/>
            <w:vAlign w:val="bottom"/>
          </w:tcPr>
          <w:p>
            <w:pPr>
              <w:spacing w:after="0"/>
              <w:rPr>
                <w:sz w:val="18"/>
                <w:szCs w:val="18"/>
                <w:color w:val="auto"/>
              </w:rPr>
            </w:pPr>
          </w:p>
        </w:tc>
        <w:tc>
          <w:tcPr>
            <w:tcW w:w="6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8"/>
              </w:rPr>
              <w:t>Sales Agreement, dated November 21, 2025, by and between Tango Therapeutics, Inc. and Leerink Partners LLC.</w:t>
            </w:r>
          </w:p>
        </w:tc>
        <w:tc>
          <w:tcPr>
            <w:tcW w:w="10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660" w:type="dxa"/>
            <w:vAlign w:val="bottom"/>
          </w:tcPr>
          <w:p>
            <w:pPr>
              <w:spacing w:after="0"/>
              <w:rPr>
                <w:sz w:val="19"/>
                <w:szCs w:val="19"/>
                <w:color w:val="auto"/>
              </w:rPr>
            </w:pPr>
          </w:p>
        </w:tc>
        <w:tc>
          <w:tcPr>
            <w:tcW w:w="7360" w:type="dxa"/>
            <w:vAlign w:val="bottom"/>
            <w:gridSpan w:val="19"/>
          </w:tcPr>
          <w:p>
            <w:pPr>
              <w:spacing w:after="0"/>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Second Amended and Restated Certificate of Incorporation of Tango Therapeutics, Inc., as amended (incorporated by reference to</w:t>
              </w:r>
            </w:hyperlink>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560" w:type="dxa"/>
            <w:vAlign w:val="bottom"/>
            <w:tcBorders>
              <w:top w:val="single" w:sz="8" w:color="0000EE"/>
              <w:bottom w:val="single" w:sz="8" w:color="0000EE"/>
            </w:tcBorders>
            <w:gridSpan w:val="10"/>
          </w:tcPr>
          <w:p>
            <w:pPr>
              <w:spacing w:after="0" w:line="147" w:lineRule="exact"/>
              <w:rPr>
                <w:rFonts w:ascii="Times New Roman" w:cs="Times New Roman" w:eastAsia="Times New Roman" w:hAnsi="Times New Roman"/>
                <w:sz w:val="14"/>
                <w:szCs w:val="14"/>
                <w:color w:val="0000EE"/>
                <w:w w:val="98"/>
              </w:rPr>
            </w:pPr>
            <w:hyperlink r:id="rId105">
              <w:r>
                <w:rPr>
                  <w:rFonts w:ascii="Times New Roman" w:cs="Times New Roman" w:eastAsia="Times New Roman" w:hAnsi="Times New Roman"/>
                  <w:sz w:val="14"/>
                  <w:szCs w:val="14"/>
                  <w:color w:val="0000EE"/>
                  <w:w w:val="98"/>
                </w:rPr>
                <w:t>Exhibit 3.1 to the Registrant’s Current Report on Form 10-Q filed with the SEC on August 7, 2024).</w:t>
              </w:r>
            </w:hyperlink>
          </w:p>
        </w:tc>
        <w:tc>
          <w:tcPr>
            <w:tcW w:w="1640" w:type="dxa"/>
            <w:vAlign w:val="bottom"/>
            <w:tcBorders>
              <w:top w:val="single" w:sz="8" w:color="0000EE"/>
            </w:tcBorders>
            <w:gridSpan w:val="6"/>
          </w:tcPr>
          <w:p>
            <w:pPr>
              <w:spacing w:after="0"/>
              <w:rPr>
                <w:sz w:val="12"/>
                <w:szCs w:val="12"/>
                <w:color w:val="auto"/>
              </w:rPr>
            </w:pPr>
          </w:p>
        </w:tc>
        <w:tc>
          <w:tcPr>
            <w:tcW w:w="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660" w:type="dxa"/>
            <w:vAlign w:val="bottom"/>
          </w:tcPr>
          <w:p>
            <w:pPr>
              <w:spacing w:after="0"/>
              <w:rPr>
                <w:sz w:val="19"/>
                <w:szCs w:val="19"/>
                <w:color w:val="auto"/>
              </w:rPr>
            </w:pPr>
          </w:p>
        </w:tc>
        <w:tc>
          <w:tcPr>
            <w:tcW w:w="7360" w:type="dxa"/>
            <w:vAlign w:val="bottom"/>
            <w:gridSpan w:val="19"/>
          </w:tcPr>
          <w:p>
            <w:pPr>
              <w:spacing w:after="0"/>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Certificate of Amendment to the Second Amended and Restated Certificate of Incorporation of the Registrant (incorporated by</w:t>
              </w:r>
            </w:hyperlink>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20" w:type="dxa"/>
            <w:vAlign w:val="bottom"/>
            <w:tcBorders>
              <w:top w:val="single" w:sz="8" w:color="0000EE"/>
            </w:tcBorders>
            <w:gridSpan w:val="14"/>
          </w:tcPr>
          <w:p>
            <w:pPr>
              <w:spacing w:after="0" w:line="147"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reference to Exhibit 3.1 to the Registrant’s Current Report on Form 8-K filed with the SEC on June 6, 2025).</w:t>
              </w:r>
            </w:hyperlink>
          </w:p>
        </w:tc>
        <w:tc>
          <w:tcPr>
            <w:tcW w:w="3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660" w:type="dxa"/>
            <w:vAlign w:val="bottom"/>
          </w:tcPr>
          <w:p>
            <w:pPr>
              <w:spacing w:after="0"/>
              <w:rPr>
                <w:sz w:val="19"/>
                <w:szCs w:val="19"/>
                <w:color w:val="auto"/>
              </w:rPr>
            </w:pPr>
          </w:p>
        </w:tc>
        <w:tc>
          <w:tcPr>
            <w:tcW w:w="73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8"/>
              </w:rPr>
            </w:pPr>
            <w:hyperlink r:id="rId107">
              <w:r>
                <w:rPr>
                  <w:rFonts w:ascii="Times New Roman" w:cs="Times New Roman" w:eastAsia="Times New Roman" w:hAnsi="Times New Roman"/>
                  <w:sz w:val="14"/>
                  <w:szCs w:val="14"/>
                  <w:color w:val="0000EE"/>
                  <w:w w:val="98"/>
                </w:rPr>
                <w:t>Amended and Restated Bylaws of Tango Therapeutics, Inc. (incorporated by reference to Exhibit 4.2 to the Registrant’s registration</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360" w:type="dxa"/>
            <w:vAlign w:val="bottom"/>
            <w:gridSpan w:val="19"/>
          </w:tcPr>
          <w:p>
            <w:pPr>
              <w:spacing w:after="0" w:line="147"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660" w:type="dxa"/>
            <w:vAlign w:val="bottom"/>
          </w:tcPr>
          <w:p>
            <w:pPr>
              <w:spacing w:after="0"/>
              <w:rPr>
                <w:sz w:val="19"/>
                <w:szCs w:val="19"/>
                <w:color w:val="auto"/>
              </w:rPr>
            </w:pPr>
          </w:p>
        </w:tc>
        <w:tc>
          <w:tcPr>
            <w:tcW w:w="658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108">
              <w:r>
                <w:rPr>
                  <w:rFonts w:ascii="Times New Roman" w:cs="Times New Roman" w:eastAsia="Times New Roman" w:hAnsi="Times New Roman"/>
                  <w:sz w:val="14"/>
                  <w:szCs w:val="14"/>
                  <w:color w:val="0000EE"/>
                  <w:w w:val="99"/>
                </w:rPr>
                <w:t>Amended and Restated Registration and Stockholder Rights Agreement, dated August 10, 2021, by and among Tango</w:t>
              </w:r>
            </w:hyperlink>
          </w:p>
        </w:tc>
        <w:tc>
          <w:tcPr>
            <w:tcW w:w="7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360" w:type="dxa"/>
            <w:vAlign w:val="bottom"/>
            <w:gridSpan w:val="19"/>
          </w:tcPr>
          <w:p>
            <w:pPr>
              <w:spacing w:after="0" w:line="147"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Therapeutics, Inc. and the stockholders party thereto (incorporated by reference to Exhibit 10.2 to the Current Report on Form 8-K</w:t>
              </w:r>
            </w:hyperlink>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4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filed by the Registrant on August 13, 2021)</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660" w:type="dxa"/>
            <w:vAlign w:val="bottom"/>
          </w:tcPr>
          <w:p>
            <w:pPr>
              <w:spacing w:after="0"/>
              <w:rPr>
                <w:sz w:val="19"/>
                <w:szCs w:val="19"/>
                <w:color w:val="auto"/>
              </w:rPr>
            </w:pPr>
          </w:p>
        </w:tc>
        <w:tc>
          <w:tcPr>
            <w:tcW w:w="71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109">
              <w:r>
                <w:rPr>
                  <w:rFonts w:ascii="Times New Roman" w:cs="Times New Roman" w:eastAsia="Times New Roman" w:hAnsi="Times New Roman"/>
                  <w:sz w:val="14"/>
                  <w:szCs w:val="14"/>
                  <w:color w:val="0000EE"/>
                  <w:w w:val="98"/>
                </w:rPr>
                <w:t>Specimen Common Stock Certificate of the Registrant (incorporated by reference to Exhibit 4.5 to the Registration Statement on</w:t>
              </w:r>
            </w:hyperlink>
          </w:p>
        </w:tc>
        <w:tc>
          <w:tcPr>
            <w:tcW w:w="2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4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8"/>
              </w:rPr>
            </w:pPr>
            <w:hyperlink r:id="rId109">
              <w:r>
                <w:rPr>
                  <w:rFonts w:ascii="Times New Roman" w:cs="Times New Roman" w:eastAsia="Times New Roman" w:hAnsi="Times New Roman"/>
                  <w:sz w:val="14"/>
                  <w:szCs w:val="14"/>
                  <w:color w:val="0000EE"/>
                  <w:w w:val="98"/>
                </w:rPr>
                <w:t>Form S-4/A filed by the Registrant on July 15, 2021)</w:t>
              </w:r>
            </w:hyperlink>
          </w:p>
        </w:tc>
        <w:tc>
          <w:tcPr>
            <w:tcW w:w="44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660" w:type="dxa"/>
            <w:vAlign w:val="bottom"/>
          </w:tcPr>
          <w:p>
            <w:pPr>
              <w:spacing w:after="0"/>
              <w:rPr>
                <w:sz w:val="22"/>
                <w:szCs w:val="22"/>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Certificate of Designations</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660" w:type="dxa"/>
            <w:vAlign w:val="bottom"/>
          </w:tcPr>
          <w:p>
            <w:pPr>
              <w:spacing w:after="0"/>
              <w:rPr>
                <w:sz w:val="21"/>
                <w:szCs w:val="21"/>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Preferred Stock Certificate</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660" w:type="dxa"/>
            <w:vAlign w:val="bottom"/>
          </w:tcPr>
          <w:p>
            <w:pPr>
              <w:spacing w:after="0"/>
              <w:rPr>
                <w:sz w:val="18"/>
                <w:szCs w:val="18"/>
                <w:color w:val="auto"/>
              </w:rPr>
            </w:pPr>
          </w:p>
        </w:tc>
        <w:tc>
          <w:tcPr>
            <w:tcW w:w="4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Form of Senior Indenture between Registrant and one or more trustees to be named</w:t>
            </w:r>
          </w:p>
        </w:tc>
        <w:tc>
          <w:tcPr>
            <w:tcW w:w="27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660" w:type="dxa"/>
            <w:vAlign w:val="bottom"/>
          </w:tcPr>
          <w:p>
            <w:pPr>
              <w:spacing w:after="0"/>
              <w:rPr>
                <w:sz w:val="19"/>
                <w:szCs w:val="19"/>
                <w:color w:val="auto"/>
              </w:rPr>
            </w:pPr>
          </w:p>
        </w:tc>
        <w:tc>
          <w:tcPr>
            <w:tcW w:w="5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8"/>
              </w:rPr>
              <w:t>Form of Subordinated Indenture between Registrant and one or more trustees to be named</w:t>
            </w:r>
          </w:p>
        </w:tc>
        <w:tc>
          <w:tcPr>
            <w:tcW w:w="23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660" w:type="dxa"/>
            <w:vAlign w:val="bottom"/>
          </w:tcPr>
          <w:p>
            <w:pPr>
              <w:spacing w:after="0"/>
              <w:rPr>
                <w:sz w:val="22"/>
                <w:szCs w:val="22"/>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Warrant Agreement and Warrant Certificate</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660" w:type="dxa"/>
            <w:vAlign w:val="bottom"/>
          </w:tcPr>
          <w:p>
            <w:pPr>
              <w:spacing w:after="0"/>
              <w:rPr>
                <w:sz w:val="21"/>
                <w:szCs w:val="21"/>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66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Opinion of Goodwin Procter LLP</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  5.2</w:t>
            </w:r>
          </w:p>
        </w:tc>
        <w:tc>
          <w:tcPr>
            <w:tcW w:w="660" w:type="dxa"/>
            <w:vAlign w:val="bottom"/>
          </w:tcPr>
          <w:p>
            <w:pPr>
              <w:spacing w:after="0"/>
              <w:rPr>
                <w:sz w:val="19"/>
                <w:szCs w:val="19"/>
                <w:color w:val="auto"/>
              </w:rPr>
            </w:pPr>
          </w:p>
        </w:tc>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8"/>
              </w:rPr>
              <w:t>Opinion of Goodwin Procter LLP relating to the sales agreement prospectus</w:t>
            </w:r>
          </w:p>
        </w:tc>
        <w:tc>
          <w:tcPr>
            <w:tcW w:w="31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660" w:type="dxa"/>
            <w:vAlign w:val="bottom"/>
          </w:tcPr>
          <w:p>
            <w:pPr>
              <w:spacing w:after="0"/>
              <w:rPr>
                <w:sz w:val="19"/>
                <w:szCs w:val="19"/>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660" w:type="dxa"/>
            <w:vAlign w:val="bottom"/>
          </w:tcPr>
          <w:p>
            <w:pPr>
              <w:spacing w:after="0"/>
              <w:rPr>
                <w:sz w:val="19"/>
                <w:szCs w:val="19"/>
                <w:color w:val="auto"/>
              </w:rPr>
            </w:pPr>
          </w:p>
        </w:tc>
        <w:tc>
          <w:tcPr>
            <w:tcW w:w="49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5.1)</w:t>
            </w:r>
          </w:p>
        </w:tc>
        <w:tc>
          <w:tcPr>
            <w:tcW w:w="24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41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660" w:type="dxa"/>
            <w:vAlign w:val="bottom"/>
          </w:tcPr>
          <w:p>
            <w:pPr>
              <w:spacing w:after="0"/>
              <w:rPr>
                <w:sz w:val="19"/>
                <w:szCs w:val="19"/>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540" w:hanging="1138"/>
        <w:spacing w:after="0"/>
        <w:tabs>
          <w:tab w:leader="none" w:pos="2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Power of Attorney (included in the signature pages to the Registration Statement)</w:t>
      </w:r>
    </w:p>
    <w:p>
      <w:pPr>
        <w:spacing w:after="0" w:line="89"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w w:val="93"/>
              </w:rPr>
              <w:t>25.1**</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6"/>
              </w:rPr>
              <w:t>Form T-1</w:t>
            </w: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of Eligibility of Trustee for Senior Indenture under the Trust Indenture Act of 1939, as amended</w:t>
            </w:r>
          </w:p>
        </w:tc>
      </w:tr>
      <w:tr>
        <w:trPr>
          <w:trHeight w:val="250"/>
        </w:trPr>
        <w:tc>
          <w:tcPr>
            <w:tcW w:w="7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w w:val="93"/>
              </w:rPr>
              <w:t>25.2**</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6"/>
              </w:rPr>
              <w:t>Form T-1</w:t>
            </w: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Statement of Eligibility of Trustee for Subordinated Indenture under the Trust Indenture Act of 1939, as amended</w:t>
            </w:r>
          </w:p>
        </w:tc>
      </w:tr>
    </w:tbl>
    <w:p>
      <w:pPr>
        <w:spacing w:after="0" w:line="68" w:lineRule="exact"/>
        <w:rPr>
          <w:sz w:val="20"/>
          <w:szCs w:val="20"/>
          <w:color w:val="auto"/>
        </w:rPr>
      </w:pPr>
    </w:p>
    <w:p>
      <w:pPr>
        <w:ind w:left="2540" w:hanging="1138"/>
        <w:spacing w:after="0"/>
        <w:tabs>
          <w:tab w:leader="none" w:pos="2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78740</wp:posOffset>
            </wp:positionV>
            <wp:extent cx="5873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1" w:lineRule="exact"/>
        <w:rPr>
          <w:sz w:val="20"/>
          <w:szCs w:val="20"/>
          <w:color w:val="auto"/>
        </w:rPr>
      </w:pPr>
    </w:p>
    <w:p>
      <w:pPr>
        <w:ind w:left="1740" w:hanging="3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Current Report on Form 8-K.</w:t>
      </w:r>
    </w:p>
    <w:p>
      <w:pPr>
        <w:spacing w:after="0" w:line="21" w:lineRule="exact"/>
        <w:rPr>
          <w:sz w:val="20"/>
          <w:szCs w:val="20"/>
          <w:color w:val="auto"/>
        </w:rPr>
      </w:pPr>
    </w:p>
    <w:p>
      <w:pPr>
        <w:ind w:left="5540" w:right="4179" w:hanging="4138"/>
        <w:spacing w:after="0" w:line="358" w:lineRule="auto"/>
        <w:tabs>
          <w:tab w:leader="none" w:pos="1734"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pursuant to Section 305(b)(2) of the Trust Indenture Act of 1939. II-3</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w:t>
      </w:r>
    </w:p>
    <w:p>
      <w:pPr>
        <w:spacing w:after="0" w:line="172" w:lineRule="exact"/>
        <w:rPr>
          <w:sz w:val="20"/>
          <w:szCs w:val="20"/>
          <w:color w:val="auto"/>
        </w:rPr>
      </w:pPr>
    </w:p>
    <w:p>
      <w:pPr>
        <w:ind w:left="1600" w:hanging="198"/>
        <w:spacing w:after="0"/>
        <w:tabs>
          <w:tab w:leader="none" w:pos="1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 as amended (the “Securities Act”);</w:t>
      </w:r>
    </w:p>
    <w:p>
      <w:pPr>
        <w:spacing w:after="0" w:line="172" w:lineRule="exact"/>
        <w:rPr>
          <w:sz w:val="20"/>
          <w:szCs w:val="20"/>
          <w:color w:val="auto"/>
        </w:rPr>
      </w:pPr>
    </w:p>
    <w:p>
      <w:pPr>
        <w:ind w:left="1400" w:right="339" w:firstLine="2"/>
        <w:spacing w:after="0" w:line="254" w:lineRule="auto"/>
        <w:tabs>
          <w:tab w:leader="none" w:pos="160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42" w:lineRule="exact"/>
        <w:rPr>
          <w:rFonts w:ascii="Times New Roman" w:cs="Times New Roman" w:eastAsia="Times New Roman" w:hAnsi="Times New Roman"/>
          <w:sz w:val="14"/>
          <w:szCs w:val="14"/>
          <w:color w:val="auto"/>
        </w:rPr>
      </w:pPr>
    </w:p>
    <w:p>
      <w:pPr>
        <w:ind w:left="1400" w:right="539" w:firstLine="2"/>
        <w:spacing w:after="0" w:line="278" w:lineRule="auto"/>
        <w:tabs>
          <w:tab w:leader="none" w:pos="164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24" w:lineRule="exact"/>
        <w:rPr>
          <w:sz w:val="20"/>
          <w:szCs w:val="20"/>
          <w:color w:val="auto"/>
        </w:rPr>
      </w:pPr>
    </w:p>
    <w:p>
      <w:pPr>
        <w:ind w:left="1400" w:right="859"/>
        <w:spacing w:after="0" w:line="259"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39" w:lineRule="exact"/>
        <w:rPr>
          <w:sz w:val="20"/>
          <w:szCs w:val="20"/>
          <w:color w:val="auto"/>
        </w:rPr>
      </w:pPr>
    </w:p>
    <w:p>
      <w:pPr>
        <w:ind w:left="1400" w:right="379" w:firstLine="2"/>
        <w:spacing w:after="0" w:line="263" w:lineRule="auto"/>
        <w:tabs>
          <w:tab w:leader="none" w:pos="15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left="1400" w:right="279" w:firstLine="2"/>
        <w:spacing w:after="0" w:line="278" w:lineRule="auto"/>
        <w:tabs>
          <w:tab w:leader="none" w:pos="15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6" w:lineRule="exact"/>
        <w:rPr>
          <w:rFonts w:ascii="Times New Roman" w:cs="Times New Roman" w:eastAsia="Times New Roman" w:hAnsi="Times New Roman"/>
          <w:sz w:val="14"/>
          <w:szCs w:val="14"/>
          <w:color w:val="auto"/>
        </w:rPr>
      </w:pPr>
    </w:p>
    <w:p>
      <w:pPr>
        <w:ind w:left="1600" w:hanging="198"/>
        <w:spacing w:after="0"/>
        <w:tabs>
          <w:tab w:leader="none" w:pos="1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2" w:lineRule="exact"/>
        <w:rPr>
          <w:sz w:val="20"/>
          <w:szCs w:val="20"/>
          <w:color w:val="auto"/>
        </w:rPr>
      </w:pPr>
    </w:p>
    <w:p>
      <w:pPr>
        <w:ind w:left="1400" w:right="599" w:firstLine="2"/>
        <w:spacing w:after="0" w:line="278" w:lineRule="auto"/>
        <w:tabs>
          <w:tab w:leader="none" w:pos="156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6" w:lineRule="exact"/>
        <w:rPr>
          <w:rFonts w:ascii="Times New Roman" w:cs="Times New Roman" w:eastAsia="Times New Roman" w:hAnsi="Times New Roman"/>
          <w:sz w:val="14"/>
          <w:szCs w:val="14"/>
          <w:color w:val="auto"/>
        </w:rPr>
      </w:pPr>
    </w:p>
    <w:p>
      <w:pPr>
        <w:ind w:left="1400" w:right="379" w:firstLine="2"/>
        <w:spacing w:after="0" w:line="278" w:lineRule="auto"/>
        <w:tabs>
          <w:tab w:leader="none" w:pos="160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w:t>
      </w:r>
    </w:p>
    <w:p>
      <w:pPr>
        <w:spacing w:after="0" w:line="126" w:lineRule="exact"/>
        <w:rPr>
          <w:sz w:val="20"/>
          <w:szCs w:val="20"/>
          <w:color w:val="auto"/>
        </w:rPr>
      </w:pPr>
    </w:p>
    <w:p>
      <w:pPr>
        <w:ind w:left="1400" w:right="459"/>
        <w:spacing w:after="0" w:line="255" w:lineRule="auto"/>
        <w:rPr>
          <w:sz w:val="20"/>
          <w:szCs w:val="20"/>
          <w:color w:val="auto"/>
        </w:rPr>
      </w:pPr>
      <w:r>
        <w:rPr>
          <w:rFonts w:ascii="Times New Roman" w:cs="Times New Roman" w:eastAsia="Times New Roman" w:hAnsi="Times New Roman"/>
          <w:sz w:val="14"/>
          <w:szCs w:val="14"/>
          <w:color w:val="auto"/>
        </w:rPr>
        <w:t>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 xml:space="preserve">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2" w:lineRule="exact"/>
        <w:rPr>
          <w:sz w:val="20"/>
          <w:szCs w:val="20"/>
          <w:color w:val="auto"/>
        </w:rPr>
      </w:pPr>
    </w:p>
    <w:p>
      <w:pPr>
        <w:ind w:left="1400" w:right="379" w:firstLine="2"/>
        <w:spacing w:after="0" w:line="255" w:lineRule="auto"/>
        <w:tabs>
          <w:tab w:leader="none" w:pos="159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43" w:lineRule="exact"/>
        <w:rPr>
          <w:sz w:val="20"/>
          <w:szCs w:val="20"/>
          <w:color w:val="auto"/>
        </w:rPr>
      </w:pPr>
    </w:p>
    <w:p>
      <w:pPr>
        <w:ind w:left="1560" w:hanging="158"/>
        <w:spacing w:after="0"/>
        <w:tabs>
          <w:tab w:leader="none" w:pos="1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such undersigned Registrant relating to the offering required to be filed pursuant to Rule 424;</w:t>
      </w:r>
    </w:p>
    <w:p>
      <w:pPr>
        <w:spacing w:after="0" w:line="171" w:lineRule="exact"/>
        <w:rPr>
          <w:rFonts w:ascii="Times New Roman" w:cs="Times New Roman" w:eastAsia="Times New Roman" w:hAnsi="Times New Roman"/>
          <w:sz w:val="14"/>
          <w:szCs w:val="14"/>
          <w:color w:val="auto"/>
        </w:rPr>
      </w:pPr>
    </w:p>
    <w:p>
      <w:pPr>
        <w:ind w:left="1400" w:right="939" w:firstLine="2"/>
        <w:spacing w:after="0" w:line="278" w:lineRule="auto"/>
        <w:tabs>
          <w:tab w:leader="none" w:pos="16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such undersigned Registrant or used or referred to by such undersigned Registrant;</w:t>
      </w:r>
    </w:p>
    <w:p>
      <w:pPr>
        <w:spacing w:after="0" w:line="126" w:lineRule="exact"/>
        <w:rPr>
          <w:rFonts w:ascii="Times New Roman" w:cs="Times New Roman" w:eastAsia="Times New Roman" w:hAnsi="Times New Roman"/>
          <w:sz w:val="14"/>
          <w:szCs w:val="14"/>
          <w:color w:val="auto"/>
        </w:rPr>
      </w:pPr>
    </w:p>
    <w:p>
      <w:pPr>
        <w:ind w:left="1400" w:right="559" w:firstLine="2"/>
        <w:spacing w:after="0" w:line="278" w:lineRule="auto"/>
        <w:tabs>
          <w:tab w:leader="none" w:pos="164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26" w:lineRule="exact"/>
        <w:rPr>
          <w:rFonts w:ascii="Times New Roman" w:cs="Times New Roman" w:eastAsia="Times New Roman" w:hAnsi="Times New Roman"/>
          <w:sz w:val="14"/>
          <w:szCs w:val="14"/>
          <w:color w:val="auto"/>
        </w:rPr>
      </w:pPr>
    </w:p>
    <w:p>
      <w:pPr>
        <w:ind w:left="1640" w:hanging="238"/>
        <w:spacing w:after="0"/>
        <w:tabs>
          <w:tab w:leader="none" w:pos="1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undersigned Registrant to the purchaser.</w:t>
      </w:r>
    </w:p>
    <w:p>
      <w:pPr>
        <w:spacing w:after="0" w:line="172" w:lineRule="exact"/>
        <w:rPr>
          <w:sz w:val="20"/>
          <w:szCs w:val="20"/>
          <w:color w:val="auto"/>
        </w:rPr>
      </w:pPr>
    </w:p>
    <w:p>
      <w:pPr>
        <w:jc w:val="both"/>
        <w:ind w:left="1400" w:right="459" w:firstLine="2"/>
        <w:spacing w:after="0" w:line="258" w:lineRule="auto"/>
        <w:tabs>
          <w:tab w:leader="none" w:pos="159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9" w:lineRule="exact"/>
        <w:rPr>
          <w:rFonts w:ascii="Times New Roman" w:cs="Times New Roman" w:eastAsia="Times New Roman" w:hAnsi="Times New Roman"/>
          <w:sz w:val="14"/>
          <w:szCs w:val="14"/>
          <w:color w:val="auto"/>
        </w:rPr>
      </w:pPr>
    </w:p>
    <w:p>
      <w:pPr>
        <w:ind w:left="1400" w:right="459" w:firstLine="2"/>
        <w:spacing w:after="0" w:line="252" w:lineRule="auto"/>
        <w:tabs>
          <w:tab w:leader="none" w:pos="159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45" w:lineRule="exact"/>
        <w:rPr>
          <w:rFonts w:ascii="Times New Roman" w:cs="Times New Roman" w:eastAsia="Times New Roman" w:hAnsi="Times New Roman"/>
          <w:sz w:val="14"/>
          <w:szCs w:val="14"/>
          <w:color w:val="auto"/>
        </w:rPr>
      </w:pPr>
    </w:p>
    <w:p>
      <w:pPr>
        <w:ind w:left="1400" w:right="299" w:firstLine="2"/>
        <w:spacing w:after="0" w:line="278" w:lineRule="auto"/>
        <w:tabs>
          <w:tab w:leader="none" w:pos="159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jc w:val="both"/>
        <w:ind w:left="1400" w:right="339"/>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21st day of November, 2025.</w:t>
      </w:r>
    </w:p>
    <w:p>
      <w:pPr>
        <w:spacing w:after="0" w:line="1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12700</wp:posOffset>
            </wp:positionV>
            <wp:extent cx="20008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Barbara Weber, MD</w:t>
      </w:r>
    </w:p>
    <w:p>
      <w:pPr>
        <w:spacing w:after="0" w:line="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KNOW ALL BY THESE PRESENT, that each individual whose signature appears below hereby constitutes and appoints Barbara Weber and Daniella Beckman, and each of them, with full power of substitution and resubstitution and full power to act without the other, as such person’s true and lawful attorney-in-fact and agent with full power of substitution and resubstitution, for such person in such person’s name, place and stead, in any and all capacities, to sign any and all amendments (including, without limitation,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SIGNATURE NAME</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3"/>
        </w:trPr>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Barbara Weber</w:t>
            </w:r>
          </w:p>
        </w:tc>
        <w:tc>
          <w:tcPr>
            <w:tcW w:w="900" w:type="dxa"/>
            <w:vAlign w:val="bottom"/>
            <w:tcBorders>
              <w:bottom w:val="single" w:sz="8" w:color="auto"/>
            </w:tcBorders>
          </w:tcPr>
          <w:p>
            <w:pPr>
              <w:spacing w:after="0"/>
              <w:rPr>
                <w:sz w:val="24"/>
                <w:szCs w:val="24"/>
                <w:color w:val="auto"/>
              </w:rPr>
            </w:pPr>
          </w:p>
        </w:tc>
        <w:tc>
          <w:tcPr>
            <w:tcW w:w="4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President, Chief Executive Officer and Director (Principal Executive</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Barbara Weber, MD</w:t>
            </w:r>
          </w:p>
        </w:tc>
        <w:tc>
          <w:tcPr>
            <w:tcW w:w="18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Daniella Beckman</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Chief Financial Officer (Principal Financial and Accounting Officer)</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Daniella Beckman</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7"/>
              </w:rPr>
              <w:t>/s/ Alexis Borisy</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920" w:type="dxa"/>
            <w:vAlign w:val="bottom"/>
          </w:tcPr>
          <w:p>
            <w:pPr>
              <w:spacing w:after="0"/>
              <w:rPr>
                <w:sz w:val="14"/>
                <w:szCs w:val="14"/>
                <w:color w:val="auto"/>
              </w:rPr>
            </w:pPr>
          </w:p>
        </w:tc>
        <w:tc>
          <w:tcPr>
            <w:tcW w:w="19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8"/>
              </w:rPr>
              <w:t>Alexis Borisy</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Lesley Ann Calhoun</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Lesley Ann Calhoun</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Kanishka Pothula</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920" w:type="dxa"/>
            <w:vAlign w:val="bottom"/>
          </w:tcPr>
          <w:p>
            <w:pPr>
              <w:spacing w:after="0"/>
              <w:rPr>
                <w:sz w:val="14"/>
                <w:szCs w:val="14"/>
                <w:color w:val="auto"/>
              </w:rPr>
            </w:pPr>
          </w:p>
        </w:tc>
        <w:tc>
          <w:tcPr>
            <w:tcW w:w="19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w w:val="98"/>
              </w:rPr>
              <w:t>Kanishka Pothula</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7"/>
              </w:rPr>
              <w:t>/s/ John Ketchum</w:t>
            </w:r>
          </w:p>
        </w:tc>
        <w:tc>
          <w:tcPr>
            <w:tcW w:w="4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920" w:type="dxa"/>
            <w:vAlign w:val="bottom"/>
          </w:tcPr>
          <w:p>
            <w:pPr>
              <w:spacing w:after="0"/>
              <w:rPr>
                <w:sz w:val="14"/>
                <w:szCs w:val="14"/>
                <w:color w:val="auto"/>
              </w:rPr>
            </w:pPr>
          </w:p>
        </w:tc>
        <w:tc>
          <w:tcPr>
            <w:tcW w:w="19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8"/>
              </w:rPr>
              <w:t>John Ketchum</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76"/>
        </w:trPr>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2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II-6</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SIGNATURE NAME</w:t>
            </w:r>
          </w:p>
        </w:tc>
        <w:tc>
          <w:tcPr>
            <w:tcW w:w="3280" w:type="dxa"/>
            <w:vAlign w:val="bottom"/>
            <w:gridSpan w:val="3"/>
          </w:tcPr>
          <w:p>
            <w:pPr>
              <w:jc w:val="center"/>
              <w:ind w:left="674"/>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140" w:type="dxa"/>
            <w:vAlign w:val="bottom"/>
            <w:gridSpan w:val="3"/>
          </w:tcPr>
          <w:p>
            <w:pPr>
              <w:jc w:val="center"/>
              <w:ind w:left="975"/>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3"/>
        </w:trPr>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Malte Peters</w:t>
            </w:r>
          </w:p>
        </w:tc>
        <w:tc>
          <w:tcPr>
            <w:tcW w:w="900" w:type="dxa"/>
            <w:vAlign w:val="bottom"/>
            <w:tcBorders>
              <w:bottom w:val="single" w:sz="8" w:color="auto"/>
            </w:tcBorders>
          </w:tcPr>
          <w:p>
            <w:pPr>
              <w:spacing w:after="0"/>
              <w:rPr>
                <w:sz w:val="24"/>
                <w:szCs w:val="24"/>
                <w:color w:val="auto"/>
              </w:rPr>
            </w:pPr>
          </w:p>
        </w:tc>
        <w:tc>
          <w:tcPr>
            <w:tcW w:w="3280" w:type="dxa"/>
            <w:vAlign w:val="bottom"/>
            <w:gridSpan w:val="3"/>
          </w:tcPr>
          <w:p>
            <w:pPr>
              <w:jc w:val="center"/>
              <w:ind w:left="674"/>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gridSpan w:val="3"/>
          </w:tcPr>
          <w:p>
            <w:pPr>
              <w:jc w:val="center"/>
              <w:ind w:left="975"/>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920" w:type="dxa"/>
            <w:vAlign w:val="bottom"/>
          </w:tcPr>
          <w:p>
            <w:pPr>
              <w:spacing w:after="0"/>
              <w:rPr>
                <w:sz w:val="14"/>
                <w:szCs w:val="14"/>
                <w:color w:val="auto"/>
              </w:rPr>
            </w:pPr>
          </w:p>
        </w:tc>
        <w:tc>
          <w:tcPr>
            <w:tcW w:w="19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rPr>
              <w:t>Malte Peters, MD</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28"/>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Mace Rothenberg</w:t>
            </w:r>
          </w:p>
        </w:tc>
        <w:tc>
          <w:tcPr>
            <w:tcW w:w="3280" w:type="dxa"/>
            <w:vAlign w:val="bottom"/>
            <w:gridSpan w:val="3"/>
          </w:tcPr>
          <w:p>
            <w:pPr>
              <w:jc w:val="center"/>
              <w:ind w:left="674"/>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gridSpan w:val="3"/>
          </w:tcPr>
          <w:p>
            <w:pPr>
              <w:jc w:val="center"/>
              <w:ind w:left="975"/>
              <w:spacing w:after="0"/>
              <w:rPr>
                <w:sz w:val="20"/>
                <w:szCs w:val="20"/>
                <w:color w:val="auto"/>
              </w:rPr>
            </w:pPr>
            <w:r>
              <w:rPr>
                <w:rFonts w:ascii="Times New Roman" w:cs="Times New Roman" w:eastAsia="Times New Roman" w:hAnsi="Times New Roman"/>
                <w:sz w:val="14"/>
                <w:szCs w:val="14"/>
                <w:color w:val="auto"/>
                <w:w w:val="98"/>
              </w:rPr>
              <w:t>November 21, 2025</w:t>
            </w:r>
          </w:p>
        </w:tc>
      </w:tr>
      <w:tr>
        <w:trPr>
          <w:trHeight w:val="172"/>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Mace Rothenberg, MD</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76"/>
        </w:trPr>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II-7</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63" w:name="page64"/>
    <w:bookmarkEnd w:id="63"/>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1.2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Shares of Common Stock</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($0.001 par value per share)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SALES AGREEMENT</w:t>
      </w:r>
    </w:p>
    <w:p>
      <w:pPr>
        <w:spacing w:after="0" w:line="174"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November 21,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LEERINK PARTNERS LLC</w:t>
      </w:r>
    </w:p>
    <w:p>
      <w:pPr>
        <w:ind w:left="260"/>
        <w:spacing w:after="0" w:line="195" w:lineRule="auto"/>
        <w:rPr>
          <w:sz w:val="20"/>
          <w:szCs w:val="20"/>
          <w:color w:val="auto"/>
        </w:rPr>
      </w:pPr>
      <w:r>
        <w:rPr>
          <w:rFonts w:ascii="Times New Roman" w:cs="Times New Roman" w:eastAsia="Times New Roman" w:hAnsi="Times New Roman"/>
          <w:sz w:val="14"/>
          <w:szCs w:val="14"/>
          <w:color w:val="auto"/>
        </w:rPr>
        <w:t>1301 Avenue of the Americas,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7" w:lineRule="exact"/>
        <w:rPr>
          <w:sz w:val="20"/>
          <w:szCs w:val="20"/>
          <w:color w:val="auto"/>
        </w:rPr>
      </w:pPr>
    </w:p>
    <w:p>
      <w:pPr>
        <w:ind w:left="260" w:right="719"/>
        <w:spacing w:after="0" w:line="281" w:lineRule="auto"/>
        <w:rPr>
          <w:sz w:val="20"/>
          <w:szCs w:val="20"/>
          <w:color w:val="auto"/>
        </w:rPr>
      </w:pPr>
      <w:r>
        <w:rPr>
          <w:rFonts w:ascii="Times New Roman" w:cs="Times New Roman" w:eastAsia="Times New Roman" w:hAnsi="Times New Roman"/>
          <w:sz w:val="14"/>
          <w:szCs w:val="14"/>
          <w:color w:val="auto"/>
        </w:rPr>
        <w:t>Tango Therapeutics, Inc., a Delaware corporation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confirms its agreement (this “</w:t>
      </w:r>
      <w:r>
        <w:rPr>
          <w:rFonts w:ascii="Times New Roman" w:cs="Times New Roman" w:eastAsia="Times New Roman" w:hAnsi="Times New Roman"/>
          <w:sz w:val="14"/>
          <w:szCs w:val="14"/>
          <w:b w:val="1"/>
          <w:bCs w:val="1"/>
          <w:u w:val="single" w:color="auto"/>
          <w:color w:val="auto"/>
        </w:rPr>
        <w:t>Agreement</w:t>
      </w:r>
      <w:r>
        <w:rPr>
          <w:rFonts w:ascii="Times New Roman" w:cs="Times New Roman" w:eastAsia="Times New Roman" w:hAnsi="Times New Roman"/>
          <w:sz w:val="14"/>
          <w:szCs w:val="14"/>
          <w:color w:val="auto"/>
        </w:rPr>
        <w:t>”) with Leerink Partners LLC (the “</w:t>
      </w:r>
      <w:r>
        <w:rPr>
          <w:rFonts w:ascii="Times New Roman" w:cs="Times New Roman" w:eastAsia="Times New Roman" w:hAnsi="Times New Roman"/>
          <w:sz w:val="14"/>
          <w:szCs w:val="14"/>
          <w:b w:val="1"/>
          <w:bCs w:val="1"/>
          <w:u w:val="single" w:color="auto"/>
          <w:color w:val="auto"/>
        </w:rPr>
        <w:t>Agent</w:t>
      </w:r>
      <w:r>
        <w:rPr>
          <w:rFonts w:ascii="Times New Roman" w:cs="Times New Roman" w:eastAsia="Times New Roman" w:hAnsi="Times New Roman"/>
          <w:sz w:val="14"/>
          <w:szCs w:val="14"/>
          <w:color w:val="auto"/>
        </w:rPr>
        <w:t>”), as follows:</w:t>
      </w:r>
    </w:p>
    <w:p>
      <w:pPr>
        <w:spacing w:after="0" w:line="124" w:lineRule="exact"/>
        <w:rPr>
          <w:sz w:val="20"/>
          <w:szCs w:val="20"/>
          <w:color w:val="auto"/>
        </w:rPr>
      </w:pPr>
    </w:p>
    <w:p>
      <w:pPr>
        <w:ind w:left="260" w:right="299" w:firstLine="341"/>
        <w:spacing w:after="0" w:line="252" w:lineRule="auto"/>
        <w:tabs>
          <w:tab w:leader="none" w:pos="73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and Sale of Shares</w:t>
      </w:r>
      <w:r>
        <w:rPr>
          <w:rFonts w:ascii="Times New Roman" w:cs="Times New Roman" w:eastAsia="Times New Roman" w:hAnsi="Times New Roman"/>
          <w:sz w:val="14"/>
          <w:szCs w:val="14"/>
          <w:color w:val="auto"/>
        </w:rPr>
        <w:t>. The Company agrees that, from time to time during the term of this Agreement, on the terms and subject to the conditions set forth herein, it may issue and sell through the Agent shares of common stock, $0.001 par value per share, of the Company (the “</w:t>
      </w:r>
      <w:r>
        <w:rPr>
          <w:rFonts w:ascii="Times New Roman" w:cs="Times New Roman" w:eastAsia="Times New Roman" w:hAnsi="Times New Roman"/>
          <w:sz w:val="14"/>
          <w:szCs w:val="14"/>
          <w:b w:val="1"/>
          <w:bCs w:val="1"/>
          <w:u w:val="single" w:color="auto"/>
          <w:color w:val="auto"/>
        </w:rPr>
        <w:t>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Stock</w:t>
      </w:r>
      <w:r>
        <w:rPr>
          <w:rFonts w:ascii="Times New Roman" w:cs="Times New Roman" w:eastAsia="Times New Roman" w:hAnsi="Times New Roman"/>
          <w:sz w:val="14"/>
          <w:szCs w:val="14"/>
          <w:color w:val="auto"/>
        </w:rPr>
        <w:t>”), subject to the limitations set forth in Section 5(c) (the “</w:t>
      </w:r>
      <w:r>
        <w:rPr>
          <w:rFonts w:ascii="Times New Roman" w:cs="Times New Roman" w:eastAsia="Times New Roman" w:hAnsi="Times New Roman"/>
          <w:sz w:val="14"/>
          <w:szCs w:val="14"/>
          <w:b w:val="1"/>
          <w:bCs w:val="1"/>
          <w:u w:val="single" w:color="auto"/>
          <w:color w:val="auto"/>
        </w:rPr>
        <w:t>Placement Shares</w:t>
      </w:r>
      <w:r>
        <w:rPr>
          <w:rFonts w:ascii="Times New Roman" w:cs="Times New Roman" w:eastAsia="Times New Roman" w:hAnsi="Times New Roman"/>
          <w:sz w:val="14"/>
          <w:szCs w:val="14"/>
          <w:color w:val="auto"/>
        </w:rPr>
        <w:t>”). Notwithstanding anything to the contrary contained herein,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cs="Times New Roman" w:eastAsia="Times New Roman" w:hAnsi="Times New Roman"/>
          <w:sz w:val="14"/>
          <w:szCs w:val="14"/>
          <w:b w:val="1"/>
          <w:bCs w:val="1"/>
          <w:u w:val="single" w:color="auto"/>
          <w:color w:val="auto"/>
        </w:rPr>
        <w:t>Commission</w:t>
      </w:r>
      <w:r>
        <w:rPr>
          <w:rFonts w:ascii="Times New Roman" w:cs="Times New Roman" w:eastAsia="Times New Roman" w:hAnsi="Times New Roman"/>
          <w:sz w:val="14"/>
          <w:szCs w:val="14"/>
          <w:color w:val="auto"/>
        </w:rPr>
        <w:t>”), although nothing in this Agreement shall be construed as requiring the Company to issue any Placement Shares.</w:t>
      </w:r>
    </w:p>
    <w:p>
      <w:pPr>
        <w:spacing w:after="0" w:line="145"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4"/>
          <w:szCs w:val="14"/>
          <w:b w:val="1"/>
          <w:bCs w:val="1"/>
          <w:u w:val="single" w:color="auto"/>
          <w:color w:val="auto"/>
        </w:rPr>
        <w:t>Securities Act</w:t>
      </w:r>
      <w:r>
        <w:rPr>
          <w:rFonts w:ascii="Times New Roman" w:cs="Times New Roman" w:eastAsia="Times New Roman" w:hAnsi="Times New Roman"/>
          <w:sz w:val="14"/>
          <w:szCs w:val="14"/>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4"/>
          <w:szCs w:val="14"/>
          <w:b w:val="1"/>
          <w:bCs w:val="1"/>
          <w:u w:val="single" w:color="auto"/>
          <w:color w:val="auto"/>
        </w:rPr>
        <w:t>Exchange Act</w:t>
      </w:r>
      <w:r>
        <w:rPr>
          <w:rFonts w:ascii="Times New Roman" w:cs="Times New Roman" w:eastAsia="Times New Roman" w:hAnsi="Times New Roman"/>
          <w:sz w:val="14"/>
          <w:szCs w:val="14"/>
          <w:color w:val="auto"/>
        </w:rPr>
        <w:t>”) and (b) a prospectus supplement specifically relating to the Placement Shares to be issued from time to time pursuant to this Agreement (the “</w:t>
      </w:r>
      <w:r>
        <w:rPr>
          <w:rFonts w:ascii="Times New Roman" w:cs="Times New Roman" w:eastAsia="Times New Roman" w:hAnsi="Times New Roman"/>
          <w:sz w:val="14"/>
          <w:szCs w:val="14"/>
          <w:b w:val="1"/>
          <w:bCs w:val="1"/>
          <w:u w:val="single" w:color="auto"/>
          <w:color w:val="auto"/>
        </w:rPr>
        <w:t>Prospectus Supplement</w:t>
      </w:r>
      <w:r>
        <w:rPr>
          <w:rFonts w:ascii="Times New Roman" w:cs="Times New Roman" w:eastAsia="Times New Roman" w:hAnsi="Times New Roman"/>
          <w:sz w:val="14"/>
          <w:szCs w:val="14"/>
          <w:color w:val="auto"/>
        </w:rPr>
        <w:t>”) to the base prospectus included as part of such registration statement. The Company will furnish to the Agent, for use by the Agent, copies of the base prospectus included as part of such registration statement at the time it becomes automatically effective, as supplemented by the Prospectus Supplement. The Company may file one or more additional registration statements from time to time that may contain a prospectus relating to the Placement Shares and/or a base prospectus and related prospectus supplement relating to the Placement Shares, which in each case shall be a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w:t>
      </w:r>
    </w:p>
    <w:p>
      <w:pPr>
        <w:sectPr>
          <w:pgSz w:w="11900" w:h="16838" w:orient="portrait"/>
          <w:cols w:equalWidth="0" w:num="1">
            <w:col w:w="9019"/>
          </w:cols>
          <w:pgMar w:left="1440" w:top="123" w:right="1440" w:bottom="1440" w:gutter="0" w:footer="0" w:header="0"/>
        </w:sectPr>
      </w:pPr>
    </w:p>
    <w:bookmarkStart w:id="64" w:name="page65"/>
    <w:bookmarkEnd w:id="64"/>
    <w:p>
      <w:pPr>
        <w:ind w:left="26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deemed to be a part of such registration statement pursuant to Rule 430B or Rule 462(b) under the Securities Act, is herein called the “</w:t>
      </w:r>
      <w:r>
        <w:rPr>
          <w:rFonts w:ascii="Times New Roman" w:cs="Times New Roman" w:eastAsia="Times New Roman" w:hAnsi="Times New Roman"/>
          <w:sz w:val="14"/>
          <w:szCs w:val="14"/>
          <w:b w:val="1"/>
          <w:bCs w:val="1"/>
          <w:u w:val="single" w:color="auto"/>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Statement</w:t>
      </w:r>
      <w:r>
        <w:rPr>
          <w:rFonts w:ascii="Times New Roman" w:cs="Times New Roman" w:eastAsia="Times New Roman" w:hAnsi="Times New Roman"/>
          <w:sz w:val="14"/>
          <w:szCs w:val="14"/>
          <w:color w:val="auto"/>
        </w:rPr>
        <w:t>.” The base prospectus, including all documents incorporated therein by reference, included in the Registration Statement, as it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4"/>
          <w:szCs w:val="14"/>
          <w:b w:val="1"/>
          <w:bCs w:val="1"/>
          <w:u w:val="single" w:color="auto"/>
          <w:color w:val="auto"/>
        </w:rPr>
        <w:t>Rule 433</w:t>
      </w:r>
      <w:r>
        <w:rPr>
          <w:rFonts w:ascii="Times New Roman" w:cs="Times New Roman" w:eastAsia="Times New Roman" w:hAnsi="Times New Roman"/>
          <w:sz w:val="14"/>
          <w:szCs w:val="14"/>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4"/>
          <w:szCs w:val="14"/>
          <w:b w:val="1"/>
          <w:bCs w:val="1"/>
          <w:u w:val="single" w:color="auto"/>
          <w:color w:val="auto"/>
        </w:rPr>
        <w:t>Prospectus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60" w:right="359"/>
        <w:spacing w:after="0" w:line="251" w:lineRule="auto"/>
        <w:rPr>
          <w:sz w:val="20"/>
          <w:szCs w:val="20"/>
          <w:color w:val="auto"/>
        </w:rPr>
      </w:pPr>
      <w:r>
        <w:rPr>
          <w:rFonts w:ascii="Times New Roman" w:cs="Times New Roman" w:eastAsia="Times New Roman" w:hAnsi="Times New Roman"/>
          <w:sz w:val="14"/>
          <w:szCs w:val="14"/>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4"/>
          <w:szCs w:val="14"/>
          <w:b w:val="1"/>
          <w:bCs w:val="1"/>
          <w:u w:val="single" w:color="auto"/>
          <w:color w:val="auto"/>
        </w:rPr>
        <w:t>Incorporated Documents</w:t>
      </w:r>
      <w:r>
        <w:rPr>
          <w:rFonts w:ascii="Times New Roman" w:cs="Times New Roman" w:eastAsia="Times New Roman" w:hAnsi="Times New Roman"/>
          <w:sz w:val="14"/>
          <w:szCs w:val="14"/>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4"/>
          <w:szCs w:val="14"/>
          <w:b w:val="1"/>
          <w:bCs w:val="1"/>
          <w:u w:val="single" w:color="auto"/>
          <w:color w:val="auto"/>
        </w:rPr>
        <w:t>EDGAR</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260" w:right="279" w:firstLine="341"/>
        <w:spacing w:after="0" w:line="249" w:lineRule="auto"/>
        <w:tabs>
          <w:tab w:leader="none" w:pos="73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Placements</w:t>
      </w:r>
      <w:r>
        <w:rPr>
          <w:rFonts w:ascii="Times New Roman" w:cs="Times New Roman" w:eastAsia="Times New Roman" w:hAnsi="Times New Roman"/>
          <w:sz w:val="14"/>
          <w:szCs w:val="14"/>
          <w:color w:val="auto"/>
        </w:rPr>
        <w:t>. Each time that the Company wishes to issue and sell any Placement Shares through the Agent hereunder (each, a “</w:t>
      </w:r>
      <w:r>
        <w:rPr>
          <w:rFonts w:ascii="Times New Roman" w:cs="Times New Roman" w:eastAsia="Times New Roman" w:hAnsi="Times New Roman"/>
          <w:sz w:val="14"/>
          <w:szCs w:val="14"/>
          <w:b w:val="1"/>
          <w:bCs w:val="1"/>
          <w:u w:val="single" w:color="auto"/>
          <w:color w:val="auto"/>
        </w:rPr>
        <w:t>Placement</w:t>
      </w:r>
      <w:r>
        <w:rPr>
          <w:rFonts w:ascii="Times New Roman" w:cs="Times New Roman" w:eastAsia="Times New Roman" w:hAnsi="Times New Roman"/>
          <w:sz w:val="14"/>
          <w:szCs w:val="14"/>
          <w:color w:val="auto"/>
        </w:rPr>
        <w:t>”), it will notify the Agent by email notice (or other method mutually agreed to in writing by the parties) (each such notice, a “</w:t>
      </w:r>
      <w:r>
        <w:rPr>
          <w:rFonts w:ascii="Times New Roman" w:cs="Times New Roman" w:eastAsia="Times New Roman" w:hAnsi="Times New Roman"/>
          <w:sz w:val="14"/>
          <w:szCs w:val="14"/>
          <w:b w:val="1"/>
          <w:bCs w:val="1"/>
          <w:u w:val="single" w:color="auto"/>
          <w:color w:val="auto"/>
        </w:rPr>
        <w:t>Placement Notice</w:t>
      </w:r>
      <w:r>
        <w:rPr>
          <w:rFonts w:ascii="Times New Roman" w:cs="Times New Roman" w:eastAsia="Times New Roman" w:hAnsi="Times New Roman"/>
          <w:sz w:val="14"/>
          <w:szCs w:val="14"/>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4"/>
          <w:szCs w:val="14"/>
          <w:b w:val="1"/>
          <w:bCs w:val="1"/>
          <w:u w:val="single" w:color="auto"/>
          <w:color w:val="auto"/>
        </w:rPr>
        <w:t>Schedule 1</w:t>
      </w:r>
      <w:r>
        <w:rPr>
          <w:rFonts w:ascii="Times New Roman" w:cs="Times New Roman" w:eastAsia="Times New Roman" w:hAnsi="Times New Roman"/>
          <w:sz w:val="14"/>
          <w:szCs w:val="14"/>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(with a copy to each of the other individuals from the Company listed on such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and shall be addressed to each of the recipients from the Agent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as such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may be updated by either party from time to time by sending a written notice containing a revised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65" w:name="page66"/>
    <w:bookmarkEnd w:id="65"/>
    <w:p>
      <w:pPr>
        <w:ind w:left="260" w:right="5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discount, commission or other compensation to be paid by the Company to the Agent in connection with the sale of the Placement Shares effected through the Agent shall be calculated in accordance with the terms set forth in </w:t>
      </w:r>
      <w:r>
        <w:rPr>
          <w:rFonts w:ascii="Times New Roman" w:cs="Times New Roman" w:eastAsia="Times New Roman" w:hAnsi="Times New Roman"/>
          <w:sz w:val="14"/>
          <w:szCs w:val="14"/>
          <w:b w:val="1"/>
          <w:bCs w:val="1"/>
          <w:u w:val="single" w:color="auto"/>
          <w:color w:val="auto"/>
        </w:rPr>
        <w:t>Schedule 3</w:t>
      </w:r>
      <w:r>
        <w:rPr>
          <w:rFonts w:ascii="Times New Roman" w:cs="Times New Roman" w:eastAsia="Times New Roman" w:hAnsi="Times New Roman"/>
          <w:sz w:val="14"/>
          <w:szCs w:val="14"/>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42" w:lineRule="exact"/>
        <w:rPr>
          <w:sz w:val="20"/>
          <w:szCs w:val="20"/>
          <w:color w:val="auto"/>
        </w:rPr>
      </w:pPr>
    </w:p>
    <w:p>
      <w:pPr>
        <w:ind w:left="260" w:right="279" w:firstLine="341"/>
        <w:spacing w:after="0" w:line="249" w:lineRule="auto"/>
        <w:tabs>
          <w:tab w:leader="none" w:pos="73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Sale of Placement Shares by the Agent</w:t>
      </w:r>
      <w:r>
        <w:rPr>
          <w:rFonts w:ascii="Times New Roman" w:cs="Times New Roman" w:eastAsia="Times New Roman" w:hAnsi="Times New Roman"/>
          <w:sz w:val="14"/>
          <w:szCs w:val="14"/>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4"/>
          <w:szCs w:val="14"/>
          <w:b w:val="1"/>
          <w:bCs w:val="1"/>
          <w:u w:val="single" w:color="auto"/>
          <w:color w:val="auto"/>
        </w:rPr>
        <w:t>Nasdaq</w:t>
      </w:r>
      <w:r>
        <w:rPr>
          <w:rFonts w:ascii="Times New Roman" w:cs="Times New Roman" w:eastAsia="Times New Roman" w:hAnsi="Times New Roman"/>
          <w:sz w:val="14"/>
          <w:szCs w:val="14"/>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415(a)(4) of the Securities Act, including sales made directly on or through Nasdaq, on or through any other existing trading market for the Common Stock. If expressly authorized by the Company (including in a Placement Notice), the Agent may also sell Placement Shares in negotiated transactions. Notwithstanding the provisions of Section 6(vv),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4"/>
          <w:szCs w:val="14"/>
          <w:b w:val="1"/>
          <w:bCs w:val="1"/>
          <w:u w:val="single" w:color="auto"/>
          <w:color w:val="auto"/>
        </w:rPr>
        <w:t>Trading Day</w:t>
      </w:r>
      <w:r>
        <w:rPr>
          <w:rFonts w:ascii="Times New Roman" w:cs="Times New Roman" w:eastAsia="Times New Roman" w:hAnsi="Times New Roman"/>
          <w:sz w:val="14"/>
          <w:szCs w:val="14"/>
          <w:color w:val="auto"/>
        </w:rPr>
        <w:t>” means any day on which the Common Stock is purchased and sold on Nasdaq.</w:t>
      </w:r>
    </w:p>
    <w:p>
      <w:pPr>
        <w:spacing w:after="0" w:line="151" w:lineRule="exact"/>
        <w:rPr>
          <w:rFonts w:ascii="Times New Roman" w:cs="Times New Roman" w:eastAsia="Times New Roman" w:hAnsi="Times New Roman"/>
          <w:sz w:val="14"/>
          <w:szCs w:val="14"/>
          <w:color w:val="auto"/>
        </w:rPr>
      </w:pPr>
    </w:p>
    <w:p>
      <w:pPr>
        <w:ind w:left="740" w:hanging="139"/>
        <w:spacing w:after="0"/>
        <w:tabs>
          <w:tab w:leader="none" w:pos="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Suspension of Sales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60" w:right="359" w:firstLine="341"/>
        <w:spacing w:after="0" w:line="252" w:lineRule="auto"/>
        <w:tabs>
          <w:tab w:leader="none" w:pos="78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suspend any sale of Placement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suspension shall not affect or impair either party’s obligations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if receipt of such correspondence is actually acknowledged by any of the individuals to whom the notice is sent, other than via auto-reply).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66" w:name="page67"/>
    <w:bookmarkEnd w:id="66"/>
    <w:p>
      <w:pPr>
        <w:ind w:left="260" w:right="399" w:firstLine="341"/>
        <w:spacing w:after="0" w:line="258" w:lineRule="auto"/>
        <w:tabs>
          <w:tab w:leader="none" w:pos="79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40" w:lineRule="exact"/>
        <w:rPr>
          <w:sz w:val="20"/>
          <w:szCs w:val="20"/>
          <w:color w:val="auto"/>
        </w:rPr>
      </w:pPr>
    </w:p>
    <w:p>
      <w:pPr>
        <w:ind w:left="740" w:hanging="139"/>
        <w:spacing w:after="0"/>
        <w:tabs>
          <w:tab w:leader="none" w:pos="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and Delivery of the Placement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60" w:right="279" w:firstLine="341"/>
        <w:spacing w:after="0" w:line="274" w:lineRule="auto"/>
        <w:tabs>
          <w:tab w:leader="none" w:pos="78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 of Placement Shares</w:t>
      </w:r>
      <w:r>
        <w:rPr>
          <w:rFonts w:ascii="Times New Roman" w:cs="Times New Roman" w:eastAsia="Times New Roman" w:hAnsi="Times New Roman"/>
          <w:sz w:val="13"/>
          <w:szCs w:val="13"/>
          <w:color w:val="auto"/>
        </w:rPr>
        <w:t>. 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 w:cs="Times New Roman" w:eastAsia="Times New Roman" w:hAnsi="Times New Roman"/>
          <w:sz w:val="13"/>
          <w:szCs w:val="13"/>
          <w:b w:val="1"/>
          <w:bCs w:val="1"/>
          <w:u w:val="single" w:color="auto"/>
          <w:color w:val="auto"/>
        </w:rPr>
        <w:t>Settlement Date</w:t>
      </w:r>
      <w:r>
        <w:rPr>
          <w:rFonts w:ascii="Times New Roman" w:cs="Times New Roman" w:eastAsia="Times New Roman" w:hAnsi="Times New Roman"/>
          <w:sz w:val="13"/>
          <w:szCs w:val="13"/>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3"/>
          <w:szCs w:val="13"/>
          <w:b w:val="1"/>
          <w:bCs w:val="1"/>
          <w:u w:val="single" w:color="auto"/>
          <w:color w:val="auto"/>
        </w:rPr>
        <w:t>Net Proceeds</w:t>
      </w:r>
      <w:r>
        <w:rPr>
          <w:rFonts w:ascii="Times New Roman" w:cs="Times New Roman" w:eastAsia="Times New Roman" w:hAnsi="Times New Roman"/>
          <w:sz w:val="13"/>
          <w:szCs w:val="13"/>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31" w:lineRule="exact"/>
        <w:rPr>
          <w:rFonts w:ascii="Times New Roman" w:cs="Times New Roman" w:eastAsia="Times New Roman" w:hAnsi="Times New Roman"/>
          <w:sz w:val="13"/>
          <w:szCs w:val="13"/>
          <w:color w:val="auto"/>
        </w:rPr>
      </w:pPr>
    </w:p>
    <w:p>
      <w:pPr>
        <w:ind w:left="260" w:right="279" w:firstLine="341"/>
        <w:spacing w:after="0" w:line="269" w:lineRule="auto"/>
        <w:tabs>
          <w:tab w:leader="none" w:pos="79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Placement Shares</w:t>
      </w:r>
      <w:r>
        <w:rPr>
          <w:rFonts w:ascii="Times New Roman" w:cs="Times New Roman" w:eastAsia="Times New Roman" w:hAnsi="Times New Roman"/>
          <w:sz w:val="13"/>
          <w:szCs w:val="13"/>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3"/>
          <w:szCs w:val="13"/>
          <w:b w:val="1"/>
          <w:bCs w:val="1"/>
          <w:u w:val="single" w:color="auto"/>
          <w:color w:val="auto"/>
        </w:rPr>
        <w:t>DWAC</w:t>
      </w:r>
      <w:r>
        <w:rPr>
          <w:rFonts w:ascii="Times New Roman" w:cs="Times New Roman" w:eastAsia="Times New Roman" w:hAnsi="Times New Roman"/>
          <w:sz w:val="13"/>
          <w:szCs w:val="13"/>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reasonably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67" w:name="page68"/>
    <w:bookmarkEnd w:id="67"/>
    <w:p>
      <w:pPr>
        <w:ind w:left="260" w:right="279" w:firstLine="341"/>
        <w:spacing w:after="0" w:line="250" w:lineRule="auto"/>
        <w:tabs>
          <w:tab w:leader="none" w:pos="78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Limitations on Offering Size</w:t>
      </w:r>
      <w:r>
        <w:rPr>
          <w:rFonts w:ascii="Times New Roman" w:cs="Times New Roman" w:eastAsia="Times New Roman" w:hAnsi="Times New Roman"/>
          <w:sz w:val="14"/>
          <w:szCs w:val="14"/>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has authorized the Company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46" w:lineRule="exact"/>
        <w:rPr>
          <w:sz w:val="20"/>
          <w:szCs w:val="20"/>
          <w:color w:val="auto"/>
        </w:rPr>
      </w:pPr>
    </w:p>
    <w:p>
      <w:pPr>
        <w:ind w:left="260" w:right="319" w:firstLine="341"/>
        <w:spacing w:after="0" w:line="255" w:lineRule="auto"/>
        <w:tabs>
          <w:tab w:leader="none" w:pos="73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1" w:lineRule="exact"/>
        <w:rPr>
          <w:rFonts w:ascii="Times New Roman" w:cs="Times New Roman" w:eastAsia="Times New Roman" w:hAnsi="Times New Roman"/>
          <w:sz w:val="14"/>
          <w:szCs w:val="14"/>
          <w:color w:val="auto"/>
        </w:rPr>
      </w:pPr>
    </w:p>
    <w:p>
      <w:pPr>
        <w:ind w:left="420" w:hanging="158"/>
        <w:spacing w:after="0"/>
        <w:tabs>
          <w:tab w:leader="none" w:pos="4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(iv), an “</w:t>
      </w:r>
      <w:r>
        <w:rPr>
          <w:rFonts w:ascii="Times New Roman" w:cs="Times New Roman" w:eastAsia="Times New Roman" w:hAnsi="Times New Roman"/>
          <w:sz w:val="14"/>
          <w:szCs w:val="14"/>
          <w:b w:val="1"/>
          <w:bCs w:val="1"/>
          <w:u w:val="single" w:color="auto"/>
          <w:color w:val="auto"/>
        </w:rPr>
        <w:t>Applicable Time</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260" w:right="459" w:firstLine="341"/>
        <w:spacing w:after="0" w:line="273" w:lineRule="auto"/>
        <w:tabs>
          <w:tab w:leader="none" w:pos="78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transactions contemplated by this Agreement meet the requirements for and comply with the conditions for the use of Form S-3 (including General Instructions I.A and I.B.1.) under the Securities Act. The Registration Statement has been filed or will be filed with the Commission and has been or will be declared effective by the Commission under the Securities Act prior to the issuance of any Placement Notices by the Company. At the time the Registration Statement originally became effective and at the time the Company’s most recent Annual Report on Form</w:t>
      </w:r>
    </w:p>
    <w:p>
      <w:pPr>
        <w:ind w:left="260" w:right="31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10-K,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68" w:name="page69"/>
    <w:bookmarkEnd w:id="68"/>
    <w:p>
      <w:pPr>
        <w:ind w:left="260" w:right="279" w:firstLine="341"/>
        <w:spacing w:after="0" w:line="249" w:lineRule="auto"/>
        <w:tabs>
          <w:tab w:leader="none" w:pos="79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52" w:lineRule="exact"/>
        <w:rPr>
          <w:rFonts w:ascii="Times New Roman" w:cs="Times New Roman" w:eastAsia="Times New Roman" w:hAnsi="Times New Roman"/>
          <w:sz w:val="14"/>
          <w:szCs w:val="14"/>
          <w:color w:val="auto"/>
        </w:rPr>
      </w:pPr>
    </w:p>
    <w:p>
      <w:pPr>
        <w:ind w:left="260" w:right="559" w:firstLine="341"/>
        <w:spacing w:after="0" w:line="292" w:lineRule="auto"/>
        <w:tabs>
          <w:tab w:leader="none" w:pos="78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19" w:lineRule="exact"/>
        <w:rPr>
          <w:rFonts w:ascii="Times New Roman" w:cs="Times New Roman" w:eastAsia="Times New Roman" w:hAnsi="Times New Roman"/>
          <w:sz w:val="13"/>
          <w:szCs w:val="13"/>
          <w:color w:val="auto"/>
        </w:rPr>
      </w:pPr>
    </w:p>
    <w:p>
      <w:pPr>
        <w:ind w:left="260" w:right="359" w:firstLine="341"/>
        <w:spacing w:after="0" w:line="255" w:lineRule="auto"/>
        <w:tabs>
          <w:tab w:leader="none" w:pos="79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69" w:name="page70"/>
    <w:bookmarkEnd w:id="69"/>
    <w:p>
      <w:pPr>
        <w:ind w:left="260" w:right="359" w:firstLine="341"/>
        <w:spacing w:after="0" w:line="263" w:lineRule="auto"/>
        <w:tabs>
          <w:tab w:leader="none" w:pos="78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36" w:lineRule="exact"/>
        <w:rPr>
          <w:rFonts w:ascii="Times New Roman" w:cs="Times New Roman" w:eastAsia="Times New Roman" w:hAnsi="Times New Roman"/>
          <w:sz w:val="14"/>
          <w:szCs w:val="14"/>
          <w:color w:val="auto"/>
        </w:rPr>
      </w:pPr>
    </w:p>
    <w:p>
      <w:pPr>
        <w:ind w:left="260" w:right="379" w:firstLine="341"/>
        <w:spacing w:after="0" w:line="254" w:lineRule="auto"/>
        <w:tabs>
          <w:tab w:leader="none" w:pos="77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42" w:lineRule="exact"/>
        <w:rPr>
          <w:rFonts w:ascii="Times New Roman" w:cs="Times New Roman" w:eastAsia="Times New Roman" w:hAnsi="Times New Roman"/>
          <w:sz w:val="14"/>
          <w:szCs w:val="14"/>
          <w:color w:val="auto"/>
        </w:rPr>
      </w:pPr>
    </w:p>
    <w:p>
      <w:pPr>
        <w:ind w:left="260" w:right="359" w:firstLine="341"/>
        <w:spacing w:after="0" w:line="258" w:lineRule="auto"/>
        <w:tabs>
          <w:tab w:leader="none" w:pos="79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filing the Registration Statement and any post-effective amendment thereto, at the earliest time thereafter that the Company or another offering participant made a bona fide offer (within the meaning of Rule 164(h)(2) of the Securities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39" w:lineRule="exact"/>
        <w:rPr>
          <w:rFonts w:ascii="Times New Roman" w:cs="Times New Roman" w:eastAsia="Times New Roman" w:hAnsi="Times New Roman"/>
          <w:sz w:val="14"/>
          <w:szCs w:val="14"/>
          <w:color w:val="auto"/>
        </w:rPr>
      </w:pPr>
    </w:p>
    <w:p>
      <w:pPr>
        <w:ind w:left="260" w:right="339" w:firstLine="341"/>
        <w:spacing w:after="0" w:line="254" w:lineRule="auto"/>
        <w:tabs>
          <w:tab w:leader="none" w:pos="79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4"/>
          <w:szCs w:val="14"/>
          <w:b w:val="1"/>
          <w:bCs w:val="1"/>
          <w:u w:val="single" w:color="auto"/>
          <w:color w:val="auto"/>
        </w:rPr>
        <w:t>PCAOB</w:t>
      </w:r>
      <w:r>
        <w:rPr>
          <w:rFonts w:ascii="Times New Roman" w:cs="Times New Roman" w:eastAsia="Times New Roman" w:hAnsi="Times New Roman"/>
          <w:sz w:val="14"/>
          <w:szCs w:val="14"/>
          <w:color w:val="auto"/>
        </w:rPr>
        <w:t>”), (ii) in compliance with the applicable requirements relating to the qualification of accountants under Rule 2-01 of Regulation S-X under the Securities Act and (iii) is a registered public accounting firm as defined by the PCAOB whose registration has not been suspended or revoked and who has not requested such registration to be withdrawn.</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50" w:lineRule="auto"/>
        <w:tabs>
          <w:tab w:leader="none" w:pos="76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filed with the Commission as a part of the Registration Statement and the Prospectus present fairly in all material respects the financial position of the Company and its subsidiaries as of the dates indicated and the results of their operations and cash flows for the periods specified. Such financial statements have been prepared in conformity with U.S. generally accepted accounting principles (“</w:t>
      </w:r>
      <w:r>
        <w:rPr>
          <w:rFonts w:ascii="Times New Roman" w:cs="Times New Roman" w:eastAsia="Times New Roman" w:hAnsi="Times New Roman"/>
          <w:sz w:val="14"/>
          <w:szCs w:val="14"/>
          <w:b w:val="1"/>
          <w:bCs w:val="1"/>
          <w:u w:val="single" w:color="auto"/>
          <w:color w:val="auto"/>
        </w:rPr>
        <w:t>GAAP</w:t>
      </w:r>
      <w:r>
        <w:rPr>
          <w:rFonts w:ascii="Times New Roman" w:cs="Times New Roman" w:eastAsia="Times New Roman" w:hAnsi="Times New Roman"/>
          <w:sz w:val="14"/>
          <w:szCs w:val="14"/>
          <w:color w:val="auto"/>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All disclosures contained in the Registration Statement the Prospectus and any free writing prospectus that constitute non-GAAP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70" w:name="page71"/>
    <w:bookmarkEnd w:id="70"/>
    <w:p>
      <w:pPr>
        <w:ind w:left="260" w:right="299" w:firstLine="341"/>
        <w:spacing w:after="0" w:line="271" w:lineRule="auto"/>
        <w:tabs>
          <w:tab w:leader="none" w:pos="765"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w:t>
      </w:r>
    </w:p>
    <w:p>
      <w:pPr>
        <w:spacing w:after="0" w:line="2" w:lineRule="exact"/>
        <w:rPr>
          <w:rFonts w:ascii="Times New Roman" w:cs="Times New Roman" w:eastAsia="Times New Roman" w:hAnsi="Times New Roman"/>
          <w:sz w:val="13"/>
          <w:szCs w:val="13"/>
          <w:color w:val="auto"/>
        </w:rPr>
      </w:pPr>
    </w:p>
    <w:p>
      <w:pPr>
        <w:ind w:left="260" w:right="459" w:firstLine="2"/>
        <w:spacing w:after="0" w:line="252" w:lineRule="auto"/>
        <w:tabs>
          <w:tab w:leader="none" w:pos="4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43" w:lineRule="exact"/>
        <w:rPr>
          <w:rFonts w:ascii="Times New Roman" w:cs="Times New Roman" w:eastAsia="Times New Roman" w:hAnsi="Times New Roman"/>
          <w:sz w:val="14"/>
          <w:szCs w:val="14"/>
          <w:color w:val="auto"/>
        </w:rPr>
      </w:pPr>
    </w:p>
    <w:p>
      <w:pPr>
        <w:ind w:left="260" w:right="339" w:firstLine="341"/>
        <w:spacing w:after="0" w:line="251" w:lineRule="auto"/>
        <w:tabs>
          <w:tab w:leader="none" w:pos="796"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46" w:lineRule="exact"/>
        <w:rPr>
          <w:rFonts w:ascii="Times New Roman" w:cs="Times New Roman" w:eastAsia="Times New Roman" w:hAnsi="Times New Roman"/>
          <w:sz w:val="14"/>
          <w:szCs w:val="14"/>
          <w:color w:val="auto"/>
        </w:rPr>
      </w:pPr>
    </w:p>
    <w:p>
      <w:pPr>
        <w:ind w:left="260" w:right="659" w:firstLine="341"/>
        <w:spacing w:after="0" w:line="278" w:lineRule="auto"/>
        <w:tabs>
          <w:tab w:leader="none" w:pos="765"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and has been, no failure on the part of the Company or any of the Company’s directors or officers, in their capacities as such, to comply with applicable provision of the Sarbanes-Oxley Act of 2002 and the rules and regulations promulgated thereunder.</w:t>
      </w:r>
    </w:p>
    <w:p>
      <w:pPr>
        <w:spacing w:after="0" w:line="126" w:lineRule="exact"/>
        <w:rPr>
          <w:rFonts w:ascii="Times New Roman" w:cs="Times New Roman" w:eastAsia="Times New Roman" w:hAnsi="Times New Roman"/>
          <w:sz w:val="14"/>
          <w:szCs w:val="14"/>
          <w:color w:val="auto"/>
        </w:rPr>
      </w:pPr>
    </w:p>
    <w:p>
      <w:pPr>
        <w:ind w:left="260" w:right="279" w:firstLine="341"/>
        <w:spacing w:after="0" w:line="272" w:lineRule="auto"/>
        <w:tabs>
          <w:tab w:leader="none" w:pos="834"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3"/>
          <w:szCs w:val="13"/>
          <w:b w:val="1"/>
          <w:bCs w:val="1"/>
          <w:u w:val="single" w:color="auto"/>
          <w:color w:val="auto"/>
        </w:rPr>
        <w:t>Material Adverse Change</w:t>
      </w:r>
      <w:r>
        <w:rPr>
          <w:rFonts w:ascii="Times New Roman" w:cs="Times New Roman" w:eastAsia="Times New Roman" w:hAnsi="Times New Roman"/>
          <w:sz w:val="13"/>
          <w:szCs w:val="13"/>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that are not in the ordinary course of business; and (iii) there has not been any material decrease in the outstanding capital stock (other than the issuance of shares of Common Stock upon exercise of stock options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71" w:name="page72"/>
    <w:bookmarkEnd w:id="71"/>
    <w:p>
      <w:pPr>
        <w:ind w:left="26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warrants or vesting of restricted stock units, or settlement of restricted stock units (including any “net” or “cashless” exercises or settlements), if any, the grant of options and other awards under existing equity incentive plans or the issuance of Common Stock pursuant to offerings under an employee stock purchase plan described in the Registration Statement and the Prospectus)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42" w:lineRule="exact"/>
        <w:rPr>
          <w:sz w:val="20"/>
          <w:szCs w:val="20"/>
          <w:color w:val="auto"/>
        </w:rPr>
      </w:pPr>
    </w:p>
    <w:p>
      <w:pPr>
        <w:ind w:left="260" w:right="279" w:firstLine="341"/>
        <w:spacing w:after="0" w:line="254" w:lineRule="auto"/>
        <w:tabs>
          <w:tab w:leader="none" w:pos="7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w:t>
      </w:r>
    </w:p>
    <w:p>
      <w:pPr>
        <w:spacing w:after="0" w:line="140" w:lineRule="exact"/>
        <w:rPr>
          <w:rFonts w:ascii="Times New Roman" w:cs="Times New Roman" w:eastAsia="Times New Roman" w:hAnsi="Times New Roman"/>
          <w:sz w:val="14"/>
          <w:szCs w:val="14"/>
          <w:color w:val="auto"/>
        </w:rPr>
      </w:pPr>
    </w:p>
    <w:p>
      <w:pPr>
        <w:ind w:left="260" w:right="319" w:firstLine="341"/>
        <w:spacing w:after="0" w:line="251" w:lineRule="auto"/>
        <w:tabs>
          <w:tab w:leader="none" w:pos="7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of the Company (each, a “</w:t>
      </w:r>
      <w:r>
        <w:rPr>
          <w:rFonts w:ascii="Times New Roman" w:cs="Times New Roman" w:eastAsia="Times New Roman" w:hAnsi="Times New Roman"/>
          <w:sz w:val="14"/>
          <w:szCs w:val="14"/>
          <w:b w:val="1"/>
          <w:bCs w:val="1"/>
          <w:u w:val="single" w:color="auto"/>
          <w:color w:val="auto"/>
        </w:rPr>
        <w:t>subsidiary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u w:val="single" w:color="auto"/>
          <w:color w:val="auto"/>
        </w:rPr>
        <w:t>subsidiaries</w:t>
      </w:r>
      <w:r>
        <w:rPr>
          <w:rFonts w:ascii="Times New Roman" w:cs="Times New Roman" w:eastAsia="Times New Roman" w:hAnsi="Times New Roman"/>
          <w:sz w:val="14"/>
          <w:szCs w:val="14"/>
          <w:color w:val="auto"/>
        </w:rPr>
        <w: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in each jurisdiction in which such qualification is required, whether by reason of the ownership or leasing of property or the conduct of business, except where the failure to be so qualified or to be in good standing would not reasonably be expected to result in a Material Adverse Change. Except as otherwise disclosed in the Registration Statement and the Prospectus, all of the issued and outstanding capital stock of each subsidiary has been duly authorized and validly issued, is fully paid and non 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entities listed on Exhibit 21 to the Company’s most recent Annual Report on Form 10-K.</w:t>
      </w:r>
    </w:p>
    <w:p>
      <w:pPr>
        <w:spacing w:after="0" w:line="148" w:lineRule="exact"/>
        <w:rPr>
          <w:rFonts w:ascii="Times New Roman" w:cs="Times New Roman" w:eastAsia="Times New Roman" w:hAnsi="Times New Roman"/>
          <w:sz w:val="14"/>
          <w:szCs w:val="14"/>
          <w:color w:val="auto"/>
        </w:rPr>
      </w:pPr>
    </w:p>
    <w:p>
      <w:pPr>
        <w:ind w:left="260" w:right="299" w:firstLine="341"/>
        <w:spacing w:after="0" w:line="251" w:lineRule="auto"/>
        <w:tabs>
          <w:tab w:leader="none" w:pos="7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issued and outstanding capital stock of the Company is as set forth in the Registration Statement and the Prospectus under the caption “Capitalization” (other than for subsequent issuances, if any, pursuant to employee benefit plans or upon the exercise of outstanding options or warrants, in each case described in the Registration Statement and the Prospectus). The Common Stock conforms in all material respects to the description thereof contained in the Prospectus. All of the issued and outstanding Common Stock have been duly authorized and validly issued, are fully paid and nonassessable and have been issued in compliance with all applicable federal and state securities laws. None of the outstanding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72" w:name="page73"/>
    <w:bookmarkEnd w:id="72"/>
    <w:p>
      <w:pPr>
        <w:ind w:left="800" w:hanging="199"/>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This Agreement has been duly authorized, executed and delivered by the Company.</w:t>
      </w:r>
    </w:p>
    <w:p>
      <w:pPr>
        <w:spacing w:after="0" w:line="171" w:lineRule="exact"/>
        <w:rPr>
          <w:rFonts w:ascii="Times New Roman" w:cs="Times New Roman" w:eastAsia="Times New Roman" w:hAnsi="Times New Roman"/>
          <w:sz w:val="14"/>
          <w:szCs w:val="14"/>
          <w:color w:val="auto"/>
        </w:rPr>
      </w:pPr>
    </w:p>
    <w:p>
      <w:pPr>
        <w:ind w:left="260" w:right="359" w:firstLine="341"/>
        <w:spacing w:after="0" w:line="292" w:lineRule="auto"/>
        <w:tabs>
          <w:tab w:leader="none" w:pos="77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is not subject to any preemptive rights, rights of first refusal or other similar rights to subscribe for or purchase the Placement Shares.</w:t>
      </w:r>
    </w:p>
    <w:p>
      <w:pPr>
        <w:spacing w:after="0" w:line="119" w:lineRule="exact"/>
        <w:rPr>
          <w:rFonts w:ascii="Times New Roman" w:cs="Times New Roman" w:eastAsia="Times New Roman" w:hAnsi="Times New Roman"/>
          <w:sz w:val="13"/>
          <w:szCs w:val="13"/>
          <w:color w:val="auto"/>
        </w:rPr>
      </w:pPr>
    </w:p>
    <w:p>
      <w:pPr>
        <w:ind w:left="260" w:right="339" w:firstLine="341"/>
        <w:spacing w:after="0" w:line="263" w:lineRule="auto"/>
        <w:tabs>
          <w:tab w:leader="none" w:pos="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w:t>
      </w:r>
    </w:p>
    <w:p>
      <w:pPr>
        <w:spacing w:after="0" w:line="136" w:lineRule="exact"/>
        <w:rPr>
          <w:rFonts w:ascii="Times New Roman" w:cs="Times New Roman" w:eastAsia="Times New Roman" w:hAnsi="Times New Roman"/>
          <w:sz w:val="14"/>
          <w:szCs w:val="14"/>
          <w:color w:val="auto"/>
        </w:rPr>
      </w:pPr>
    </w:p>
    <w:p>
      <w:pPr>
        <w:ind w:left="260" w:right="279" w:firstLine="341"/>
        <w:spacing w:after="0" w:line="249" w:lineRule="auto"/>
        <w:tabs>
          <w:tab w:leader="none" w:pos="76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in violation of its charter or by laws or similar organizational documents, as applicable, or is in default (or, with the giving of notice or lapse of time, would be in default) (“</w:t>
      </w:r>
      <w:r>
        <w:rPr>
          <w:rFonts w:ascii="Times New Roman" w:cs="Times New Roman" w:eastAsia="Times New Roman" w:hAnsi="Times New Roman"/>
          <w:sz w:val="14"/>
          <w:szCs w:val="14"/>
          <w:b w:val="1"/>
          <w:bCs w:val="1"/>
          <w:u w:val="single" w:color="auto"/>
          <w:color w:val="auto"/>
        </w:rPr>
        <w:t>Default</w:t>
      </w:r>
      <w:r>
        <w:rPr>
          <w:rFonts w:ascii="Times New Roman" w:cs="Times New Roman" w:eastAsia="Times New Roman" w:hAnsi="Times New Roman"/>
          <w:sz w:val="14"/>
          <w:szCs w:val="14"/>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4"/>
          <w:szCs w:val="14"/>
          <w:b w:val="1"/>
          <w:bCs w:val="1"/>
          <w:u w:val="single" w:color="auto"/>
          <w:color w:val="auto"/>
        </w:rPr>
        <w:t>Existing Instrument</w:t>
      </w:r>
      <w:r>
        <w:rPr>
          <w:rFonts w:ascii="Times New Roman" w:cs="Times New Roman" w:eastAsia="Times New Roman" w:hAnsi="Times New Roman"/>
          <w:sz w:val="14"/>
          <w:szCs w:val="14"/>
          <w:color w:val="auto"/>
        </w:rPr>
        <w:t>”), except for such Defaults as would not be reasonably expected, individually or in the aggregate, to result in a Material Adverse Change. The Company’s execution, delivery and performance of this Agreement and the consummation of the transactions contemplated hereby and by the Registration Statement and the Prospectus and the issuance and sale of the Placement Shares (including the use of proceeds from the sale of the Placement Shares as described in the Registration Statement and the Prospectus under the caption “Use of Proceeds”) (i) have been duly authorized by all necessary corporate action and will not result in any violation of the provisions of the charter or by 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Defaults, liens, charges, encumbrances or violations specified to subsections (ii) and (iii) above that would not reasonably be expected, individually or in the aggregate, to have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4"/>
          <w:szCs w:val="14"/>
          <w:b w:val="1"/>
          <w:bCs w:val="1"/>
          <w:u w:val="single" w:color="auto"/>
          <w:color w:val="auto"/>
        </w:rPr>
        <w:t>FINRA</w:t>
      </w:r>
      <w:r>
        <w:rPr>
          <w:rFonts w:ascii="Times New Roman" w:cs="Times New Roman" w:eastAsia="Times New Roman" w:hAnsi="Times New Roman"/>
          <w:sz w:val="14"/>
          <w:szCs w:val="14"/>
          <w:color w:val="auto"/>
        </w:rPr>
        <w:t>”). As used herein, a “</w:t>
      </w:r>
      <w:r>
        <w:rPr>
          <w:rFonts w:ascii="Times New Roman" w:cs="Times New Roman" w:eastAsia="Times New Roman" w:hAnsi="Times New Roman"/>
          <w:sz w:val="14"/>
          <w:szCs w:val="14"/>
          <w:b w:val="1"/>
          <w:bCs w:val="1"/>
          <w:u w:val="single" w:color="auto"/>
          <w:color w:val="auto"/>
        </w:rPr>
        <w:t>Debt Repayment Triggering Event</w:t>
      </w:r>
      <w:r>
        <w:rPr>
          <w:rFonts w:ascii="Times New Roman" w:cs="Times New Roman" w:eastAsia="Times New Roman" w:hAnsi="Times New Roman"/>
          <w:sz w:val="14"/>
          <w:szCs w:val="14"/>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51" w:lineRule="exact"/>
        <w:rPr>
          <w:rFonts w:ascii="Times New Roman" w:cs="Times New Roman" w:eastAsia="Times New Roman" w:hAnsi="Times New Roman"/>
          <w:sz w:val="14"/>
          <w:szCs w:val="14"/>
          <w:color w:val="auto"/>
        </w:rPr>
      </w:pPr>
    </w:p>
    <w:p>
      <w:pPr>
        <w:ind w:left="260" w:right="379" w:firstLine="341"/>
        <w:spacing w:after="0" w:line="258" w:lineRule="auto"/>
        <w:tabs>
          <w:tab w:leader="none" w:pos="79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Shares are registered pursuant to Section 12(b) or 12(g) of the Exchange Act and are listed on Nasdaq, and the Company has taken no action designed to, or likely to have the effect of, terminating the registration of the Placement Shares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73" w:name="page74"/>
    <w:bookmarkEnd w:id="73"/>
    <w:p>
      <w:pPr>
        <w:ind w:left="260" w:right="339" w:firstLine="341"/>
        <w:spacing w:after="0" w:line="255" w:lineRule="auto"/>
        <w:tabs>
          <w:tab w:leader="none" w:pos="79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There is no action, suit, proceeding,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42" w:lineRule="exact"/>
        <w:rPr>
          <w:rFonts w:ascii="Times New Roman" w:cs="Times New Roman" w:eastAsia="Times New Roman" w:hAnsi="Times New Roman"/>
          <w:sz w:val="14"/>
          <w:szCs w:val="14"/>
          <w:color w:val="auto"/>
        </w:rPr>
      </w:pPr>
    </w:p>
    <w:p>
      <w:pPr>
        <w:ind w:left="260" w:right="699" w:firstLine="341"/>
        <w:spacing w:after="0" w:line="278" w:lineRule="auto"/>
        <w:tabs>
          <w:tab w:leader="none" w:pos="82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contracts or documents which are required to be described in the Registration Statement or the Prospectus or to be filed as exhibits to the Registration Statement which have not been so described and filed as required.</w:t>
      </w:r>
    </w:p>
    <w:p>
      <w:pPr>
        <w:spacing w:after="0" w:line="126" w:lineRule="exact"/>
        <w:rPr>
          <w:rFonts w:ascii="Times New Roman" w:cs="Times New Roman" w:eastAsia="Times New Roman" w:hAnsi="Times New Roman"/>
          <w:sz w:val="14"/>
          <w:szCs w:val="14"/>
          <w:color w:val="auto"/>
        </w:rPr>
      </w:pPr>
    </w:p>
    <w:p>
      <w:pPr>
        <w:ind w:left="260" w:right="339" w:firstLine="341"/>
        <w:spacing w:after="0" w:line="284" w:lineRule="auto"/>
        <w:tabs>
          <w:tab w:leader="none" w:pos="79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Securities Act, the Exchange Act Regulations, the rules of the Nasdaq Stock Market LLC, state securities laws or the rules of FINRA.</w:t>
      </w:r>
    </w:p>
    <w:p>
      <w:pPr>
        <w:spacing w:after="0" w:line="124" w:lineRule="exact"/>
        <w:rPr>
          <w:rFonts w:ascii="Times New Roman" w:cs="Times New Roman" w:eastAsia="Times New Roman" w:hAnsi="Times New Roman"/>
          <w:sz w:val="13"/>
          <w:szCs w:val="13"/>
          <w:color w:val="auto"/>
        </w:rPr>
      </w:pPr>
    </w:p>
    <w:p>
      <w:pPr>
        <w:ind w:left="260" w:right="299" w:firstLine="341"/>
        <w:spacing w:after="0" w:line="275" w:lineRule="auto"/>
        <w:tabs>
          <w:tab w:leader="none" w:pos="79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3"/>
          <w:szCs w:val="13"/>
          <w:b w:val="1"/>
          <w:bCs w:val="1"/>
          <w:u w:val="single" w:color="auto"/>
          <w:color w:val="auto"/>
        </w:rPr>
        <w:t>Permits</w:t>
      </w:r>
      <w:r>
        <w:rPr>
          <w:rFonts w:ascii="Times New Roman" w:cs="Times New Roman" w:eastAsia="Times New Roman" w:hAnsi="Times New Roman"/>
          <w:sz w:val="13"/>
          <w:szCs w:val="13"/>
          <w:color w:val="auto"/>
        </w:rPr>
        <w:t>”), except where the failure to possess or obtain the same or so qualify would not reasonably be expected, individually or in the aggregate, to have a Material Adverse Change. Neither the Company nor any of its subsidiaries is in violation of, or in default under, any of the Permits or has received any notice of proceedings relating to the revocation or modification of, or noncompliance with, any of the Permits, except for any such violations, defaults, or proceedings relating to the revocation or modification of, or non-compliance with, any such Permits that would not reasonably be expected, individually or in the aggregate, if the subject of an unfavorable decision, ruling or finding, to have a Material Adverse Change.</w:t>
      </w:r>
    </w:p>
    <w:p>
      <w:pPr>
        <w:spacing w:after="0" w:line="131" w:lineRule="exact"/>
        <w:rPr>
          <w:rFonts w:ascii="Times New Roman" w:cs="Times New Roman" w:eastAsia="Times New Roman" w:hAnsi="Times New Roman"/>
          <w:sz w:val="13"/>
          <w:szCs w:val="13"/>
          <w:color w:val="auto"/>
        </w:rPr>
      </w:pPr>
    </w:p>
    <w:p>
      <w:pPr>
        <w:ind w:left="260" w:right="279" w:firstLine="341"/>
        <w:spacing w:after="0" w:line="253" w:lineRule="auto"/>
        <w:tabs>
          <w:tab w:leader="none" w:pos="78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good and marketable title to all of the real and personal property and other assets reflected as owned in the financial statements referred to in Section u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43" w:lineRule="exact"/>
        <w:rPr>
          <w:sz w:val="20"/>
          <w:szCs w:val="20"/>
          <w:color w:val="auto"/>
        </w:rPr>
      </w:pPr>
    </w:p>
    <w:p>
      <w:pPr>
        <w:ind w:left="260" w:right="399" w:firstLine="341"/>
        <w:spacing w:after="0" w:line="255" w:lineRule="auto"/>
        <w:tabs>
          <w:tab w:leader="none" w:pos="84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or the Prospectus, the Company and its subsidiaries own, or have obtained licenses the Company believes to be valid and enforceable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(including upon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74" w:name="page75"/>
    <w:bookmarkEnd w:id="74"/>
    <w:p>
      <w:pPr>
        <w:ind w:left="260" w:right="27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commercialization of products or services described in the Registration Statement or the Prospectus as under development) and as described in the Registration Statement and the Prospectus (collectively, “</w:t>
      </w:r>
      <w:r>
        <w:rPr>
          <w:rFonts w:ascii="Times New Roman" w:cs="Times New Roman" w:eastAsia="Times New Roman" w:hAnsi="Times New Roman"/>
          <w:sz w:val="14"/>
          <w:szCs w:val="14"/>
          <w:b w:val="1"/>
          <w:bCs w:val="1"/>
          <w:u w:val="single" w:color="auto"/>
          <w:color w:val="auto"/>
        </w:rPr>
        <w:t>Intellectual Property</w:t>
      </w:r>
      <w:r>
        <w:rPr>
          <w:rFonts w:ascii="Times New Roman" w:cs="Times New Roman" w:eastAsia="Times New Roman" w:hAnsi="Times New Roman"/>
          <w:sz w:val="14"/>
          <w:szCs w:val="14"/>
          <w:color w:val="auto"/>
        </w:rPr>
        <w:t>”) and to the Company’s knowledge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to the Company’s knowledge, there are no facts which would form a reasonable basis for any such adjudication. To the Company’s knowledge: (i) except as otherwise disclosed in documents filed with the Commission,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that would reasonably be expected, individually or in the aggregate, to have a Material Adverse Change.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that, in each case, would reasonably be expected, individually or in the aggregate, to have a Material Adverse Change.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patents included in the Intellectual Property are subsisting and have not lapsed, and the patent applications in the Intellectual Property are subsisting and have not been abandoned. The Company and its subsidiaries have taken all reasonable steps to protect, maintain and safeguard their material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where such violations would not reasonably be expected, individually or in the aggregate, to have a Material Adverse Change. To the Company’s knowledge, the duty of candor and good faith as required by the United States Patent and Trademark Office during the prosecution of the United States patents and patent applications included in the Intellectual Property have been complied with in all material respects; and to the Company’s knowledge, in all foreign offices having similar requirements, all such requirements have been complied with in all material respects.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except where such violations would not reasonably be expected, individually or in the aggregate, to have a Material Adverse Change. The product candidates that constitute development candidates as described in the Registration Statement and the Prospectus as under development by the Company or any subsidiary fall within the scope of the claims of one or more patents or patent applications owned by, or exclusively licensed to, the Company or any subsidiary. To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75" w:name="page76"/>
    <w:bookmarkEnd w:id="75"/>
    <w:p>
      <w:pPr>
        <w:jc w:val="both"/>
        <w:ind w:left="260" w:right="4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Company’s knowledge, there is no patent or published patent application, in the U.S. or other jurisdiction, which, in the case of a patent, contains claims, or in the case of a published patent application contains patentable claims, that dominate or may dominate any of the Company’s Intellectual Property described in the Registration Statement or the Prospectus as being owned by or licensed to the Company or that interferes with the issued or pending claims of any of the Company’s Intellectual Property.</w:t>
      </w:r>
    </w:p>
    <w:p>
      <w:pPr>
        <w:spacing w:after="0" w:line="138" w:lineRule="exact"/>
        <w:rPr>
          <w:sz w:val="20"/>
          <w:szCs w:val="20"/>
          <w:color w:val="auto"/>
        </w:rPr>
      </w:pPr>
    </w:p>
    <w:p>
      <w:pPr>
        <w:ind w:left="260" w:right="379" w:firstLine="341"/>
        <w:spacing w:after="0" w:line="272" w:lineRule="auto"/>
        <w:tabs>
          <w:tab w:leader="none" w:pos="86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preclinical trials, and other studies (collectively, “</w:t>
      </w:r>
      <w:r>
        <w:rPr>
          <w:rFonts w:ascii="Times New Roman" w:cs="Times New Roman" w:eastAsia="Times New Roman" w:hAnsi="Times New Roman"/>
          <w:sz w:val="13"/>
          <w:szCs w:val="13"/>
          <w:b w:val="1"/>
          <w:bCs w:val="1"/>
          <w:u w:val="single" w:color="auto"/>
          <w:color w:val="auto"/>
        </w:rPr>
        <w:t>Studies</w:t>
      </w:r>
      <w:r>
        <w:rPr>
          <w:rFonts w:ascii="Times New Roman" w:cs="Times New Roman" w:eastAsia="Times New Roman" w:hAnsi="Times New Roman"/>
          <w:sz w:val="13"/>
          <w:szCs w:val="13"/>
          <w:color w:val="auto"/>
        </w:rPr>
        <w:t>”) of the product candidates of the Company and its subsidiaries that are described in the Registration Statement or the Prospectus were and, if still pending, are being conducted in all material respects in accordance with the protocols, procedures and controls designed for such Studies and with standard medical and scientific research procedures; each description of the results of such Studies is accurate in all material respects and fairly presents the data derived from such Studies, and the Company and its subsidiaries have no knowledge of any other studies the results of which are inconsistent with, or otherwise call into question, the results of such Studies described or referred to in the Registration Statement or the Prospectus; the Company and its subsidiaries have made all such filings and obtained all such approvals and authorizations to conduct such Studies as may be required by the Food and Drug Administration of the U.S. Department of Health and Human Services or from any other U.S. or foreign government or drug or medical device regulatory agency, or health care facility Institutional Review Board (collectively, the “</w:t>
      </w:r>
      <w:r>
        <w:rPr>
          <w:rFonts w:ascii="Times New Roman" w:cs="Times New Roman" w:eastAsia="Times New Roman" w:hAnsi="Times New Roman"/>
          <w:sz w:val="13"/>
          <w:szCs w:val="13"/>
          <w:b w:val="1"/>
          <w:bCs w:val="1"/>
          <w:u w:val="single" w:color="auto"/>
          <w:color w:val="auto"/>
        </w:rPr>
        <w:t>Regulatory Agencies</w:t>
      </w:r>
      <w:r>
        <w:rPr>
          <w:rFonts w:ascii="Times New Roman" w:cs="Times New Roman" w:eastAsia="Times New Roman" w:hAnsi="Times New Roman"/>
          <w:sz w:val="13"/>
          <w:szCs w:val="13"/>
          <w:color w:val="auto"/>
        </w:rPr>
        <w:t>”); neither the Company nor any of its subsidiaries has received any notice of, or correspondence from, any Regulatory Agency requiring the termination, suspension or material modification of any clinical trials of the product candidates of the Company and its subsidiaries that are described or referred to in the Registration Statement or the Prospectus; and the Company and its subsidiaries have each operated and currently are in compliance in all material respects with all applicable rules and regulations of the Regulatory Agencies.</w:t>
      </w:r>
    </w:p>
    <w:p>
      <w:pPr>
        <w:spacing w:after="0" w:line="131" w:lineRule="exact"/>
        <w:rPr>
          <w:rFonts w:ascii="Times New Roman" w:cs="Times New Roman" w:eastAsia="Times New Roman" w:hAnsi="Times New Roman"/>
          <w:sz w:val="13"/>
          <w:szCs w:val="13"/>
          <w:color w:val="auto"/>
        </w:rPr>
      </w:pPr>
    </w:p>
    <w:p>
      <w:pPr>
        <w:ind w:left="260" w:right="379" w:firstLine="341"/>
        <w:spacing w:after="0" w:line="271" w:lineRule="auto"/>
        <w:tabs>
          <w:tab w:leader="none" w:pos="84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operated at all prior times and currently is in compliance in all material respects with all applicable health care laws, rules and regulations, including, without limitation, (i) the Federal, Food, Drug and Cosmetic Act (21 U.S.C. §§ 301 et seq.); (ii) all applicable federal, state, local and all applicable foreign healthcare related fraud and abuse laws, including, without limitation, the federal Anti-kickback Statute (42 U.S.C. § 1320a-7b(b)),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13"/>
          <w:szCs w:val="13"/>
          <w:b w:val="1"/>
          <w:bCs w:val="1"/>
          <w:u w:val="single" w:color="auto"/>
          <w:color w:val="auto"/>
        </w:rPr>
        <w:t>HIPAA</w:t>
      </w:r>
      <w:r>
        <w:rPr>
          <w:rFonts w:ascii="Times New Roman" w:cs="Times New Roman" w:eastAsia="Times New Roman" w:hAnsi="Times New Roman"/>
          <w:sz w:val="13"/>
          <w:szCs w:val="13"/>
          <w:color w:val="auto"/>
        </w:rPr>
        <w:t>”) (42 U.S.C. Section 1320d et seq.), the exclusion laws (42 U.S.C. §</w:t>
      </w:r>
    </w:p>
    <w:p>
      <w:pPr>
        <w:ind w:left="260" w:right="31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(collectively, the “</w:t>
      </w:r>
      <w:r>
        <w:rPr>
          <w:rFonts w:ascii="Times New Roman" w:cs="Times New Roman" w:eastAsia="Times New Roman" w:hAnsi="Times New Roman"/>
          <w:sz w:val="14"/>
          <w:szCs w:val="14"/>
          <w:b w:val="1"/>
          <w:bCs w:val="1"/>
          <w:u w:val="single" w:color="auto"/>
          <w:color w:val="auto"/>
        </w:rPr>
        <w:t>Health Care Laws</w:t>
      </w:r>
      <w:r>
        <w:rPr>
          <w:rFonts w:ascii="Times New Roman" w:cs="Times New Roman" w:eastAsia="Times New Roman" w:hAnsi="Times New Roman"/>
          <w:sz w:val="14"/>
          <w:szCs w:val="14"/>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w:t>
      </w:r>
      <w:r>
        <w:rPr>
          <w:rFonts w:ascii="Times New Roman" w:cs="Times New Roman" w:eastAsia="Times New Roman" w:hAnsi="Times New Roman"/>
          <w:sz w:val="14"/>
          <w:szCs w:val="14"/>
          <w:b w:val="1"/>
          <w:bCs w:val="1"/>
          <w:u w:val="single" w:color="auto"/>
          <w:color w:val="auto"/>
        </w:rPr>
        <w:t>Action</w:t>
      </w:r>
      <w:r>
        <w:rPr>
          <w:rFonts w:ascii="Times New Roman" w:cs="Times New Roman" w:eastAsia="Times New Roman" w:hAnsi="Times New Roman"/>
          <w:sz w:val="14"/>
          <w:szCs w:val="14"/>
          <w:color w:val="auto"/>
        </w:rPr>
        <w:t>”)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to the Company’s knowledge, any of its 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76" w:name="page77"/>
    <w:bookmarkEnd w:id="76"/>
    <w:p>
      <w:pPr>
        <w:ind w:left="260" w:right="319" w:firstLine="341"/>
        <w:spacing w:after="0" w:line="250" w:lineRule="auto"/>
        <w:tabs>
          <w:tab w:leader="none" w:pos="86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to the Company’s knowledge, threatened release of chemicals, pollutants, contaminants, wastes, toxic substances, hazardous substances, petroleum or petroleum products (collectively, “</w:t>
      </w:r>
      <w:r>
        <w:rPr>
          <w:rFonts w:ascii="Times New Roman" w:cs="Times New Roman" w:eastAsia="Times New Roman" w:hAnsi="Times New Roman"/>
          <w:sz w:val="14"/>
          <w:szCs w:val="14"/>
          <w:b w:val="1"/>
          <w:bCs w:val="1"/>
          <w:u w:val="single" w:color="auto"/>
          <w:color w:val="auto"/>
        </w:rPr>
        <w:t>Hazardous Materials</w:t>
      </w:r>
      <w:r>
        <w:rPr>
          <w:rFonts w:ascii="Times New Roman" w:cs="Times New Roman" w:eastAsia="Times New Roman" w:hAnsi="Times New Roman"/>
          <w:sz w:val="14"/>
          <w:szCs w:val="14"/>
          <w:color w:val="auto"/>
        </w:rPr>
        <w:t>”) or to the manufacture, processing, distribution, use, treatment, storage, disposal, transport or handling of Hazardous Materials (collectively, “</w:t>
      </w:r>
      <w:r>
        <w:rPr>
          <w:rFonts w:ascii="Times New Roman" w:cs="Times New Roman" w:eastAsia="Times New Roman" w:hAnsi="Times New Roman"/>
          <w:sz w:val="14"/>
          <w:szCs w:val="14"/>
          <w:b w:val="1"/>
          <w:bCs w:val="1"/>
          <w:u w:val="single" w:color="auto"/>
          <w:color w:val="auto"/>
        </w:rPr>
        <w:t>Environmental Laws</w:t>
      </w:r>
      <w:r>
        <w:rPr>
          <w:rFonts w:ascii="Times New Roman" w:cs="Times New Roman" w:eastAsia="Times New Roman" w:hAnsi="Times New Roman"/>
          <w:sz w:val="14"/>
          <w:szCs w:val="14"/>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47" w:lineRule="exact"/>
        <w:rPr>
          <w:rFonts w:ascii="Times New Roman" w:cs="Times New Roman" w:eastAsia="Times New Roman" w:hAnsi="Times New Roman"/>
          <w:sz w:val="14"/>
          <w:szCs w:val="14"/>
          <w:color w:val="auto"/>
        </w:rPr>
      </w:pPr>
    </w:p>
    <w:p>
      <w:pPr>
        <w:ind w:left="260" w:right="299" w:firstLine="341"/>
        <w:spacing w:after="0" w:line="250" w:lineRule="auto"/>
        <w:tabs>
          <w:tab w:leader="none" w:pos="84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4"/>
          <w:szCs w:val="14"/>
          <w:b w:val="1"/>
          <w:bCs w:val="1"/>
          <w:u w:val="single" w:color="auto"/>
          <w:color w:val="auto"/>
        </w:rPr>
        <w:t>ERISA</w:t>
      </w:r>
      <w:r>
        <w:rPr>
          <w:rFonts w:ascii="Times New Roman" w:cs="Times New Roman" w:eastAsia="Times New Roman" w:hAnsi="Times New Roman"/>
          <w:sz w:val="14"/>
          <w:szCs w:val="14"/>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4"/>
          <w:szCs w:val="14"/>
          <w:b w:val="1"/>
          <w:bCs w:val="1"/>
          <w:u w:val="single" w:color="auto"/>
          <w:color w:val="auto"/>
        </w:rPr>
        <w:t>ERISA Affiliate</w:t>
      </w:r>
      <w:r>
        <w:rPr>
          <w:rFonts w:ascii="Times New Roman" w:cs="Times New Roman" w:eastAsia="Times New Roman" w:hAnsi="Times New Roman"/>
          <w:sz w:val="14"/>
          <w:szCs w:val="14"/>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4"/>
          <w:szCs w:val="14"/>
          <w:b w:val="1"/>
          <w:bCs w:val="1"/>
          <w:u w:val="single" w:color="auto"/>
          <w:color w:val="auto"/>
        </w:rPr>
        <w:t>Code</w:t>
      </w:r>
      <w:r>
        <w:rPr>
          <w:rFonts w:ascii="Times New Roman" w:cs="Times New Roman" w:eastAsia="Times New Roman" w:hAnsi="Times New Roman"/>
          <w:sz w:val="14"/>
          <w:szCs w:val="14"/>
          <w:color w:val="auto"/>
        </w:rPr>
        <w:t>”) of which the Company or such subsidiary is a member. Except as would not reasonably be expected, individually or in the aggregate, to have a Material Adverse Change, (i) no “reportable event” (as defined under ERISA) has occurred or is reasonably expected to occur with respect to any “employee benefit plan” established or maintained by the Company, its subsidiaries or any of their ERISA Affiliates, (ii)no “employee benefit plan” established or maintained by the Company, its subsidiaries or any of their ERISA Affiliates, if such “employee benefit plan” were terminated, would have any “amount of unfunded benefit liabilities” (as defined under ERISA), and (iii)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to the knowledge of the Company, is so qualified and nothing has occurred, whether by action or failure to act, which would cause the loss of such qualification.</w:t>
      </w:r>
    </w:p>
    <w:p>
      <w:pPr>
        <w:spacing w:after="0" w:line="147" w:lineRule="exact"/>
        <w:rPr>
          <w:rFonts w:ascii="Times New Roman" w:cs="Times New Roman" w:eastAsia="Times New Roman" w:hAnsi="Times New Roman"/>
          <w:sz w:val="14"/>
          <w:szCs w:val="14"/>
          <w:color w:val="auto"/>
        </w:rPr>
      </w:pPr>
    </w:p>
    <w:p>
      <w:pPr>
        <w:ind w:left="260" w:right="279" w:firstLine="341"/>
        <w:spacing w:after="0" w:line="255" w:lineRule="auto"/>
        <w:tabs>
          <w:tab w:leader="none" w:pos="8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have filed all necessary U.S. federal, state, local and non-U.S. tax returns or have properly requested extensions thereof and have paid all taxes required to be paid whether or not reported thereon and, if due and payable, any related or similar assessment, fine or penalty levied against any of them except as may be being contested in good faith and by appropriate proceedings and for which adequate reserves have been established in the financial statements. The Company has made adequate charges, accruals and reserves in the applicable financial statements referred to in Section (vii) above in respect of all federal, state and non-U.S. taxes for all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77" w:name="page78"/>
    <w:bookmarkEnd w:id="77"/>
    <w:p>
      <w:pPr>
        <w:ind w:left="26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periods as to which the tax liability of the Company or any of its subsidiaries has not been finally determined. No tax deficiency has been, or could reasonably be expected to be, asserted against the Company or any of its subsidiaries that could reasonably be expected to result in a Material Adverse Change. To the Company’s knowledge, none of the tax returns or taxes of the Company or any of its Subsidiaries is currently under audit or other examination and there are no outstanding agreements or waivers extending the statutory period of limitation applicable to any U.S. federal, state, local or non-U.S. tax return for any period.</w:t>
      </w:r>
    </w:p>
    <w:p>
      <w:pPr>
        <w:spacing w:after="0" w:line="143" w:lineRule="exact"/>
        <w:rPr>
          <w:sz w:val="20"/>
          <w:szCs w:val="20"/>
          <w:color w:val="auto"/>
        </w:rPr>
      </w:pPr>
    </w:p>
    <w:p>
      <w:pPr>
        <w:ind w:left="260" w:right="319" w:firstLine="341"/>
        <w:spacing w:after="0" w:line="252" w:lineRule="auto"/>
        <w:tabs>
          <w:tab w:leader="none" w:pos="86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are insured by recognized, financially sound and reputable institutions with policies in such amounts and with such deductibles and covering such risks as the Company reasonably believes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45" w:lineRule="exact"/>
        <w:rPr>
          <w:rFonts w:ascii="Times New Roman" w:cs="Times New Roman" w:eastAsia="Times New Roman" w:hAnsi="Times New Roman"/>
          <w:sz w:val="14"/>
          <w:szCs w:val="14"/>
          <w:color w:val="auto"/>
        </w:rPr>
      </w:pPr>
    </w:p>
    <w:p>
      <w:pPr>
        <w:ind w:left="260" w:right="359" w:firstLine="341"/>
        <w:spacing w:after="0" w:line="263" w:lineRule="auto"/>
        <w:tabs>
          <w:tab w:leader="none" w:pos="86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4"/>
          <w:szCs w:val="14"/>
          <w:b w:val="1"/>
          <w:bCs w:val="1"/>
          <w:u w:val="single" w:color="auto"/>
          <w:color w:val="auto"/>
        </w:rPr>
        <w:t>Investment Company Act</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jc w:val="both"/>
        <w:ind w:left="260" w:right="279" w:firstLine="341"/>
        <w:spacing w:after="0" w:line="258" w:lineRule="auto"/>
        <w:tabs>
          <w:tab w:leader="none" w:pos="80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taken, directly or indirectly, without giving effect to activities by the Representative, any action designed to or that might reasonably be expected to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4"/>
          <w:szCs w:val="14"/>
          <w:b w:val="1"/>
          <w:bCs w:val="1"/>
          <w:u w:val="single" w:color="auto"/>
          <w:color w:val="auto"/>
        </w:rPr>
        <w:t>Regulation M</w:t>
      </w:r>
      <w:r>
        <w:rPr>
          <w:rFonts w:ascii="Times New Roman" w:cs="Times New Roman" w:eastAsia="Times New Roman" w:hAnsi="Times New Roman"/>
          <w:sz w:val="14"/>
          <w:szCs w:val="14"/>
          <w:color w:val="auto"/>
        </w:rPr>
        <w:t>”)) with respect to the Common Stock, whether to facilitate the sale or resale of the Placement Shares or otherwise, and has taken no action which would directly or indirectly violate Regulation M.</w:t>
      </w:r>
    </w:p>
    <w:p>
      <w:pPr>
        <w:spacing w:after="0" w:line="139" w:lineRule="exact"/>
        <w:rPr>
          <w:rFonts w:ascii="Times New Roman" w:cs="Times New Roman" w:eastAsia="Times New Roman" w:hAnsi="Times New Roman"/>
          <w:sz w:val="14"/>
          <w:szCs w:val="14"/>
          <w:color w:val="auto"/>
        </w:rPr>
      </w:pPr>
    </w:p>
    <w:p>
      <w:pPr>
        <w:ind w:left="260" w:right="339" w:firstLine="341"/>
        <w:spacing w:after="0" w:line="278" w:lineRule="auto"/>
        <w:tabs>
          <w:tab w:leader="none" w:pos="80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126" w:lineRule="exact"/>
        <w:rPr>
          <w:rFonts w:ascii="Times New Roman" w:cs="Times New Roman" w:eastAsia="Times New Roman" w:hAnsi="Times New Roman"/>
          <w:sz w:val="14"/>
          <w:szCs w:val="14"/>
          <w:color w:val="auto"/>
        </w:rPr>
      </w:pPr>
    </w:p>
    <w:p>
      <w:pPr>
        <w:ind w:left="260" w:right="359" w:firstLine="341"/>
        <w:spacing w:after="0" w:line="255" w:lineRule="auto"/>
        <w:tabs>
          <w:tab w:leader="none" w:pos="86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information provided to the Agent or to counsel for the Agent by the Company, its counsel, its officers and directors and the holders of any securities (debt or equity) or options to acquire any securities of the Company in connection with the offering of the Placement Shares is true, complete, correct and compliant with FINRA’s rules and any letters, filings or other supplemental information provided to FINRA pursuant to FINRA Rules or NASD Conduct Rules is true, complete and correct. As of the date of the Agreement, the Company meets the definition of the term “experienced issuer” specified in FINRA Rule 5110(j)(6).</w:t>
      </w:r>
    </w:p>
    <w:p>
      <w:pPr>
        <w:spacing w:after="0" w:line="142" w:lineRule="exact"/>
        <w:rPr>
          <w:rFonts w:ascii="Times New Roman" w:cs="Times New Roman" w:eastAsia="Times New Roman" w:hAnsi="Times New Roman"/>
          <w:sz w:val="14"/>
          <w:szCs w:val="14"/>
          <w:color w:val="auto"/>
        </w:rPr>
      </w:pPr>
    </w:p>
    <w:p>
      <w:pPr>
        <w:ind w:left="260" w:right="379" w:firstLine="341"/>
        <w:spacing w:after="0" w:line="255" w:lineRule="auto"/>
        <w:tabs>
          <w:tab w:leader="none" w:pos="80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nor any director or officer of the Company or any of its subsidiaries, nor to the knowledge of the Company, any employee,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78" w:name="page79"/>
    <w:bookmarkEnd w:id="78"/>
    <w:p>
      <w:pPr>
        <w:ind w:left="260" w:right="3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payment or benefit to any domestic government official or “foreign official” as defined in the U.S. Foreign Corrupt Practices Act of 1977, as amended (the “</w:t>
      </w:r>
      <w:r>
        <w:rPr>
          <w:rFonts w:ascii="Times New Roman" w:cs="Times New Roman" w:eastAsia="Times New Roman" w:hAnsi="Times New Roman"/>
          <w:sz w:val="14"/>
          <w:szCs w:val="14"/>
          <w:b w:val="1"/>
          <w:bCs w:val="1"/>
          <w:u w:val="single" w:color="auto"/>
          <w:color w:val="auto"/>
        </w:rPr>
        <w:t>FCPA</w:t>
      </w:r>
      <w:r>
        <w:rPr>
          <w:rFonts w:ascii="Times New Roman" w:cs="Times New Roman" w:eastAsia="Times New Roman" w:hAnsi="Times New Roman"/>
          <w:sz w:val="14"/>
          <w:szCs w:val="14"/>
          <w:color w:val="auto"/>
        </w:rPr>
        <w:t>”); (iii) violated or is in violation of any provision of the FCPA,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which it believes is reasonably designed to ensure, and which are reasonably expected to continue to ensure, continued compliance therewith.</w:t>
      </w:r>
    </w:p>
    <w:p>
      <w:pPr>
        <w:spacing w:after="0" w:line="142" w:lineRule="exact"/>
        <w:rPr>
          <w:sz w:val="20"/>
          <w:szCs w:val="20"/>
          <w:color w:val="auto"/>
        </w:rPr>
      </w:pPr>
    </w:p>
    <w:p>
      <w:pPr>
        <w:ind w:left="260" w:right="279" w:firstLine="341"/>
        <w:spacing w:after="0" w:line="254" w:lineRule="auto"/>
        <w:tabs>
          <w:tab w:leader="none" w:pos="94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4"/>
          <w:szCs w:val="14"/>
          <w:b w:val="1"/>
          <w:bCs w:val="1"/>
          <w:u w:val="single" w:color="auto"/>
          <w:color w:val="auto"/>
        </w:rPr>
        <w:t>Money Laundering Laws</w:t>
      </w:r>
      <w:r>
        <w:rPr>
          <w:rFonts w:ascii="Times New Roman" w:cs="Times New Roman" w:eastAsia="Times New Roman" w:hAnsi="Times New Roman"/>
          <w:sz w:val="14"/>
          <w:szCs w:val="14"/>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42" w:lineRule="exact"/>
        <w:rPr>
          <w:rFonts w:ascii="Times New Roman" w:cs="Times New Roman" w:eastAsia="Times New Roman" w:hAnsi="Times New Roman"/>
          <w:sz w:val="14"/>
          <w:szCs w:val="14"/>
          <w:color w:val="auto"/>
        </w:rPr>
      </w:pPr>
    </w:p>
    <w:p>
      <w:pPr>
        <w:ind w:left="260" w:right="299" w:firstLine="341"/>
        <w:spacing w:after="0" w:line="250" w:lineRule="auto"/>
        <w:tabs>
          <w:tab w:leader="none" w:pos="86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nor, to the knowledge of the Company, after due inquiry, any agent, affiliate, directors, officers, employees,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4"/>
          <w:szCs w:val="14"/>
          <w:b w:val="1"/>
          <w:bCs w:val="1"/>
          <w:u w:val="single" w:color="auto"/>
          <w:color w:val="auto"/>
        </w:rPr>
        <w:t>OFAC</w:t>
      </w:r>
      <w:r>
        <w:rPr>
          <w:rFonts w:ascii="Times New Roman" w:cs="Times New Roman" w:eastAsia="Times New Roman" w:hAnsi="Times New Roman"/>
          <w:sz w:val="14"/>
          <w:szCs w:val="14"/>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4"/>
          <w:szCs w:val="14"/>
          <w:b w:val="1"/>
          <w:bCs w:val="1"/>
          <w:u w:val="single" w:color="auto"/>
          <w:color w:val="auto"/>
        </w:rPr>
        <w:t>Sanctions</w:t>
      </w:r>
      <w:r>
        <w:rPr>
          <w:rFonts w:ascii="Times New Roman" w:cs="Times New Roman" w:eastAsia="Times New Roman" w:hAnsi="Times New Roman"/>
          <w:sz w:val="14"/>
          <w:szCs w:val="14"/>
          <w:color w:val="auto"/>
        </w:rPr>
        <w:t>”); nor is the Company or any of its subsidiaries located, organized or resident in a country or territory that is the subject or the target of Sanctions, including, without limitation, the Crimea region of Ukraine, Cuba, Iran, North Korea, Syria, the so-called Donetsk People’s Republic, and the so-called Luhansk People’s Republic;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49" w:lineRule="exact"/>
        <w:rPr>
          <w:rFonts w:ascii="Times New Roman" w:cs="Times New Roman" w:eastAsia="Times New Roman" w:hAnsi="Times New Roman"/>
          <w:sz w:val="14"/>
          <w:szCs w:val="14"/>
          <w:color w:val="auto"/>
        </w:rPr>
      </w:pPr>
    </w:p>
    <w:p>
      <w:pPr>
        <w:ind w:left="260" w:right="559" w:firstLine="341"/>
        <w:spacing w:after="0" w:line="278" w:lineRule="auto"/>
        <w:tabs>
          <w:tab w:leader="none" w:pos="86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this Agreement, there is no broker, finder or other party that is entitled to receive from the Company any brokerage or finder’s fee or other fee or commission as a result of any transactions contemplated by this Agreement.</w:t>
      </w:r>
    </w:p>
    <w:p>
      <w:pPr>
        <w:spacing w:after="0" w:line="126" w:lineRule="exact"/>
        <w:rPr>
          <w:rFonts w:ascii="Times New Roman" w:cs="Times New Roman" w:eastAsia="Times New Roman" w:hAnsi="Times New Roman"/>
          <w:sz w:val="14"/>
          <w:szCs w:val="14"/>
          <w:color w:val="auto"/>
        </w:rPr>
      </w:pPr>
    </w:p>
    <w:p>
      <w:pPr>
        <w:ind w:left="260" w:right="319" w:firstLine="341"/>
        <w:spacing w:after="0" w:line="263" w:lineRule="auto"/>
        <w:tabs>
          <w:tab w:leader="none" w:pos="86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financial or operational projection or other “forward-looking statement” (as defined by Section 27A of the Securities Act or Section 21E of the Exchange Act) contained in the Registration Statement or the Prospectus has been made without reasonable basis or has been disclosed other than in good faith.</w:t>
      </w:r>
    </w:p>
    <w:p>
      <w:pPr>
        <w:spacing w:after="0" w:line="136" w:lineRule="exact"/>
        <w:rPr>
          <w:rFonts w:ascii="Times New Roman" w:cs="Times New Roman" w:eastAsia="Times New Roman" w:hAnsi="Times New Roman"/>
          <w:sz w:val="14"/>
          <w:szCs w:val="14"/>
          <w:color w:val="auto"/>
        </w:rPr>
      </w:pPr>
    </w:p>
    <w:p>
      <w:pPr>
        <w:ind w:left="260" w:right="339" w:firstLine="341"/>
        <w:spacing w:after="0" w:line="278" w:lineRule="auto"/>
        <w:tabs>
          <w:tab w:leader="none" w:pos="86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79" w:name="page80"/>
    <w:bookmarkEnd w:id="79"/>
    <w:p>
      <w:pPr>
        <w:ind w:left="260" w:right="479" w:firstLine="341"/>
        <w:spacing w:after="0" w:line="263" w:lineRule="auto"/>
        <w:tabs>
          <w:tab w:leader="none" w:pos="81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36" w:lineRule="exact"/>
        <w:rPr>
          <w:rFonts w:ascii="Times New Roman" w:cs="Times New Roman" w:eastAsia="Times New Roman" w:hAnsi="Times New Roman"/>
          <w:sz w:val="14"/>
          <w:szCs w:val="14"/>
          <w:color w:val="auto"/>
        </w:rPr>
      </w:pPr>
    </w:p>
    <w:p>
      <w:pPr>
        <w:ind w:left="260" w:right="279" w:firstLine="341"/>
        <w:spacing w:after="0" w:line="249" w:lineRule="auto"/>
        <w:tabs>
          <w:tab w:leader="none" w:pos="83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and its subsidiaries’ information technology assets and equipment, computers, systems, networks, hardware, software, websites, applications, and databases (including any third party technology assets or services used by the Company and its subsidiaries but excluding any public networks) (collectively, “</w:t>
      </w:r>
      <w:r>
        <w:rPr>
          <w:rFonts w:ascii="Times New Roman" w:cs="Times New Roman" w:eastAsia="Times New Roman" w:hAnsi="Times New Roman"/>
          <w:sz w:val="14"/>
          <w:szCs w:val="14"/>
          <w:b w:val="1"/>
          <w:bCs w:val="1"/>
          <w:u w:val="single" w:color="auto"/>
          <w:color w:val="auto"/>
        </w:rPr>
        <w:t>IT Systems</w:t>
      </w:r>
      <w:r>
        <w:rPr>
          <w:rFonts w:ascii="Times New Roman" w:cs="Times New Roman" w:eastAsia="Times New Roman" w:hAnsi="Times New Roman"/>
          <w:sz w:val="14"/>
          <w:szCs w:val="14"/>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maintained, and complied with reasonable and appropriate physical, technical and administrative controls, policies, procedures, and safeguards to maintain and protect all “Personal Data” and other material confidential, sensitive, and regulated information used in connection with their businesses (collectively, “</w:t>
      </w:r>
      <w:r>
        <w:rPr>
          <w:rFonts w:ascii="Times New Roman" w:cs="Times New Roman" w:eastAsia="Times New Roman" w:hAnsi="Times New Roman"/>
          <w:sz w:val="14"/>
          <w:szCs w:val="14"/>
          <w:b w:val="1"/>
          <w:bCs w:val="1"/>
          <w:u w:val="single" w:color="auto"/>
          <w:color w:val="auto"/>
        </w:rPr>
        <w:t>Sensitive Data</w:t>
      </w:r>
      <w:r>
        <w:rPr>
          <w:rFonts w:ascii="Times New Roman" w:cs="Times New Roman" w:eastAsia="Times New Roman" w:hAnsi="Times New Roman"/>
          <w:sz w:val="14"/>
          <w:szCs w:val="14"/>
          <w:color w:val="auto"/>
        </w:rPr>
        <w:t>”) and the integrity, continuous operation, redundancy and security of all IT Systems. “</w:t>
      </w:r>
      <w:r>
        <w:rPr>
          <w:rFonts w:ascii="Times New Roman" w:cs="Times New Roman" w:eastAsia="Times New Roman" w:hAnsi="Times New Roman"/>
          <w:sz w:val="14"/>
          <w:szCs w:val="14"/>
          <w:b w:val="1"/>
          <w:bCs w:val="1"/>
          <w:u w:val="single" w:color="auto"/>
          <w:color w:val="auto"/>
        </w:rPr>
        <w:t>Personal Data</w:t>
      </w:r>
      <w:r>
        <w:rPr>
          <w:rFonts w:ascii="Times New Roman" w:cs="Times New Roman" w:eastAsia="Times New Roman" w:hAnsi="Times New Roman"/>
          <w:sz w:val="14"/>
          <w:szCs w:val="14"/>
          <w:color w:val="auto"/>
        </w:rPr>
        <w:t>” means (i) any information that relates to an identified or identifiable natural person, or that is reasonably capable of being used to identify, contact, or precisely locate a natural person, including a natural person’s name, street address, telephone number, e-mail address, photograph, social security number or tax identification number, driver’s license number, passport number, credit card number, bank information, or customer or account number; or (ii) any information which would qualify as “personally identifying information,” “personal information,” or similar term under Privacy Laws. In the past three (3) years, there have been no breaches, violations, outages or unauthorized, unlawful, or accidental uses of, accesses to, or other processing of Sensitive Data, except for those that have been remedied without material cost or liability or the duty to notify any other person, nor any incidents or which would not reasonably be expected to result in a Material Adverse Change.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unlawful, or accidental use, access, misappropriation, modification, or other processing except as would not reasonably be expected to result in a Material Adverse Change.</w:t>
      </w:r>
    </w:p>
    <w:p>
      <w:pPr>
        <w:spacing w:after="0" w:line="153" w:lineRule="exact"/>
        <w:rPr>
          <w:rFonts w:ascii="Times New Roman" w:cs="Times New Roman" w:eastAsia="Times New Roman" w:hAnsi="Times New Roman"/>
          <w:sz w:val="14"/>
          <w:szCs w:val="14"/>
          <w:color w:val="auto"/>
        </w:rPr>
      </w:pPr>
    </w:p>
    <w:p>
      <w:pPr>
        <w:ind w:left="260" w:right="279" w:firstLine="341"/>
        <w:spacing w:after="0" w:line="250" w:lineRule="auto"/>
        <w:tabs>
          <w:tab w:leader="none" w:pos="80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in the past three (3) years were, in material compliance with all applicable state, federal, and foreign data privacy and security laws and regulations, including without limitation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4"/>
          <w:szCs w:val="14"/>
          <w:b w:val="1"/>
          <w:bCs w:val="1"/>
          <w:u w:val="single" w:color="auto"/>
          <w:color w:val="auto"/>
        </w:rPr>
        <w:t>HIPAA</w:t>
      </w:r>
      <w:r>
        <w:rPr>
          <w:rFonts w:ascii="Times New Roman" w:cs="Times New Roman" w:eastAsia="Times New Roman" w:hAnsi="Times New Roman"/>
          <w:sz w:val="14"/>
          <w:szCs w:val="14"/>
          <w:color w:val="auto"/>
        </w:rPr>
        <w:t>”), the European Union General Data Protection Regulation (“</w:t>
      </w:r>
      <w:r>
        <w:rPr>
          <w:rFonts w:ascii="Times New Roman" w:cs="Times New Roman" w:eastAsia="Times New Roman" w:hAnsi="Times New Roman"/>
          <w:sz w:val="14"/>
          <w:szCs w:val="14"/>
          <w:b w:val="1"/>
          <w:bCs w:val="1"/>
          <w:u w:val="single" w:color="auto"/>
          <w:color w:val="auto"/>
        </w:rPr>
        <w:t>GDPR</w:t>
      </w:r>
      <w:r>
        <w:rPr>
          <w:rFonts w:ascii="Times New Roman" w:cs="Times New Roman" w:eastAsia="Times New Roman" w:hAnsi="Times New Roman"/>
          <w:sz w:val="14"/>
          <w:szCs w:val="14"/>
          <w:color w:val="auto"/>
        </w:rPr>
        <w:t>”) (EU 2016/679), the United Kingdom’s GDPR, and the California Consumer Privacy Act (“</w:t>
      </w:r>
      <w:r>
        <w:rPr>
          <w:rFonts w:ascii="Times New Roman" w:cs="Times New Roman" w:eastAsia="Times New Roman" w:hAnsi="Times New Roman"/>
          <w:sz w:val="14"/>
          <w:szCs w:val="14"/>
          <w:b w:val="1"/>
          <w:bCs w:val="1"/>
          <w:u w:val="single" w:color="auto"/>
          <w:color w:val="auto"/>
        </w:rPr>
        <w:t>CCPA</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b w:val="1"/>
          <w:bCs w:val="1"/>
          <w:u w:val="single" w:color="auto"/>
          <w:color w:val="auto"/>
        </w:rPr>
        <w:t>Privacy Laws</w:t>
      </w:r>
      <w:r>
        <w:rPr>
          <w:rFonts w:ascii="Times New Roman" w:cs="Times New Roman" w:eastAsia="Times New Roman" w:hAnsi="Times New Roman"/>
          <w:sz w:val="14"/>
          <w:szCs w:val="14"/>
          <w:color w:val="auto"/>
        </w:rPr>
        <w:t>”) except as would not reasonably be expected to result in a Material Adverse Change. In furtherance of its efforts to comply with the applicable Privacy Laws, the Company and its subsidiaries have in place, comply with, and take appropriate steps reasonably designed to comply in all material respects with their policies and procedures relating to data privacy and security and the collection, storage, use, disclosure, handling, analysis, and other processing of Personal Data (the “</w:t>
      </w:r>
      <w:r>
        <w:rPr>
          <w:rFonts w:ascii="Times New Roman" w:cs="Times New Roman" w:eastAsia="Times New Roman" w:hAnsi="Times New Roman"/>
          <w:sz w:val="14"/>
          <w:szCs w:val="14"/>
          <w:b w:val="1"/>
          <w:bCs w:val="1"/>
          <w:u w:val="single" w:color="auto"/>
          <w:color w:val="auto"/>
        </w:rPr>
        <w:t>Policies</w:t>
      </w:r>
      <w:r>
        <w:rPr>
          <w:rFonts w:ascii="Times New Roman" w:cs="Times New Roman" w:eastAsia="Times New Roman" w:hAnsi="Times New Roman"/>
          <w:sz w:val="14"/>
          <w:szCs w:val="14"/>
          <w:color w:val="auto"/>
        </w:rPr>
        <w:t>”) except as would not reasonably be expected to result in a Material Adverse Change. The Company and its subsidiaries have at all times made all disclosures to users or customers required by applicable Privacy Laws, and none of such disclosures made or contained in any Policy have, to the knowledge of the Company, been inaccurate or in violation of any applicable laws (including Privacy Laws) and regulatory rules or requirements in any material respect. The Company further certifies that neither it nor any subsidiary: (i) has received written notice of any actual or potential liability under or relating to, or actual or potential violation of, any of the Privacy Laws, and has no knowledge of any event or condition that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80" w:name="page81"/>
    <w:bookmarkEnd w:id="80"/>
    <w:p>
      <w:pPr>
        <w:jc w:val="both"/>
        <w:ind w:left="260" w:right="3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would reasonably be expected to result in any such notice; (ii) is currently conducting or paying for, in whole or in part, any investigation, remediation, or other corrective action pursuant to any alleged violation of Privacy Law, except as would not reasonably be expected to result in a Material Adverse Change; or (iii) is a party to any order or decree that imposes any obligation or liability under any Privacy Law resulting from any alleged violation of Privacy Law against the Company.</w:t>
      </w:r>
    </w:p>
    <w:p>
      <w:pPr>
        <w:spacing w:after="0" w:line="140" w:lineRule="exact"/>
        <w:rPr>
          <w:sz w:val="20"/>
          <w:szCs w:val="20"/>
          <w:color w:val="auto"/>
        </w:rPr>
      </w:pPr>
    </w:p>
    <w:p>
      <w:pPr>
        <w:ind w:left="260" w:right="339" w:firstLine="341"/>
        <w:spacing w:after="0" w:line="255" w:lineRule="auto"/>
        <w:tabs>
          <w:tab w:leader="none" w:pos="865"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4"/>
          <w:szCs w:val="14"/>
          <w:b w:val="1"/>
          <w:bCs w:val="1"/>
          <w:u w:val="single" w:color="auto"/>
          <w:color w:val="auto"/>
        </w:rPr>
        <w:t>Covered Activity</w:t>
      </w:r>
      <w:r>
        <w:rPr>
          <w:rFonts w:ascii="Times New Roman" w:cs="Times New Roman" w:eastAsia="Times New Roman" w:hAnsi="Times New Roman"/>
          <w:sz w:val="14"/>
          <w:szCs w:val="14"/>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42" w:lineRule="exact"/>
        <w:rPr>
          <w:rFonts w:ascii="Times New Roman" w:cs="Times New Roman" w:eastAsia="Times New Roman" w:hAnsi="Times New Roman"/>
          <w:sz w:val="14"/>
          <w:szCs w:val="14"/>
          <w:color w:val="auto"/>
        </w:rPr>
      </w:pPr>
    </w:p>
    <w:p>
      <w:pPr>
        <w:ind w:left="260" w:right="479" w:firstLine="341"/>
        <w:spacing w:after="0" w:line="279" w:lineRule="auto"/>
        <w:tabs>
          <w:tab w:leader="none" w:pos="865"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acknowledges and agrees that the Agent has informed the Company that the Agent may, to the extent permitted under the Securities Act and the Exchange Act, purchase and sell shares of Common Stock for its own account while this Agreement is in effect; provided, that</w:t>
      </w:r>
    </w:p>
    <w:p>
      <w:pPr>
        <w:ind w:left="260" w:right="299" w:firstLine="2"/>
        <w:spacing w:after="0" w:line="252" w:lineRule="auto"/>
        <w:tabs>
          <w:tab w:leader="none" w:pos="42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43" w:lineRule="exact"/>
        <w:rPr>
          <w:rFonts w:ascii="Times New Roman" w:cs="Times New Roman" w:eastAsia="Times New Roman" w:hAnsi="Times New Roman"/>
          <w:sz w:val="14"/>
          <w:szCs w:val="14"/>
          <w:color w:val="auto"/>
        </w:rPr>
      </w:pPr>
    </w:p>
    <w:p>
      <w:pPr>
        <w:ind w:left="920" w:hanging="319"/>
        <w:spacing w:after="0"/>
        <w:tabs>
          <w:tab w:leader="none" w:pos="9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 party to any agreement with an agent or underwriter for any other “at the market” or continuous equity transaction.</w:t>
      </w:r>
    </w:p>
    <w:p>
      <w:pPr>
        <w:spacing w:after="0" w:line="171" w:lineRule="exact"/>
        <w:rPr>
          <w:rFonts w:ascii="Times New Roman" w:cs="Times New Roman" w:eastAsia="Times New Roman" w:hAnsi="Times New Roman"/>
          <w:sz w:val="14"/>
          <w:szCs w:val="14"/>
          <w:color w:val="auto"/>
        </w:rPr>
      </w:pPr>
    </w:p>
    <w:p>
      <w:pPr>
        <w:ind w:left="260" w:right="279" w:firstLine="341"/>
        <w:spacing w:after="0" w:line="252" w:lineRule="auto"/>
        <w:tabs>
          <w:tab w:leader="none" w:pos="865"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45" w:lineRule="exact"/>
        <w:rPr>
          <w:rFonts w:ascii="Times New Roman" w:cs="Times New Roman" w:eastAsia="Times New Roman" w:hAnsi="Times New Roman"/>
          <w:sz w:val="14"/>
          <w:szCs w:val="14"/>
          <w:color w:val="auto"/>
        </w:rPr>
      </w:pPr>
    </w:p>
    <w:p>
      <w:pPr>
        <w:ind w:left="260" w:right="279" w:firstLine="341"/>
        <w:spacing w:after="0" w:line="254" w:lineRule="auto"/>
        <w:tabs>
          <w:tab w:leader="none" w:pos="865"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close of trading on Nasdaq on October 28, 2025,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4"/>
          <w:szCs w:val="14"/>
          <w:b w:val="1"/>
          <w:bCs w:val="1"/>
          <w:u w:val="single" w:color="auto"/>
          <w:color w:val="auto"/>
        </w:rPr>
        <w:t>Non-Affiliate Shares</w:t>
      </w:r>
      <w:r>
        <w:rPr>
          <w:rFonts w:ascii="Times New Roman" w:cs="Times New Roman" w:eastAsia="Times New Roman" w:hAnsi="Times New Roman"/>
          <w:sz w:val="14"/>
          <w:szCs w:val="14"/>
          <w:color w:val="auto"/>
        </w:rPr>
        <w:t>”), was approximately $976 million (calculated by multiplying (x) the price at which the common equity of the Company was last sold on Nasdaq on October 28, 2025 by (y) the number of Non-Affiliate Shares outstanding on October 28, 2025). The Company is not a shell company (as defined in Rule 405) and has not been a shell company for at least 12 calendar months previously.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81" w:name="page82"/>
    <w:bookmarkEnd w:id="81"/>
    <w:p>
      <w:pPr>
        <w:ind w:left="260" w:right="419" w:firstLine="341"/>
        <w:spacing w:after="0" w:line="263" w:lineRule="auto"/>
        <w:tabs>
          <w:tab w:leader="none" w:pos="84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36" w:lineRule="exact"/>
        <w:rPr>
          <w:sz w:val="20"/>
          <w:szCs w:val="20"/>
          <w:color w:val="auto"/>
        </w:rPr>
      </w:pPr>
    </w:p>
    <w:p>
      <w:pPr>
        <w:ind w:left="260" w:right="279" w:firstLine="341"/>
        <w:spacing w:after="0" w:line="255" w:lineRule="auto"/>
        <w:tabs>
          <w:tab w:leader="none" w:pos="911"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original effectiveness of the Registration Statement,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(C) at the time the Company or any person acting on its behalf (within the meaning, for this clause only, of Rule 163(c) under the Securities Act) made any offer relating to the Shares in reliance on the exemption of Rule 163 under the Securities Act, the Company was and is a “well-known seasoned issuer” (as defined in Rule 405).</w:t>
      </w:r>
    </w:p>
    <w:p>
      <w:pPr>
        <w:spacing w:after="0" w:line="143" w:lineRule="exact"/>
        <w:rPr>
          <w:sz w:val="20"/>
          <w:szCs w:val="20"/>
          <w:color w:val="auto"/>
        </w:rPr>
      </w:pPr>
    </w:p>
    <w:p>
      <w:pPr>
        <w:ind w:left="260" w:right="459" w:firstLine="339"/>
        <w:spacing w:after="0" w:line="278" w:lineRule="auto"/>
        <w:rPr>
          <w:sz w:val="20"/>
          <w:szCs w:val="20"/>
          <w:color w:val="auto"/>
        </w:rPr>
      </w:pPr>
      <w:r>
        <w:rPr>
          <w:rFonts w:ascii="Times New Roman" w:cs="Times New Roman" w:eastAsia="Times New Roman" w:hAnsi="Times New Roman"/>
          <w:sz w:val="14"/>
          <w:szCs w:val="14"/>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4"/>
          <w:szCs w:val="14"/>
          <w:u w:val="single" w:color="auto"/>
          <w:color w:val="auto"/>
        </w:rPr>
        <w:t>Covenants of the Company</w:t>
      </w:r>
      <w:r>
        <w:rPr>
          <w:rFonts w:ascii="Times New Roman" w:cs="Times New Roman" w:eastAsia="Times New Roman" w:hAnsi="Times New Roman"/>
          <w:sz w:val="14"/>
          <w:szCs w:val="14"/>
          <w:color w:val="auto"/>
        </w:rPr>
        <w:t>. The Company covenants and agrees with the Agent that:</w:t>
      </w:r>
    </w:p>
    <w:p>
      <w:pPr>
        <w:spacing w:after="0" w:line="172" w:lineRule="exact"/>
        <w:rPr>
          <w:sz w:val="20"/>
          <w:szCs w:val="20"/>
          <w:color w:val="auto"/>
        </w:rPr>
      </w:pPr>
    </w:p>
    <w:p>
      <w:pPr>
        <w:ind w:left="260" w:right="279" w:firstLine="341"/>
        <w:spacing w:after="0" w:line="249" w:lineRule="auto"/>
        <w:tabs>
          <w:tab w:leader="none" w:pos="78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 Amendments</w:t>
      </w:r>
      <w:r>
        <w:rPr>
          <w:rFonts w:ascii="Times New Roman" w:cs="Times New Roman" w:eastAsia="Times New Roman" w:hAnsi="Times New Roman"/>
          <w:sz w:val="14"/>
          <w:szCs w:val="14"/>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82" w:name="page83"/>
    <w:bookmarkEnd w:id="82"/>
    <w:p>
      <w:pPr>
        <w:ind w:left="260" w:right="279" w:firstLine="341"/>
        <w:spacing w:after="0" w:line="253" w:lineRule="auto"/>
        <w:tabs>
          <w:tab w:leader="none" w:pos="79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Notice of Commission Stop Orders</w:t>
      </w:r>
      <w:r>
        <w:rPr>
          <w:rFonts w:ascii="Times New Roman" w:cs="Times New Roman" w:eastAsia="Times New Roman" w:hAnsi="Times New Roman"/>
          <w:sz w:val="14"/>
          <w:szCs w:val="14"/>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71" w:lineRule="auto"/>
        <w:tabs>
          <w:tab w:leader="none" w:pos="78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Prospectus; Subsequent Changes</w:t>
      </w:r>
      <w:r>
        <w:rPr>
          <w:rFonts w:ascii="Times New Roman" w:cs="Times New Roman" w:eastAsia="Times New Roman" w:hAnsi="Times New Roman"/>
          <w:sz w:val="13"/>
          <w:szCs w:val="13"/>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34" w:lineRule="exact"/>
        <w:rPr>
          <w:rFonts w:ascii="Times New Roman" w:cs="Times New Roman" w:eastAsia="Times New Roman" w:hAnsi="Times New Roman"/>
          <w:sz w:val="13"/>
          <w:szCs w:val="13"/>
          <w:color w:val="auto"/>
        </w:rPr>
      </w:pPr>
    </w:p>
    <w:p>
      <w:pPr>
        <w:ind w:left="260" w:right="459" w:firstLine="341"/>
        <w:spacing w:after="0" w:line="255" w:lineRule="auto"/>
        <w:tabs>
          <w:tab w:leader="none" w:pos="79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Listing of Placement Shares</w:t>
      </w:r>
      <w:r>
        <w:rPr>
          <w:rFonts w:ascii="Times New Roman" w:cs="Times New Roman" w:eastAsia="Times New Roman" w:hAnsi="Times New Roman"/>
          <w:sz w:val="14"/>
          <w:szCs w:val="14"/>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42" w:lineRule="exact"/>
        <w:rPr>
          <w:rFonts w:ascii="Times New Roman" w:cs="Times New Roman" w:eastAsia="Times New Roman" w:hAnsi="Times New Roman"/>
          <w:sz w:val="14"/>
          <w:szCs w:val="14"/>
          <w:color w:val="auto"/>
        </w:rPr>
      </w:pPr>
    </w:p>
    <w:p>
      <w:pPr>
        <w:ind w:left="260" w:right="339" w:firstLine="341"/>
        <w:spacing w:after="0" w:line="253" w:lineRule="auto"/>
        <w:tabs>
          <w:tab w:leader="none" w:pos="78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Registration Statement and Prospectus</w:t>
      </w:r>
      <w:r>
        <w:rPr>
          <w:rFonts w:ascii="Times New Roman" w:cs="Times New Roman" w:eastAsia="Times New Roman" w:hAnsi="Times New Roman"/>
          <w:sz w:val="14"/>
          <w:szCs w:val="14"/>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not be required to furnish any document (other than the Prospectus) to the Agent to the extent such document is available on EDGAR.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83" w:name="page84"/>
    <w:bookmarkEnd w:id="83"/>
    <w:p>
      <w:pPr>
        <w:ind w:left="260" w:right="279" w:firstLine="341"/>
        <w:spacing w:after="0" w:line="255" w:lineRule="auto"/>
        <w:tabs>
          <w:tab w:leader="none" w:pos="7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Earnings Statement</w:t>
      </w:r>
      <w:r>
        <w:rPr>
          <w:rFonts w:ascii="Times New Roman" w:cs="Times New Roman" w:eastAsia="Times New Roman" w:hAnsi="Times New Roman"/>
          <w:sz w:val="14"/>
          <w:szCs w:val="14"/>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EDGAR.</w:t>
      </w:r>
    </w:p>
    <w:p>
      <w:pPr>
        <w:spacing w:after="0" w:line="142" w:lineRule="exact"/>
        <w:rPr>
          <w:rFonts w:ascii="Times New Roman" w:cs="Times New Roman" w:eastAsia="Times New Roman" w:hAnsi="Times New Roman"/>
          <w:sz w:val="14"/>
          <w:szCs w:val="14"/>
          <w:color w:val="auto"/>
        </w:rPr>
      </w:pPr>
    </w:p>
    <w:p>
      <w:pPr>
        <w:ind w:left="260" w:right="339" w:firstLine="341"/>
        <w:spacing w:after="0" w:line="271" w:lineRule="auto"/>
        <w:tabs>
          <w:tab w:leader="none" w:pos="795"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ind w:left="260" w:right="27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(A) in an amount not to exceed $100,000 arising out of executing this Agreement and the Company’s delivery of the initial certificate pursuant to Section 7(m), (B) in an amount not to exceed $25,000 in connection with each Representation Date (as defined below) involving the filing of a Form 10-K (including any Form 10-K/A containing amended financial information or a material amendment to the previously filed Form 10-K) on which the Company is required to provide a certificate pursuant to Section 7(m) (in addition to the fees and associated expenses referred to in clause (vii) above) and (C) in an amount not to exceed $15,000 in connection with each other Representation Date (as defined below) on which the Company is required to provide a certificate pursuant to Section 7(m).</w:t>
      </w:r>
    </w:p>
    <w:p>
      <w:pPr>
        <w:spacing w:after="0" w:line="151" w:lineRule="exact"/>
        <w:rPr>
          <w:rFonts w:ascii="Times New Roman" w:cs="Times New Roman" w:eastAsia="Times New Roman" w:hAnsi="Times New Roman"/>
          <w:sz w:val="13"/>
          <w:szCs w:val="13"/>
          <w:color w:val="auto"/>
        </w:rPr>
      </w:pPr>
    </w:p>
    <w:p>
      <w:pPr>
        <w:ind w:left="800" w:hanging="199"/>
        <w:spacing w:after="0"/>
        <w:tabs>
          <w:tab w:leader="none" w:pos="8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 The Company will use the Net Proceeds as described in the Prospectus in the section entitled “Use of Proceeds.”</w:t>
      </w:r>
    </w:p>
    <w:p>
      <w:pPr>
        <w:spacing w:after="0" w:line="171" w:lineRule="exact"/>
        <w:rPr>
          <w:rFonts w:ascii="Times New Roman" w:cs="Times New Roman" w:eastAsia="Times New Roman" w:hAnsi="Times New Roman"/>
          <w:sz w:val="14"/>
          <w:szCs w:val="14"/>
          <w:color w:val="auto"/>
        </w:rPr>
      </w:pPr>
    </w:p>
    <w:p>
      <w:pPr>
        <w:ind w:left="260" w:right="299" w:firstLine="341"/>
        <w:spacing w:after="0" w:line="253" w:lineRule="auto"/>
        <w:tabs>
          <w:tab w:leader="none" w:pos="76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Other Sales</w:t>
      </w:r>
      <w:r>
        <w:rPr>
          <w:rFonts w:ascii="Times New Roman" w:cs="Times New Roman" w:eastAsia="Times New Roman" w:hAnsi="Times New Roman"/>
          <w:sz w:val="14"/>
          <w:szCs w:val="14"/>
          <w:color w:val="auto"/>
        </w:rPr>
        <w:t>.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84" w:name="page85"/>
    <w:bookmarkEnd w:id="84"/>
    <w:p>
      <w:pPr>
        <w:ind w:left="26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50" w:lineRule="exact"/>
        <w:rPr>
          <w:sz w:val="20"/>
          <w:szCs w:val="20"/>
          <w:color w:val="auto"/>
        </w:rPr>
      </w:pPr>
    </w:p>
    <w:p>
      <w:pPr>
        <w:ind w:left="260" w:right="319" w:firstLine="341"/>
        <w:spacing w:after="0" w:line="258" w:lineRule="auto"/>
        <w:tabs>
          <w:tab w:leader="none" w:pos="76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of Circumstances</w:t>
      </w:r>
      <w:r>
        <w:rPr>
          <w:rFonts w:ascii="Times New Roman" w:cs="Times New Roman" w:eastAsia="Times New Roman" w:hAnsi="Times New Roman"/>
          <w:sz w:val="14"/>
          <w:szCs w:val="14"/>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39" w:lineRule="exact"/>
        <w:rPr>
          <w:rFonts w:ascii="Times New Roman" w:cs="Times New Roman" w:eastAsia="Times New Roman" w:hAnsi="Times New Roman"/>
          <w:sz w:val="14"/>
          <w:szCs w:val="14"/>
          <w:color w:val="auto"/>
        </w:rPr>
      </w:pPr>
    </w:p>
    <w:p>
      <w:pPr>
        <w:ind w:left="260" w:right="319" w:firstLine="341"/>
        <w:spacing w:after="0" w:line="258" w:lineRule="auto"/>
        <w:tabs>
          <w:tab w:leader="none" w:pos="79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Due Diligence Cooperation</w:t>
      </w:r>
      <w:r>
        <w:rPr>
          <w:rFonts w:ascii="Times New Roman" w:cs="Times New Roman" w:eastAsia="Times New Roman" w:hAnsi="Times New Roman"/>
          <w:sz w:val="14"/>
          <w:szCs w:val="14"/>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39" w:lineRule="exact"/>
        <w:rPr>
          <w:rFonts w:ascii="Times New Roman" w:cs="Times New Roman" w:eastAsia="Times New Roman" w:hAnsi="Times New Roman"/>
          <w:sz w:val="14"/>
          <w:szCs w:val="14"/>
          <w:color w:val="auto"/>
        </w:rPr>
      </w:pPr>
    </w:p>
    <w:p>
      <w:pPr>
        <w:ind w:left="260" w:right="299" w:firstLine="341"/>
        <w:spacing w:after="0" w:line="251" w:lineRule="auto"/>
        <w:tabs>
          <w:tab w:leader="none" w:pos="76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Required Filings Relating to Placement of Placement Shares</w:t>
      </w:r>
      <w:r>
        <w:rPr>
          <w:rFonts w:ascii="Times New Roman" w:cs="Times New Roman" w:eastAsia="Times New Roman" w:hAnsi="Times New Roman"/>
          <w:sz w:val="14"/>
          <w:szCs w:val="14"/>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48" w:lineRule="exact"/>
        <w:rPr>
          <w:rFonts w:ascii="Times New Roman" w:cs="Times New Roman" w:eastAsia="Times New Roman" w:hAnsi="Times New Roman"/>
          <w:sz w:val="14"/>
          <w:szCs w:val="14"/>
          <w:color w:val="auto"/>
        </w:rPr>
      </w:pPr>
    </w:p>
    <w:p>
      <w:pPr>
        <w:ind w:left="260" w:right="379" w:firstLine="341"/>
        <w:spacing w:after="0" w:line="278" w:lineRule="auto"/>
        <w:tabs>
          <w:tab w:leader="none" w:pos="83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Dates; Certificate</w:t>
      </w:r>
      <w:r>
        <w:rPr>
          <w:rFonts w:ascii="Times New Roman" w:cs="Times New Roman" w:eastAsia="Times New Roman" w:hAnsi="Times New Roman"/>
          <w:sz w:val="14"/>
          <w:szCs w:val="14"/>
          <w:color w:val="auto"/>
        </w:rPr>
        <w:t>. On or prior to the date on which the Company first delivers a Placement Notice pursuant to this agreement (the “</w:t>
      </w:r>
      <w:r>
        <w:rPr>
          <w:rFonts w:ascii="Times New Roman" w:cs="Times New Roman" w:eastAsia="Times New Roman" w:hAnsi="Times New Roman"/>
          <w:sz w:val="14"/>
          <w:szCs w:val="14"/>
          <w:b w:val="1"/>
          <w:bCs w:val="1"/>
          <w:u w:val="single" w:color="auto"/>
          <w:color w:val="auto"/>
        </w:rPr>
        <w:t>First Placement Notice Date</w:t>
      </w:r>
      <w:r>
        <w:rPr>
          <w:rFonts w:ascii="Times New Roman" w:cs="Times New Roman" w:eastAsia="Times New Roman" w:hAnsi="Times New Roman"/>
          <w:sz w:val="14"/>
          <w:szCs w:val="14"/>
          <w:color w:val="auto"/>
        </w:rPr>
        <w:t>”) and each time the Company: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85" w:name="page86"/>
    <w:bookmarkEnd w:id="85"/>
    <w:p>
      <w:pPr>
        <w:ind w:left="260" w:right="299" w:firstLine="765"/>
        <w:spacing w:after="0" w:line="263" w:lineRule="auto"/>
        <w:tabs>
          <w:tab w:leader="none" w:pos="1189"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36" w:lineRule="exact"/>
        <w:rPr>
          <w:rFonts w:ascii="Times New Roman" w:cs="Times New Roman" w:eastAsia="Times New Roman" w:hAnsi="Times New Roman"/>
          <w:sz w:val="14"/>
          <w:szCs w:val="14"/>
          <w:color w:val="auto"/>
        </w:rPr>
      </w:pPr>
    </w:p>
    <w:p>
      <w:pPr>
        <w:ind w:left="260" w:right="279" w:firstLine="765"/>
        <w:spacing w:after="0" w:line="278" w:lineRule="auto"/>
        <w:tabs>
          <w:tab w:leader="none" w:pos="1228"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files an annual report on Form 10-K under the Exchange Act (including any Form 10-K/A containing amended financial information or a material amendment to the previously filed Form 10-K);</w:t>
      </w:r>
    </w:p>
    <w:p>
      <w:pPr>
        <w:spacing w:after="0" w:line="126" w:lineRule="exact"/>
        <w:rPr>
          <w:rFonts w:ascii="Times New Roman" w:cs="Times New Roman" w:eastAsia="Times New Roman" w:hAnsi="Times New Roman"/>
          <w:sz w:val="14"/>
          <w:szCs w:val="14"/>
          <w:color w:val="auto"/>
        </w:rPr>
      </w:pPr>
    </w:p>
    <w:p>
      <w:pPr>
        <w:ind w:left="1260" w:hanging="235"/>
        <w:spacing w:after="0"/>
        <w:tabs>
          <w:tab w:leader="none" w:pos="12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files a quarterly report on Form 10-Q under the Exchange Act; or</w:t>
      </w:r>
    </w:p>
    <w:p>
      <w:pPr>
        <w:spacing w:after="0" w:line="171" w:lineRule="exact"/>
        <w:rPr>
          <w:rFonts w:ascii="Times New Roman" w:cs="Times New Roman" w:eastAsia="Times New Roman" w:hAnsi="Times New Roman"/>
          <w:sz w:val="14"/>
          <w:szCs w:val="14"/>
          <w:color w:val="auto"/>
        </w:rPr>
      </w:pPr>
    </w:p>
    <w:p>
      <w:pPr>
        <w:ind w:left="260" w:right="579" w:firstLine="765"/>
        <w:spacing w:after="0" w:line="279" w:lineRule="auto"/>
        <w:tabs>
          <w:tab w:leader="none" w:pos="1258"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420" w:hanging="158"/>
        <w:spacing w:after="0"/>
        <w:tabs>
          <w:tab w:leader="none" w:pos="4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(iv) shall be a “</w:t>
      </w:r>
      <w:r>
        <w:rPr>
          <w:rFonts w:ascii="Times New Roman" w:cs="Times New Roman" w:eastAsia="Times New Roman" w:hAnsi="Times New Roman"/>
          <w:sz w:val="14"/>
          <w:szCs w:val="14"/>
          <w:b w:val="1"/>
          <w:bCs w:val="1"/>
          <w:u w:val="single" w:color="auto"/>
          <w:color w:val="auto"/>
        </w:rPr>
        <w:t>Representation Date</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4"/>
          <w:szCs w:val="14"/>
          <w:b w:val="1"/>
          <w:bCs w:val="1"/>
          <w:u w:val="single" w:color="auto"/>
          <w:color w:val="auto"/>
        </w:rPr>
        <w:t>Exhibit 7(m)</w:t>
      </w:r>
      <w:r>
        <w:rPr>
          <w:rFonts w:ascii="Times New Roman" w:cs="Times New Roman" w:eastAsia="Times New Roman" w:hAnsi="Times New Roman"/>
          <w:sz w:val="14"/>
          <w:szCs w:val="14"/>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4"/>
          <w:szCs w:val="14"/>
          <w:b w:val="1"/>
          <w:bCs w:val="1"/>
          <w:u w:val="single" w:color="auto"/>
          <w:color w:val="auto"/>
        </w:rPr>
        <w:t>Exhibit 7(m)</w:t>
      </w:r>
      <w:r>
        <w:rPr>
          <w:rFonts w:ascii="Times New Roman" w:cs="Times New Roman" w:eastAsia="Times New Roman" w:hAnsi="Times New Roman"/>
          <w:sz w:val="14"/>
          <w:szCs w:val="14"/>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50" w:lineRule="exact"/>
        <w:rPr>
          <w:sz w:val="20"/>
          <w:szCs w:val="20"/>
          <w:color w:val="auto"/>
        </w:rPr>
      </w:pPr>
    </w:p>
    <w:p>
      <w:pPr>
        <w:ind w:left="260" w:right="279" w:firstLine="341"/>
        <w:spacing w:after="0" w:line="251" w:lineRule="auto"/>
        <w:tabs>
          <w:tab w:leader="none" w:pos="79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Opinions</w:t>
      </w:r>
      <w:r>
        <w:rPr>
          <w:rFonts w:ascii="Times New Roman" w:cs="Times New Roman" w:eastAsia="Times New Roman" w:hAnsi="Times New Roman"/>
          <w:sz w:val="14"/>
          <w:szCs w:val="14"/>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Goodwin Procter LLP, counsel to the Company, or such other counsel satisfactory to the Agent (“</w:t>
      </w:r>
      <w:r>
        <w:rPr>
          <w:rFonts w:ascii="Times New Roman" w:cs="Times New Roman" w:eastAsia="Times New Roman" w:hAnsi="Times New Roman"/>
          <w:sz w:val="14"/>
          <w:szCs w:val="14"/>
          <w:b w:val="1"/>
          <w:bCs w:val="1"/>
          <w:u w:val="single" w:color="auto"/>
          <w:color w:val="auto"/>
        </w:rPr>
        <w:t>Company Counsel</w:t>
      </w:r>
      <w:r>
        <w:rPr>
          <w:rFonts w:ascii="Times New Roman" w:cs="Times New Roman" w:eastAsia="Times New Roman" w:hAnsi="Times New Roman"/>
          <w:sz w:val="14"/>
          <w:szCs w:val="14"/>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48" w:lineRule="exact"/>
        <w:rPr>
          <w:rFonts w:ascii="Times New Roman" w:cs="Times New Roman" w:eastAsia="Times New Roman" w:hAnsi="Times New Roman"/>
          <w:sz w:val="14"/>
          <w:szCs w:val="14"/>
          <w:color w:val="auto"/>
        </w:rPr>
      </w:pPr>
    </w:p>
    <w:p>
      <w:pPr>
        <w:ind w:left="260" w:right="399" w:firstLine="341"/>
        <w:spacing w:after="0" w:line="258" w:lineRule="auto"/>
        <w:tabs>
          <w:tab w:leader="none" w:pos="79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Intellectual Property Opinion</w:t>
      </w:r>
      <w:r>
        <w:rPr>
          <w:rFonts w:ascii="Times New Roman" w:cs="Times New Roman" w:eastAsia="Times New Roman" w:hAnsi="Times New Roman"/>
          <w:sz w:val="14"/>
          <w:szCs w:val="14"/>
          <w:color w:val="auto"/>
        </w:rPr>
        <w:t>. On or prior to the First Placement Notice Date and on any date which the Company is obligated to deliver a certificate pursuant to Section 7(m) for which no waiver is applicable, the Company shall cause to be furnished to the Agent the written opinion of Goodwin Procter LLP, counsel for the Company with respect to intellectual property matters, or such other intellectual property counsel satisfactory to the Agent (“</w:t>
      </w:r>
      <w:r>
        <w:rPr>
          <w:rFonts w:ascii="Times New Roman" w:cs="Times New Roman" w:eastAsia="Times New Roman" w:hAnsi="Times New Roman"/>
          <w:sz w:val="14"/>
          <w:szCs w:val="14"/>
          <w:b w:val="1"/>
          <w:bCs w:val="1"/>
          <w:u w:val="single" w:color="auto"/>
          <w:color w:val="auto"/>
        </w:rPr>
        <w:t>Intellectual Property Counsel</w:t>
      </w:r>
      <w:r>
        <w:rPr>
          <w:rFonts w:ascii="Times New Roman" w:cs="Times New Roman" w:eastAsia="Times New Roman" w:hAnsi="Times New Roman"/>
          <w:sz w:val="14"/>
          <w:szCs w:val="14"/>
          <w:color w:val="auto"/>
        </w:rPr>
        <w:t>”), in form and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86" w:name="page87"/>
    <w:bookmarkEnd w:id="86"/>
    <w:p>
      <w:pPr>
        <w:ind w:left="26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42" w:lineRule="exact"/>
        <w:rPr>
          <w:sz w:val="20"/>
          <w:szCs w:val="20"/>
          <w:color w:val="auto"/>
        </w:rPr>
      </w:pPr>
    </w:p>
    <w:p>
      <w:pPr>
        <w:ind w:left="260" w:right="339" w:firstLine="341"/>
        <w:spacing w:after="0" w:line="250" w:lineRule="auto"/>
        <w:tabs>
          <w:tab w:leader="none" w:pos="79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Comfort Letter</w:t>
      </w:r>
      <w:r>
        <w:rPr>
          <w:rFonts w:ascii="Times New Roman" w:cs="Times New Roman" w:eastAsia="Times New Roman" w:hAnsi="Times New Roman"/>
          <w:sz w:val="14"/>
          <w:szCs w:val="14"/>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4"/>
          <w:szCs w:val="14"/>
          <w:b w:val="1"/>
          <w:bCs w:val="1"/>
          <w:u w:val="single" w:color="auto"/>
          <w:color w:val="auto"/>
        </w:rPr>
        <w:t>Comfort Letters</w:t>
      </w:r>
      <w:r>
        <w:rPr>
          <w:rFonts w:ascii="Times New Roman" w:cs="Times New Roman" w:eastAsia="Times New Roman" w:hAnsi="Times New Roman"/>
          <w:sz w:val="14"/>
          <w:szCs w:val="14"/>
          <w:color w:val="auto"/>
        </w:rPr>
        <w:t xml:space="preserve">”), dated the date the Comfort Letter is delivered, which shall meet the requirements set forth in this Section 7(p);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4"/>
          <w:szCs w:val="14"/>
          <w:b w:val="1"/>
          <w:bCs w:val="1"/>
          <w:u w:val="single" w:color="auto"/>
          <w:color w:val="auto"/>
        </w:rPr>
        <w:t>Initial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Comfort Letter</w:t>
      </w:r>
      <w:r>
        <w:rPr>
          <w:rFonts w:ascii="Times New Roman" w:cs="Times New Roman" w:eastAsia="Times New Roman" w:hAnsi="Times New Roman"/>
          <w:sz w:val="14"/>
          <w:szCs w:val="14"/>
          <w:color w:val="auto"/>
        </w:rPr>
        <w:t>”) and (iii) update the Initial Comfort Letter with any information that would have been included in the Initial Comfort Letter had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been given on such date and modified as necessary to relate to the Registration Statement and the Prospectus, as amended and supplemented to the date of such letter.</w:t>
      </w:r>
    </w:p>
    <w:p>
      <w:pPr>
        <w:spacing w:after="0" w:line="149" w:lineRule="exact"/>
        <w:rPr>
          <w:rFonts w:ascii="Times New Roman" w:cs="Times New Roman" w:eastAsia="Times New Roman" w:hAnsi="Times New Roman"/>
          <w:sz w:val="14"/>
          <w:szCs w:val="14"/>
          <w:color w:val="auto"/>
        </w:rPr>
      </w:pPr>
    </w:p>
    <w:p>
      <w:pPr>
        <w:ind w:left="260" w:right="339" w:firstLine="341"/>
        <w:spacing w:after="0" w:line="255" w:lineRule="auto"/>
        <w:tabs>
          <w:tab w:leader="none" w:pos="79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 Activities</w:t>
      </w:r>
      <w:r>
        <w:rPr>
          <w:rFonts w:ascii="Times New Roman" w:cs="Times New Roman" w:eastAsia="Times New Roman" w:hAnsi="Times New Roman"/>
          <w:sz w:val="14"/>
          <w:szCs w:val="14"/>
          <w:color w:val="auto"/>
        </w:rPr>
        <w:t xml:space="preserve">. The Company will not, directly or indirectly, and will direct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may bid for and purchase shares of Common Stock in accordance with Rule 10b-18 under the Exchange Act.</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78" w:lineRule="auto"/>
        <w:tabs>
          <w:tab w:leader="none" w:pos="7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and its Subsidiaries shall maintain, or cause to be maintained, insurance in such amounts and covering such risks as is reasonable and customary for the business for which it is engaged.</w:t>
      </w:r>
    </w:p>
    <w:p>
      <w:pPr>
        <w:spacing w:after="0" w:line="126" w:lineRule="exact"/>
        <w:rPr>
          <w:rFonts w:ascii="Times New Roman" w:cs="Times New Roman" w:eastAsia="Times New Roman" w:hAnsi="Times New Roman"/>
          <w:sz w:val="14"/>
          <w:szCs w:val="14"/>
          <w:color w:val="auto"/>
        </w:rPr>
      </w:pPr>
    </w:p>
    <w:p>
      <w:pPr>
        <w:ind w:left="260" w:right="379" w:firstLine="341"/>
        <w:spacing w:after="0" w:line="255" w:lineRule="auto"/>
        <w:tabs>
          <w:tab w:leader="none" w:pos="7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cs="Times New Roman" w:eastAsia="Times New Roman" w:hAnsi="Times New Roman"/>
          <w:sz w:val="14"/>
          <w:szCs w:val="14"/>
          <w:b w:val="1"/>
          <w:bCs w:val="1"/>
          <w:color w:val="auto"/>
        </w:rPr>
        <w:t>Permits</w:t>
      </w:r>
      <w:r>
        <w:rPr>
          <w:rFonts w:ascii="Times New Roman" w:cs="Times New Roman" w:eastAsia="Times New Roman" w:hAnsi="Times New Roman"/>
          <w:sz w:val="14"/>
          <w:szCs w:val="14"/>
          <w:color w:val="auto"/>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Change.</w:t>
      </w:r>
    </w:p>
    <w:p>
      <w:pPr>
        <w:spacing w:after="0" w:line="142" w:lineRule="exact"/>
        <w:rPr>
          <w:rFonts w:ascii="Times New Roman" w:cs="Times New Roman" w:eastAsia="Times New Roman" w:hAnsi="Times New Roman"/>
          <w:sz w:val="14"/>
          <w:szCs w:val="14"/>
          <w:color w:val="auto"/>
        </w:rPr>
      </w:pPr>
    </w:p>
    <w:p>
      <w:pPr>
        <w:ind w:left="260" w:right="699" w:firstLine="341"/>
        <w:spacing w:after="0" w:line="263" w:lineRule="auto"/>
        <w:tabs>
          <w:tab w:leader="none" w:pos="76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Company Act</w:t>
      </w:r>
      <w:r>
        <w:rPr>
          <w:rFonts w:ascii="Times New Roman" w:cs="Times New Roman" w:eastAsia="Times New Roman" w:hAnsi="Times New Roman"/>
          <w:sz w:val="14"/>
          <w:szCs w:val="14"/>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87" w:name="page88"/>
    <w:bookmarkEnd w:id="87"/>
    <w:p>
      <w:pPr>
        <w:ind w:left="260" w:right="319" w:firstLine="341"/>
        <w:spacing w:after="0" w:line="263" w:lineRule="auto"/>
        <w:tabs>
          <w:tab w:leader="none" w:pos="7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Securities Act and Exchange Act</w:t>
      </w:r>
      <w:r>
        <w:rPr>
          <w:rFonts w:ascii="Times New Roman" w:cs="Times New Roman" w:eastAsia="Times New Roman" w:hAnsi="Times New Roman"/>
          <w:sz w:val="14"/>
          <w:szCs w:val="14"/>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36" w:lineRule="exact"/>
        <w:rPr>
          <w:rFonts w:ascii="Times New Roman" w:cs="Times New Roman" w:eastAsia="Times New Roman" w:hAnsi="Times New Roman"/>
          <w:sz w:val="14"/>
          <w:szCs w:val="14"/>
          <w:color w:val="auto"/>
        </w:rPr>
      </w:pPr>
    </w:p>
    <w:p>
      <w:pPr>
        <w:ind w:left="260" w:right="279" w:firstLine="341"/>
        <w:spacing w:after="0" w:line="258" w:lineRule="auto"/>
        <w:tabs>
          <w:tab w:leader="none" w:pos="7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Offer to Sell</w:t>
      </w:r>
      <w:r>
        <w:rPr>
          <w:rFonts w:ascii="Times New Roman" w:cs="Times New Roman" w:eastAsia="Times New Roman" w:hAnsi="Times New Roman"/>
          <w:sz w:val="14"/>
          <w:szCs w:val="14"/>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39" w:lineRule="exact"/>
        <w:rPr>
          <w:rFonts w:ascii="Times New Roman" w:cs="Times New Roman" w:eastAsia="Times New Roman" w:hAnsi="Times New Roman"/>
          <w:sz w:val="14"/>
          <w:szCs w:val="14"/>
          <w:color w:val="auto"/>
        </w:rPr>
      </w:pPr>
    </w:p>
    <w:p>
      <w:pPr>
        <w:ind w:left="260" w:right="279" w:firstLine="341"/>
        <w:spacing w:after="0" w:line="251" w:lineRule="auto"/>
        <w:tabs>
          <w:tab w:leader="none" w:pos="82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Blue Sky and Other Qualifications</w:t>
      </w:r>
      <w:r>
        <w:rPr>
          <w:rFonts w:ascii="Times New Roman" w:cs="Times New Roman" w:eastAsia="Times New Roman" w:hAnsi="Times New Roman"/>
          <w:sz w:val="14"/>
          <w:szCs w:val="14"/>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48" w:lineRule="exact"/>
        <w:rPr>
          <w:rFonts w:ascii="Times New Roman" w:cs="Times New Roman" w:eastAsia="Times New Roman" w:hAnsi="Times New Roman"/>
          <w:sz w:val="14"/>
          <w:szCs w:val="14"/>
          <w:color w:val="auto"/>
        </w:rPr>
      </w:pPr>
    </w:p>
    <w:p>
      <w:pPr>
        <w:ind w:left="260" w:right="279" w:firstLine="341"/>
        <w:spacing w:after="0" w:line="250" w:lineRule="auto"/>
        <w:tabs>
          <w:tab w:leader="none" w:pos="7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88" w:name="page89"/>
    <w:bookmarkEnd w:id="88"/>
    <w:p>
      <w:pPr>
        <w:ind w:left="260" w:right="299" w:firstLine="341"/>
        <w:spacing w:after="0" w:line="273" w:lineRule="auto"/>
        <w:tabs>
          <w:tab w:leader="none" w:pos="795"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Renewal of Registration Statement.</w:t>
      </w:r>
      <w:r>
        <w:rPr>
          <w:rFonts w:ascii="Times New Roman" w:cs="Times New Roman" w:eastAsia="Times New Roman" w:hAnsi="Times New Roman"/>
          <w:sz w:val="13"/>
          <w:szCs w:val="13"/>
          <w:color w:val="auto"/>
        </w:rPr>
        <w:t xml:space="preserve"> If, immediately prior to the third anniversary of the initial effective date of the Registration Statement (the “</w:t>
      </w:r>
      <w:r>
        <w:rPr>
          <w:rFonts w:ascii="Times New Roman" w:cs="Times New Roman" w:eastAsia="Times New Roman" w:hAnsi="Times New Roman"/>
          <w:sz w:val="13"/>
          <w:szCs w:val="13"/>
          <w:b w:val="1"/>
          <w:bCs w:val="1"/>
          <w:u w:val="single" w:color="auto"/>
          <w:color w:val="auto"/>
        </w:rPr>
        <w:t>Renewal Date</w:t>
      </w:r>
      <w:r>
        <w:rPr>
          <w:rFonts w:ascii="Times New Roman" w:cs="Times New Roman" w:eastAsia="Times New Roman" w:hAnsi="Times New Roman"/>
          <w:sz w:val="13"/>
          <w:szCs w:val="13"/>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33" w:lineRule="exact"/>
        <w:rPr>
          <w:rFonts w:ascii="Times New Roman" w:cs="Times New Roman" w:eastAsia="Times New Roman" w:hAnsi="Times New Roman"/>
          <w:sz w:val="13"/>
          <w:szCs w:val="13"/>
          <w:color w:val="auto"/>
        </w:rPr>
      </w:pPr>
    </w:p>
    <w:p>
      <w:pPr>
        <w:ind w:left="260" w:right="299" w:firstLine="341"/>
        <w:spacing w:after="0" w:line="251" w:lineRule="auto"/>
        <w:tabs>
          <w:tab w:leader="none" w:pos="78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Instruction I.B.6. of Form S-3</w:t>
      </w:r>
      <w:r>
        <w:rPr>
          <w:rFonts w:ascii="Times New Roman" w:cs="Times New Roman" w:eastAsia="Times New Roman" w:hAnsi="Times New Roman"/>
          <w:sz w:val="14"/>
          <w:szCs w:val="14"/>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48" w:lineRule="exact"/>
        <w:rPr>
          <w:sz w:val="20"/>
          <w:szCs w:val="20"/>
          <w:color w:val="auto"/>
        </w:rPr>
      </w:pPr>
    </w:p>
    <w:p>
      <w:pPr>
        <w:ind w:left="260" w:right="299" w:firstLine="341"/>
        <w:spacing w:after="0" w:line="278" w:lineRule="auto"/>
        <w:tabs>
          <w:tab w:leader="none" w:pos="849"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Indemnity</w:t>
      </w:r>
      <w:r>
        <w:rPr>
          <w:rFonts w:ascii="Times New Roman" w:cs="Times New Roman" w:eastAsia="Times New Roman" w:hAnsi="Times New Roman"/>
          <w:sz w:val="14"/>
          <w:szCs w:val="14"/>
          <w:color w:val="auto"/>
        </w:rPr>
        <w:t>. The Company will indemnify and hold harmless the Agent against any documentary, stamp or similar issue tax, including any interest and penalties, on the issue and sale of the Placement Shares.</w:t>
      </w:r>
    </w:p>
    <w:p>
      <w:pPr>
        <w:spacing w:after="0" w:line="126" w:lineRule="exact"/>
        <w:rPr>
          <w:rFonts w:ascii="Times New Roman" w:cs="Times New Roman" w:eastAsia="Times New Roman" w:hAnsi="Times New Roman"/>
          <w:sz w:val="14"/>
          <w:szCs w:val="14"/>
          <w:color w:val="auto"/>
        </w:rPr>
      </w:pPr>
    </w:p>
    <w:p>
      <w:pPr>
        <w:ind w:left="860" w:hanging="259"/>
        <w:spacing w:after="0"/>
        <w:tabs>
          <w:tab w:leader="none" w:pos="8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The Company has engaged and will maintain, at its sole expense, a transfer agent and registrar for the Common Stock.</w:t>
      </w:r>
    </w:p>
    <w:p>
      <w:pPr>
        <w:spacing w:after="0" w:line="172" w:lineRule="exact"/>
        <w:rPr>
          <w:sz w:val="20"/>
          <w:szCs w:val="20"/>
          <w:color w:val="auto"/>
        </w:rPr>
      </w:pPr>
    </w:p>
    <w:p>
      <w:pPr>
        <w:ind w:left="260" w:right="559" w:firstLine="341"/>
        <w:spacing w:after="0" w:line="258" w:lineRule="auto"/>
        <w:tabs>
          <w:tab w:leader="none" w:pos="73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to the Agent’s Obligations</w:t>
      </w:r>
      <w:r>
        <w:rPr>
          <w:rFonts w:ascii="Times New Roman" w:cs="Times New Roman" w:eastAsia="Times New Roman" w:hAnsi="Times New Roman"/>
          <w:sz w:val="14"/>
          <w:szCs w:val="14"/>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40" w:lineRule="exact"/>
        <w:rPr>
          <w:sz w:val="20"/>
          <w:szCs w:val="20"/>
          <w:color w:val="auto"/>
        </w:rPr>
      </w:pPr>
    </w:p>
    <w:p>
      <w:pPr>
        <w:ind w:left="260" w:right="599" w:firstLine="341"/>
        <w:spacing w:after="0" w:line="278" w:lineRule="auto"/>
        <w:tabs>
          <w:tab w:leader="none" w:pos="78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 Effective</w:t>
      </w:r>
      <w:r>
        <w:rPr>
          <w:rFonts w:ascii="Times New Roman" w:cs="Times New Roman" w:eastAsia="Times New Roman" w:hAnsi="Times New Roman"/>
          <w:sz w:val="14"/>
          <w:szCs w:val="14"/>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26" w:lineRule="exact"/>
        <w:rPr>
          <w:rFonts w:ascii="Times New Roman" w:cs="Times New Roman" w:eastAsia="Times New Roman" w:hAnsi="Times New Roman"/>
          <w:sz w:val="14"/>
          <w:szCs w:val="14"/>
          <w:color w:val="auto"/>
        </w:rPr>
      </w:pPr>
    </w:p>
    <w:p>
      <w:pPr>
        <w:ind w:left="260" w:right="519" w:firstLine="341"/>
        <w:spacing w:after="0" w:line="278" w:lineRule="auto"/>
        <w:tabs>
          <w:tab w:leader="none" w:pos="79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Prospectus Supplement</w:t>
      </w:r>
      <w:r>
        <w:rPr>
          <w:rFonts w:ascii="Times New Roman" w:cs="Times New Roman" w:eastAsia="Times New Roman" w:hAnsi="Times New Roman"/>
          <w:sz w:val="14"/>
          <w:szCs w:val="14"/>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89" w:name="page90"/>
    <w:bookmarkEnd w:id="89"/>
    <w:p>
      <w:pPr>
        <w:ind w:left="260" w:right="279" w:firstLine="341"/>
        <w:spacing w:after="0" w:line="271" w:lineRule="auto"/>
        <w:tabs>
          <w:tab w:leader="none" w:pos="78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Material Notices</w:t>
      </w:r>
      <w:r>
        <w:rPr>
          <w:rFonts w:ascii="Times New Roman" w:cs="Times New Roman" w:eastAsia="Times New Roman" w:hAnsi="Times New Roman"/>
          <w:sz w:val="13"/>
          <w:szCs w:val="13"/>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37" w:lineRule="exact"/>
        <w:rPr>
          <w:rFonts w:ascii="Times New Roman" w:cs="Times New Roman" w:eastAsia="Times New Roman" w:hAnsi="Times New Roman"/>
          <w:sz w:val="13"/>
          <w:szCs w:val="13"/>
          <w:color w:val="auto"/>
        </w:rPr>
      </w:pPr>
    </w:p>
    <w:p>
      <w:pPr>
        <w:ind w:left="260" w:right="339" w:firstLine="341"/>
        <w:spacing w:after="0" w:line="263" w:lineRule="auto"/>
        <w:tabs>
          <w:tab w:leader="none" w:pos="79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Misstatement or Material Omission</w:t>
      </w:r>
      <w:r>
        <w:rPr>
          <w:rFonts w:ascii="Times New Roman" w:cs="Times New Roman" w:eastAsia="Times New Roman" w:hAnsi="Times New Roman"/>
          <w:sz w:val="14"/>
          <w:szCs w:val="14"/>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36" w:lineRule="exact"/>
        <w:rPr>
          <w:rFonts w:ascii="Times New Roman" w:cs="Times New Roman" w:eastAsia="Times New Roman" w:hAnsi="Times New Roman"/>
          <w:sz w:val="14"/>
          <w:szCs w:val="14"/>
          <w:color w:val="auto"/>
        </w:rPr>
      </w:pPr>
    </w:p>
    <w:p>
      <w:pPr>
        <w:ind w:left="260" w:right="299" w:firstLine="341"/>
        <w:spacing w:after="0" w:line="275" w:lineRule="auto"/>
        <w:tabs>
          <w:tab w:leader="none" w:pos="78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Material Changes</w:t>
      </w:r>
      <w:r>
        <w:rPr>
          <w:rFonts w:ascii="Times New Roman" w:cs="Times New Roman" w:eastAsia="Times New Roman" w:hAnsi="Times New Roman"/>
          <w:sz w:val="13"/>
          <w:szCs w:val="13"/>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31" w:lineRule="exact"/>
        <w:rPr>
          <w:rFonts w:ascii="Times New Roman" w:cs="Times New Roman" w:eastAsia="Times New Roman" w:hAnsi="Times New Roman"/>
          <w:sz w:val="13"/>
          <w:szCs w:val="13"/>
          <w:color w:val="auto"/>
        </w:rPr>
      </w:pPr>
    </w:p>
    <w:p>
      <w:pPr>
        <w:ind w:left="260" w:right="559" w:firstLine="341"/>
        <w:spacing w:after="0" w:line="292" w:lineRule="auto"/>
        <w:tabs>
          <w:tab w:leader="none" w:pos="772"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Counsel Legal Opinions</w:t>
      </w:r>
      <w:r>
        <w:rPr>
          <w:rFonts w:ascii="Times New Roman" w:cs="Times New Roman" w:eastAsia="Times New Roman" w:hAnsi="Times New Roman"/>
          <w:sz w:val="13"/>
          <w:szCs w:val="13"/>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19" w:lineRule="exact"/>
        <w:rPr>
          <w:rFonts w:ascii="Times New Roman" w:cs="Times New Roman" w:eastAsia="Times New Roman" w:hAnsi="Times New Roman"/>
          <w:sz w:val="13"/>
          <w:szCs w:val="13"/>
          <w:color w:val="auto"/>
        </w:rPr>
      </w:pPr>
    </w:p>
    <w:p>
      <w:pPr>
        <w:ind w:left="260" w:right="359" w:firstLine="341"/>
        <w:spacing w:after="0" w:line="258" w:lineRule="auto"/>
        <w:tabs>
          <w:tab w:leader="none" w:pos="79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Agent’s Counsel Legal Opinion</w:t>
      </w:r>
      <w:r>
        <w:rPr>
          <w:rFonts w:ascii="Times New Roman" w:cs="Times New Roman" w:eastAsia="Times New Roman" w:hAnsi="Times New Roman"/>
          <w:sz w:val="14"/>
          <w:szCs w:val="14"/>
          <w:color w:val="auto"/>
        </w:rPr>
        <w:t>. The Agent shall have received from Cooley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90" w:name="page91"/>
    <w:bookmarkEnd w:id="90"/>
    <w:p>
      <w:pPr>
        <w:ind w:left="260" w:right="479" w:firstLine="341"/>
        <w:spacing w:after="0" w:line="278" w:lineRule="auto"/>
        <w:tabs>
          <w:tab w:leader="none" w:pos="795"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Comfort Letter</w:t>
      </w:r>
      <w:r>
        <w:rPr>
          <w:rFonts w:ascii="Times New Roman" w:cs="Times New Roman" w:eastAsia="Times New Roman" w:hAnsi="Times New Roman"/>
          <w:sz w:val="14"/>
          <w:szCs w:val="14"/>
          <w:color w:val="auto"/>
        </w:rPr>
        <w:t>. The Agent shall have received the Comfort Letter required to be delivered pursuant to Section 7(p) on or before the date on which such delivery of such Comfort Letter is required pursuant to Section 7(p).</w:t>
      </w:r>
    </w:p>
    <w:p>
      <w:pPr>
        <w:spacing w:after="0" w:line="126" w:lineRule="exact"/>
        <w:rPr>
          <w:rFonts w:ascii="Times New Roman" w:cs="Times New Roman" w:eastAsia="Times New Roman" w:hAnsi="Times New Roman"/>
          <w:sz w:val="14"/>
          <w:szCs w:val="14"/>
          <w:color w:val="auto"/>
        </w:rPr>
      </w:pPr>
    </w:p>
    <w:p>
      <w:pPr>
        <w:ind w:left="260" w:right="319" w:firstLine="341"/>
        <w:spacing w:after="0" w:line="278" w:lineRule="auto"/>
        <w:tabs>
          <w:tab w:leader="none" w:pos="765"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Certificate</w:t>
      </w:r>
      <w:r>
        <w:rPr>
          <w:rFonts w:ascii="Times New Roman" w:cs="Times New Roman" w:eastAsia="Times New Roman" w:hAnsi="Times New Roman"/>
          <w:sz w:val="14"/>
          <w:szCs w:val="14"/>
          <w:color w:val="auto"/>
        </w:rPr>
        <w:t>. The Agent shall have received the certificate required to be delivered pursuant to Section 7(m) on or before the date on which delivery of such certificate is required pursuant to Section 7(m).</w:t>
      </w:r>
    </w:p>
    <w:p>
      <w:pPr>
        <w:spacing w:after="0" w:line="126" w:lineRule="exact"/>
        <w:rPr>
          <w:rFonts w:ascii="Times New Roman" w:cs="Times New Roman" w:eastAsia="Times New Roman" w:hAnsi="Times New Roman"/>
          <w:sz w:val="14"/>
          <w:szCs w:val="14"/>
          <w:color w:val="auto"/>
        </w:rPr>
      </w:pPr>
    </w:p>
    <w:p>
      <w:pPr>
        <w:ind w:left="260" w:right="339" w:firstLine="341"/>
        <w:spacing w:after="0" w:line="253" w:lineRule="auto"/>
        <w:tabs>
          <w:tab w:leader="none" w:pos="765"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260" w:right="579" w:firstLine="341"/>
        <w:spacing w:after="0" w:line="278" w:lineRule="auto"/>
        <w:tabs>
          <w:tab w:leader="none" w:pos="795"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Suspension</w:t>
      </w:r>
      <w:r>
        <w:rPr>
          <w:rFonts w:ascii="Times New Roman" w:cs="Times New Roman" w:eastAsia="Times New Roman" w:hAnsi="Times New Roman"/>
          <w:sz w:val="14"/>
          <w:szCs w:val="14"/>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126" w:lineRule="exact"/>
        <w:rPr>
          <w:rFonts w:ascii="Times New Roman" w:cs="Times New Roman" w:eastAsia="Times New Roman" w:hAnsi="Times New Roman"/>
          <w:sz w:val="14"/>
          <w:szCs w:val="14"/>
          <w:color w:val="auto"/>
        </w:rPr>
      </w:pPr>
    </w:p>
    <w:p>
      <w:pPr>
        <w:ind w:left="260" w:right="579" w:firstLine="341"/>
        <w:spacing w:after="0" w:line="255" w:lineRule="auto"/>
        <w:tabs>
          <w:tab w:leader="none" w:pos="765"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Materials</w:t>
      </w:r>
      <w:r>
        <w:rPr>
          <w:rFonts w:ascii="Times New Roman" w:cs="Times New Roman" w:eastAsia="Times New Roman" w:hAnsi="Times New Roman"/>
          <w:sz w:val="14"/>
          <w:szCs w:val="14"/>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63" w:lineRule="auto"/>
        <w:tabs>
          <w:tab w:leader="none" w:pos="834"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Act Filings Made</w:t>
      </w:r>
      <w:r>
        <w:rPr>
          <w:rFonts w:ascii="Times New Roman" w:cs="Times New Roman" w:eastAsia="Times New Roman" w:hAnsi="Times New Roman"/>
          <w:sz w:val="14"/>
          <w:szCs w:val="14"/>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36" w:lineRule="exact"/>
        <w:rPr>
          <w:rFonts w:ascii="Times New Roman" w:cs="Times New Roman" w:eastAsia="Times New Roman" w:hAnsi="Times New Roman"/>
          <w:sz w:val="14"/>
          <w:szCs w:val="14"/>
          <w:color w:val="auto"/>
        </w:rPr>
      </w:pPr>
    </w:p>
    <w:p>
      <w:pPr>
        <w:ind w:left="800" w:hanging="199"/>
        <w:spacing w:after="0"/>
        <w:tabs>
          <w:tab w:leader="none" w:pos="80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Approval for Listing</w:t>
      </w:r>
      <w:r>
        <w:rPr>
          <w:rFonts w:ascii="Times New Roman" w:cs="Times New Roman" w:eastAsia="Times New Roman" w:hAnsi="Times New Roman"/>
          <w:sz w:val="14"/>
          <w:szCs w:val="14"/>
          <w:color w:val="auto"/>
        </w:rPr>
        <w:t>. Either (i) the Placement Shares shall have been approved for listing on Nasdaq, subject only to notice of issuance, or</w:t>
      </w:r>
    </w:p>
    <w:p>
      <w:pPr>
        <w:spacing w:after="0" w:line="20" w:lineRule="exact"/>
        <w:rPr>
          <w:rFonts w:ascii="Times New Roman" w:cs="Times New Roman" w:eastAsia="Times New Roman" w:hAnsi="Times New Roman"/>
          <w:sz w:val="14"/>
          <w:szCs w:val="14"/>
          <w:color w:val="auto"/>
        </w:rPr>
      </w:pPr>
    </w:p>
    <w:p>
      <w:pPr>
        <w:ind w:left="260" w:right="699" w:firstLine="2"/>
        <w:spacing w:after="0" w:line="256" w:lineRule="auto"/>
        <w:tabs>
          <w:tab w:leader="none" w:pos="464"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40" w:lineRule="exact"/>
        <w:rPr>
          <w:rFonts w:ascii="Times New Roman" w:cs="Times New Roman" w:eastAsia="Times New Roman" w:hAnsi="Times New Roman"/>
          <w:sz w:val="14"/>
          <w:szCs w:val="14"/>
          <w:color w:val="auto"/>
        </w:rPr>
      </w:pPr>
    </w:p>
    <w:p>
      <w:pPr>
        <w:ind w:left="260" w:right="359" w:firstLine="341"/>
        <w:spacing w:after="0" w:line="278" w:lineRule="auto"/>
        <w:tabs>
          <w:tab w:leader="none" w:pos="795"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FINRA shall have raised no objection to the terms of the offering contemplated hereby and the amount of compensation allowable or payable to the Agent as described in the Prospectus.</w:t>
      </w:r>
    </w:p>
    <w:p>
      <w:pPr>
        <w:spacing w:after="0" w:line="126" w:lineRule="exact"/>
        <w:rPr>
          <w:rFonts w:ascii="Times New Roman" w:cs="Times New Roman" w:eastAsia="Times New Roman" w:hAnsi="Times New Roman"/>
          <w:sz w:val="14"/>
          <w:szCs w:val="14"/>
          <w:color w:val="auto"/>
        </w:rPr>
      </w:pPr>
    </w:p>
    <w:p>
      <w:pPr>
        <w:ind w:left="800" w:hanging="199"/>
        <w:spacing w:after="0"/>
        <w:tabs>
          <w:tab w:leader="none" w:pos="80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Termination Event</w:t>
      </w:r>
      <w:r>
        <w:rPr>
          <w:rFonts w:ascii="Times New Roman" w:cs="Times New Roman" w:eastAsia="Times New Roman" w:hAnsi="Times New Roman"/>
          <w:sz w:val="14"/>
          <w:szCs w:val="14"/>
          <w:color w:val="auto"/>
        </w:rPr>
        <w:t>. There shall not have occurred any event that would permit the Agent to terminate this Agreement pursuant to</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11(a).</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91" w:name="page92"/>
    <w:bookmarkEnd w:id="91"/>
    <w:p>
      <w:pPr>
        <w:ind w:left="740" w:hanging="139"/>
        <w:spacing w:after="0"/>
        <w:tabs>
          <w:tab w:leader="none" w:pos="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Indemnification and Contribution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60" w:right="299" w:firstLine="341"/>
        <w:spacing w:after="0" w:line="249" w:lineRule="auto"/>
        <w:tabs>
          <w:tab w:leader="none" w:pos="78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Indemnification</w:t>
      </w:r>
      <w:r>
        <w:rPr>
          <w:rFonts w:ascii="Times New Roman" w:cs="Times New Roman" w:eastAsia="Times New Roman" w:hAnsi="Times New Roman"/>
          <w:sz w:val="14"/>
          <w:szCs w:val="14"/>
          <w:color w:val="auto"/>
        </w:rPr>
        <w:t xml:space="preserve">. The Company agrees to indemnify and hold harmless the Agent, its affiliates and their respective partners, members, directors, officers and employees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therein or necessary to make the statements therein (solely with respect to the Prospectus, in light of the circumstances under which they were made) not misleading and to reimburse the Agent and each such officer, director and controlling person for any and all expenses (including the reasonable and documented fees and disbursements of one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indemnity agreement shall not apply to the extent that such loss, claim, liability, expense or damage arises from the sale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52" w:lineRule="exact"/>
        <w:rPr>
          <w:rFonts w:ascii="Times New Roman" w:cs="Times New Roman" w:eastAsia="Times New Roman" w:hAnsi="Times New Roman"/>
          <w:sz w:val="14"/>
          <w:szCs w:val="14"/>
          <w:color w:val="auto"/>
        </w:rPr>
      </w:pPr>
    </w:p>
    <w:p>
      <w:pPr>
        <w:ind w:left="260" w:right="279" w:firstLine="341"/>
        <w:spacing w:after="0" w:line="251" w:lineRule="auto"/>
        <w:tabs>
          <w:tab w:leader="none" w:pos="79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 Indemnification</w:t>
      </w:r>
      <w:r>
        <w:rPr>
          <w:rFonts w:ascii="Times New Roman" w:cs="Times New Roman" w:eastAsia="Times New Roman" w:hAnsi="Times New Roman"/>
          <w:sz w:val="14"/>
          <w:szCs w:val="14"/>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This indemnity agreement will be in addition to any liability that the Agent might otherwise have.</w:t>
      </w:r>
    </w:p>
    <w:p>
      <w:pPr>
        <w:spacing w:after="0" w:line="146" w:lineRule="exact"/>
        <w:rPr>
          <w:rFonts w:ascii="Times New Roman" w:cs="Times New Roman" w:eastAsia="Times New Roman" w:hAnsi="Times New Roman"/>
          <w:sz w:val="14"/>
          <w:szCs w:val="14"/>
          <w:color w:val="auto"/>
        </w:rPr>
      </w:pPr>
    </w:p>
    <w:p>
      <w:pPr>
        <w:ind w:left="260" w:right="359" w:firstLine="341"/>
        <w:spacing w:after="0" w:line="254" w:lineRule="auto"/>
        <w:tabs>
          <w:tab w:leader="none" w:pos="78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92" w:name="page93"/>
    <w:bookmarkEnd w:id="92"/>
    <w:p>
      <w:pPr>
        <w:ind w:left="260" w:right="3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49" w:lineRule="exact"/>
        <w:rPr>
          <w:sz w:val="20"/>
          <w:szCs w:val="20"/>
          <w:color w:val="auto"/>
        </w:rPr>
      </w:pPr>
    </w:p>
    <w:p>
      <w:pPr>
        <w:ind w:left="260" w:right="359" w:firstLine="341"/>
        <w:spacing w:after="0" w:line="254" w:lineRule="auto"/>
        <w:tabs>
          <w:tab w:leader="none" w:pos="795"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Without Consent if Failure to Reimburse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44" w:lineRule="exact"/>
        <w:rPr>
          <w:rFonts w:ascii="Times New Roman" w:cs="Times New Roman" w:eastAsia="Times New Roman" w:hAnsi="Times New Roman"/>
          <w:sz w:val="14"/>
          <w:szCs w:val="14"/>
          <w:color w:val="auto"/>
        </w:rPr>
      </w:pPr>
    </w:p>
    <w:p>
      <w:pPr>
        <w:ind w:left="260" w:right="579" w:firstLine="341"/>
        <w:spacing w:after="0" w:line="258" w:lineRule="auto"/>
        <w:tabs>
          <w:tab w:leader="none" w:pos="78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93" w:name="page94"/>
    <w:bookmarkEnd w:id="93"/>
    <w:p>
      <w:pPr>
        <w:ind w:left="260" w:right="2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145" w:lineRule="exact"/>
        <w:rPr>
          <w:sz w:val="20"/>
          <w:szCs w:val="20"/>
          <w:color w:val="auto"/>
        </w:rPr>
      </w:pPr>
    </w:p>
    <w:p>
      <w:pPr>
        <w:ind w:left="260" w:right="439" w:firstLine="341"/>
        <w:spacing w:after="0" w:line="255" w:lineRule="auto"/>
        <w:tabs>
          <w:tab w:leader="none" w:pos="80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Agreements to Survive Delivery</w:t>
      </w:r>
      <w:r>
        <w:rPr>
          <w:rFonts w:ascii="Times New Roman" w:cs="Times New Roman" w:eastAsia="Times New Roman" w:hAnsi="Times New Roman"/>
          <w:sz w:val="14"/>
          <w:szCs w:val="14"/>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94" w:name="page95"/>
    <w:bookmarkEnd w:id="94"/>
    <w:p>
      <w:pPr>
        <w:ind w:left="800" w:hanging="199"/>
        <w:spacing w:after="0"/>
        <w:tabs>
          <w:tab w:leader="none" w:pos="8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Termination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60" w:right="279" w:firstLine="341"/>
        <w:spacing w:after="0" w:line="250" w:lineRule="auto"/>
        <w:tabs>
          <w:tab w:leader="none" w:pos="78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Agent shall have the right, by giving notice as hereinafter specified, at any time to terminate this Agreement if (i) any Material Adverse Change, or any development that could reasonably be expected to result in a Material Adverse Change,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46" w:lineRule="exact"/>
        <w:rPr>
          <w:rFonts w:ascii="Times New Roman" w:cs="Times New Roman" w:eastAsia="Times New Roman" w:hAnsi="Times New Roman"/>
          <w:sz w:val="14"/>
          <w:szCs w:val="14"/>
          <w:color w:val="auto"/>
        </w:rPr>
      </w:pPr>
    </w:p>
    <w:p>
      <w:pPr>
        <w:ind w:left="260" w:right="339" w:firstLine="341"/>
        <w:spacing w:after="0" w:line="258" w:lineRule="auto"/>
        <w:tabs>
          <w:tab w:leader="none" w:pos="79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39" w:lineRule="exact"/>
        <w:rPr>
          <w:rFonts w:ascii="Times New Roman" w:cs="Times New Roman" w:eastAsia="Times New Roman" w:hAnsi="Times New Roman"/>
          <w:sz w:val="14"/>
          <w:szCs w:val="14"/>
          <w:color w:val="auto"/>
        </w:rPr>
      </w:pPr>
    </w:p>
    <w:p>
      <w:pPr>
        <w:ind w:left="260" w:right="319" w:firstLine="341"/>
        <w:spacing w:after="0" w:line="258" w:lineRule="auto"/>
        <w:tabs>
          <w:tab w:leader="none" w:pos="78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39" w:lineRule="exact"/>
        <w:rPr>
          <w:rFonts w:ascii="Times New Roman" w:cs="Times New Roman" w:eastAsia="Times New Roman" w:hAnsi="Times New Roman"/>
          <w:sz w:val="14"/>
          <w:szCs w:val="14"/>
          <w:color w:val="auto"/>
        </w:rPr>
      </w:pPr>
    </w:p>
    <w:p>
      <w:pPr>
        <w:ind w:left="260" w:right="419" w:firstLine="341"/>
        <w:spacing w:after="0" w:line="263" w:lineRule="auto"/>
        <w:tabs>
          <w:tab w:leader="none" w:pos="79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provisions of Section 7(g), Section 9, Section 10, Section 11(f), Section 16 and Section 17 hereof shall remain in full force and effect notwithstanding such termination.</w:t>
      </w:r>
    </w:p>
    <w:p>
      <w:pPr>
        <w:spacing w:after="0" w:line="136" w:lineRule="exact"/>
        <w:rPr>
          <w:rFonts w:ascii="Times New Roman" w:cs="Times New Roman" w:eastAsia="Times New Roman" w:hAnsi="Times New Roman"/>
          <w:sz w:val="14"/>
          <w:szCs w:val="14"/>
          <w:color w:val="auto"/>
        </w:rPr>
      </w:pPr>
    </w:p>
    <w:p>
      <w:pPr>
        <w:ind w:left="260" w:right="339" w:firstLine="341"/>
        <w:spacing w:after="0" w:line="263" w:lineRule="auto"/>
        <w:tabs>
          <w:tab w:leader="none" w:pos="78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such termination by mutual agreement shall in all cases be deemed to provide that Section 7(g), Section 9, Section 10, Section 11(f), Section 16 and Section 17 shall remain in full force and effect.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95" w:name="page96"/>
    <w:bookmarkEnd w:id="95"/>
    <w:p>
      <w:pPr>
        <w:ind w:left="260" w:right="379" w:firstLine="341"/>
        <w:spacing w:after="0" w:line="254" w:lineRule="auto"/>
        <w:tabs>
          <w:tab w:leader="none" w:pos="77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Any termination of this Agreement shall be effective on the date specified in such notice of termination;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remain obligated to reimburse the Agent’s expenses pursuant to Section 7(g).</w:t>
      </w:r>
    </w:p>
    <w:p>
      <w:pPr>
        <w:spacing w:after="0" w:line="144" w:lineRule="exact"/>
        <w:rPr>
          <w:sz w:val="20"/>
          <w:szCs w:val="20"/>
          <w:color w:val="auto"/>
        </w:rPr>
      </w:pPr>
    </w:p>
    <w:p>
      <w:pPr>
        <w:ind w:left="260" w:right="499" w:firstLine="341"/>
        <w:spacing w:after="0" w:line="278" w:lineRule="auto"/>
        <w:tabs>
          <w:tab w:leader="none" w:pos="80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Leerink Partners LLC</w:t>
      </w:r>
    </w:p>
    <w:p>
      <w:pPr>
        <w:ind w:left="600"/>
        <w:spacing w:after="0" w:line="195" w:lineRule="auto"/>
        <w:rPr>
          <w:sz w:val="20"/>
          <w:szCs w:val="20"/>
          <w:color w:val="auto"/>
        </w:rPr>
      </w:pPr>
      <w:r>
        <w:rPr>
          <w:rFonts w:ascii="Times New Roman" w:cs="Times New Roman" w:eastAsia="Times New Roman" w:hAnsi="Times New Roman"/>
          <w:sz w:val="14"/>
          <w:szCs w:val="14"/>
          <w:color w:val="auto"/>
        </w:rPr>
        <w:t>1301 Avenue of the Americas,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Peter M. Fry</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peter.fry@leerink.com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Leerink Partners LLC</w:t>
      </w:r>
    </w:p>
    <w:p>
      <w:pPr>
        <w:ind w:left="600"/>
        <w:spacing w:after="0" w:line="195" w:lineRule="auto"/>
        <w:rPr>
          <w:sz w:val="20"/>
          <w:szCs w:val="20"/>
          <w:color w:val="auto"/>
        </w:rPr>
      </w:pPr>
      <w:r>
        <w:rPr>
          <w:rFonts w:ascii="Times New Roman" w:cs="Times New Roman" w:eastAsia="Times New Roman" w:hAnsi="Times New Roman"/>
          <w:sz w:val="14"/>
          <w:szCs w:val="14"/>
          <w:color w:val="auto"/>
        </w:rPr>
        <w:t>1301 Avenue of the Americas,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Legal Department</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LegalNotice@leerink.com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and</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Cooley LLP</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55 Hudson Yards</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New York, New York 10001</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Daniel I. Goldberg</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dgoldberg@cooley.com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and if to the Company, shall be delivered to:</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Tango Therapeutics, Inc.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201 Brookline Avenue, Suite 901</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Chief Financial Officer</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dbeckman@tangotx.com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21" w:lineRule="exact"/>
        <w:rPr>
          <w:sz w:val="20"/>
          <w:szCs w:val="20"/>
          <w:color w:val="auto"/>
        </w:rPr>
      </w:pPr>
    </w:p>
    <w:p>
      <w:pPr>
        <w:ind w:left="600" w:right="6779" w:firstLine="1"/>
        <w:spacing w:after="0" w:line="267" w:lineRule="auto"/>
        <w:tabs>
          <w:tab w:leader="none" w:pos="842"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Northern Avenue Boston, Massachusetts 02210</w:t>
      </w: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Attention: Sarah Ashfaq, Esq. and Katherine Hand, Esq.</w:t>
      </w:r>
    </w:p>
    <w:p>
      <w:pPr>
        <w:spacing w:after="0" w:line="5" w:lineRule="exact"/>
        <w:rPr>
          <w:rFonts w:ascii="Times New Roman" w:cs="Times New Roman" w:eastAsia="Times New Roman" w:hAnsi="Times New Roman"/>
          <w:sz w:val="13"/>
          <w:szCs w:val="13"/>
          <w:color w:val="auto"/>
        </w:rPr>
      </w:pP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E-mail: SAshfaq@goodwinlaw.com; khand@goodwinlaw.com</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7" w:right="1440" w:bottom="1440" w:gutter="0" w:footer="0" w:header="0"/>
        </w:sectPr>
      </w:pPr>
    </w:p>
    <w:bookmarkStart w:id="96" w:name="page97"/>
    <w:bookmarkEnd w:id="96"/>
    <w:p>
      <w:pPr>
        <w:ind w:left="260" w:right="33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ind w:left="260" w:right="299" w:firstLine="2"/>
        <w:spacing w:after="0" w:line="252" w:lineRule="auto"/>
        <w:tabs>
          <w:tab w:leader="none" w:pos="503"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4"/>
          <w:szCs w:val="14"/>
          <w:b w:val="1"/>
          <w:bCs w:val="1"/>
          <w:u w:val="single" w:color="auto"/>
          <w:color w:val="auto"/>
        </w:rPr>
        <w:t>Business Day</w:t>
      </w:r>
      <w:r>
        <w:rPr>
          <w:rFonts w:ascii="Times New Roman" w:cs="Times New Roman" w:eastAsia="Times New Roman" w:hAnsi="Times New Roman"/>
          <w:sz w:val="14"/>
          <w:szCs w:val="14"/>
          <w:color w:val="auto"/>
        </w:rPr>
        <w:t>” shall mean any day on which the Nasdaq and commercial banks in the City of New York are open for business.</w:t>
      </w:r>
    </w:p>
    <w:p>
      <w:pPr>
        <w:spacing w:after="0" w:line="141" w:lineRule="exact"/>
        <w:rPr>
          <w:sz w:val="20"/>
          <w:szCs w:val="20"/>
          <w:color w:val="auto"/>
        </w:rPr>
      </w:pPr>
    </w:p>
    <w:p>
      <w:pPr>
        <w:ind w:left="260" w:right="299"/>
        <w:spacing w:after="0" w:line="256" w:lineRule="auto"/>
        <w:rPr>
          <w:sz w:val="20"/>
          <w:szCs w:val="20"/>
          <w:color w:val="auto"/>
        </w:rPr>
      </w:pPr>
      <w:r>
        <w:rPr>
          <w:rFonts w:ascii="Times New Roman" w:cs="Times New Roman" w:eastAsia="Times New Roman" w:hAnsi="Times New Roman"/>
          <w:sz w:val="14"/>
          <w:szCs w:val="14"/>
          <w:color w:val="auto"/>
        </w:rPr>
        <w:t>An electronic communication (“</w:t>
      </w:r>
      <w:r>
        <w:rPr>
          <w:rFonts w:ascii="Times New Roman" w:cs="Times New Roman" w:eastAsia="Times New Roman" w:hAnsi="Times New Roman"/>
          <w:sz w:val="14"/>
          <w:szCs w:val="14"/>
          <w:b w:val="1"/>
          <w:bCs w:val="1"/>
          <w:u w:val="single" w:color="auto"/>
          <w:color w:val="auto"/>
        </w:rPr>
        <w:t>Electronic Notice</w:t>
      </w:r>
      <w:r>
        <w:rPr>
          <w:rFonts w:ascii="Times New Roman" w:cs="Times New Roman" w:eastAsia="Times New Roman" w:hAnsi="Times New Roman"/>
          <w:sz w:val="14"/>
          <w:szCs w:val="14"/>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4"/>
          <w:szCs w:val="14"/>
          <w:b w:val="1"/>
          <w:bCs w:val="1"/>
          <w:u w:val="single" w:color="auto"/>
          <w:color w:val="auto"/>
        </w:rPr>
        <w:t>Nonelectronic Notice</w:t>
      </w:r>
      <w:r>
        <w:rPr>
          <w:rFonts w:ascii="Times New Roman" w:cs="Times New Roman" w:eastAsia="Times New Roman" w:hAnsi="Times New Roman"/>
          <w:sz w:val="14"/>
          <w:szCs w:val="14"/>
          <w:color w:val="auto"/>
        </w:rPr>
        <w:t>”), which shall be sent to the requesting party within 10 days of receipt of the written request for Nonelectronic Notice.</w:t>
      </w:r>
    </w:p>
    <w:p>
      <w:pPr>
        <w:spacing w:after="0" w:line="142" w:lineRule="exact"/>
        <w:rPr>
          <w:sz w:val="20"/>
          <w:szCs w:val="20"/>
          <w:color w:val="auto"/>
        </w:rPr>
      </w:pPr>
    </w:p>
    <w:p>
      <w:pPr>
        <w:ind w:left="260" w:right="319" w:firstLine="341"/>
        <w:spacing w:after="0" w:line="252" w:lineRule="auto"/>
        <w:tabs>
          <w:tab w:leader="none" w:pos="80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Agent may assign its rights and obligations hereunder to an affiliate of the Agent without obtaining the Company’s consent, so long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affiliate is a registered broker-dealer.</w:t>
      </w:r>
    </w:p>
    <w:p>
      <w:pPr>
        <w:spacing w:after="0" w:line="145" w:lineRule="exact"/>
        <w:rPr>
          <w:rFonts w:ascii="Times New Roman" w:cs="Times New Roman" w:eastAsia="Times New Roman" w:hAnsi="Times New Roman"/>
          <w:sz w:val="14"/>
          <w:szCs w:val="14"/>
          <w:color w:val="auto"/>
        </w:rPr>
      </w:pPr>
    </w:p>
    <w:p>
      <w:pPr>
        <w:ind w:left="260" w:right="359" w:firstLine="341"/>
        <w:spacing w:after="0" w:line="278" w:lineRule="auto"/>
        <w:tabs>
          <w:tab w:leader="none" w:pos="80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Share Splits</w:t>
      </w:r>
      <w:r>
        <w:rPr>
          <w:rFonts w:ascii="Times New Roman" w:cs="Times New Roman" w:eastAsia="Times New Roman" w:hAnsi="Times New Roman"/>
          <w:sz w:val="14"/>
          <w:szCs w:val="14"/>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26" w:lineRule="exact"/>
        <w:rPr>
          <w:rFonts w:ascii="Times New Roman" w:cs="Times New Roman" w:eastAsia="Times New Roman" w:hAnsi="Times New Roman"/>
          <w:sz w:val="14"/>
          <w:szCs w:val="14"/>
          <w:color w:val="auto"/>
        </w:rPr>
      </w:pPr>
    </w:p>
    <w:p>
      <w:pPr>
        <w:ind w:left="260" w:right="319" w:firstLine="341"/>
        <w:spacing w:after="0" w:line="250" w:lineRule="auto"/>
        <w:tabs>
          <w:tab w:leader="none" w:pos="80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Amendment; Severability; Waiver</w:t>
      </w:r>
      <w:r>
        <w:rPr>
          <w:rFonts w:ascii="Times New Roman" w:cs="Times New Roman" w:eastAsia="Times New Roman" w:hAnsi="Times New Roman"/>
          <w:sz w:val="14"/>
          <w:szCs w:val="14"/>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of this Agreement may be amended by either party from time to time by sending a notice containing a revised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to the other party in the manner provided in Section 12 and, upon such amendment, all references herein to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shall automatically be deemed to refer to such amended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97" w:name="page98"/>
    <w:bookmarkEnd w:id="97"/>
    <w:p>
      <w:pPr>
        <w:ind w:left="260" w:right="399" w:firstLine="341"/>
        <w:spacing w:after="0" w:line="254" w:lineRule="auto"/>
        <w:tabs>
          <w:tab w:leader="none" w:pos="80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GOVERNING LAW AND TIME; WAIVER OF JURY TRIAL</w:t>
      </w:r>
      <w:r>
        <w:rPr>
          <w:rFonts w:ascii="Times New Roman" w:cs="Times New Roman" w:eastAsia="Times New Roman" w:hAnsi="Times New Roman"/>
          <w:sz w:val="14"/>
          <w:szCs w:val="14"/>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44" w:lineRule="exact"/>
        <w:rPr>
          <w:rFonts w:ascii="Times New Roman" w:cs="Times New Roman" w:eastAsia="Times New Roman" w:hAnsi="Times New Roman"/>
          <w:sz w:val="14"/>
          <w:szCs w:val="14"/>
          <w:color w:val="auto"/>
        </w:rPr>
      </w:pPr>
    </w:p>
    <w:p>
      <w:pPr>
        <w:jc w:val="both"/>
        <w:ind w:left="260" w:right="339" w:firstLine="341"/>
        <w:spacing w:after="0" w:line="273" w:lineRule="auto"/>
        <w:tabs>
          <w:tab w:leader="none" w:pos="80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 to Jurisdiction</w:t>
      </w:r>
      <w:r>
        <w:rPr>
          <w:rFonts w:ascii="Times New Roman" w:cs="Times New Roman" w:eastAsia="Times New Roman" w:hAnsi="Times New Roman"/>
          <w:sz w:val="13"/>
          <w:szCs w:val="13"/>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ind w:left="260" w:right="31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45" w:lineRule="exact"/>
        <w:rPr>
          <w:rFonts w:ascii="Times New Roman" w:cs="Times New Roman" w:eastAsia="Times New Roman" w:hAnsi="Times New Roman"/>
          <w:sz w:val="13"/>
          <w:szCs w:val="13"/>
          <w:color w:val="auto"/>
        </w:rPr>
      </w:pPr>
    </w:p>
    <w:p>
      <w:pPr>
        <w:ind w:left="800" w:hanging="199"/>
        <w:spacing w:after="0"/>
        <w:tabs>
          <w:tab w:leader="none" w:pos="8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780" w:hanging="179"/>
        <w:spacing w:after="0"/>
        <w:tabs>
          <w:tab w:leader="none" w:pos="7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 and exhibit headings herein are for convenience only and shall not affect the construction hereof.</w:t>
      </w:r>
    </w:p>
    <w:p>
      <w:pPr>
        <w:spacing w:after="0" w:line="171" w:lineRule="exact"/>
        <w:rPr>
          <w:rFonts w:ascii="Times New Roman" w:cs="Times New Roman" w:eastAsia="Times New Roman" w:hAnsi="Times New Roman"/>
          <w:sz w:val="14"/>
          <w:szCs w:val="14"/>
          <w:color w:val="auto"/>
        </w:rPr>
      </w:pPr>
    </w:p>
    <w:p>
      <w:pPr>
        <w:ind w:left="800" w:hanging="199"/>
        <w:spacing w:after="0"/>
        <w:tabs>
          <w:tab w:leader="none" w:pos="8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defined in the singular shall have a comparable meaning when used in the plural, and vice versa.</w:t>
      </w:r>
    </w:p>
    <w:p>
      <w:pPr>
        <w:spacing w:after="0" w:line="171" w:lineRule="exact"/>
        <w:rPr>
          <w:rFonts w:ascii="Times New Roman" w:cs="Times New Roman" w:eastAsia="Times New Roman" w:hAnsi="Times New Roman"/>
          <w:sz w:val="14"/>
          <w:szCs w:val="14"/>
          <w:color w:val="auto"/>
        </w:rPr>
      </w:pPr>
    </w:p>
    <w:p>
      <w:pPr>
        <w:ind w:left="260" w:right="839" w:firstLine="341"/>
        <w:spacing w:after="0" w:line="278" w:lineRule="auto"/>
        <w:tabs>
          <w:tab w:leader="none" w:pos="78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“hereof,” “hereto,” “herein” and “hereunder” and words of similar import, when used in this Agreement, shall refer to this Agreement as a whole and not to any particular provision of this Agreement.</w:t>
      </w:r>
    </w:p>
    <w:p>
      <w:pPr>
        <w:spacing w:after="0" w:line="126" w:lineRule="exact"/>
        <w:rPr>
          <w:rFonts w:ascii="Times New Roman" w:cs="Times New Roman" w:eastAsia="Times New Roman" w:hAnsi="Times New Roman"/>
          <w:sz w:val="14"/>
          <w:szCs w:val="14"/>
          <w:color w:val="auto"/>
        </w:rPr>
      </w:pPr>
    </w:p>
    <w:p>
      <w:pPr>
        <w:ind w:left="260" w:right="479" w:firstLine="341"/>
        <w:spacing w:after="0" w:line="278" w:lineRule="auto"/>
        <w:tabs>
          <w:tab w:leader="none" w:pos="796"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Wherever the word “include,” “includes” or “including” is used in this Agreement, it shall be deemed to be followed by the words “without limitation.”</w:t>
      </w:r>
    </w:p>
    <w:p>
      <w:pPr>
        <w:spacing w:after="0" w:line="126" w:lineRule="exact"/>
        <w:rPr>
          <w:rFonts w:ascii="Times New Roman" w:cs="Times New Roman" w:eastAsia="Times New Roman" w:hAnsi="Times New Roman"/>
          <w:sz w:val="14"/>
          <w:szCs w:val="14"/>
          <w:color w:val="auto"/>
        </w:rPr>
      </w:pPr>
    </w:p>
    <w:p>
      <w:pPr>
        <w:ind w:left="780" w:hanging="179"/>
        <w:spacing w:after="0"/>
        <w:tabs>
          <w:tab w:leader="none" w:pos="7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herein to any gender shall include each other gender.</w:t>
      </w:r>
    </w:p>
    <w:p>
      <w:pPr>
        <w:spacing w:after="0" w:line="171" w:lineRule="exact"/>
        <w:rPr>
          <w:rFonts w:ascii="Times New Roman" w:cs="Times New Roman" w:eastAsia="Times New Roman" w:hAnsi="Times New Roman"/>
          <w:sz w:val="14"/>
          <w:szCs w:val="14"/>
          <w:color w:val="auto"/>
        </w:rPr>
      </w:pPr>
    </w:p>
    <w:p>
      <w:pPr>
        <w:jc w:val="both"/>
        <w:ind w:left="260" w:right="379" w:firstLine="341"/>
        <w:spacing w:after="0" w:line="263" w:lineRule="auto"/>
        <w:tabs>
          <w:tab w:leader="none" w:pos="77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7" w:right="1440" w:bottom="1440" w:gutter="0" w:footer="0" w:header="0"/>
        </w:sectPr>
      </w:pPr>
    </w:p>
    <w:bookmarkStart w:id="98" w:name="page99"/>
    <w:bookmarkEnd w:id="98"/>
    <w:p>
      <w:pPr>
        <w:ind w:left="260" w:right="279" w:firstLine="341"/>
        <w:spacing w:after="0" w:line="252" w:lineRule="auto"/>
        <w:tabs>
          <w:tab w:leader="none" w:pos="807"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Permitted Free Writing Prospectuses</w:t>
      </w:r>
      <w:r>
        <w:rPr>
          <w:rFonts w:ascii="Times New Roman" w:cs="Times New Roman" w:eastAsia="Times New Roman" w:hAnsi="Times New Roman"/>
          <w:sz w:val="14"/>
          <w:szCs w:val="14"/>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4"/>
          <w:szCs w:val="14"/>
          <w:b w:val="1"/>
          <w:bCs w:val="1"/>
          <w:u w:val="single" w:color="auto"/>
          <w:color w:val="auto"/>
        </w:rPr>
        <w:t>Permitted Free Writing Prospectus</w:t>
      </w:r>
      <w:r>
        <w:rPr>
          <w:rFonts w:ascii="Times New Roman" w:cs="Times New Roman" w:eastAsia="Times New Roman" w:hAnsi="Times New Roman"/>
          <w:sz w:val="14"/>
          <w:szCs w:val="14"/>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45" w:lineRule="exact"/>
        <w:rPr>
          <w:rFonts w:ascii="Times New Roman" w:cs="Times New Roman" w:eastAsia="Times New Roman" w:hAnsi="Times New Roman"/>
          <w:sz w:val="14"/>
          <w:szCs w:val="14"/>
          <w:color w:val="auto"/>
        </w:rPr>
      </w:pPr>
    </w:p>
    <w:p>
      <w:pPr>
        <w:ind w:left="800" w:hanging="199"/>
        <w:spacing w:after="0"/>
        <w:tabs>
          <w:tab w:leader="none" w:pos="8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Fiduciary Relationship</w:t>
      </w:r>
      <w:r>
        <w:rPr>
          <w:rFonts w:ascii="Times New Roman" w:cs="Times New Roman" w:eastAsia="Times New Roman" w:hAnsi="Times New Roman"/>
          <w:sz w:val="14"/>
          <w:szCs w:val="14"/>
          <w:color w:val="auto"/>
        </w:rPr>
        <w:t>. The Company acknowledges and agrees that:</w:t>
      </w:r>
    </w:p>
    <w:p>
      <w:pPr>
        <w:spacing w:after="0" w:line="172" w:lineRule="exact"/>
        <w:rPr>
          <w:sz w:val="20"/>
          <w:szCs w:val="20"/>
          <w:color w:val="auto"/>
        </w:rPr>
      </w:pPr>
    </w:p>
    <w:p>
      <w:pPr>
        <w:ind w:left="260" w:right="279" w:firstLine="341"/>
        <w:spacing w:after="0" w:line="255" w:lineRule="auto"/>
        <w:tabs>
          <w:tab w:leader="none" w:pos="78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42" w:lineRule="exact"/>
        <w:rPr>
          <w:rFonts w:ascii="Times New Roman" w:cs="Times New Roman" w:eastAsia="Times New Roman" w:hAnsi="Times New Roman"/>
          <w:sz w:val="14"/>
          <w:szCs w:val="14"/>
          <w:color w:val="auto"/>
        </w:rPr>
      </w:pPr>
    </w:p>
    <w:p>
      <w:pPr>
        <w:ind w:left="260" w:right="619" w:firstLine="341"/>
        <w:spacing w:after="0" w:line="278" w:lineRule="auto"/>
        <w:tabs>
          <w:tab w:leader="none" w:pos="79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capable of evaluating, and understanding and understands and accepts, the terms, risks and conditions of the transactions contemplated by this Agreement;</w:t>
      </w:r>
    </w:p>
    <w:p>
      <w:pPr>
        <w:spacing w:after="0" w:line="126" w:lineRule="exact"/>
        <w:rPr>
          <w:rFonts w:ascii="Times New Roman" w:cs="Times New Roman" w:eastAsia="Times New Roman" w:hAnsi="Times New Roman"/>
          <w:sz w:val="14"/>
          <w:szCs w:val="14"/>
          <w:color w:val="auto"/>
        </w:rPr>
      </w:pPr>
    </w:p>
    <w:p>
      <w:pPr>
        <w:ind w:left="260" w:right="399" w:firstLine="341"/>
        <w:spacing w:after="0" w:line="278" w:lineRule="auto"/>
        <w:tabs>
          <w:tab w:leader="none" w:pos="78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26" w:lineRule="exact"/>
        <w:rPr>
          <w:rFonts w:ascii="Times New Roman" w:cs="Times New Roman" w:eastAsia="Times New Roman" w:hAnsi="Times New Roman"/>
          <w:sz w:val="14"/>
          <w:szCs w:val="14"/>
          <w:color w:val="auto"/>
        </w:rPr>
      </w:pPr>
    </w:p>
    <w:p>
      <w:pPr>
        <w:jc w:val="both"/>
        <w:ind w:left="260" w:right="439" w:firstLine="341"/>
        <w:spacing w:after="0" w:line="263" w:lineRule="auto"/>
        <w:tabs>
          <w:tab w:leader="none" w:pos="79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36" w:lineRule="exact"/>
        <w:rPr>
          <w:rFonts w:ascii="Times New Roman" w:cs="Times New Roman" w:eastAsia="Times New Roman" w:hAnsi="Times New Roman"/>
          <w:sz w:val="14"/>
          <w:szCs w:val="14"/>
          <w:color w:val="auto"/>
        </w:rPr>
      </w:pPr>
    </w:p>
    <w:p>
      <w:pPr>
        <w:ind w:left="260" w:right="399" w:firstLine="341"/>
        <w:spacing w:after="0" w:line="258" w:lineRule="auto"/>
        <w:tabs>
          <w:tab w:leader="none" w:pos="78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40" w:lineRule="exact"/>
        <w:rPr>
          <w:sz w:val="20"/>
          <w:szCs w:val="20"/>
          <w:color w:val="auto"/>
        </w:rPr>
      </w:pPr>
    </w:p>
    <w:p>
      <w:pPr>
        <w:ind w:left="260" w:right="319" w:firstLine="341"/>
        <w:spacing w:after="0" w:line="258" w:lineRule="auto"/>
        <w:tabs>
          <w:tab w:leader="none" w:pos="80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Recognition of the U.S. Special Resolution Regimes</w:t>
      </w:r>
      <w:r>
        <w:rPr>
          <w:rFonts w:ascii="Times New Roman" w:cs="Times New Roman" w:eastAsia="Times New Roman" w:hAnsi="Times New Roman"/>
          <w:sz w:val="14"/>
          <w:szCs w:val="14"/>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0" w:lineRule="exact"/>
        <w:rPr>
          <w:sz w:val="20"/>
          <w:szCs w:val="20"/>
          <w:color w:val="auto"/>
        </w:rPr>
      </w:pPr>
    </w:p>
    <w:p>
      <w:pPr>
        <w:ind w:left="260" w:right="279" w:firstLine="339"/>
        <w:spacing w:after="0" w:line="258" w:lineRule="auto"/>
        <w:rPr>
          <w:sz w:val="20"/>
          <w:szCs w:val="20"/>
          <w:color w:val="auto"/>
        </w:rPr>
      </w:pPr>
      <w:r>
        <w:rPr>
          <w:rFonts w:ascii="Times New Roman" w:cs="Times New Roman" w:eastAsia="Times New Roman" w:hAnsi="Times New Roman"/>
          <w:sz w:val="14"/>
          <w:szCs w:val="14"/>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99" w:name="page100"/>
    <w:bookmarkEnd w:id="99"/>
    <w:p>
      <w:pPr>
        <w:ind w:left="260" w:right="299" w:firstLine="33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ind w:left="260" w:right="299" w:firstLine="2"/>
        <w:spacing w:after="0" w:line="250" w:lineRule="auto"/>
        <w:tabs>
          <w:tab w:leader="none" w:pos="503"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45" w:lineRule="exact"/>
        <w:rPr>
          <w:rFonts w:ascii="Times New Roman" w:cs="Times New Roman" w:eastAsia="Times New Roman" w:hAnsi="Times New Roman"/>
          <w:sz w:val="14"/>
          <w:szCs w:val="14"/>
          <w:color w:val="auto"/>
        </w:rPr>
      </w:pPr>
    </w:p>
    <w:p>
      <w:pPr>
        <w:ind w:left="260" w:right="319" w:firstLine="341"/>
        <w:spacing w:after="0" w:line="254" w:lineRule="auto"/>
        <w:tabs>
          <w:tab w:leader="none" w:pos="80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2" w:lineRule="exact"/>
        <w:rPr>
          <w:rFonts w:ascii="Times New Roman" w:cs="Times New Roman" w:eastAsia="Times New Roman" w:hAnsi="Times New Roman"/>
          <w:sz w:val="14"/>
          <w:szCs w:val="14"/>
          <w:color w:val="auto"/>
        </w:rPr>
      </w:pPr>
    </w:p>
    <w:p>
      <w:pPr>
        <w:ind w:left="260" w:right="359" w:firstLine="341"/>
        <w:spacing w:after="0" w:line="263" w:lineRule="auto"/>
        <w:tabs>
          <w:tab w:leader="none" w:pos="80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Information</w:t>
      </w:r>
      <w:r>
        <w:rPr>
          <w:rFonts w:ascii="Times New Roman" w:cs="Times New Roman" w:eastAsia="Times New Roman" w:hAnsi="Times New Roman"/>
          <w:sz w:val="14"/>
          <w:szCs w:val="14"/>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34" w:lineRule="exact"/>
        <w:rPr>
          <w:rFonts w:ascii="Times New Roman" w:cs="Times New Roman" w:eastAsia="Times New Roman" w:hAnsi="Times New Roman"/>
          <w:sz w:val="14"/>
          <w:szCs w:val="14"/>
          <w:color w:val="auto"/>
        </w:rPr>
      </w:pPr>
    </w:p>
    <w:p>
      <w:pPr>
        <w:ind w:left="260" w:right="279" w:firstLine="341"/>
        <w:spacing w:after="0" w:line="264" w:lineRule="auto"/>
        <w:tabs>
          <w:tab w:leader="none" w:pos="80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Agent’s Information</w:t>
      </w:r>
      <w:r>
        <w:rPr>
          <w:rFonts w:ascii="Times New Roman" w:cs="Times New Roman" w:eastAsia="Times New Roman" w:hAnsi="Times New Roman"/>
          <w:sz w:val="14"/>
          <w:szCs w:val="14"/>
          <w:color w:val="auto"/>
        </w:rPr>
        <w:t>. As used in this Agreement, “</w:t>
      </w:r>
      <w:r>
        <w:rPr>
          <w:rFonts w:ascii="Times New Roman" w:cs="Times New Roman" w:eastAsia="Times New Roman" w:hAnsi="Times New Roman"/>
          <w:sz w:val="14"/>
          <w:szCs w:val="14"/>
          <w:b w:val="1"/>
          <w:bCs w:val="1"/>
          <w:u w:val="single" w:color="auto"/>
          <w:color w:val="auto"/>
        </w:rPr>
        <w:t>Agent’s Information</w:t>
      </w:r>
      <w:r>
        <w:rPr>
          <w:rFonts w:ascii="Times New Roman" w:cs="Times New Roman" w:eastAsia="Times New Roman" w:hAnsi="Times New Roman"/>
          <w:sz w:val="14"/>
          <w:szCs w:val="14"/>
          <w:color w:val="auto"/>
        </w:rPr>
        <w:t>” means solely the following information in the Registration Statement and the Prospectus: the third sentence of the eighth paragraph and the tenth paragraph under the heading “Plan of Distribution” in the Prospectus Supplement.</w:t>
      </w:r>
    </w:p>
    <w:p>
      <w:pPr>
        <w:spacing w:after="0" w:line="136" w:lineRule="exact"/>
        <w:rPr>
          <w:sz w:val="20"/>
          <w:szCs w:val="20"/>
          <w:color w:val="auto"/>
        </w:rPr>
      </w:pPr>
    </w:p>
    <w:p>
      <w:pPr>
        <w:ind w:left="260" w:right="359" w:firstLine="339"/>
        <w:spacing w:after="0" w:line="255" w:lineRule="auto"/>
        <w:rPr>
          <w:sz w:val="20"/>
          <w:szCs w:val="20"/>
          <w:color w:val="auto"/>
        </w:rPr>
      </w:pPr>
      <w:r>
        <w:rPr>
          <w:rFonts w:ascii="Times New Roman" w:cs="Times New Roman" w:eastAsia="Times New Roman" w:hAnsi="Times New Roman"/>
          <w:sz w:val="14"/>
          <w:szCs w:val="14"/>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3" w:lineRule="exact"/>
        <w:rPr>
          <w:sz w:val="20"/>
          <w:szCs w:val="20"/>
          <w:color w:val="auto"/>
        </w:rPr>
      </w:pPr>
    </w:p>
    <w:p>
      <w:pPr>
        <w:ind w:left="260" w:right="459" w:firstLine="339"/>
        <w:spacing w:after="0" w:line="278" w:lineRule="auto"/>
        <w:rPr>
          <w:sz w:val="20"/>
          <w:szCs w:val="20"/>
          <w:color w:val="auto"/>
        </w:rPr>
      </w:pPr>
      <w:r>
        <w:rPr>
          <w:rFonts w:ascii="Times New Roman" w:cs="Times New Roman" w:eastAsia="Times New Roman" w:hAnsi="Times New Roman"/>
          <w:sz w:val="14"/>
          <w:szCs w:val="14"/>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[Remainder of Page Intentionally Blank]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100" w:name="page101"/>
    <w:bookmarkEnd w:id="100"/>
    <w:p>
      <w:pPr>
        <w:ind w:left="260" w:right="299" w:firstLine="33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12700</wp:posOffset>
            </wp:positionV>
            <wp:extent cx="197421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Barbara Weber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ACCEPTED as of the date first-above written:</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LEERINK PARTNERS LLC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12700</wp:posOffset>
            </wp:positionV>
            <wp:extent cx="197421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Peter M. Fry</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Head of Alternative Equities</w:t>
      </w:r>
    </w:p>
    <w:p>
      <w:pPr>
        <w:sectPr>
          <w:pgSz w:w="11900" w:h="16838" w:orient="portrait"/>
          <w:cols w:equalWidth="0" w:num="1">
            <w:col w:w="9019"/>
          </w:cols>
          <w:pgMar w:left="1440" w:top="239" w:right="1440" w:bottom="1440" w:gutter="0" w:footer="0" w:header="0"/>
        </w:sectPr>
      </w:pPr>
    </w:p>
    <w:bookmarkStart w:id="101" w:name="page102"/>
    <w:bookmarkEnd w:id="101"/>
    <w:p>
      <w:pPr>
        <w:jc w:val="right"/>
        <w:ind w:right="2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1</w:t>
      </w: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FORM OF PLACEMENT NOTICE</w:t>
            </w:r>
          </w:p>
        </w:tc>
      </w:tr>
      <w:tr>
        <w:trPr>
          <w:trHeight w:val="35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From:</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660" w:type="dxa"/>
            <w:vAlign w:val="bottom"/>
          </w:tcPr>
          <w:p>
            <w:pPr>
              <w:spacing w:after="0"/>
              <w:rPr>
                <w:sz w:val="14"/>
                <w:szCs w:val="14"/>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[TITLE]</w:t>
            </w:r>
          </w:p>
        </w:tc>
      </w:tr>
      <w:tr>
        <w:trPr>
          <w:trHeight w:val="166"/>
        </w:trPr>
        <w:tc>
          <w:tcPr>
            <w:tcW w:w="660" w:type="dxa"/>
            <w:vAlign w:val="bottom"/>
          </w:tcPr>
          <w:p>
            <w:pPr>
              <w:spacing w:after="0"/>
              <w:rPr>
                <w:sz w:val="14"/>
                <w:szCs w:val="14"/>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Tango Therapeutics, Inc.</w:t>
            </w:r>
          </w:p>
        </w:tc>
      </w:tr>
      <w:tr>
        <w:trPr>
          <w:trHeight w:val="16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Cc:</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To:</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Leerink Partners LLC</w:t>
            </w:r>
          </w:p>
        </w:tc>
      </w:tr>
      <w:tr>
        <w:trPr>
          <w:trHeight w:val="18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Subject:</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Leerink Partners —At the Market Offering—Placement Notice</w:t>
            </w:r>
          </w:p>
        </w:tc>
      </w:tr>
    </w:tbl>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7"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color w:val="auto"/>
        </w:rPr>
        <w:t>Pursuant to the terms and subject to the conditions contained in the Sales Agreement, dated November [•], 2025 (the “</w:t>
      </w:r>
      <w:r>
        <w:rPr>
          <w:rFonts w:ascii="Times New Roman" w:cs="Times New Roman" w:eastAsia="Times New Roman" w:hAnsi="Times New Roman"/>
          <w:sz w:val="14"/>
          <w:szCs w:val="14"/>
          <w:b w:val="1"/>
          <w:bCs w:val="1"/>
          <w:u w:val="single" w:color="auto"/>
          <w:color w:val="auto"/>
        </w:rPr>
        <w:t>Agreement</w:t>
      </w:r>
      <w:r>
        <w:rPr>
          <w:rFonts w:ascii="Times New Roman" w:cs="Times New Roman" w:eastAsia="Times New Roman" w:hAnsi="Times New Roman"/>
          <w:sz w:val="14"/>
          <w:szCs w:val="14"/>
          <w:color w:val="auto"/>
        </w:rPr>
        <w:t>”), by and between Tango Therapeutics, Inc., a Delaware corporation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and Leerink Partners LLC (“</w:t>
      </w:r>
      <w:r>
        <w:rPr>
          <w:rFonts w:ascii="Times New Roman" w:cs="Times New Roman" w:eastAsia="Times New Roman" w:hAnsi="Times New Roman"/>
          <w:sz w:val="14"/>
          <w:szCs w:val="14"/>
          <w:b w:val="1"/>
          <w:bCs w:val="1"/>
          <w:u w:val="single" w:color="auto"/>
          <w:color w:val="auto"/>
        </w:rPr>
        <w:t>Leerink Partners</w:t>
      </w:r>
      <w:r>
        <w:rPr>
          <w:rFonts w:ascii="Times New Roman" w:cs="Times New Roman" w:eastAsia="Times New Roman" w:hAnsi="Times New Roman"/>
          <w:sz w:val="14"/>
          <w:szCs w:val="14"/>
          <w:color w:val="auto"/>
        </w:rPr>
        <w:t>”), I hereby request on behalf of the Company that Leerink Partners sell up to [ ] shares of common stock, $0.001 par value per share, of the Company (the “</w:t>
      </w:r>
      <w:r>
        <w:rPr>
          <w:rFonts w:ascii="Times New Roman" w:cs="Times New Roman" w:eastAsia="Times New Roman" w:hAnsi="Times New Roman"/>
          <w:sz w:val="14"/>
          <w:szCs w:val="14"/>
          <w:b w:val="1"/>
          <w:bCs w:val="1"/>
          <w:u w:val="single" w:color="auto"/>
          <w:color w:val="auto"/>
        </w:rPr>
        <w:t>Shares</w:t>
      </w:r>
      <w:r>
        <w:rPr>
          <w:rFonts w:ascii="Times New Roman" w:cs="Times New Roman" w:eastAsia="Times New Roman" w:hAnsi="Times New Roman"/>
          <w:sz w:val="14"/>
          <w:szCs w:val="14"/>
          <w:color w:val="auto"/>
        </w:rPr>
        <w:t xml:space="preserve">”), at a minimum market price of $ per share[;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9019"/>
          </w:cols>
          <w:pgMar w:left="1440" w:top="237" w:right="1440" w:bottom="1440" w:gutter="0" w:footer="0" w:header="0"/>
        </w:sectPr>
      </w:pPr>
    </w:p>
    <w:bookmarkStart w:id="102" w:name="page103"/>
    <w:bookmarkEnd w:id="102"/>
    <w:p>
      <w:pPr>
        <w:jc w:val="right"/>
        <w:ind w:right="2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2</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The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Barabar Weber</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Daniella Beckman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Julie Fogarty</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Leerink Partners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Dan Dubin (Dan.Dubin@leerink.com)</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Sean Pitt (sean.pitt@leerink.com)</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atm@leerink.com</w:t>
      </w:r>
    </w:p>
    <w:p>
      <w:pPr>
        <w:sectPr>
          <w:pgSz w:w="11900" w:h="16838" w:orient="portrait"/>
          <w:cols w:equalWidth="0" w:num="1">
            <w:col w:w="9019"/>
          </w:cols>
          <w:pgMar w:left="1440" w:top="237" w:right="1440" w:bottom="1440" w:gutter="0" w:footer="0" w:header="0"/>
        </w:sectPr>
      </w:pPr>
    </w:p>
    <w:bookmarkStart w:id="103" w:name="page104"/>
    <w:bookmarkEnd w:id="103"/>
    <w:p>
      <w:pPr>
        <w:jc w:val="right"/>
        <w:ind w:right="2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w:t>
      </w:r>
    </w:p>
    <w:p>
      <w:pPr>
        <w:spacing w:after="0" w:line="174"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 xml:space="preserve">The Company shall pay Leerink Partners compensation in cash of up to 3.0% of the gross proceeds from the sales of Placement Shares pursuant to the terms of the Sales Agreement of which this </w:t>
      </w:r>
      <w:r>
        <w:rPr>
          <w:rFonts w:ascii="Times New Roman" w:cs="Times New Roman" w:eastAsia="Times New Roman" w:hAnsi="Times New Roman"/>
          <w:sz w:val="14"/>
          <w:szCs w:val="14"/>
          <w:b w:val="1"/>
          <w:bCs w:val="1"/>
          <w:u w:val="single" w:color="auto"/>
          <w:color w:val="auto"/>
        </w:rPr>
        <w:t>Schedule 3</w:t>
      </w:r>
      <w:r>
        <w:rPr>
          <w:rFonts w:ascii="Times New Roman" w:cs="Times New Roman" w:eastAsia="Times New Roman" w:hAnsi="Times New Roman"/>
          <w:sz w:val="14"/>
          <w:szCs w:val="14"/>
          <w:color w:val="auto"/>
        </w:rPr>
        <w:t xml:space="preserve"> forms a part.</w:t>
      </w:r>
    </w:p>
    <w:p>
      <w:pPr>
        <w:sectPr>
          <w:pgSz w:w="11900" w:h="16838" w:orient="portrait"/>
          <w:cols w:equalWidth="0" w:num="1">
            <w:col w:w="9019"/>
          </w:cols>
          <w:pgMar w:left="1440" w:top="237" w:right="1440" w:bottom="1440" w:gutter="0" w:footer="0" w:header="0"/>
        </w:sectPr>
      </w:pPr>
    </w:p>
    <w:bookmarkStart w:id="104" w:name="page105"/>
    <w:bookmarkEnd w:id="104"/>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TANGO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ectPr>
          <w:pgSz w:w="11900" w:h="16838" w:orient="portrait"/>
          <w:cols w:equalWidth="0" w:num="1">
            <w:col w:w="9019"/>
          </w:cols>
          <w:pgMar w:left="1440" w:top="123"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r>
        <w:rPr>
          <w:rFonts w:ascii="Times New Roman" w:cs="Times New Roman" w:eastAsia="Times New Roman" w:hAnsi="Times New Roman"/>
          <w:sz w:val="20"/>
          <w:szCs w:val="20"/>
          <w:b w:val="1"/>
          <w:bCs w:val="1"/>
          <w:u w:val="single" w:color="auto"/>
          <w:color w:val="auto"/>
          <w:vertAlign w:val="superscript"/>
        </w:rPr>
        <w:t>1</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34"/>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Article 1 DEFINITIONS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72"/>
        </w:trPr>
        <w:tc>
          <w:tcPr>
            <w:tcW w:w="73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5"/>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  Definitions of Terms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4"/>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2.06</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Temporary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2.08</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Authenticating Agent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Global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4"/>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3.01</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Redemption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3.02  Notice of Redemption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3.04</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Sinking Fund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4 COVENANTS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4"/>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4.02  Maintenance of Office or Agency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4.03</w:t>
            </w:r>
          </w:p>
        </w:tc>
        <w:tc>
          <w:tcPr>
            <w:tcW w:w="6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Paying Agents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4"/>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5.04  Reports by the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34"/>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6.01  Events of Default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6.03  Application of Moneys Collected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6.04  Limitation on Suits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6"/>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6.06  Control by Securityholders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6.07  Undertaking to Pay Costs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34"/>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7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7.02  Certain Rights of Trustee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00" w:right="839" w:hanging="338"/>
        <w:spacing w:after="0" w:line="207" w:lineRule="auto"/>
        <w:tabs>
          <w:tab w:leader="none" w:pos="600" w:val="left"/>
        </w:tabs>
        <w:numPr>
          <w:ilvl w:val="0"/>
          <w:numId w:val="10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Table of Contents does not constitute part of the Indenture and shall not have any bearing on the interpretation of any of its terms or provisions.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106" w:name="page107"/>
    <w:bookmarkEnd w:id="106"/>
    <w:tbl>
      <w:tblPr>
        <w:tblLayout w:type="fixed"/>
        <w:tblInd w:w="260" w:type="dxa"/>
        <w:tblCellMar>
          <w:top w:w="0" w:type="dxa"/>
          <w:left w:w="0" w:type="dxa"/>
          <w:bottom w:w="0" w:type="dxa"/>
          <w:right w:w="0" w:type="dxa"/>
        </w:tblCellMar>
      </w:tblPr>
      <w:tr>
        <w:trPr>
          <w:trHeight w:val="134"/>
        </w:trPr>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Section 7.03</w:t>
            </w:r>
          </w:p>
        </w:tc>
        <w:tc>
          <w:tcPr>
            <w:tcW w:w="5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8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Hold Securities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7.05</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Moneys Held in Trust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7.06</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7.07</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7.08</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7.09</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Default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9.03</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9.05</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11.03</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11.05</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to Company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12 IMMUNITY OF INCORPORATORS, STOCKHOLDERS, OFFICERS AND DIRECTORS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50"/>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Recourse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5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13 MISCELLANEOUS PROVISIONS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by Successor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13.03</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13.04</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13.05</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Governing Law</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13.06</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13.07</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13.08</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13.09</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13.10</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Counterparts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13.11</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Separability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13.12</w:t>
            </w:r>
          </w:p>
        </w:tc>
        <w:tc>
          <w:tcPr>
            <w:tcW w:w="5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Compliance Certificates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4"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w:t>
      </w:r>
    </w:p>
    <w:p>
      <w:pPr>
        <w:spacing w:after="0" w:line="172" w:lineRule="exact"/>
        <w:rPr>
          <w:sz w:val="20"/>
          <w:szCs w:val="20"/>
          <w:color w:val="auto"/>
        </w:rPr>
      </w:pPr>
    </w:p>
    <w:p>
      <w:pPr>
        <w:ind w:left="260" w:right="319"/>
        <w:spacing w:after="0" w:line="281" w:lineRule="auto"/>
        <w:rPr>
          <w:sz w:val="20"/>
          <w:szCs w:val="20"/>
          <w:color w:val="auto"/>
        </w:rPr>
      </w:pP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dated as of [•], 202 , among</w:t>
      </w:r>
      <w:r>
        <w:rPr>
          <w:rFonts w:ascii="Times New Roman" w:cs="Times New Roman" w:eastAsia="Times New Roman" w:hAnsi="Times New Roman"/>
          <w:sz w:val="14"/>
          <w:szCs w:val="14"/>
          <w:b w:val="1"/>
          <w:bCs w:val="1"/>
          <w:color w:val="auto"/>
        </w:rPr>
        <w:t xml:space="preserve"> TANGO THERAPEUTICS, INC.</w:t>
      </w:r>
      <w:r>
        <w:rPr>
          <w:rFonts w:ascii="Times New Roman" w:cs="Times New Roman" w:eastAsia="Times New Roman" w:hAnsi="Times New Roman"/>
          <w:sz w:val="14"/>
          <w:szCs w:val="14"/>
          <w:color w:val="auto"/>
        </w:rPr>
        <w:t>, a Delaware corporation (the “Company”), and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w:t>
      </w:r>
    </w:p>
    <w:p>
      <w:pPr>
        <w:spacing w:after="0" w:line="122" w:lineRule="exact"/>
        <w:rPr>
          <w:sz w:val="20"/>
          <w:szCs w:val="20"/>
          <w:color w:val="auto"/>
        </w:rPr>
      </w:pPr>
    </w:p>
    <w:p>
      <w:pPr>
        <w:ind w:left="260" w:right="299"/>
        <w:spacing w:after="0" w:line="264"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34" w:lineRule="exact"/>
        <w:rPr>
          <w:sz w:val="20"/>
          <w:szCs w:val="20"/>
          <w:color w:val="auto"/>
        </w:rPr>
      </w:pPr>
    </w:p>
    <w:p>
      <w:pPr>
        <w:ind w:left="260" w:right="759"/>
        <w:spacing w:after="0" w:line="281"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7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 agreed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follows for the equal and ratable benefit of the holders of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p>
    <w:p>
      <w:pPr>
        <w:spacing w:after="0" w:line="91"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0" w:lineRule="exact"/>
        <w:rPr>
          <w:sz w:val="20"/>
          <w:szCs w:val="20"/>
          <w:color w:val="auto"/>
        </w:rPr>
      </w:pPr>
    </w:p>
    <w:p>
      <w:pPr>
        <w:ind w:left="260" w:right="7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an authenticating agent with respect to all or any of the series of Securities appointed by the Trustee pursuant to Section 2.10.</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72" w:lineRule="exact"/>
        <w:rPr>
          <w:sz w:val="20"/>
          <w:szCs w:val="20"/>
          <w:color w:val="auto"/>
        </w:rPr>
      </w:pPr>
    </w:p>
    <w:p>
      <w:pPr>
        <w:ind w:left="260" w:right="5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122" w:lineRule="exact"/>
        <w:rPr>
          <w:sz w:val="20"/>
          <w:szCs w:val="20"/>
          <w:color w:val="auto"/>
        </w:rPr>
      </w:pPr>
    </w:p>
    <w:p>
      <w:pPr>
        <w:ind w:left="260" w:right="3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22" w:lineRule="exact"/>
        <w:rPr>
          <w:sz w:val="20"/>
          <w:szCs w:val="20"/>
          <w:color w:val="auto"/>
        </w:rPr>
      </w:pPr>
    </w:p>
    <w:p>
      <w:pPr>
        <w:ind w:left="260" w:right="29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Certificate</w:t>
      </w:r>
      <w:r>
        <w:rPr>
          <w:rFonts w:ascii="Times New Roman" w:cs="Times New Roman" w:eastAsia="Times New Roman" w:hAnsi="Times New Roman"/>
          <w:sz w:val="14"/>
          <w:szCs w:val="14"/>
          <w:color w:val="auto"/>
        </w:rPr>
        <w:t>” means a certificate signed by any Officer. The Certificate need not comply with the provisions of Section 13.07.</w:t>
      </w:r>
    </w:p>
    <w:p>
      <w:pPr>
        <w:spacing w:after="0" w:line="172" w:lineRule="exact"/>
        <w:rPr>
          <w:sz w:val="20"/>
          <w:szCs w:val="20"/>
          <w:color w:val="auto"/>
        </w:rPr>
      </w:pPr>
    </w:p>
    <w:p>
      <w:pPr>
        <w:ind w:left="260" w:right="39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108" w:name="page109"/>
    <w:bookmarkEnd w:id="108"/>
    <w:p>
      <w:pPr>
        <w:ind w:left="260" w:right="61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Tango Therapeutics, Inc., a corporation duly organized and existing under the laws of the State of Delaware, and, subject to the provisions of Article Ten, shall also include its successors and assigns.</w:t>
      </w:r>
    </w:p>
    <w:p>
      <w:pPr>
        <w:spacing w:after="0" w:line="12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72" w:lineRule="exact"/>
        <w:rPr>
          <w:sz w:val="20"/>
          <w:szCs w:val="20"/>
          <w:color w:val="auto"/>
        </w:rPr>
      </w:pPr>
    </w:p>
    <w:p>
      <w:pPr>
        <w:ind w:left="260" w:right="49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4" w:lineRule="exact"/>
        <w:rPr>
          <w:sz w:val="20"/>
          <w:szCs w:val="20"/>
          <w:color w:val="auto"/>
        </w:rPr>
      </w:pPr>
    </w:p>
    <w:p>
      <w:pPr>
        <w:ind w:left="260" w:right="41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22" w:lineRule="exact"/>
        <w:rPr>
          <w:sz w:val="20"/>
          <w:szCs w:val="20"/>
          <w:color w:val="auto"/>
        </w:rPr>
      </w:pPr>
    </w:p>
    <w:p>
      <w:pPr>
        <w:ind w:left="260" w:right="87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2" w:lineRule="exact"/>
        <w:rPr>
          <w:sz w:val="20"/>
          <w:szCs w:val="20"/>
          <w:color w:val="auto"/>
        </w:rPr>
      </w:pPr>
    </w:p>
    <w:p>
      <w:pPr>
        <w:jc w:val="both"/>
        <w:ind w:left="260" w:right="3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4" w:lineRule="exact"/>
        <w:rPr>
          <w:sz w:val="20"/>
          <w:szCs w:val="20"/>
          <w:color w:val="auto"/>
        </w:rPr>
      </w:pPr>
    </w:p>
    <w:p>
      <w:pPr>
        <w:ind w:left="260" w:right="39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2" w:lineRule="exact"/>
        <w:rPr>
          <w:sz w:val="20"/>
          <w:szCs w:val="20"/>
          <w:color w:val="auto"/>
        </w:rPr>
      </w:pPr>
    </w:p>
    <w:p>
      <w:pPr>
        <w:ind w:left="260" w:right="4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2" w:lineRule="exact"/>
        <w:rPr>
          <w:sz w:val="20"/>
          <w:szCs w:val="20"/>
          <w:color w:val="auto"/>
        </w:rPr>
      </w:pPr>
    </w:p>
    <w:p>
      <w:pPr>
        <w:ind w:left="260" w:right="71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4" w:lineRule="exact"/>
        <w:rPr>
          <w:sz w:val="20"/>
          <w:szCs w:val="20"/>
          <w:color w:val="auto"/>
        </w:rPr>
      </w:pPr>
    </w:p>
    <w:p>
      <w:pPr>
        <w:ind w:left="260" w:right="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109" w:name="page110"/>
    <w:bookmarkEnd w:id="109"/>
    <w:p>
      <w:pPr>
        <w:jc w:val="both"/>
        <w:ind w:left="260" w:right="3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4" w:lineRule="exact"/>
        <w:rPr>
          <w:sz w:val="20"/>
          <w:szCs w:val="20"/>
          <w:color w:val="auto"/>
        </w:rPr>
      </w:pPr>
    </w:p>
    <w:p>
      <w:pPr>
        <w:ind w:left="260" w:right="3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 thereof.</w:t>
      </w:r>
    </w:p>
    <w:p>
      <w:pPr>
        <w:spacing w:after="0" w:line="122" w:lineRule="exact"/>
        <w:rPr>
          <w:sz w:val="20"/>
          <w:szCs w:val="20"/>
          <w:color w:val="auto"/>
        </w:rPr>
      </w:pPr>
    </w:p>
    <w:p>
      <w:pPr>
        <w:ind w:left="260" w:right="5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4" w:lineRule="exact"/>
        <w:rPr>
          <w:sz w:val="20"/>
          <w:szCs w:val="20"/>
          <w:color w:val="auto"/>
        </w:rPr>
      </w:pPr>
    </w:p>
    <w:p>
      <w:pPr>
        <w:ind w:left="260" w:right="41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2" w:lineRule="exact"/>
        <w:rPr>
          <w:sz w:val="20"/>
          <w:szCs w:val="20"/>
          <w:color w:val="auto"/>
        </w:rPr>
      </w:pPr>
    </w:p>
    <w:p>
      <w:pPr>
        <w:ind w:left="260" w:right="27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2" w:lineRule="exact"/>
        <w:rPr>
          <w:sz w:val="20"/>
          <w:szCs w:val="20"/>
          <w:color w:val="auto"/>
        </w:rPr>
      </w:pPr>
    </w:p>
    <w:p>
      <w:pPr>
        <w:ind w:left="260" w:right="3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4" w:lineRule="exact"/>
        <w:rPr>
          <w:sz w:val="20"/>
          <w:szCs w:val="20"/>
          <w:color w:val="auto"/>
        </w:rPr>
      </w:pPr>
    </w:p>
    <w:p>
      <w:pPr>
        <w:ind w:left="260" w:right="4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2" w:lineRule="exact"/>
        <w:rPr>
          <w:sz w:val="20"/>
          <w:szCs w:val="20"/>
          <w:color w:val="auto"/>
        </w:rPr>
      </w:pPr>
    </w:p>
    <w:p>
      <w:pPr>
        <w:ind w:left="260" w:right="4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w:t>
      </w:r>
    </w:p>
    <w:p>
      <w:pPr>
        <w:spacing w:after="0" w:line="91" w:lineRule="exact"/>
        <w:rPr>
          <w:sz w:val="20"/>
          <w:szCs w:val="20"/>
          <w:color w:val="auto"/>
        </w:rPr>
      </w:pPr>
    </w:p>
    <w:p>
      <w:pPr>
        <w:jc w:val="both"/>
        <w:ind w:left="260" w:right="459" w:firstLine="2"/>
        <w:spacing w:after="0" w:line="263" w:lineRule="auto"/>
        <w:tabs>
          <w:tab w:leader="none" w:pos="45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by one or more subsidiaries of such Person or by such Person and one or more subsidiaries of such Person;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110" w:name="page111"/>
    <w:bookmarkEnd w:id="110"/>
    <w:p>
      <w:pPr>
        <w:ind w:left="460" w:hanging="198"/>
        <w:spacing w:after="0"/>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88" w:lineRule="exact"/>
        <w:rPr>
          <w:rFonts w:ascii="Times New Roman" w:cs="Times New Roman" w:eastAsia="Times New Roman" w:hAnsi="Times New Roman"/>
          <w:sz w:val="14"/>
          <w:szCs w:val="14"/>
          <w:color w:val="auto"/>
        </w:rPr>
      </w:pPr>
    </w:p>
    <w:p>
      <w:pPr>
        <w:ind w:left="260" w:right="339" w:firstLine="2"/>
        <w:spacing w:after="0" w:line="258" w:lineRule="auto"/>
        <w:tabs>
          <w:tab w:leader="none" w:pos="456"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38" w:lineRule="exact"/>
        <w:rPr>
          <w:sz w:val="20"/>
          <w:szCs w:val="20"/>
          <w:color w:val="auto"/>
        </w:rPr>
      </w:pPr>
    </w:p>
    <w:p>
      <w:pPr>
        <w:ind w:left="260" w:right="31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72" w:lineRule="exact"/>
        <w:rPr>
          <w:sz w:val="20"/>
          <w:szCs w:val="20"/>
          <w:color w:val="auto"/>
        </w:rPr>
      </w:pPr>
    </w:p>
    <w:p>
      <w:pPr>
        <w:ind w:left="260" w:right="1359" w:firstLine="1086"/>
        <w:spacing w:after="0" w:line="435" w:lineRule="auto"/>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 Section 2.01 Designation and Terms of Securities.</w:t>
      </w:r>
    </w:p>
    <w:p>
      <w:pPr>
        <w:spacing w:after="0" w:line="1" w:lineRule="exact"/>
        <w:rPr>
          <w:sz w:val="20"/>
          <w:szCs w:val="20"/>
          <w:color w:val="auto"/>
        </w:rPr>
      </w:pPr>
    </w:p>
    <w:p>
      <w:pPr>
        <w:jc w:val="both"/>
        <w:ind w:left="260" w:right="299" w:firstLine="2"/>
        <w:spacing w:after="0" w:line="258" w:lineRule="auto"/>
        <w:tabs>
          <w:tab w:leader="none" w:pos="456"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6" w:lineRule="exact"/>
        <w:rPr>
          <w:sz w:val="20"/>
          <w:szCs w:val="20"/>
          <w:color w:val="auto"/>
        </w:rPr>
      </w:pPr>
    </w:p>
    <w:p>
      <w:pPr>
        <w:ind w:left="460" w:hanging="198"/>
        <w:spacing w:after="0"/>
        <w:tabs>
          <w:tab w:leader="none" w:pos="4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88" w:lineRule="exact"/>
        <w:rPr>
          <w:rFonts w:ascii="Times New Roman" w:cs="Times New Roman" w:eastAsia="Times New Roman" w:hAnsi="Times New Roman"/>
          <w:sz w:val="14"/>
          <w:szCs w:val="14"/>
          <w:color w:val="auto"/>
        </w:rPr>
      </w:pPr>
    </w:p>
    <w:p>
      <w:pPr>
        <w:ind w:left="260" w:right="359" w:firstLine="2"/>
        <w:spacing w:after="0" w:line="278" w:lineRule="auto"/>
        <w:tabs>
          <w:tab w:leader="none" w:pos="456"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88" w:lineRule="exact"/>
        <w:rPr>
          <w:rFonts w:ascii="Times New Roman" w:cs="Times New Roman" w:eastAsia="Times New Roman" w:hAnsi="Times New Roman"/>
          <w:sz w:val="14"/>
          <w:szCs w:val="14"/>
          <w:color w:val="auto"/>
        </w:rPr>
      </w:pPr>
    </w:p>
    <w:p>
      <w:pPr>
        <w:ind w:left="260" w:right="439" w:firstLine="2"/>
        <w:spacing w:after="0" w:line="258" w:lineRule="auto"/>
        <w:tabs>
          <w:tab w:leader="none" w:pos="456"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5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or the manner of calculation of such rate or rates, if any;</w:t>
      </w:r>
    </w:p>
    <w:p>
      <w:pPr>
        <w:spacing w:after="0" w:line="88" w:lineRule="exact"/>
        <w:rPr>
          <w:rFonts w:ascii="Times New Roman" w:cs="Times New Roman" w:eastAsia="Times New Roman" w:hAnsi="Times New Roman"/>
          <w:sz w:val="14"/>
          <w:szCs w:val="14"/>
          <w:color w:val="auto"/>
        </w:rPr>
      </w:pPr>
    </w:p>
    <w:p>
      <w:pPr>
        <w:ind w:left="260" w:right="379" w:firstLine="2"/>
        <w:spacing w:after="0" w:line="263" w:lineRule="auto"/>
        <w:tabs>
          <w:tab w:leader="none" w:pos="433"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11" w:name="page112"/>
    <w:bookmarkEnd w:id="111"/>
    <w:p>
      <w:pPr>
        <w:ind w:left="260" w:right="439" w:firstLine="2"/>
        <w:spacing w:after="0" w:line="278" w:lineRule="auto"/>
        <w:tabs>
          <w:tab w:leader="none" w:pos="45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42" w:lineRule="exact"/>
        <w:rPr>
          <w:rFonts w:ascii="Times New Roman" w:cs="Times New Roman" w:eastAsia="Times New Roman" w:hAnsi="Times New Roman"/>
          <w:sz w:val="14"/>
          <w:szCs w:val="14"/>
          <w:color w:val="auto"/>
        </w:rPr>
      </w:pPr>
    </w:p>
    <w:p>
      <w:pPr>
        <w:ind w:left="260" w:right="519" w:firstLine="2"/>
        <w:spacing w:after="0" w:line="258" w:lineRule="auto"/>
        <w:tabs>
          <w:tab w:leader="none" w:pos="42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56" w:lineRule="exact"/>
        <w:rPr>
          <w:rFonts w:ascii="Times New Roman" w:cs="Times New Roman" w:eastAsia="Times New Roman" w:hAnsi="Times New Roman"/>
          <w:sz w:val="14"/>
          <w:szCs w:val="14"/>
          <w:color w:val="auto"/>
        </w:rPr>
      </w:pPr>
    </w:p>
    <w:p>
      <w:pPr>
        <w:ind w:left="420" w:hanging="158"/>
        <w:spacing w:after="0"/>
        <w:tabs>
          <w:tab w:leader="none" w:pos="4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88" w:lineRule="exact"/>
        <w:rPr>
          <w:rFonts w:ascii="Times New Roman" w:cs="Times New Roman" w:eastAsia="Times New Roman" w:hAnsi="Times New Roman"/>
          <w:sz w:val="14"/>
          <w:szCs w:val="14"/>
          <w:color w:val="auto"/>
        </w:rPr>
      </w:pPr>
    </w:p>
    <w:p>
      <w:pPr>
        <w:ind w:left="260" w:right="399" w:firstLine="2"/>
        <w:spacing w:after="0" w:line="278" w:lineRule="auto"/>
        <w:tabs>
          <w:tab w:leader="none" w:pos="45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one thousand U.S. dollars ($1,000) or any integral multiple thereof, the denominations in which the Securities of the series shall be issuable;</w:t>
      </w:r>
    </w:p>
    <w:p>
      <w:pPr>
        <w:spacing w:after="0" w:line="42" w:lineRule="exact"/>
        <w:rPr>
          <w:rFonts w:ascii="Times New Roman" w:cs="Times New Roman" w:eastAsia="Times New Roman" w:hAnsi="Times New Roman"/>
          <w:sz w:val="14"/>
          <w:szCs w:val="14"/>
          <w:color w:val="auto"/>
        </w:rPr>
      </w:pPr>
    </w:p>
    <w:p>
      <w:pPr>
        <w:ind w:left="260" w:right="459" w:firstLine="2"/>
        <w:spacing w:after="0" w:line="258" w:lineRule="auto"/>
        <w:tabs>
          <w:tab w:leader="none" w:pos="42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56" w:lineRule="exact"/>
        <w:rPr>
          <w:rFonts w:ascii="Times New Roman" w:cs="Times New Roman" w:eastAsia="Times New Roman" w:hAnsi="Times New Roman"/>
          <w:sz w:val="14"/>
          <w:szCs w:val="14"/>
          <w:color w:val="auto"/>
        </w:rPr>
      </w:pPr>
    </w:p>
    <w:p>
      <w:pPr>
        <w:jc w:val="both"/>
        <w:ind w:left="260" w:right="299" w:firstLine="2"/>
        <w:spacing w:after="0" w:line="263" w:lineRule="auto"/>
        <w:tabs>
          <w:tab w:leader="none" w:pos="495"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3" w:lineRule="exact"/>
        <w:rPr>
          <w:rFonts w:ascii="Times New Roman" w:cs="Times New Roman" w:eastAsia="Times New Roman" w:hAnsi="Times New Roman"/>
          <w:sz w:val="14"/>
          <w:szCs w:val="14"/>
          <w:color w:val="auto"/>
        </w:rPr>
      </w:pPr>
    </w:p>
    <w:p>
      <w:pPr>
        <w:ind w:left="260" w:right="479" w:firstLine="2"/>
        <w:spacing w:after="0" w:line="258" w:lineRule="auto"/>
        <w:tabs>
          <w:tab w:leader="none" w:pos="45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56" w:lineRule="exact"/>
        <w:rPr>
          <w:rFonts w:ascii="Times New Roman" w:cs="Times New Roman" w:eastAsia="Times New Roman" w:hAnsi="Times New Roman"/>
          <w:sz w:val="14"/>
          <w:szCs w:val="14"/>
          <w:color w:val="auto"/>
        </w:rPr>
      </w:pPr>
    </w:p>
    <w:p>
      <w:pPr>
        <w:ind w:left="260" w:right="339" w:firstLine="2"/>
        <w:spacing w:after="0" w:line="278" w:lineRule="auto"/>
        <w:tabs>
          <w:tab w:leader="none" w:pos="45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w:t>
      </w:r>
    </w:p>
    <w:p>
      <w:pPr>
        <w:spacing w:after="0" w:line="88" w:lineRule="exact"/>
        <w:rPr>
          <w:rFonts w:ascii="Times New Roman" w:cs="Times New Roman" w:eastAsia="Times New Roman" w:hAnsi="Times New Roman"/>
          <w:sz w:val="14"/>
          <w:szCs w:val="14"/>
          <w:color w:val="auto"/>
        </w:rPr>
      </w:pPr>
    </w:p>
    <w:p>
      <w:pPr>
        <w:ind w:left="260" w:right="319" w:firstLine="2"/>
        <w:spacing w:after="0" w:line="252" w:lineRule="auto"/>
        <w:tabs>
          <w:tab w:leader="none" w:pos="45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61" w:lineRule="exact"/>
        <w:rPr>
          <w:rFonts w:ascii="Times New Roman" w:cs="Times New Roman" w:eastAsia="Times New Roman" w:hAnsi="Times New Roman"/>
          <w:sz w:val="14"/>
          <w:szCs w:val="14"/>
          <w:color w:val="auto"/>
        </w:rPr>
      </w:pPr>
    </w:p>
    <w:p>
      <w:pPr>
        <w:ind w:left="260" w:right="439" w:firstLine="2"/>
        <w:spacing w:after="0" w:line="263" w:lineRule="auto"/>
        <w:tabs>
          <w:tab w:leader="none" w:pos="433"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12" w:name="page113"/>
    <w:bookmarkEnd w:id="112"/>
    <w:p>
      <w:pPr>
        <w:ind w:left="260" w:right="379" w:firstLine="2"/>
        <w:spacing w:after="0" w:line="263" w:lineRule="auto"/>
        <w:tabs>
          <w:tab w:leader="none" w:pos="44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53" w:lineRule="exact"/>
        <w:rPr>
          <w:rFonts w:ascii="Times New Roman" w:cs="Times New Roman" w:eastAsia="Times New Roman" w:hAnsi="Times New Roman"/>
          <w:sz w:val="14"/>
          <w:szCs w:val="14"/>
          <w:color w:val="auto"/>
        </w:rPr>
      </w:pPr>
    </w:p>
    <w:p>
      <w:pPr>
        <w:ind w:left="260" w:right="439" w:firstLine="2"/>
        <w:spacing w:after="0" w:line="278" w:lineRule="auto"/>
        <w:tabs>
          <w:tab w:leader="none" w:pos="42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42" w:lineRule="exact"/>
        <w:rPr>
          <w:rFonts w:ascii="Times New Roman" w:cs="Times New Roman" w:eastAsia="Times New Roman" w:hAnsi="Times New Roman"/>
          <w:sz w:val="14"/>
          <w:szCs w:val="14"/>
          <w:color w:val="auto"/>
        </w:rPr>
      </w:pPr>
    </w:p>
    <w:p>
      <w:pPr>
        <w:ind w:left="260" w:right="279" w:firstLine="2"/>
        <w:spacing w:after="0" w:line="278" w:lineRule="auto"/>
        <w:tabs>
          <w:tab w:leader="none" w:pos="45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Securities;</w:t>
      </w:r>
    </w:p>
    <w:p>
      <w:pPr>
        <w:spacing w:after="0" w:line="88" w:lineRule="exact"/>
        <w:rPr>
          <w:rFonts w:ascii="Times New Roman" w:cs="Times New Roman" w:eastAsia="Times New Roman" w:hAnsi="Times New Roman"/>
          <w:sz w:val="14"/>
          <w:szCs w:val="14"/>
          <w:color w:val="auto"/>
        </w:rPr>
      </w:pPr>
    </w:p>
    <w:p>
      <w:pPr>
        <w:ind w:left="480" w:hanging="218"/>
        <w:spacing w:after="0"/>
        <w:tabs>
          <w:tab w:leader="none" w:pos="4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88"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Securities of the series; and</w:t>
      </w:r>
    </w:p>
    <w:p>
      <w:pPr>
        <w:spacing w:after="0" w:line="88"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w:t>
      </w:r>
    </w:p>
    <w:p>
      <w:pPr>
        <w:spacing w:after="0" w:line="172"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26" w:lineRule="exact"/>
        <w:rPr>
          <w:sz w:val="20"/>
          <w:szCs w:val="20"/>
          <w:color w:val="auto"/>
        </w:rPr>
      </w:pPr>
    </w:p>
    <w:p>
      <w:pPr>
        <w:jc w:val="both"/>
        <w:ind w:left="260" w:right="379"/>
        <w:spacing w:after="0" w:line="263"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6"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p>
    <w:p>
      <w:pPr>
        <w:spacing w:after="0" w:line="91"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p>
    <w:p>
      <w:pPr>
        <w:spacing w:after="0" w:line="91" w:lineRule="exact"/>
        <w:rPr>
          <w:sz w:val="20"/>
          <w:szCs w:val="20"/>
          <w:color w:val="auto"/>
        </w:rPr>
      </w:pPr>
    </w:p>
    <w:p>
      <w:pPr>
        <w:ind w:left="260" w:right="339"/>
        <w:spacing w:after="0" w:line="254"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13" w:name="page114"/>
    <w:bookmarkEnd w:id="113"/>
    <w:p>
      <w:pPr>
        <w:ind w:left="26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3" w:lineRule="exact"/>
        <w:rPr>
          <w:sz w:val="20"/>
          <w:szCs w:val="20"/>
          <w:color w:val="auto"/>
        </w:rPr>
      </w:pPr>
    </w:p>
    <w:p>
      <w:pPr>
        <w:jc w:val="both"/>
        <w:ind w:left="260" w:right="559"/>
        <w:spacing w:after="0" w:line="292"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7" w:lineRule="exact"/>
        <w:rPr>
          <w:sz w:val="20"/>
          <w:szCs w:val="20"/>
          <w:color w:val="auto"/>
        </w:rPr>
      </w:pPr>
    </w:p>
    <w:p>
      <w:pPr>
        <w:ind w:left="260" w:right="279" w:firstLine="2"/>
        <w:spacing w:after="0" w:line="271" w:lineRule="auto"/>
        <w:tabs>
          <w:tab w:leader="none" w:pos="456"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51" w:lineRule="exact"/>
        <w:rPr>
          <w:rFonts w:ascii="Times New Roman" w:cs="Times New Roman" w:eastAsia="Times New Roman" w:hAnsi="Times New Roman"/>
          <w:sz w:val="13"/>
          <w:szCs w:val="13"/>
          <w:color w:val="auto"/>
        </w:rPr>
      </w:pPr>
    </w:p>
    <w:p>
      <w:pPr>
        <w:ind w:left="260" w:right="339" w:firstLine="2"/>
        <w:spacing w:after="0" w:line="263" w:lineRule="auto"/>
        <w:tabs>
          <w:tab w:leader="none" w:pos="456"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6"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2"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14" w:name="page115"/>
    <w:bookmarkEnd w:id="114"/>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2.04 Execution and Authentications.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72"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0" w:lineRule="exact"/>
        <w:rPr>
          <w:sz w:val="20"/>
          <w:szCs w:val="20"/>
          <w:color w:val="auto"/>
        </w:rPr>
      </w:pPr>
    </w:p>
    <w:p>
      <w:pPr>
        <w:ind w:left="260" w:right="319"/>
        <w:spacing w:after="0" w:line="279" w:lineRule="auto"/>
        <w:rPr>
          <w:sz w:val="20"/>
          <w:szCs w:val="20"/>
          <w:color w:val="auto"/>
        </w:rPr>
      </w:pPr>
      <w:r>
        <w:rPr>
          <w:rFonts w:ascii="Times New Roman" w:cs="Times New Roman" w:eastAsia="Times New Roman" w:hAnsi="Times New Roman"/>
          <w:sz w:val="13"/>
          <w:szCs w:val="13"/>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29" w:lineRule="exact"/>
        <w:rPr>
          <w:sz w:val="20"/>
          <w:szCs w:val="20"/>
          <w:color w:val="auto"/>
        </w:rPr>
      </w:pPr>
    </w:p>
    <w:p>
      <w:pPr>
        <w:ind w:left="260" w:right="479"/>
        <w:spacing w:after="0" w:line="263" w:lineRule="auto"/>
        <w:rPr>
          <w:sz w:val="20"/>
          <w:szCs w:val="20"/>
          <w:color w:val="auto"/>
        </w:rPr>
      </w:pPr>
      <w:r>
        <w:rPr>
          <w:rFonts w:ascii="Times New Roman" w:cs="Times New Roman" w:eastAsia="Times New Roman" w:hAnsi="Times New Roman"/>
          <w:sz w:val="14"/>
          <w:szCs w:val="14"/>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36" w:lineRule="exact"/>
        <w:rPr>
          <w:sz w:val="20"/>
          <w:szCs w:val="20"/>
          <w:color w:val="auto"/>
        </w:rPr>
      </w:pPr>
    </w:p>
    <w:p>
      <w:pPr>
        <w:ind w:left="260" w:right="499"/>
        <w:spacing w:after="0" w:line="278" w:lineRule="auto"/>
        <w:rPr>
          <w:sz w:val="20"/>
          <w:szCs w:val="20"/>
          <w:color w:val="auto"/>
        </w:rPr>
      </w:pPr>
      <w:r>
        <w:rPr>
          <w:rFonts w:ascii="Times New Roman" w:cs="Times New Roman" w:eastAsia="Times New Roman" w:hAnsi="Times New Roman"/>
          <w:sz w:val="14"/>
          <w:szCs w:val="14"/>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2.05 Registration of Transfer and Exchange.</w:t>
      </w:r>
    </w:p>
    <w:p>
      <w:pPr>
        <w:spacing w:after="0" w:line="91" w:lineRule="exact"/>
        <w:rPr>
          <w:sz w:val="20"/>
          <w:szCs w:val="20"/>
          <w:color w:val="auto"/>
        </w:rPr>
      </w:pPr>
    </w:p>
    <w:p>
      <w:pPr>
        <w:ind w:left="260" w:right="319" w:firstLine="2"/>
        <w:spacing w:after="0" w:line="255" w:lineRule="auto"/>
        <w:tabs>
          <w:tab w:leader="none" w:pos="456"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9"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w:t>
      </w:r>
    </w:p>
    <w:p>
      <w:pPr>
        <w:spacing w:after="0" w:line="20" w:lineRule="exact"/>
        <w:rPr>
          <w:rFonts w:ascii="Times New Roman" w:cs="Times New Roman" w:eastAsia="Times New Roman" w:hAnsi="Times New Roman"/>
          <w:sz w:val="14"/>
          <w:szCs w:val="14"/>
          <w:color w:val="auto"/>
        </w:rPr>
      </w:pPr>
    </w:p>
    <w:p>
      <w:pPr>
        <w:ind w:left="260" w:right="4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43"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6" w:lineRule="exact"/>
        <w:rPr>
          <w:sz w:val="20"/>
          <w:szCs w:val="20"/>
          <w:color w:val="auto"/>
        </w:rPr>
      </w:pPr>
    </w:p>
    <w:p>
      <w:pPr>
        <w:ind w:left="260" w:right="419"/>
        <w:spacing w:after="0" w:line="263"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7" w:right="1440" w:bottom="1440" w:gutter="0" w:footer="0" w:header="0"/>
        </w:sectPr>
      </w:pPr>
    </w:p>
    <w:bookmarkStart w:id="115" w:name="page116"/>
    <w:bookmarkEnd w:id="115"/>
    <w:p>
      <w:pPr>
        <w:ind w:left="260" w:right="359" w:firstLine="2"/>
        <w:spacing w:after="0" w:line="258" w:lineRule="auto"/>
        <w:tabs>
          <w:tab w:leader="none" w:pos="45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56" w:lineRule="exact"/>
        <w:rPr>
          <w:rFonts w:ascii="Times New Roman" w:cs="Times New Roman" w:eastAsia="Times New Roman" w:hAnsi="Times New Roman"/>
          <w:sz w:val="14"/>
          <w:szCs w:val="14"/>
          <w:color w:val="auto"/>
        </w:rPr>
      </w:pPr>
    </w:p>
    <w:p>
      <w:pPr>
        <w:ind w:left="260" w:right="399" w:firstLine="2"/>
        <w:spacing w:after="0" w:line="255" w:lineRule="auto"/>
        <w:tabs>
          <w:tab w:leader="none" w:pos="45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43"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p>
    <w:p>
      <w:pPr>
        <w:spacing w:after="0" w:line="91" w:lineRule="exact"/>
        <w:rPr>
          <w:sz w:val="20"/>
          <w:szCs w:val="20"/>
          <w:color w:val="auto"/>
        </w:rPr>
      </w:pPr>
    </w:p>
    <w:p>
      <w:pPr>
        <w:ind w:left="260" w:right="379"/>
        <w:spacing w:after="0" w:line="251"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p>
    <w:p>
      <w:pPr>
        <w:spacing w:after="0" w:line="91"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16" w:name="page117"/>
    <w:bookmarkEnd w:id="116"/>
    <w:p>
      <w:pPr>
        <w:ind w:left="26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3" w:lineRule="exact"/>
        <w:rPr>
          <w:sz w:val="20"/>
          <w:szCs w:val="20"/>
          <w:color w:val="auto"/>
        </w:rPr>
      </w:pPr>
    </w:p>
    <w:p>
      <w:pPr>
        <w:ind w:left="260" w:right="419"/>
        <w:spacing w:after="0" w:line="253"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2.08 Cancellation.</w:t>
      </w:r>
    </w:p>
    <w:p>
      <w:pPr>
        <w:spacing w:after="0" w:line="91" w:lineRule="exact"/>
        <w:rPr>
          <w:sz w:val="20"/>
          <w:szCs w:val="20"/>
          <w:color w:val="auto"/>
        </w:rPr>
      </w:pPr>
    </w:p>
    <w:p>
      <w:pPr>
        <w:ind w:left="260" w:right="439"/>
        <w:spacing w:after="0" w:line="253"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p>
    <w:p>
      <w:pPr>
        <w:spacing w:after="0" w:line="91" w:lineRule="exact"/>
        <w:rPr>
          <w:sz w:val="20"/>
          <w:szCs w:val="20"/>
          <w:color w:val="auto"/>
        </w:rPr>
      </w:pPr>
    </w:p>
    <w:p>
      <w:pPr>
        <w:ind w:left="260" w:right="279"/>
        <w:spacing w:after="0" w:line="292" w:lineRule="auto"/>
        <w:rPr>
          <w:sz w:val="20"/>
          <w:szCs w:val="20"/>
          <w:color w:val="auto"/>
        </w:rPr>
      </w:pPr>
      <w:r>
        <w:rPr>
          <w:rFonts w:ascii="Times New Roman" w:cs="Times New Roman" w:eastAsia="Times New Roman" w:hAnsi="Times New Roman"/>
          <w:sz w:val="13"/>
          <w:szCs w:val="13"/>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2.10 Authenticating Agent.</w:t>
      </w:r>
    </w:p>
    <w:p>
      <w:pPr>
        <w:spacing w:after="0" w:line="91"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48" w:lineRule="exact"/>
        <w:rPr>
          <w:sz w:val="20"/>
          <w:szCs w:val="20"/>
          <w:color w:val="auto"/>
        </w:rPr>
      </w:pPr>
    </w:p>
    <w:p>
      <w:pPr>
        <w:ind w:left="260" w:right="519"/>
        <w:spacing w:after="0" w:line="254"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17" w:name="page118"/>
    <w:bookmarkEnd w:id="117"/>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2.11 Global Securities.</w:t>
      </w:r>
    </w:p>
    <w:p>
      <w:pPr>
        <w:spacing w:after="0" w:line="91" w:lineRule="exact"/>
        <w:rPr>
          <w:sz w:val="20"/>
          <w:szCs w:val="20"/>
          <w:color w:val="auto"/>
        </w:rPr>
      </w:pPr>
    </w:p>
    <w:p>
      <w:pPr>
        <w:ind w:left="260" w:right="379" w:firstLine="2"/>
        <w:spacing w:after="0" w:line="253" w:lineRule="auto"/>
        <w:tabs>
          <w:tab w:leader="none" w:pos="456"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1" w:lineRule="exact"/>
        <w:rPr>
          <w:rFonts w:ascii="Times New Roman" w:cs="Times New Roman" w:eastAsia="Times New Roman" w:hAnsi="Times New Roman"/>
          <w:sz w:val="14"/>
          <w:szCs w:val="14"/>
          <w:color w:val="auto"/>
        </w:rPr>
      </w:pPr>
    </w:p>
    <w:p>
      <w:pPr>
        <w:ind w:left="260" w:right="7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60" w:lineRule="exact"/>
        <w:rPr>
          <w:rFonts w:ascii="Times New Roman" w:cs="Times New Roman" w:eastAsia="Times New Roman" w:hAnsi="Times New Roman"/>
          <w:sz w:val="14"/>
          <w:szCs w:val="14"/>
          <w:color w:val="auto"/>
        </w:rPr>
      </w:pPr>
    </w:p>
    <w:p>
      <w:pPr>
        <w:ind w:left="260" w:right="319" w:firstLine="2"/>
        <w:spacing w:after="0" w:line="263" w:lineRule="auto"/>
        <w:tabs>
          <w:tab w:leader="none" w:pos="456"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36" w:lineRule="exact"/>
        <w:rPr>
          <w:rFonts w:ascii="Times New Roman" w:cs="Times New Roman" w:eastAsia="Times New Roman" w:hAnsi="Times New Roman"/>
          <w:sz w:val="14"/>
          <w:szCs w:val="14"/>
          <w:color w:val="auto"/>
        </w:rPr>
      </w:pPr>
    </w:p>
    <w:p>
      <w:pPr>
        <w:ind w:left="260" w:right="279" w:firstLine="2"/>
        <w:spacing w:after="0" w:line="270" w:lineRule="auto"/>
        <w:tabs>
          <w:tab w:leader="none" w:pos="456"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3.01 Redemption.</w:t>
      </w:r>
    </w:p>
    <w:p>
      <w:pPr>
        <w:spacing w:after="0" w:line="9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p>
    <w:p>
      <w:pPr>
        <w:spacing w:after="0" w:line="91" w:lineRule="exact"/>
        <w:rPr>
          <w:sz w:val="20"/>
          <w:szCs w:val="20"/>
          <w:color w:val="auto"/>
        </w:rPr>
      </w:pPr>
    </w:p>
    <w:p>
      <w:pPr>
        <w:ind w:left="260" w:right="399" w:firstLine="2"/>
        <w:spacing w:after="0" w:line="255" w:lineRule="auto"/>
        <w:tabs>
          <w:tab w:leader="none" w:pos="456"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118" w:name="page119"/>
    <w:bookmarkEnd w:id="118"/>
    <w:p>
      <w:pPr>
        <w:ind w:left="26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2" w:lineRule="exact"/>
        <w:rPr>
          <w:sz w:val="20"/>
          <w:szCs w:val="20"/>
          <w:color w:val="auto"/>
        </w:rPr>
      </w:pPr>
    </w:p>
    <w:p>
      <w:pPr>
        <w:ind w:left="260" w:right="339"/>
        <w:spacing w:after="0" w:line="254" w:lineRule="auto"/>
        <w:rPr>
          <w:sz w:val="20"/>
          <w:szCs w:val="20"/>
          <w:color w:val="auto"/>
        </w:rPr>
      </w:pPr>
      <w:r>
        <w:rPr>
          <w:rFonts w:ascii="Times New Roman" w:cs="Times New Roman" w:eastAsia="Times New Roman" w:hAnsi="Times New Roman"/>
          <w:sz w:val="14"/>
          <w:szCs w:val="14"/>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2"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53" w:lineRule="exact"/>
        <w:rPr>
          <w:sz w:val="20"/>
          <w:szCs w:val="20"/>
          <w:color w:val="auto"/>
        </w:rPr>
      </w:pPr>
    </w:p>
    <w:p>
      <w:pPr>
        <w:ind w:left="260" w:right="279" w:firstLine="2"/>
        <w:spacing w:after="0" w:line="250" w:lineRule="auto"/>
        <w:tabs>
          <w:tab w:leader="none" w:pos="45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p>
    <w:p>
      <w:pPr>
        <w:spacing w:after="0" w:line="91" w:lineRule="exact"/>
        <w:rPr>
          <w:sz w:val="20"/>
          <w:szCs w:val="20"/>
          <w:color w:val="auto"/>
        </w:rPr>
      </w:pPr>
    </w:p>
    <w:p>
      <w:pPr>
        <w:ind w:left="260" w:right="359" w:firstLine="2"/>
        <w:spacing w:after="0" w:line="252" w:lineRule="auto"/>
        <w:tabs>
          <w:tab w:leader="none" w:pos="456"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61" w:lineRule="exact"/>
        <w:rPr>
          <w:rFonts w:ascii="Times New Roman" w:cs="Times New Roman" w:eastAsia="Times New Roman" w:hAnsi="Times New Roman"/>
          <w:sz w:val="14"/>
          <w:szCs w:val="14"/>
          <w:color w:val="auto"/>
        </w:rPr>
      </w:pPr>
    </w:p>
    <w:p>
      <w:pPr>
        <w:ind w:left="260" w:right="439" w:firstLine="2"/>
        <w:spacing w:after="0" w:line="263" w:lineRule="auto"/>
        <w:tabs>
          <w:tab w:leader="none" w:pos="456"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19" w:name="page120"/>
    <w:bookmarkEnd w:id="119"/>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3.04 Sinking Fund.</w:t>
      </w:r>
    </w:p>
    <w:p>
      <w:pPr>
        <w:spacing w:after="0" w:line="91"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26"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p>
    <w:p>
      <w:pPr>
        <w:spacing w:after="0" w:line="91"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p>
    <w:p>
      <w:pPr>
        <w:spacing w:after="0" w:line="91"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p>
    <w:p>
      <w:pPr>
        <w:spacing w:after="0" w:line="91" w:lineRule="exact"/>
        <w:rPr>
          <w:sz w:val="20"/>
          <w:szCs w:val="20"/>
          <w:color w:val="auto"/>
        </w:rPr>
      </w:pPr>
    </w:p>
    <w:p>
      <w:pPr>
        <w:ind w:left="260" w:right="279"/>
        <w:spacing w:after="0" w:line="274" w:lineRule="auto"/>
        <w:rPr>
          <w:sz w:val="20"/>
          <w:szCs w:val="20"/>
          <w:color w:val="auto"/>
        </w:rPr>
      </w:pPr>
      <w:r>
        <w:rPr>
          <w:rFonts w:ascii="Times New Roman" w:cs="Times New Roman" w:eastAsia="Times New Roman" w:hAnsi="Times New Roman"/>
          <w:sz w:val="13"/>
          <w:szCs w:val="13"/>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7" w:right="1440" w:bottom="1440" w:gutter="0" w:footer="0" w:header="0"/>
        </w:sectPr>
      </w:pPr>
    </w:p>
    <w:bookmarkStart w:id="120" w:name="page121"/>
    <w:bookmarkEnd w:id="120"/>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4.02 Maintenance of Office or Agency.</w:t>
      </w:r>
    </w:p>
    <w:p>
      <w:pPr>
        <w:spacing w:after="0" w:line="91" w:lineRule="exact"/>
        <w:rPr>
          <w:sz w:val="20"/>
          <w:szCs w:val="20"/>
          <w:color w:val="auto"/>
        </w:rPr>
      </w:pPr>
    </w:p>
    <w:p>
      <w:pPr>
        <w:jc w:val="both"/>
        <w:ind w:left="260" w:right="379"/>
        <w:spacing w:after="0" w:line="279" w:lineRule="auto"/>
        <w:rPr>
          <w:sz w:val="20"/>
          <w:szCs w:val="20"/>
          <w:color w:val="auto"/>
        </w:rPr>
      </w:pPr>
      <w:r>
        <w:rPr>
          <w:rFonts w:ascii="Times New Roman" w:cs="Times New Roman" w:eastAsia="Times New Roman" w:hAnsi="Times New Roman"/>
          <w:sz w:val="13"/>
          <w:szCs w:val="13"/>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ind w:left="260" w:right="299" w:firstLine="2"/>
        <w:spacing w:after="0" w:line="249" w:lineRule="auto"/>
        <w:tabs>
          <w:tab w:leader="none" w:pos="464"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4.03 Paying Agents.</w:t>
      </w:r>
    </w:p>
    <w:p>
      <w:pPr>
        <w:spacing w:after="0" w:line="91" w:lineRule="exact"/>
        <w:rPr>
          <w:sz w:val="20"/>
          <w:szCs w:val="20"/>
          <w:color w:val="auto"/>
        </w:rPr>
      </w:pPr>
    </w:p>
    <w:p>
      <w:pPr>
        <w:jc w:val="both"/>
        <w:ind w:left="260" w:right="419" w:firstLine="2"/>
        <w:spacing w:after="0" w:line="263" w:lineRule="auto"/>
        <w:tabs>
          <w:tab w:leader="none" w:pos="45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3" w:lineRule="exact"/>
        <w:rPr>
          <w:sz w:val="20"/>
          <w:szCs w:val="20"/>
          <w:color w:val="auto"/>
        </w:rPr>
      </w:pPr>
    </w:p>
    <w:p>
      <w:pPr>
        <w:ind w:left="260" w:right="399" w:firstLine="2"/>
        <w:spacing w:after="0" w:line="263" w:lineRule="auto"/>
        <w:tabs>
          <w:tab w:leader="none" w:pos="44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53" w:lineRule="exact"/>
        <w:rPr>
          <w:rFonts w:ascii="Times New Roman" w:cs="Times New Roman" w:eastAsia="Times New Roman" w:hAnsi="Times New Roman"/>
          <w:sz w:val="14"/>
          <w:szCs w:val="14"/>
          <w:color w:val="auto"/>
        </w:rPr>
      </w:pPr>
    </w:p>
    <w:p>
      <w:pPr>
        <w:ind w:left="260" w:right="279" w:firstLine="2"/>
        <w:spacing w:after="0" w:line="278" w:lineRule="auto"/>
        <w:tabs>
          <w:tab w:leader="none" w:pos="456"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42" w:lineRule="exact"/>
        <w:rPr>
          <w:rFonts w:ascii="Times New Roman" w:cs="Times New Roman" w:eastAsia="Times New Roman" w:hAnsi="Times New Roman"/>
          <w:sz w:val="14"/>
          <w:szCs w:val="14"/>
          <w:color w:val="auto"/>
        </w:rPr>
      </w:pPr>
    </w:p>
    <w:p>
      <w:pPr>
        <w:ind w:left="260" w:right="619" w:firstLine="2"/>
        <w:spacing w:after="0" w:line="278" w:lineRule="auto"/>
        <w:tabs>
          <w:tab w:leader="none" w:pos="44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89" w:lineRule="exact"/>
        <w:rPr>
          <w:sz w:val="20"/>
          <w:szCs w:val="20"/>
          <w:color w:val="auto"/>
        </w:rPr>
      </w:pPr>
    </w:p>
    <w:p>
      <w:pPr>
        <w:ind w:left="260" w:right="279" w:firstLine="2"/>
        <w:spacing w:after="0" w:line="252" w:lineRule="auto"/>
        <w:tabs>
          <w:tab w:leader="none" w:pos="45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61" w:lineRule="exact"/>
        <w:rPr>
          <w:rFonts w:ascii="Times New Roman" w:cs="Times New Roman" w:eastAsia="Times New Roman" w:hAnsi="Times New Roman"/>
          <w:sz w:val="14"/>
          <w:szCs w:val="14"/>
          <w:color w:val="auto"/>
        </w:rPr>
      </w:pPr>
    </w:p>
    <w:p>
      <w:pPr>
        <w:ind w:left="260" w:right="279" w:firstLine="2"/>
        <w:spacing w:after="0" w:line="254" w:lineRule="auto"/>
        <w:tabs>
          <w:tab w:leader="none" w:pos="45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121" w:name="page122"/>
    <w:bookmarkEnd w:id="121"/>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4.04 Appointment to Fill Vacancy in Office of Trustee.</w:t>
      </w:r>
    </w:p>
    <w:p>
      <w:pPr>
        <w:spacing w:after="0" w:line="9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4.05 Compliance with Consolidation Provisions.</w:t>
      </w:r>
    </w:p>
    <w:p>
      <w:pPr>
        <w:spacing w:after="0" w:line="91" w:lineRule="exact"/>
        <w:rPr>
          <w:sz w:val="20"/>
          <w:szCs w:val="20"/>
          <w:color w:val="auto"/>
        </w:rPr>
      </w:pPr>
    </w:p>
    <w:p>
      <w:pPr>
        <w:ind w:left="260" w:right="599"/>
        <w:spacing w:after="0" w:line="263" w:lineRule="auto"/>
        <w:rPr>
          <w:sz w:val="20"/>
          <w:szCs w:val="20"/>
          <w:color w:val="auto"/>
        </w:rPr>
      </w:pPr>
      <w:r>
        <w:rPr>
          <w:rFonts w:ascii="Times New Roman" w:cs="Times New Roman" w:eastAsia="Times New Roman" w:hAnsi="Times New Roman"/>
          <w:sz w:val="14"/>
          <w:szCs w:val="14"/>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p>
    <w:p>
      <w:pPr>
        <w:spacing w:after="0" w:line="91" w:lineRule="exact"/>
        <w:rPr>
          <w:sz w:val="20"/>
          <w:szCs w:val="20"/>
          <w:color w:val="auto"/>
        </w:rPr>
      </w:pPr>
    </w:p>
    <w:p>
      <w:pPr>
        <w:ind w:left="260" w:right="359"/>
        <w:spacing w:after="0" w:line="254"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p>
    <w:p>
      <w:pPr>
        <w:spacing w:after="0" w:line="91" w:lineRule="exact"/>
        <w:rPr>
          <w:sz w:val="20"/>
          <w:szCs w:val="20"/>
          <w:color w:val="auto"/>
        </w:rPr>
      </w:pPr>
    </w:p>
    <w:p>
      <w:pPr>
        <w:ind w:left="260" w:right="279" w:firstLine="2"/>
        <w:spacing w:after="0" w:line="263" w:lineRule="auto"/>
        <w:tabs>
          <w:tab w:leader="none" w:pos="45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88" w:lineRule="exact"/>
        <w:rPr>
          <w:rFonts w:ascii="Times New Roman" w:cs="Times New Roman" w:eastAsia="Times New Roman" w:hAnsi="Times New Roman"/>
          <w:sz w:val="14"/>
          <w:szCs w:val="14"/>
          <w:color w:val="auto"/>
        </w:rPr>
      </w:pPr>
    </w:p>
    <w:p>
      <w:pPr>
        <w:ind w:left="260" w:right="499" w:firstLine="2"/>
        <w:spacing w:after="0" w:line="263" w:lineRule="auto"/>
        <w:tabs>
          <w:tab w:leader="none" w:pos="45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p>
    <w:p>
      <w:pPr>
        <w:spacing w:after="0" w:line="91" w:lineRule="exact"/>
        <w:rPr>
          <w:sz w:val="20"/>
          <w:szCs w:val="20"/>
          <w:color w:val="auto"/>
        </w:rPr>
      </w:pPr>
    </w:p>
    <w:p>
      <w:pPr>
        <w:ind w:left="260" w:right="279" w:firstLine="2"/>
        <w:spacing w:after="0" w:line="251" w:lineRule="auto"/>
        <w:tabs>
          <w:tab w:leader="none" w:pos="456"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7" w:right="1440" w:bottom="1440" w:gutter="0" w:footer="0" w:header="0"/>
        </w:sectPr>
      </w:pPr>
    </w:p>
    <w:bookmarkStart w:id="122" w:name="page123"/>
    <w:bookmarkEnd w:id="122"/>
    <w:p>
      <w:pPr>
        <w:ind w:left="260" w:right="359" w:firstLine="2"/>
        <w:spacing w:after="0" w:line="258" w:lineRule="auto"/>
        <w:tabs>
          <w:tab w:leader="none" w:pos="456"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p>
    <w:p>
      <w:pPr>
        <w:spacing w:after="0" w:line="91" w:lineRule="exact"/>
        <w:rPr>
          <w:sz w:val="20"/>
          <w:szCs w:val="20"/>
          <w:color w:val="auto"/>
        </w:rPr>
      </w:pPr>
    </w:p>
    <w:p>
      <w:pPr>
        <w:ind w:left="260" w:right="519" w:firstLine="2"/>
        <w:spacing w:after="0" w:line="263" w:lineRule="auto"/>
        <w:tabs>
          <w:tab w:leader="none" w:pos="456"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88" w:lineRule="exact"/>
        <w:rPr>
          <w:rFonts w:ascii="Times New Roman" w:cs="Times New Roman" w:eastAsia="Times New Roman" w:hAnsi="Times New Roman"/>
          <w:sz w:val="14"/>
          <w:szCs w:val="14"/>
          <w:color w:val="auto"/>
        </w:rPr>
      </w:pPr>
    </w:p>
    <w:p>
      <w:pPr>
        <w:ind w:left="260" w:right="379" w:firstLine="2"/>
        <w:spacing w:after="0" w:line="263" w:lineRule="auto"/>
        <w:tabs>
          <w:tab w:leader="none" w:pos="456"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7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p>
    <w:p>
      <w:pPr>
        <w:spacing w:after="0" w:line="91" w:lineRule="exact"/>
        <w:rPr>
          <w:sz w:val="20"/>
          <w:szCs w:val="20"/>
          <w:color w:val="auto"/>
        </w:rPr>
      </w:pPr>
    </w:p>
    <w:p>
      <w:pPr>
        <w:ind w:left="260" w:right="499" w:firstLine="2"/>
        <w:spacing w:after="0" w:line="278" w:lineRule="auto"/>
        <w:tabs>
          <w:tab w:leader="none" w:pos="456"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43" w:lineRule="exact"/>
        <w:rPr>
          <w:sz w:val="20"/>
          <w:szCs w:val="20"/>
          <w:color w:val="auto"/>
        </w:rPr>
      </w:pPr>
    </w:p>
    <w:p>
      <w:pPr>
        <w:ind w:left="260" w:right="279" w:firstLine="2"/>
        <w:spacing w:after="0" w:line="263" w:lineRule="auto"/>
        <w:tabs>
          <w:tab w:leader="none" w:pos="449"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53" w:lineRule="exact"/>
        <w:rPr>
          <w:rFonts w:ascii="Times New Roman" w:cs="Times New Roman" w:eastAsia="Times New Roman" w:hAnsi="Times New Roman"/>
          <w:sz w:val="14"/>
          <w:szCs w:val="14"/>
          <w:color w:val="auto"/>
        </w:rPr>
      </w:pPr>
    </w:p>
    <w:p>
      <w:pPr>
        <w:ind w:left="260" w:right="399" w:firstLine="2"/>
        <w:spacing w:after="0" w:line="258" w:lineRule="auto"/>
        <w:tabs>
          <w:tab w:leader="none" w:pos="456"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56" w:lineRule="exact"/>
        <w:rPr>
          <w:rFonts w:ascii="Times New Roman" w:cs="Times New Roman" w:eastAsia="Times New Roman" w:hAnsi="Times New Roman"/>
          <w:sz w:val="14"/>
          <w:szCs w:val="14"/>
          <w:color w:val="auto"/>
        </w:rPr>
      </w:pPr>
    </w:p>
    <w:p>
      <w:pPr>
        <w:ind w:left="260" w:right="339" w:firstLine="2"/>
        <w:spacing w:after="0" w:line="254" w:lineRule="auto"/>
        <w:tabs>
          <w:tab w:leader="none" w:pos="449"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23" w:name="page124"/>
    <w:bookmarkEnd w:id="123"/>
    <w:p>
      <w:pPr>
        <w:ind w:left="260" w:right="439" w:firstLine="2"/>
        <w:spacing w:after="0" w:line="263" w:lineRule="auto"/>
        <w:tabs>
          <w:tab w:leader="none" w:pos="45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w:t>
      </w:r>
    </w:p>
    <w:p>
      <w:pPr>
        <w:spacing w:after="0" w:line="21" w:lineRule="exact"/>
        <w:rPr>
          <w:sz w:val="20"/>
          <w:szCs w:val="20"/>
          <w:color w:val="auto"/>
        </w:rPr>
      </w:pPr>
    </w:p>
    <w:p>
      <w:pPr>
        <w:ind w:left="260" w:right="339" w:firstLine="2"/>
        <w:spacing w:after="0" w:line="256" w:lineRule="auto"/>
        <w:tabs>
          <w:tab w:leader="none" w:pos="464"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for all or substantially all of its property or (iii) orders the liquidation of the Company, and the order or decree remains unstayed and in effect for 90 days.</w:t>
      </w:r>
    </w:p>
    <w:p>
      <w:pPr>
        <w:spacing w:after="0" w:line="57" w:lineRule="exact"/>
        <w:rPr>
          <w:sz w:val="20"/>
          <w:szCs w:val="20"/>
          <w:color w:val="auto"/>
        </w:rPr>
      </w:pPr>
    </w:p>
    <w:p>
      <w:pPr>
        <w:ind w:left="260" w:right="359" w:firstLine="2"/>
        <w:spacing w:after="0" w:line="271" w:lineRule="auto"/>
        <w:tabs>
          <w:tab w:leader="none" w:pos="456"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w:t>
      </w:r>
    </w:p>
    <w:p>
      <w:pPr>
        <w:spacing w:after="0" w:line="2" w:lineRule="exact"/>
        <w:rPr>
          <w:rFonts w:ascii="Times New Roman" w:cs="Times New Roman" w:eastAsia="Times New Roman" w:hAnsi="Times New Roman"/>
          <w:sz w:val="13"/>
          <w:szCs w:val="13"/>
          <w:color w:val="auto"/>
        </w:rPr>
      </w:pPr>
    </w:p>
    <w:p>
      <w:pPr>
        <w:ind w:left="260" w:right="339" w:firstLine="2"/>
        <w:spacing w:after="0" w:line="256" w:lineRule="auto"/>
        <w:tabs>
          <w:tab w:leader="none" w:pos="45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57" w:lineRule="exact"/>
        <w:rPr>
          <w:rFonts w:ascii="Times New Roman" w:cs="Times New Roman" w:eastAsia="Times New Roman" w:hAnsi="Times New Roman"/>
          <w:sz w:val="14"/>
          <w:szCs w:val="14"/>
          <w:color w:val="auto"/>
        </w:rPr>
      </w:pPr>
    </w:p>
    <w:p>
      <w:pPr>
        <w:ind w:left="260" w:right="279" w:firstLine="2"/>
        <w:spacing w:after="0" w:line="251" w:lineRule="auto"/>
        <w:tabs>
          <w:tab w:leader="none" w:pos="44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89" w:lineRule="exact"/>
        <w:rPr>
          <w:sz w:val="20"/>
          <w:szCs w:val="20"/>
          <w:color w:val="auto"/>
        </w:rPr>
      </w:pPr>
    </w:p>
    <w:p>
      <w:pPr>
        <w:ind w:left="260" w:right="359" w:firstLine="2"/>
        <w:spacing w:after="0" w:line="255" w:lineRule="auto"/>
        <w:tabs>
          <w:tab w:leader="none" w:pos="45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p>
    <w:p>
      <w:pPr>
        <w:spacing w:after="0" w:line="91" w:lineRule="exact"/>
        <w:rPr>
          <w:sz w:val="20"/>
          <w:szCs w:val="20"/>
          <w:color w:val="auto"/>
        </w:rPr>
      </w:pPr>
    </w:p>
    <w:p>
      <w:pPr>
        <w:ind w:left="260" w:right="299" w:firstLine="2"/>
        <w:spacing w:after="0" w:line="273" w:lineRule="auto"/>
        <w:tabs>
          <w:tab w:leader="none" w:pos="456"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24" w:name="page125"/>
    <w:bookmarkEnd w:id="124"/>
    <w:p>
      <w:pPr>
        <w:ind w:left="260" w:right="379" w:firstLine="2"/>
        <w:spacing w:after="0" w:line="255" w:lineRule="auto"/>
        <w:tabs>
          <w:tab w:leader="none" w:pos="456"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59" w:lineRule="exact"/>
        <w:rPr>
          <w:rFonts w:ascii="Times New Roman" w:cs="Times New Roman" w:eastAsia="Times New Roman" w:hAnsi="Times New Roman"/>
          <w:sz w:val="14"/>
          <w:szCs w:val="14"/>
          <w:color w:val="auto"/>
        </w:rPr>
      </w:pPr>
    </w:p>
    <w:p>
      <w:pPr>
        <w:ind w:left="260" w:right="299" w:firstLine="2"/>
        <w:spacing w:after="0" w:line="273" w:lineRule="auto"/>
        <w:tabs>
          <w:tab w:leader="none" w:pos="45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50" w:lineRule="exact"/>
        <w:rPr>
          <w:rFonts w:ascii="Times New Roman" w:cs="Times New Roman" w:eastAsia="Times New Roman" w:hAnsi="Times New Roman"/>
          <w:sz w:val="13"/>
          <w:szCs w:val="13"/>
          <w:color w:val="auto"/>
        </w:rPr>
      </w:pPr>
    </w:p>
    <w:p>
      <w:pPr>
        <w:ind w:left="260" w:right="279" w:firstLine="2"/>
        <w:spacing w:after="0" w:line="255" w:lineRule="auto"/>
        <w:tabs>
          <w:tab w:leader="none" w:pos="456"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3" w:lineRule="exact"/>
        <w:rPr>
          <w:sz w:val="20"/>
          <w:szCs w:val="20"/>
          <w:color w:val="auto"/>
        </w:rPr>
      </w:pPr>
    </w:p>
    <w:p>
      <w:pPr>
        <w:ind w:left="260" w:right="319"/>
        <w:spacing w:after="0" w:line="258"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0"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p>
    <w:p>
      <w:pPr>
        <w:spacing w:after="0" w:line="91" w:lineRule="exact"/>
        <w:rPr>
          <w:sz w:val="20"/>
          <w:szCs w:val="20"/>
          <w:color w:val="auto"/>
        </w:rPr>
      </w:pPr>
    </w:p>
    <w:p>
      <w:pPr>
        <w:ind w:left="260" w:right="279"/>
        <w:spacing w:after="0" w:line="263"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FIRST: To the payment of reasonable costs and expenses of collection and of all amounts payable to the Trustee under Section 7.06;</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25" w:name="page126"/>
    <w:bookmarkEnd w:id="125"/>
    <w:p>
      <w:pPr>
        <w:ind w:left="260" w:right="3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or any other Person lawfully entitled thereto.</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p>
    <w:p>
      <w:pPr>
        <w:spacing w:after="0" w:line="91"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8"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p>
    <w:p>
      <w:pPr>
        <w:spacing w:after="0" w:line="91" w:lineRule="exact"/>
        <w:rPr>
          <w:sz w:val="20"/>
          <w:szCs w:val="20"/>
          <w:color w:val="auto"/>
        </w:rPr>
      </w:pPr>
    </w:p>
    <w:p>
      <w:pPr>
        <w:ind w:left="260" w:right="399" w:firstLine="2"/>
        <w:spacing w:after="0" w:line="258" w:lineRule="auto"/>
        <w:tabs>
          <w:tab w:leader="none" w:pos="456"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5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w:t>
      </w:r>
    </w:p>
    <w:p>
      <w:pPr>
        <w:spacing w:after="0" w:line="20" w:lineRule="exact"/>
        <w:rPr>
          <w:rFonts w:ascii="Times New Roman" w:cs="Times New Roman" w:eastAsia="Times New Roman" w:hAnsi="Times New Roman"/>
          <w:sz w:val="14"/>
          <w:szCs w:val="14"/>
          <w:color w:val="auto"/>
        </w:rPr>
      </w:pPr>
    </w:p>
    <w:p>
      <w:pPr>
        <w:ind w:left="26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26" w:name="page127"/>
    <w:bookmarkEnd w:id="12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6.06 Control by Securityholders.</w:t>
      </w:r>
    </w:p>
    <w:p>
      <w:pPr>
        <w:spacing w:after="0" w:line="91"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p>
    <w:p>
      <w:pPr>
        <w:spacing w:after="0" w:line="91"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p>
    <w:p>
      <w:pPr>
        <w:spacing w:after="0" w:line="91" w:lineRule="exact"/>
        <w:rPr>
          <w:sz w:val="20"/>
          <w:szCs w:val="20"/>
          <w:color w:val="auto"/>
        </w:rPr>
      </w:pPr>
    </w:p>
    <w:p>
      <w:pPr>
        <w:ind w:left="260" w:right="339" w:firstLine="2"/>
        <w:spacing w:after="0" w:line="254" w:lineRule="auto"/>
        <w:tabs>
          <w:tab w:leader="none" w:pos="45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59" w:lineRule="exact"/>
        <w:rPr>
          <w:rFonts w:ascii="Times New Roman" w:cs="Times New Roman" w:eastAsia="Times New Roman" w:hAnsi="Times New Roman"/>
          <w:sz w:val="14"/>
          <w:szCs w:val="14"/>
          <w:color w:val="auto"/>
        </w:rPr>
      </w:pPr>
    </w:p>
    <w:p>
      <w:pPr>
        <w:ind w:left="260" w:right="379" w:firstLine="2"/>
        <w:spacing w:after="0" w:line="278" w:lineRule="auto"/>
        <w:tabs>
          <w:tab w:leader="none" w:pos="45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7" w:right="1440" w:bottom="1440" w:gutter="0" w:footer="0" w:header="0"/>
        </w:sectPr>
      </w:pPr>
    </w:p>
    <w:bookmarkStart w:id="127" w:name="page128"/>
    <w:bookmarkEnd w:id="127"/>
    <w:p>
      <w:pPr>
        <w:ind w:left="260" w:right="439" w:firstLine="2"/>
        <w:spacing w:after="0" w:line="278" w:lineRule="auto"/>
        <w:tabs>
          <w:tab w:leader="none" w:pos="449"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43" w:lineRule="exact"/>
        <w:rPr>
          <w:sz w:val="20"/>
          <w:szCs w:val="20"/>
          <w:color w:val="auto"/>
        </w:rPr>
      </w:pPr>
    </w:p>
    <w:p>
      <w:pPr>
        <w:ind w:left="260" w:right="299" w:firstLine="2"/>
        <w:spacing w:after="0" w:line="263" w:lineRule="auto"/>
        <w:tabs>
          <w:tab w:leader="none" w:pos="487"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4"/>
          <w:szCs w:val="14"/>
          <w:color w:val="auto"/>
        </w:rPr>
      </w:pPr>
    </w:p>
    <w:p>
      <w:pPr>
        <w:ind w:left="260" w:right="319" w:firstLine="2"/>
        <w:spacing w:after="0" w:line="284" w:lineRule="auto"/>
        <w:tabs>
          <w:tab w:leader="none" w:pos="479"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41" w:lineRule="exact"/>
        <w:rPr>
          <w:sz w:val="20"/>
          <w:szCs w:val="20"/>
          <w:color w:val="auto"/>
        </w:rPr>
      </w:pPr>
    </w:p>
    <w:p>
      <w:pPr>
        <w:ind w:left="260" w:right="319" w:firstLine="2"/>
        <w:spacing w:after="0" w:line="278" w:lineRule="auto"/>
        <w:tabs>
          <w:tab w:leader="none" w:pos="456"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42" w:lineRule="exact"/>
        <w:rPr>
          <w:rFonts w:ascii="Times New Roman" w:cs="Times New Roman" w:eastAsia="Times New Roman" w:hAnsi="Times New Roman"/>
          <w:sz w:val="14"/>
          <w:szCs w:val="14"/>
          <w:color w:val="auto"/>
        </w:rPr>
      </w:pPr>
    </w:p>
    <w:p>
      <w:pPr>
        <w:ind w:left="260" w:right="459" w:firstLine="2"/>
        <w:spacing w:after="0" w:line="258" w:lineRule="auto"/>
        <w:tabs>
          <w:tab w:leader="none" w:pos="449"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56" w:lineRule="exact"/>
        <w:rPr>
          <w:rFonts w:ascii="Times New Roman" w:cs="Times New Roman" w:eastAsia="Times New Roman" w:hAnsi="Times New Roman"/>
          <w:sz w:val="14"/>
          <w:szCs w:val="14"/>
          <w:color w:val="auto"/>
        </w:rPr>
      </w:pPr>
    </w:p>
    <w:p>
      <w:pPr>
        <w:ind w:left="260" w:right="619" w:firstLine="2"/>
        <w:spacing w:after="0" w:line="258" w:lineRule="auto"/>
        <w:tabs>
          <w:tab w:leader="none" w:pos="456"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89" w:lineRule="exact"/>
        <w:rPr>
          <w:sz w:val="20"/>
          <w:szCs w:val="20"/>
          <w:color w:val="auto"/>
        </w:rPr>
      </w:pPr>
    </w:p>
    <w:p>
      <w:pPr>
        <w:jc w:val="both"/>
        <w:ind w:left="260" w:right="659" w:firstLine="2"/>
        <w:spacing w:after="0" w:line="263" w:lineRule="auto"/>
        <w:tabs>
          <w:tab w:leader="none" w:pos="456"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w:t>
      </w:r>
    </w:p>
    <w:p>
      <w:pPr>
        <w:spacing w:after="0" w:line="20"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signed in the name of the Company by any authorized officer of the Company (unless other evidence in respect thereof is specifically prescribed herein);</w:t>
      </w:r>
    </w:p>
    <w:p>
      <w:pPr>
        <w:spacing w:after="0" w:line="84" w:lineRule="exact"/>
        <w:rPr>
          <w:rFonts w:ascii="Times New Roman" w:cs="Times New Roman" w:eastAsia="Times New Roman" w:hAnsi="Times New Roman"/>
          <w:sz w:val="14"/>
          <w:szCs w:val="14"/>
          <w:color w:val="auto"/>
        </w:rPr>
      </w:pPr>
    </w:p>
    <w:p>
      <w:pPr>
        <w:ind w:left="260" w:right="559" w:firstLine="2"/>
        <w:spacing w:after="0" w:line="278" w:lineRule="auto"/>
        <w:tabs>
          <w:tab w:leader="none" w:pos="456"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42" w:lineRule="exact"/>
        <w:rPr>
          <w:rFonts w:ascii="Times New Roman" w:cs="Times New Roman" w:eastAsia="Times New Roman" w:hAnsi="Times New Roman"/>
          <w:sz w:val="14"/>
          <w:szCs w:val="14"/>
          <w:color w:val="auto"/>
        </w:rPr>
      </w:pPr>
    </w:p>
    <w:p>
      <w:pPr>
        <w:ind w:left="260" w:right="319" w:firstLine="2"/>
        <w:spacing w:after="0" w:line="254" w:lineRule="auto"/>
        <w:tabs>
          <w:tab w:leader="none" w:pos="456"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28" w:name="page129"/>
    <w:bookmarkEnd w:id="128"/>
    <w:p>
      <w:pPr>
        <w:ind w:left="260" w:right="779" w:firstLine="2"/>
        <w:spacing w:after="0" w:line="278" w:lineRule="auto"/>
        <w:tabs>
          <w:tab w:leader="none" w:pos="45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not be liable for any action taken or omitted to be taken by it in good faith and believed by it to be authorized or within the discretion or rights or powers conferred upon it by this Indenture;</w:t>
      </w:r>
    </w:p>
    <w:p>
      <w:pPr>
        <w:spacing w:after="0" w:line="42" w:lineRule="exact"/>
        <w:rPr>
          <w:rFonts w:ascii="Times New Roman" w:cs="Times New Roman" w:eastAsia="Times New Roman" w:hAnsi="Times New Roman"/>
          <w:sz w:val="14"/>
          <w:szCs w:val="14"/>
          <w:color w:val="auto"/>
        </w:rPr>
      </w:pPr>
    </w:p>
    <w:p>
      <w:pPr>
        <w:ind w:left="260" w:right="299" w:firstLine="2"/>
        <w:spacing w:after="0" w:line="275" w:lineRule="auto"/>
        <w:tabs>
          <w:tab w:leader="none" w:pos="456"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48" w:lineRule="exact"/>
        <w:rPr>
          <w:rFonts w:ascii="Times New Roman" w:cs="Times New Roman" w:eastAsia="Times New Roman" w:hAnsi="Times New Roman"/>
          <w:sz w:val="13"/>
          <w:szCs w:val="13"/>
          <w:color w:val="auto"/>
        </w:rPr>
      </w:pPr>
    </w:p>
    <w:p>
      <w:pPr>
        <w:jc w:val="both"/>
        <w:ind w:left="260" w:right="419" w:firstLine="2"/>
        <w:spacing w:after="0" w:line="318" w:lineRule="auto"/>
        <w:tabs>
          <w:tab w:leader="none" w:pos="456"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9" w:lineRule="exact"/>
        <w:rPr>
          <w:rFonts w:ascii="Times New Roman" w:cs="Times New Roman" w:eastAsia="Times New Roman" w:hAnsi="Times New Roman"/>
          <w:sz w:val="13"/>
          <w:szCs w:val="13"/>
          <w:color w:val="auto"/>
        </w:rPr>
      </w:pPr>
    </w:p>
    <w:p>
      <w:pPr>
        <w:ind w:left="260" w:right="379" w:firstLine="2"/>
        <w:spacing w:after="0" w:line="255" w:lineRule="auto"/>
        <w:tabs>
          <w:tab w:leader="none" w:pos="45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9" w:lineRule="exact"/>
        <w:rPr>
          <w:rFonts w:ascii="Times New Roman" w:cs="Times New Roman" w:eastAsia="Times New Roman" w:hAnsi="Times New Roman"/>
          <w:sz w:val="14"/>
          <w:szCs w:val="14"/>
          <w:color w:val="auto"/>
        </w:rPr>
      </w:pPr>
    </w:p>
    <w:p>
      <w:pPr>
        <w:ind w:left="260" w:right="319" w:firstLine="2"/>
        <w:spacing w:after="0" w:line="263" w:lineRule="auto"/>
        <w:tabs>
          <w:tab w:leader="none" w:pos="45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53" w:lineRule="exact"/>
        <w:rPr>
          <w:rFonts w:ascii="Times New Roman" w:cs="Times New Roman" w:eastAsia="Times New Roman" w:hAnsi="Times New Roman"/>
          <w:sz w:val="14"/>
          <w:szCs w:val="14"/>
          <w:color w:val="auto"/>
        </w:rPr>
      </w:pPr>
    </w:p>
    <w:p>
      <w:pPr>
        <w:ind w:left="260" w:right="299" w:firstLine="2"/>
        <w:spacing w:after="0" w:line="251" w:lineRule="auto"/>
        <w:tabs>
          <w:tab w:leader="none" w:pos="52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46" w:lineRule="exact"/>
        <w:rPr>
          <w:sz w:val="20"/>
          <w:szCs w:val="20"/>
          <w:color w:val="auto"/>
        </w:rPr>
      </w:pPr>
    </w:p>
    <w:p>
      <w:pPr>
        <w:ind w:left="260" w:right="839"/>
        <w:spacing w:after="0" w:line="278" w:lineRule="auto"/>
        <w:rPr>
          <w:sz w:val="20"/>
          <w:szCs w:val="20"/>
          <w:color w:val="auto"/>
        </w:rPr>
      </w:pPr>
      <w:r>
        <w:rPr>
          <w:rFonts w:ascii="Times New Roman" w:cs="Times New Roman" w:eastAsia="Times New Roman" w:hAnsi="Times New Roman"/>
          <w:sz w:val="14"/>
          <w:szCs w:val="14"/>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29" w:name="page130"/>
    <w:bookmarkEnd w:id="129"/>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7.03 Trustee Not Responsible for Recitals or Issuance or Securities.</w:t>
      </w:r>
    </w:p>
    <w:p>
      <w:pPr>
        <w:spacing w:after="0" w:line="91" w:lineRule="exact"/>
        <w:rPr>
          <w:sz w:val="20"/>
          <w:szCs w:val="20"/>
          <w:color w:val="auto"/>
        </w:rPr>
      </w:pPr>
    </w:p>
    <w:p>
      <w:pPr>
        <w:ind w:left="260" w:right="319" w:firstLine="2"/>
        <w:spacing w:after="0" w:line="278" w:lineRule="auto"/>
        <w:tabs>
          <w:tab w:leader="none" w:pos="456"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72" w:lineRule="exact"/>
        <w:rPr>
          <w:sz w:val="20"/>
          <w:szCs w:val="20"/>
          <w:color w:val="auto"/>
        </w:rPr>
      </w:pPr>
    </w:p>
    <w:p>
      <w:pPr>
        <w:jc w:val="both"/>
        <w:ind w:left="260" w:right="359"/>
        <w:spacing w:after="0" w:line="263" w:lineRule="auto"/>
        <w:rPr>
          <w:sz w:val="20"/>
          <w:szCs w:val="20"/>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7.04 May Hold Securities.</w:t>
      </w:r>
    </w:p>
    <w:p>
      <w:pPr>
        <w:spacing w:after="0" w:line="91"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p>
    <w:p>
      <w:pPr>
        <w:spacing w:after="0" w:line="91"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p>
    <w:p>
      <w:pPr>
        <w:spacing w:after="0" w:line="91" w:lineRule="exact"/>
        <w:rPr>
          <w:sz w:val="20"/>
          <w:szCs w:val="20"/>
          <w:color w:val="auto"/>
        </w:rPr>
      </w:pPr>
    </w:p>
    <w:p>
      <w:pPr>
        <w:ind w:left="260" w:right="279" w:firstLine="2"/>
        <w:spacing w:after="0" w:line="272" w:lineRule="auto"/>
        <w:tabs>
          <w:tab w:leader="none" w:pos="454"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52" w:lineRule="exact"/>
        <w:rPr>
          <w:rFonts w:ascii="Times New Roman" w:cs="Times New Roman" w:eastAsia="Times New Roman" w:hAnsi="Times New Roman"/>
          <w:sz w:val="13"/>
          <w:szCs w:val="13"/>
          <w:color w:val="auto"/>
        </w:rPr>
      </w:pPr>
    </w:p>
    <w:p>
      <w:pPr>
        <w:ind w:left="260" w:right="399" w:firstLine="2"/>
        <w:spacing w:after="0" w:line="258" w:lineRule="auto"/>
        <w:tabs>
          <w:tab w:leader="none" w:pos="45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56" w:lineRule="exact"/>
        <w:rPr>
          <w:rFonts w:ascii="Times New Roman" w:cs="Times New Roman" w:eastAsia="Times New Roman" w:hAnsi="Times New Roman"/>
          <w:sz w:val="14"/>
          <w:szCs w:val="14"/>
          <w:color w:val="auto"/>
        </w:rPr>
      </w:pPr>
    </w:p>
    <w:p>
      <w:pPr>
        <w:ind w:left="260" w:right="339" w:firstLine="2"/>
        <w:spacing w:after="0" w:line="255" w:lineRule="auto"/>
        <w:tabs>
          <w:tab w:leader="none" w:pos="45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7" w:right="1440" w:bottom="1440" w:gutter="0" w:footer="0" w:header="0"/>
        </w:sectPr>
      </w:pPr>
    </w:p>
    <w:bookmarkStart w:id="130" w:name="page131"/>
    <w:bookmarkEnd w:id="130"/>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7.07 Reliance on Officer’s Certificate.</w:t>
      </w:r>
    </w:p>
    <w:p>
      <w:pPr>
        <w:spacing w:after="0" w:line="91" w:lineRule="exact"/>
        <w:rPr>
          <w:sz w:val="20"/>
          <w:szCs w:val="20"/>
          <w:color w:val="auto"/>
        </w:rPr>
      </w:pPr>
    </w:p>
    <w:p>
      <w:pPr>
        <w:ind w:left="260" w:right="359"/>
        <w:spacing w:after="0" w:line="254"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p>
    <w:p>
      <w:pPr>
        <w:spacing w:after="0" w:line="91" w:lineRule="exact"/>
        <w:rPr>
          <w:sz w:val="20"/>
          <w:szCs w:val="20"/>
          <w:color w:val="auto"/>
        </w:rPr>
      </w:pPr>
    </w:p>
    <w:p>
      <w:pPr>
        <w:ind w:left="260" w:right="759"/>
        <w:spacing w:after="0" w:line="278"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p>
    <w:p>
      <w:pPr>
        <w:spacing w:after="0" w:line="91" w:lineRule="exact"/>
        <w:rPr>
          <w:sz w:val="20"/>
          <w:szCs w:val="20"/>
          <w:color w:val="auto"/>
        </w:rPr>
      </w:pPr>
    </w:p>
    <w:p>
      <w:pPr>
        <w:ind w:left="260" w:right="339"/>
        <w:spacing w:after="0" w:line="284"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4"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p>
    <w:p>
      <w:pPr>
        <w:spacing w:after="0" w:line="91" w:lineRule="exact"/>
        <w:rPr>
          <w:sz w:val="20"/>
          <w:szCs w:val="20"/>
          <w:color w:val="auto"/>
        </w:rPr>
      </w:pPr>
    </w:p>
    <w:p>
      <w:pPr>
        <w:ind w:left="260" w:right="319" w:firstLine="2"/>
        <w:spacing w:after="0" w:line="273" w:lineRule="auto"/>
        <w:tabs>
          <w:tab w:leader="none" w:pos="456"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50" w:lineRule="exact"/>
        <w:rPr>
          <w:rFonts w:ascii="Times New Roman" w:cs="Times New Roman" w:eastAsia="Times New Roman" w:hAnsi="Times New Roman"/>
          <w:sz w:val="13"/>
          <w:szCs w:val="13"/>
          <w:color w:val="auto"/>
        </w:rPr>
      </w:pPr>
    </w:p>
    <w:p>
      <w:pPr>
        <w:ind w:left="460" w:hanging="198"/>
        <w:spacing w:after="0"/>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one of the following shall occur: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7" w:right="1440" w:bottom="1440" w:gutter="0" w:footer="0" w:header="0"/>
        </w:sectPr>
      </w:pPr>
    </w:p>
    <w:bookmarkStart w:id="131" w:name="page132"/>
    <w:bookmarkEnd w:id="131"/>
    <w:p>
      <w:pPr>
        <w:ind w:left="260" w:right="399" w:firstLine="2"/>
        <w:spacing w:after="0" w:line="278" w:lineRule="auto"/>
        <w:tabs>
          <w:tab w:leader="none" w:pos="449"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fail to comply with the provisions of Section 7.08 after written request therefor by the Company or by any Securityholder who has been a bona fide holder of a Security or Securities for at least six months; or</w:t>
      </w:r>
    </w:p>
    <w:p>
      <w:pPr>
        <w:spacing w:after="0" w:line="42" w:lineRule="exact"/>
        <w:rPr>
          <w:rFonts w:ascii="Times New Roman" w:cs="Times New Roman" w:eastAsia="Times New Roman" w:hAnsi="Times New Roman"/>
          <w:sz w:val="14"/>
          <w:szCs w:val="14"/>
          <w:color w:val="auto"/>
        </w:rPr>
      </w:pPr>
    </w:p>
    <w:p>
      <w:pPr>
        <w:ind w:left="260" w:right="519" w:firstLine="2"/>
        <w:spacing w:after="0" w:line="278" w:lineRule="auto"/>
        <w:tabs>
          <w:tab w:leader="none" w:pos="456"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 any such Securityholder; or</w:t>
      </w:r>
    </w:p>
    <w:p>
      <w:pPr>
        <w:spacing w:after="0" w:line="42" w:lineRule="exact"/>
        <w:rPr>
          <w:rFonts w:ascii="Times New Roman" w:cs="Times New Roman" w:eastAsia="Times New Roman" w:hAnsi="Times New Roman"/>
          <w:sz w:val="14"/>
          <w:szCs w:val="14"/>
          <w:color w:val="auto"/>
        </w:rPr>
      </w:pPr>
    </w:p>
    <w:p>
      <w:pPr>
        <w:ind w:left="260" w:right="299" w:firstLine="2"/>
        <w:spacing w:after="0" w:line="252" w:lineRule="auto"/>
        <w:tabs>
          <w:tab w:leader="none" w:pos="449"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2" w:lineRule="exact"/>
        <w:rPr>
          <w:sz w:val="20"/>
          <w:szCs w:val="20"/>
          <w:color w:val="auto"/>
        </w:rPr>
      </w:pPr>
    </w:p>
    <w:p>
      <w:pPr>
        <w:ind w:left="260" w:right="439" w:firstLine="2"/>
        <w:spacing w:after="0" w:line="263" w:lineRule="auto"/>
        <w:tabs>
          <w:tab w:leader="none" w:pos="45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53" w:lineRule="exact"/>
        <w:rPr>
          <w:rFonts w:ascii="Times New Roman" w:cs="Times New Roman" w:eastAsia="Times New Roman" w:hAnsi="Times New Roman"/>
          <w:sz w:val="14"/>
          <w:szCs w:val="14"/>
          <w:color w:val="auto"/>
        </w:rPr>
      </w:pPr>
    </w:p>
    <w:p>
      <w:pPr>
        <w:ind w:left="260" w:right="579" w:firstLine="2"/>
        <w:spacing w:after="0" w:line="278" w:lineRule="auto"/>
        <w:tabs>
          <w:tab w:leader="none" w:pos="45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42" w:lineRule="exact"/>
        <w:rPr>
          <w:rFonts w:ascii="Times New Roman" w:cs="Times New Roman" w:eastAsia="Times New Roman" w:hAnsi="Times New Roman"/>
          <w:sz w:val="14"/>
          <w:szCs w:val="14"/>
          <w:color w:val="auto"/>
        </w:rPr>
      </w:pPr>
    </w:p>
    <w:p>
      <w:pPr>
        <w:ind w:left="260" w:right="419" w:firstLine="2"/>
        <w:spacing w:after="0" w:line="278" w:lineRule="auto"/>
        <w:tabs>
          <w:tab w:leader="none" w:pos="45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7.11 Acceptance of Appointment By Successor.</w:t>
      </w:r>
    </w:p>
    <w:p>
      <w:pPr>
        <w:spacing w:after="0" w:line="91" w:lineRule="exact"/>
        <w:rPr>
          <w:sz w:val="20"/>
          <w:szCs w:val="20"/>
          <w:color w:val="auto"/>
        </w:rPr>
      </w:pPr>
    </w:p>
    <w:p>
      <w:pPr>
        <w:ind w:left="260" w:right="319" w:firstLine="2"/>
        <w:spacing w:after="0" w:line="254" w:lineRule="auto"/>
        <w:tabs>
          <w:tab w:leader="none" w:pos="45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9" w:lineRule="exact"/>
        <w:rPr>
          <w:rFonts w:ascii="Times New Roman" w:cs="Times New Roman" w:eastAsia="Times New Roman" w:hAnsi="Times New Roman"/>
          <w:sz w:val="14"/>
          <w:szCs w:val="14"/>
          <w:color w:val="auto"/>
        </w:rPr>
      </w:pPr>
    </w:p>
    <w:p>
      <w:pPr>
        <w:ind w:left="260" w:right="279" w:firstLine="2"/>
        <w:spacing w:after="0" w:line="275" w:lineRule="auto"/>
        <w:tabs>
          <w:tab w:leader="none" w:pos="456"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32" w:name="page133"/>
    <w:bookmarkEnd w:id="132"/>
    <w:p>
      <w:pPr>
        <w:ind w:left="260" w:right="3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50" w:lineRule="exact"/>
        <w:rPr>
          <w:sz w:val="20"/>
          <w:szCs w:val="20"/>
          <w:color w:val="auto"/>
        </w:rPr>
      </w:pPr>
    </w:p>
    <w:p>
      <w:pPr>
        <w:ind w:left="260" w:right="899" w:firstLine="2"/>
        <w:spacing w:after="0" w:line="318" w:lineRule="auto"/>
        <w:tabs>
          <w:tab w:leader="none" w:pos="45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02" w:lineRule="exact"/>
        <w:rPr>
          <w:rFonts w:ascii="Times New Roman" w:cs="Times New Roman" w:eastAsia="Times New Roman" w:hAnsi="Times New Roman"/>
          <w:sz w:val="13"/>
          <w:szCs w:val="13"/>
          <w:color w:val="auto"/>
        </w:rPr>
      </w:pPr>
    </w:p>
    <w:p>
      <w:pPr>
        <w:ind w:left="260" w:right="479" w:firstLine="2"/>
        <w:spacing w:after="0" w:line="278" w:lineRule="auto"/>
        <w:tabs>
          <w:tab w:leader="none" w:pos="456"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26" w:lineRule="exact"/>
        <w:rPr>
          <w:rFonts w:ascii="Times New Roman" w:cs="Times New Roman" w:eastAsia="Times New Roman" w:hAnsi="Times New Roman"/>
          <w:sz w:val="14"/>
          <w:szCs w:val="14"/>
          <w:color w:val="auto"/>
        </w:rPr>
      </w:pPr>
    </w:p>
    <w:p>
      <w:pPr>
        <w:jc w:val="both"/>
        <w:ind w:left="260" w:right="479" w:firstLine="2"/>
        <w:spacing w:after="0" w:line="258" w:lineRule="auto"/>
        <w:tabs>
          <w:tab w:leader="none" w:pos="456"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p>
    <w:p>
      <w:pPr>
        <w:spacing w:after="0" w:line="91" w:lineRule="exact"/>
        <w:rPr>
          <w:sz w:val="20"/>
          <w:szCs w:val="20"/>
          <w:color w:val="auto"/>
        </w:rPr>
      </w:pPr>
    </w:p>
    <w:p>
      <w:pPr>
        <w:ind w:left="260" w:right="279"/>
        <w:spacing w:after="0" w:line="275" w:lineRule="auto"/>
        <w:rPr>
          <w:sz w:val="20"/>
          <w:szCs w:val="20"/>
          <w:color w:val="auto"/>
        </w:rPr>
      </w:pPr>
      <w:r>
        <w:rPr>
          <w:rFonts w:ascii="Times New Roman" w:cs="Times New Roman" w:eastAsia="Times New Roman" w:hAnsi="Times New Roman"/>
          <w:sz w:val="13"/>
          <w:szCs w:val="13"/>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p>
    <w:p>
      <w:pPr>
        <w:spacing w:after="0" w:line="91" w:lineRule="exact"/>
        <w:rPr>
          <w:sz w:val="20"/>
          <w:szCs w:val="20"/>
          <w:color w:val="auto"/>
        </w:rPr>
      </w:pPr>
    </w:p>
    <w:p>
      <w:pPr>
        <w:ind w:left="260" w:right="379"/>
        <w:spacing w:after="0" w:line="318" w:lineRule="auto"/>
        <w:rPr>
          <w:sz w:val="20"/>
          <w:szCs w:val="20"/>
          <w:color w:val="auto"/>
        </w:rPr>
      </w:pPr>
      <w:r>
        <w:rPr>
          <w:rFonts w:ascii="Times New Roman" w:cs="Times New Roman" w:eastAsia="Times New Roman" w:hAnsi="Times New Roman"/>
          <w:sz w:val="13"/>
          <w:szCs w:val="13"/>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p>
    <w:p>
      <w:pPr>
        <w:spacing w:after="0" w:line="9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8</w:t>
      </w:r>
    </w:p>
    <w:p>
      <w:pPr>
        <w:spacing w:after="0" w:line="17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p>
    <w:p>
      <w:pPr>
        <w:spacing w:after="0" w:line="91"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3"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p>
    <w:p>
      <w:pPr>
        <w:spacing w:after="0" w:line="91"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26" w:lineRule="exact"/>
        <w:rPr>
          <w:sz w:val="20"/>
          <w:szCs w:val="20"/>
          <w:color w:val="auto"/>
        </w:rPr>
      </w:pPr>
    </w:p>
    <w:p>
      <w:pPr>
        <w:ind w:left="460" w:hanging="198"/>
        <w:spacing w:after="0"/>
        <w:tabs>
          <w:tab w:leader="none" w:pos="4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171" w:lineRule="exact"/>
        <w:rPr>
          <w:rFonts w:ascii="Times New Roman" w:cs="Times New Roman" w:eastAsia="Times New Roman" w:hAnsi="Times New Roman"/>
          <w:sz w:val="14"/>
          <w:szCs w:val="14"/>
          <w:color w:val="auto"/>
        </w:rPr>
      </w:pPr>
    </w:p>
    <w:p>
      <w:pPr>
        <w:ind w:left="260" w:right="859" w:firstLine="2"/>
        <w:spacing w:after="0" w:line="526" w:lineRule="auto"/>
        <w:tabs>
          <w:tab w:leader="none" w:pos="45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8.03 Who May be Deemed Owners.</w:t>
      </w:r>
    </w:p>
    <w:p>
      <w:pPr>
        <w:spacing w:after="0" w:line="91"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7" w:right="1440" w:bottom="1440" w:gutter="0" w:footer="0" w:header="0"/>
        </w:sectPr>
      </w:pPr>
    </w:p>
    <w:bookmarkStart w:id="134" w:name="page135"/>
    <w:bookmarkEnd w:id="134"/>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8.04 Certain Securities Owned by Company Disregarded.</w:t>
      </w:r>
    </w:p>
    <w:p>
      <w:pPr>
        <w:spacing w:after="0" w:line="91"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p>
    <w:p>
      <w:pPr>
        <w:spacing w:after="0" w:line="91"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p>
    <w:p>
      <w:pPr>
        <w:spacing w:after="0" w:line="91" w:lineRule="exact"/>
        <w:rPr>
          <w:sz w:val="20"/>
          <w:szCs w:val="20"/>
          <w:color w:val="auto"/>
        </w:rPr>
      </w:pPr>
    </w:p>
    <w:p>
      <w:pPr>
        <w:ind w:left="260" w:right="279"/>
        <w:spacing w:after="0" w:line="263"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36" w:lineRule="exact"/>
        <w:rPr>
          <w:sz w:val="20"/>
          <w:szCs w:val="20"/>
          <w:color w:val="auto"/>
        </w:rPr>
      </w:pPr>
    </w:p>
    <w:p>
      <w:pPr>
        <w:ind w:left="460" w:hanging="198"/>
        <w:spacing w:after="0"/>
        <w:tabs>
          <w:tab w:leader="none" w:pos="4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71"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Ten;</w:t>
      </w:r>
    </w:p>
    <w:p>
      <w:pPr>
        <w:spacing w:after="0" w:line="171"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4"/>
          <w:szCs w:val="14"/>
          <w:color w:val="auto"/>
        </w:rPr>
      </w:pPr>
    </w:p>
    <w:p>
      <w:pPr>
        <w:ind w:left="260" w:right="399" w:firstLine="2"/>
        <w:spacing w:after="0" w:line="255" w:lineRule="auto"/>
        <w:tabs>
          <w:tab w:leader="none" w:pos="45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7" w:right="1440" w:bottom="1440" w:gutter="0" w:footer="0" w:header="0"/>
        </w:sectPr>
      </w:pPr>
    </w:p>
    <w:bookmarkStart w:id="135" w:name="page136"/>
    <w:bookmarkEnd w:id="135"/>
    <w:p>
      <w:pPr>
        <w:ind w:left="260" w:right="299" w:firstLine="2"/>
        <w:spacing w:after="0" w:line="278" w:lineRule="auto"/>
        <w:tabs>
          <w:tab w:leader="none" w:pos="456"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add to, delete from, or revise the conditions, limitations, and restrictions on the authorized amount, terms, or purposes of issue, authentication, and delivery of Securities, as herein set forth;</w:t>
      </w:r>
    </w:p>
    <w:p>
      <w:pPr>
        <w:spacing w:after="0" w:line="12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71" w:lineRule="exact"/>
        <w:rPr>
          <w:rFonts w:ascii="Times New Roman" w:cs="Times New Roman" w:eastAsia="Times New Roman" w:hAnsi="Times New Roman"/>
          <w:sz w:val="14"/>
          <w:szCs w:val="14"/>
          <w:color w:val="auto"/>
        </w:rPr>
      </w:pPr>
    </w:p>
    <w:p>
      <w:pPr>
        <w:ind w:left="260" w:right="339" w:firstLine="2"/>
        <w:spacing w:after="0" w:line="263" w:lineRule="auto"/>
        <w:tabs>
          <w:tab w:leader="none" w:pos="456"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3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71" w:lineRule="exact"/>
        <w:rPr>
          <w:rFonts w:ascii="Times New Roman" w:cs="Times New Roman" w:eastAsia="Times New Roman" w:hAnsi="Times New Roman"/>
          <w:sz w:val="14"/>
          <w:szCs w:val="14"/>
          <w:color w:val="auto"/>
        </w:rPr>
      </w:pPr>
    </w:p>
    <w:p>
      <w:pPr>
        <w:ind w:left="260" w:right="299" w:firstLine="2"/>
        <w:spacing w:after="0" w:line="278" w:lineRule="auto"/>
        <w:tabs>
          <w:tab w:leader="none" w:pos="456"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26" w:lineRule="exact"/>
        <w:rPr>
          <w:sz w:val="20"/>
          <w:szCs w:val="20"/>
          <w:color w:val="auto"/>
        </w:rPr>
      </w:pPr>
    </w:p>
    <w:p>
      <w:pPr>
        <w:ind w:left="260" w:right="499"/>
        <w:spacing w:after="0" w:line="263"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6"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p>
    <w:p>
      <w:pPr>
        <w:spacing w:after="0" w:line="91"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8"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p>
    <w:p>
      <w:pPr>
        <w:spacing w:after="0" w:line="91"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36" w:name="page137"/>
    <w:bookmarkEnd w:id="13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9.04 Securities Affected by Supplemental Indentures.</w:t>
      </w:r>
    </w:p>
    <w:p>
      <w:pPr>
        <w:spacing w:after="0" w:line="91" w:lineRule="exact"/>
        <w:rPr>
          <w:sz w:val="20"/>
          <w:szCs w:val="20"/>
          <w:color w:val="auto"/>
        </w:rPr>
      </w:pPr>
    </w:p>
    <w:p>
      <w:pPr>
        <w:ind w:left="260" w:right="319"/>
        <w:spacing w:after="0" w:line="254"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9.05 Execution of Supplemental Indentures.</w:t>
      </w:r>
    </w:p>
    <w:p>
      <w:pPr>
        <w:spacing w:after="0" w:line="91"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32"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91" w:lineRule="exact"/>
        <w:rPr>
          <w:sz w:val="20"/>
          <w:szCs w:val="20"/>
          <w:color w:val="auto"/>
        </w:rPr>
      </w:pPr>
    </w:p>
    <w:p>
      <w:pPr>
        <w:ind w:left="260" w:right="339"/>
        <w:spacing w:after="0" w:line="250"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7" w:right="1440" w:bottom="1440" w:gutter="0" w:footer="0" w:header="0"/>
        </w:sectPr>
      </w:pPr>
    </w:p>
    <w:bookmarkStart w:id="137" w:name="page138"/>
    <w:bookmarkEnd w:id="137"/>
    <w:p>
      <w:pPr>
        <w:ind w:left="260" w:right="5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p>
    <w:p>
      <w:pPr>
        <w:spacing w:after="0" w:line="91" w:lineRule="exact"/>
        <w:rPr>
          <w:sz w:val="20"/>
          <w:szCs w:val="20"/>
          <w:color w:val="auto"/>
        </w:rPr>
      </w:pPr>
    </w:p>
    <w:p>
      <w:pPr>
        <w:ind w:left="260" w:right="319" w:firstLine="2"/>
        <w:spacing w:after="0" w:line="255" w:lineRule="auto"/>
        <w:tabs>
          <w:tab w:leader="none" w:pos="45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2" w:lineRule="exact"/>
        <w:rPr>
          <w:rFonts w:ascii="Times New Roman" w:cs="Times New Roman" w:eastAsia="Times New Roman" w:hAnsi="Times New Roman"/>
          <w:sz w:val="14"/>
          <w:szCs w:val="14"/>
          <w:color w:val="auto"/>
        </w:rPr>
      </w:pPr>
    </w:p>
    <w:p>
      <w:pPr>
        <w:ind w:left="260" w:right="839" w:firstLine="2"/>
        <w:spacing w:after="0" w:line="278" w:lineRule="auto"/>
        <w:tabs>
          <w:tab w:leader="none" w:pos="45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26" w:lineRule="exact"/>
        <w:rPr>
          <w:rFonts w:ascii="Times New Roman" w:cs="Times New Roman" w:eastAsia="Times New Roman" w:hAnsi="Times New Roman"/>
          <w:sz w:val="14"/>
          <w:szCs w:val="14"/>
          <w:color w:val="auto"/>
        </w:rPr>
      </w:pPr>
    </w:p>
    <w:p>
      <w:pPr>
        <w:ind w:left="260" w:right="299" w:firstLine="2"/>
        <w:spacing w:after="0" w:line="263" w:lineRule="auto"/>
        <w:tabs>
          <w:tab w:leader="none" w:pos="45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p>
    <w:p>
      <w:pPr>
        <w:spacing w:after="0" w:line="91"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138" w:name="page139"/>
    <w:bookmarkEnd w:id="138"/>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11.02 Discharge of Obligations.</w:t>
      </w:r>
    </w:p>
    <w:p>
      <w:pPr>
        <w:spacing w:after="0" w:line="91"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p>
    <w:p>
      <w:pPr>
        <w:spacing w:after="0" w:line="91" w:lineRule="exact"/>
        <w:rPr>
          <w:sz w:val="20"/>
          <w:szCs w:val="20"/>
          <w:color w:val="auto"/>
        </w:rPr>
      </w:pPr>
    </w:p>
    <w:p>
      <w:pPr>
        <w:ind w:left="260" w:right="379"/>
        <w:spacing w:after="0" w:line="292" w:lineRule="auto"/>
        <w:rPr>
          <w:sz w:val="20"/>
          <w:szCs w:val="20"/>
          <w:color w:val="auto"/>
        </w:rPr>
      </w:pPr>
      <w:r>
        <w:rPr>
          <w:rFonts w:ascii="Times New Roman" w:cs="Times New Roman" w:eastAsia="Times New Roman" w:hAnsi="Times New Roman"/>
          <w:sz w:val="13"/>
          <w:szCs w:val="13"/>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p>
    <w:p>
      <w:pPr>
        <w:spacing w:after="0" w:line="91" w:lineRule="exact"/>
        <w:rPr>
          <w:sz w:val="20"/>
          <w:szCs w:val="20"/>
          <w:color w:val="auto"/>
        </w:rPr>
      </w:pPr>
    </w:p>
    <w:p>
      <w:pPr>
        <w:ind w:left="260" w:right="539"/>
        <w:spacing w:after="0" w:line="263"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11.05 Repayment to Company.</w:t>
      </w:r>
    </w:p>
    <w:p>
      <w:pPr>
        <w:spacing w:after="0" w:line="91" w:lineRule="exact"/>
        <w:rPr>
          <w:sz w:val="20"/>
          <w:szCs w:val="20"/>
          <w:color w:val="auto"/>
        </w:rPr>
      </w:pPr>
    </w:p>
    <w:p>
      <w:pPr>
        <w:ind w:left="260" w:right="379"/>
        <w:spacing w:after="0" w:line="275"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12.01 No Recourse.</w:t>
      </w:r>
    </w:p>
    <w:p>
      <w:pPr>
        <w:spacing w:after="0" w:line="91"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7" w:right="1440" w:bottom="1440" w:gutter="0" w:footer="0" w:header="0"/>
        </w:sectPr>
      </w:pPr>
    </w:p>
    <w:bookmarkStart w:id="139" w:name="page140"/>
    <w:bookmarkEnd w:id="139"/>
    <w:p>
      <w:pPr>
        <w:ind w:left="260" w:right="439"/>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p>
    <w:p>
      <w:pPr>
        <w:spacing w:after="0" w:line="91"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p>
    <w:p>
      <w:pPr>
        <w:spacing w:after="0" w:line="91"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p>
    <w:p>
      <w:pPr>
        <w:spacing w:after="0" w:line="91" w:lineRule="exact"/>
        <w:rPr>
          <w:sz w:val="20"/>
          <w:szCs w:val="20"/>
          <w:color w:val="auto"/>
        </w:rPr>
      </w:pPr>
    </w:p>
    <w:p>
      <w:pPr>
        <w:ind w:left="260" w:right="539"/>
        <w:spacing w:after="0" w:line="318"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13.04 Notices.</w:t>
      </w:r>
    </w:p>
    <w:p>
      <w:pPr>
        <w:spacing w:after="0" w:line="91"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13.05 Governing Law.</w:t>
      </w:r>
    </w:p>
    <w:p>
      <w:pPr>
        <w:spacing w:after="0" w:line="91" w:lineRule="exact"/>
        <w:rPr>
          <w:sz w:val="20"/>
          <w:szCs w:val="20"/>
          <w:color w:val="auto"/>
        </w:rPr>
      </w:pPr>
    </w:p>
    <w:p>
      <w:pPr>
        <w:ind w:left="260" w:right="439"/>
        <w:spacing w:after="0" w:line="278" w:lineRule="auto"/>
        <w:rPr>
          <w:sz w:val="20"/>
          <w:szCs w:val="20"/>
          <w:color w:val="auto"/>
        </w:rPr>
      </w:pPr>
      <w:r>
        <w:rPr>
          <w:rFonts w:ascii="Times New Roman" w:cs="Times New Roman" w:eastAsia="Times New Roman" w:hAnsi="Times New Roman"/>
          <w:sz w:val="14"/>
          <w:szCs w:val="14"/>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13.06 Treatment of Securities as Debt.</w:t>
      </w:r>
    </w:p>
    <w:p>
      <w:pPr>
        <w:spacing w:after="0" w:line="9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140" w:name="page141"/>
    <w:bookmarkEnd w:id="140"/>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13.07 Certificates and Opinions as to Conditions Precedent.</w:t>
      </w:r>
    </w:p>
    <w:p>
      <w:pPr>
        <w:spacing w:after="0" w:line="91" w:lineRule="exact"/>
        <w:rPr>
          <w:sz w:val="20"/>
          <w:szCs w:val="20"/>
          <w:color w:val="auto"/>
        </w:rPr>
      </w:pPr>
    </w:p>
    <w:p>
      <w:pPr>
        <w:ind w:left="260" w:right="299" w:firstLine="2"/>
        <w:spacing w:after="0" w:line="254" w:lineRule="auto"/>
        <w:tabs>
          <w:tab w:leader="none" w:pos="45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2" w:lineRule="exact"/>
        <w:rPr>
          <w:rFonts w:ascii="Times New Roman" w:cs="Times New Roman" w:eastAsia="Times New Roman" w:hAnsi="Times New Roman"/>
          <w:sz w:val="14"/>
          <w:szCs w:val="14"/>
          <w:color w:val="auto"/>
        </w:rPr>
      </w:pPr>
    </w:p>
    <w:p>
      <w:pPr>
        <w:ind w:left="260" w:right="319" w:firstLine="2"/>
        <w:spacing w:after="0" w:line="254" w:lineRule="auto"/>
        <w:tabs>
          <w:tab w:leader="none" w:pos="45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p>
    <w:p>
      <w:pPr>
        <w:spacing w:after="0" w:line="91"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13.09 Conflict with Trust Indenture Act.</w:t>
      </w:r>
    </w:p>
    <w:p>
      <w:pPr>
        <w:spacing w:after="0" w:line="9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13.10 Counterparts.</w:t>
      </w:r>
    </w:p>
    <w:p>
      <w:pPr>
        <w:spacing w:after="0" w:line="91" w:lineRule="exact"/>
        <w:rPr>
          <w:sz w:val="20"/>
          <w:szCs w:val="20"/>
          <w:color w:val="auto"/>
        </w:rPr>
      </w:pPr>
    </w:p>
    <w:p>
      <w:pPr>
        <w:ind w:left="260" w:right="279"/>
        <w:spacing w:after="0" w:line="278"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13.11 Separability.</w:t>
      </w:r>
    </w:p>
    <w:p>
      <w:pPr>
        <w:spacing w:after="0" w:line="91"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p>
    <w:p>
      <w:pPr>
        <w:spacing w:after="0" w:line="9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7" w:right="1440" w:bottom="1440" w:gutter="0" w:footer="0" w:header="0"/>
        </w:sectPr>
      </w:pPr>
    </w:p>
    <w:bookmarkStart w:id="141" w:name="page142"/>
    <w:bookmarkEnd w:id="141"/>
    <w:p>
      <w:pPr>
        <w:ind w:left="2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Indenture to be duly executed all as of the day and year first above written.</w:t>
      </w:r>
    </w:p>
    <w:p>
      <w:pPr>
        <w:spacing w:after="0" w:line="2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[TRUSTEE], as Trustee</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7" w:right="1440" w:bottom="1440" w:gutter="0" w:footer="0" w:header="0"/>
        </w:sectPr>
      </w:pPr>
    </w:p>
    <w:bookmarkStart w:id="142" w:name="page143"/>
    <w:bookmarkEnd w:id="142"/>
    <w:tbl>
      <w:tblPr>
        <w:tblLayout w:type="fixed"/>
        <w:tblInd w:w="260" w:type="dxa"/>
        <w:tblCellMar>
          <w:top w:w="0" w:type="dxa"/>
          <w:left w:w="0" w:type="dxa"/>
          <w:bottom w:w="0" w:type="dxa"/>
          <w:right w:w="0" w:type="dxa"/>
        </w:tblCellMar>
      </w:tblPr>
      <w:tr>
        <w:trPr>
          <w:trHeight w:val="279"/>
        </w:trPr>
        <w:tc>
          <w:tcPr>
            <w:tcW w:w="2860" w:type="dxa"/>
            <w:vAlign w:val="bottom"/>
          </w:tcPr>
          <w:p>
            <w:pPr>
              <w:spacing w:after="0"/>
              <w:rPr>
                <w:sz w:val="24"/>
                <w:szCs w:val="24"/>
                <w:color w:val="auto"/>
              </w:rPr>
            </w:pPr>
          </w:p>
        </w:tc>
        <w:tc>
          <w:tcPr>
            <w:tcW w:w="56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CROSS-REFERENCE TABLE</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186"/>
        </w:trPr>
        <w:tc>
          <w:tcPr>
            <w:tcW w:w="28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Section of Trust Indenture Act of 1939, as Amended</w:t>
            </w:r>
          </w:p>
        </w:tc>
        <w:tc>
          <w:tcPr>
            <w:tcW w:w="49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Section of</w:t>
            </w:r>
          </w:p>
        </w:tc>
        <w:tc>
          <w:tcPr>
            <w:tcW w:w="0" w:type="dxa"/>
            <w:vAlign w:val="bottom"/>
          </w:tcPr>
          <w:p>
            <w:pPr>
              <w:spacing w:after="0"/>
              <w:rPr>
                <w:sz w:val="1"/>
                <w:szCs w:val="1"/>
                <w:color w:val="auto"/>
              </w:rPr>
            </w:pPr>
          </w:p>
        </w:tc>
      </w:tr>
      <w:tr>
        <w:trPr>
          <w:trHeight w:val="134"/>
        </w:trPr>
        <w:tc>
          <w:tcPr>
            <w:tcW w:w="2860" w:type="dxa"/>
            <w:vAlign w:val="bottom"/>
            <w:tcBorders>
              <w:bottom w:val="single" w:sz="8" w:color="CCEEFF"/>
            </w:tcBorders>
            <w:vMerge w:val="continue"/>
          </w:tcPr>
          <w:p>
            <w:pPr>
              <w:spacing w:after="0"/>
              <w:rPr>
                <w:sz w:val="11"/>
                <w:szCs w:val="11"/>
                <w:color w:val="auto"/>
              </w:rPr>
            </w:pPr>
          </w:p>
        </w:tc>
        <w:tc>
          <w:tcPr>
            <w:tcW w:w="49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Indenture</w:t>
            </w:r>
          </w:p>
        </w:tc>
        <w:tc>
          <w:tcPr>
            <w:tcW w:w="0" w:type="dxa"/>
            <w:vAlign w:val="bottom"/>
          </w:tcPr>
          <w:p>
            <w:pPr>
              <w:spacing w:after="0"/>
              <w:rPr>
                <w:sz w:val="1"/>
                <w:szCs w:val="1"/>
                <w:color w:val="auto"/>
              </w:rPr>
            </w:pPr>
          </w:p>
        </w:tc>
      </w:tr>
      <w:tr>
        <w:trPr>
          <w:trHeight w:val="157"/>
        </w:trPr>
        <w:tc>
          <w:tcPr>
            <w:tcW w:w="28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310(a)</w:t>
            </w:r>
          </w:p>
        </w:tc>
        <w:tc>
          <w:tcPr>
            <w:tcW w:w="49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14"/>
                <w:szCs w:val="14"/>
                <w:color w:val="auto"/>
              </w:rPr>
            </w:pP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5640" w:type="dxa"/>
            <w:vAlign w:val="bottom"/>
            <w:gridSpan w:val="2"/>
          </w:tcPr>
          <w:p>
            <w:pPr>
              <w:jc w:val="center"/>
              <w:ind w:left="48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311(a)</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311(c)</w:t>
            </w:r>
          </w:p>
        </w:tc>
        <w:tc>
          <w:tcPr>
            <w:tcW w:w="5640" w:type="dxa"/>
            <w:vAlign w:val="bottom"/>
            <w:gridSpan w:val="2"/>
            <w:shd w:val="clear" w:color="auto" w:fill="CCEEFF"/>
          </w:tcPr>
          <w:p>
            <w:pPr>
              <w:jc w:val="center"/>
              <w:ind w:left="48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14"/>
                <w:szCs w:val="14"/>
                <w:color w:val="auto"/>
              </w:rPr>
            </w:pP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5.02(3)</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312(c)</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5.02(3)</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313(b)</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14"/>
                <w:szCs w:val="14"/>
                <w:color w:val="auto"/>
              </w:rPr>
            </w:pP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5.04(3)</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314(a)</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314(b)</w:t>
            </w:r>
          </w:p>
        </w:tc>
        <w:tc>
          <w:tcPr>
            <w:tcW w:w="5640" w:type="dxa"/>
            <w:vAlign w:val="bottom"/>
            <w:gridSpan w:val="2"/>
            <w:shd w:val="clear" w:color="auto" w:fill="CCEEFF"/>
          </w:tcPr>
          <w:p>
            <w:pPr>
              <w:jc w:val="center"/>
              <w:ind w:left="48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314(d)</w:t>
            </w:r>
          </w:p>
        </w:tc>
        <w:tc>
          <w:tcPr>
            <w:tcW w:w="5640" w:type="dxa"/>
            <w:vAlign w:val="bottom"/>
            <w:gridSpan w:val="2"/>
            <w:shd w:val="clear" w:color="auto" w:fill="CCEEFF"/>
          </w:tcPr>
          <w:p>
            <w:pPr>
              <w:jc w:val="center"/>
              <w:ind w:left="48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13.07(2)</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314(f)</w:t>
            </w:r>
          </w:p>
        </w:tc>
        <w:tc>
          <w:tcPr>
            <w:tcW w:w="5640" w:type="dxa"/>
            <w:vAlign w:val="bottom"/>
            <w:gridSpan w:val="2"/>
            <w:shd w:val="clear" w:color="auto" w:fill="CCEEFF"/>
          </w:tcPr>
          <w:p>
            <w:pPr>
              <w:jc w:val="center"/>
              <w:ind w:left="48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7.01(1)</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14"/>
                <w:szCs w:val="14"/>
                <w:color w:val="auto"/>
              </w:rPr>
            </w:pP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315(c)</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315(e)</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14"/>
                <w:szCs w:val="14"/>
                <w:color w:val="auto"/>
              </w:rPr>
            </w:pP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316(c)</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317(b)</w:t>
            </w:r>
          </w:p>
        </w:tc>
        <w:tc>
          <w:tcPr>
            <w:tcW w:w="564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640" w:type="dxa"/>
            <w:vAlign w:val="bottom"/>
            <w:gridSpan w:val="2"/>
          </w:tcPr>
          <w:p>
            <w:pPr>
              <w:ind w:left="4940"/>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ind w:left="600" w:right="559" w:hanging="338"/>
        <w:spacing w:after="0" w:line="207" w:lineRule="auto"/>
        <w:tabs>
          <w:tab w:leader="none" w:pos="600" w:val="left"/>
        </w:tabs>
        <w:numPr>
          <w:ilvl w:val="0"/>
          <w:numId w:val="1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7" w:right="1440" w:bottom="1440" w:gutter="0" w:footer="0" w:header="0"/>
        </w:sectPr>
      </w:pPr>
    </w:p>
    <w:bookmarkStart w:id="143" w:name="page144"/>
    <w:bookmarkEnd w:id="143"/>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TANGO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 202[•]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Subordinated Debt Securities</w:t>
      </w:r>
    </w:p>
    <w:p>
      <w:pPr>
        <w:sectPr>
          <w:pgSz w:w="11900" w:h="16838" w:orient="portrait"/>
          <w:cols w:equalWidth="0" w:num="1">
            <w:col w:w="9019"/>
          </w:cols>
          <w:pgMar w:left="1440" w:top="123" w:right="1440" w:bottom="1440" w:gutter="0" w:footer="0" w:header="0"/>
        </w:sectPr>
      </w:pPr>
    </w:p>
    <w:bookmarkStart w:id="144" w:name="page145"/>
    <w:bookmarkEnd w:id="144"/>
    <w:tbl>
      <w:tblPr>
        <w:tblLayout w:type="fixed"/>
        <w:tblInd w:w="26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r>
              <w:rPr>
                <w:rFonts w:ascii="Times New Roman" w:cs="Times New Roman" w:eastAsia="Times New Roman" w:hAnsi="Times New Roman"/>
                <w:sz w:val="20"/>
                <w:szCs w:val="20"/>
                <w:b w:val="1"/>
                <w:bCs w:val="1"/>
                <w:color w:val="auto"/>
                <w:vertAlign w:val="superscript"/>
              </w:rPr>
              <w:t>(1)</w:t>
            </w:r>
          </w:p>
        </w:tc>
        <w:tc>
          <w:tcPr>
            <w:tcW w:w="1040" w:type="dxa"/>
            <w:vAlign w:val="bottom"/>
          </w:tcPr>
          <w:p>
            <w:pPr>
              <w:spacing w:after="0"/>
              <w:rPr>
                <w:sz w:val="19"/>
                <w:szCs w:val="19"/>
                <w:color w:val="auto"/>
              </w:rPr>
            </w:pPr>
          </w:p>
        </w:tc>
      </w:tr>
      <w:tr>
        <w:trPr>
          <w:trHeight w:val="365"/>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 DEFINITIONS</w:t>
            </w:r>
          </w:p>
        </w:tc>
        <w:tc>
          <w:tcPr>
            <w:tcW w:w="14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1.01 Definitions of Terms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4"/>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2.06</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Temporary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2.08</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Cancellation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Authenticating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Global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34"/>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3.01</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Redemption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3.02 Notice of Redemption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3.04</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Sinking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4 COVENANTS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4"/>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4.02 Maintenance of Office or Agency</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6"/>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4.03</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Paying Agents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4"/>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5.04 Reports by the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4"/>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6.01 Events of Default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6.03 Application of Moneys Collected</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6.04 Limitation on Suits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6"/>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6.06 Control by Securityholders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6.07 Undertaking to Pay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0"/>
        </w:trPr>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4"/>
        </w:trPr>
        <w:tc>
          <w:tcPr>
            <w:tcW w:w="74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7.02</w:t>
            </w:r>
          </w:p>
        </w:tc>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ind w:left="600" w:right="839" w:hanging="338"/>
        <w:spacing w:after="0" w:line="207" w:lineRule="auto"/>
        <w:tabs>
          <w:tab w:leader="none" w:pos="600" w:val="left"/>
        </w:tabs>
        <w:numPr>
          <w:ilvl w:val="0"/>
          <w:numId w:val="1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Table of Contents does not constitute part of the Indenture and shall not have any bearing on the interpretation of any of its terms or provisions.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159" w:right="1440" w:bottom="1440" w:gutter="0" w:footer="0" w:header="0"/>
        </w:sectPr>
      </w:pPr>
    </w:p>
    <w:bookmarkStart w:id="145" w:name="page146"/>
    <w:bookmarkEnd w:id="145"/>
    <w:tbl>
      <w:tblPr>
        <w:tblLayout w:type="fixed"/>
        <w:tblInd w:w="260" w:type="dxa"/>
        <w:tblCellMar>
          <w:top w:w="0" w:type="dxa"/>
          <w:left w:w="0" w:type="dxa"/>
          <w:bottom w:w="0" w:type="dxa"/>
          <w:right w:w="0" w:type="dxa"/>
        </w:tblCellMar>
      </w:tblP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Hold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7.05</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Moneys Held in Trust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7.06</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7.07</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7.08</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7.09</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9.05</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11.05</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to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12 IMMUNITY OF INCORPORATORS, STOCKHOLDERS, OFFICERS AND DIRECTORS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0"/>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Recourse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13 MISCELLANEOUS PROVISIONS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34"/>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by Successor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13.03</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13.04</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13.05</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Governing Law</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13.06</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13.07</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13.08</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13.09</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13.10</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Counterparts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6"/>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1"/>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13.12</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Compliance Certificates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50"/>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14 SUBORDINATION OF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0"/>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14.01</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Subordination Terms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81"/>
        </w:trPr>
        <w:tc>
          <w:tcPr>
            <w:tcW w:w="1080" w:type="dxa"/>
            <w:vAlign w:val="bottom"/>
          </w:tcPr>
          <w:p>
            <w:pPr>
              <w:spacing w:after="0"/>
              <w:rPr>
                <w:sz w:val="24"/>
                <w:szCs w:val="24"/>
                <w:color w:val="auto"/>
              </w:rPr>
            </w:pPr>
          </w:p>
        </w:tc>
        <w:tc>
          <w:tcPr>
            <w:tcW w:w="594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ii</w:t>
            </w: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w:t>
      </w:r>
    </w:p>
    <w:p>
      <w:pPr>
        <w:spacing w:after="0" w:line="172" w:lineRule="exact"/>
        <w:rPr>
          <w:sz w:val="20"/>
          <w:szCs w:val="20"/>
          <w:color w:val="auto"/>
        </w:rPr>
      </w:pPr>
    </w:p>
    <w:p>
      <w:pPr>
        <w:jc w:val="both"/>
        <w:ind w:left="260" w:right="319"/>
        <w:spacing w:after="0" w:line="281" w:lineRule="auto"/>
        <w:rPr>
          <w:sz w:val="20"/>
          <w:szCs w:val="20"/>
          <w:color w:val="auto"/>
        </w:rPr>
      </w:pP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dated as of [•], 202 , among</w:t>
      </w:r>
      <w:r>
        <w:rPr>
          <w:rFonts w:ascii="Times New Roman" w:cs="Times New Roman" w:eastAsia="Times New Roman" w:hAnsi="Times New Roman"/>
          <w:sz w:val="14"/>
          <w:szCs w:val="14"/>
          <w:b w:val="1"/>
          <w:bCs w:val="1"/>
          <w:color w:val="auto"/>
        </w:rPr>
        <w:t xml:space="preserve"> TANGO THERAPEUTICS, INC.</w:t>
      </w:r>
      <w:r>
        <w:rPr>
          <w:rFonts w:ascii="Times New Roman" w:cs="Times New Roman" w:eastAsia="Times New Roman" w:hAnsi="Times New Roman"/>
          <w:sz w:val="14"/>
          <w:szCs w:val="14"/>
          <w:color w:val="auto"/>
        </w:rPr>
        <w:t>, a Delaware corporation (the “Company”), and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w:t>
      </w:r>
    </w:p>
    <w:p>
      <w:pPr>
        <w:spacing w:after="0" w:line="122" w:lineRule="exact"/>
        <w:rPr>
          <w:sz w:val="20"/>
          <w:szCs w:val="20"/>
          <w:color w:val="auto"/>
        </w:rPr>
      </w:pPr>
    </w:p>
    <w:p>
      <w:pPr>
        <w:jc w:val="both"/>
        <w:ind w:left="260" w:right="299"/>
        <w:spacing w:after="0" w:line="294"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16" w:lineRule="exact"/>
        <w:rPr>
          <w:sz w:val="20"/>
          <w:szCs w:val="20"/>
          <w:color w:val="auto"/>
        </w:rPr>
      </w:pPr>
    </w:p>
    <w:p>
      <w:pPr>
        <w:ind w:left="260" w:right="759"/>
        <w:spacing w:after="0" w:line="281"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7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 agreed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follows for the equal and ratable benefit of the holders of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p>
    <w:p>
      <w:pPr>
        <w:spacing w:after="0" w:line="91"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0" w:lineRule="exact"/>
        <w:rPr>
          <w:sz w:val="20"/>
          <w:szCs w:val="20"/>
          <w:color w:val="auto"/>
        </w:rPr>
      </w:pPr>
    </w:p>
    <w:p>
      <w:pPr>
        <w:ind w:left="260" w:right="7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an authenticating agent with respect to all or any of the series of Securities appointed by the Trustee pursuant to Section 2.10.</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72" w:lineRule="exact"/>
        <w:rPr>
          <w:sz w:val="20"/>
          <w:szCs w:val="20"/>
          <w:color w:val="auto"/>
        </w:rPr>
      </w:pPr>
    </w:p>
    <w:p>
      <w:pPr>
        <w:ind w:left="260" w:right="5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122" w:lineRule="exact"/>
        <w:rPr>
          <w:sz w:val="20"/>
          <w:szCs w:val="20"/>
          <w:color w:val="auto"/>
        </w:rPr>
      </w:pPr>
    </w:p>
    <w:p>
      <w:pPr>
        <w:ind w:left="260" w:right="3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22" w:lineRule="exact"/>
        <w:rPr>
          <w:sz w:val="20"/>
          <w:szCs w:val="20"/>
          <w:color w:val="auto"/>
        </w:rPr>
      </w:pPr>
    </w:p>
    <w:p>
      <w:pPr>
        <w:ind w:left="260" w:right="29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Certificate</w:t>
      </w:r>
      <w:r>
        <w:rPr>
          <w:rFonts w:ascii="Times New Roman" w:cs="Times New Roman" w:eastAsia="Times New Roman" w:hAnsi="Times New Roman"/>
          <w:sz w:val="14"/>
          <w:szCs w:val="14"/>
          <w:color w:val="auto"/>
        </w:rPr>
        <w:t>” means a certificate signed by any Officer. The Certificate need not comply with the provisions of Section 13.07.</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147" w:name="page148"/>
    <w:bookmarkEnd w:id="147"/>
    <w:p>
      <w:pPr>
        <w:ind w:left="260" w:right="3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4" w:lineRule="exact"/>
        <w:rPr>
          <w:sz w:val="20"/>
          <w:szCs w:val="20"/>
          <w:color w:val="auto"/>
        </w:rPr>
      </w:pPr>
    </w:p>
    <w:p>
      <w:pPr>
        <w:ind w:left="260" w:right="61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Tango Therapeutics, Inc., a corporation duly organized and existing under the laws of the State of Delaware, and, subject to the provisions of Article Ten, shall also include its successors and assigns.</w:t>
      </w:r>
    </w:p>
    <w:p>
      <w:pPr>
        <w:spacing w:after="0" w:line="12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72" w:lineRule="exact"/>
        <w:rPr>
          <w:sz w:val="20"/>
          <w:szCs w:val="20"/>
          <w:color w:val="auto"/>
        </w:rPr>
      </w:pPr>
    </w:p>
    <w:p>
      <w:pPr>
        <w:ind w:left="260" w:right="49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4" w:lineRule="exact"/>
        <w:rPr>
          <w:sz w:val="20"/>
          <w:szCs w:val="20"/>
          <w:color w:val="auto"/>
        </w:rPr>
      </w:pPr>
    </w:p>
    <w:p>
      <w:pPr>
        <w:ind w:left="260" w:right="41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22" w:lineRule="exact"/>
        <w:rPr>
          <w:sz w:val="20"/>
          <w:szCs w:val="20"/>
          <w:color w:val="auto"/>
        </w:rPr>
      </w:pPr>
    </w:p>
    <w:p>
      <w:pPr>
        <w:ind w:left="260" w:right="87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2" w:lineRule="exact"/>
        <w:rPr>
          <w:sz w:val="20"/>
          <w:szCs w:val="20"/>
          <w:color w:val="auto"/>
        </w:rPr>
      </w:pPr>
    </w:p>
    <w:p>
      <w:pPr>
        <w:jc w:val="both"/>
        <w:ind w:left="260" w:right="3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4" w:lineRule="exact"/>
        <w:rPr>
          <w:sz w:val="20"/>
          <w:szCs w:val="20"/>
          <w:color w:val="auto"/>
        </w:rPr>
      </w:pPr>
    </w:p>
    <w:p>
      <w:pPr>
        <w:ind w:left="260" w:right="39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2" w:lineRule="exact"/>
        <w:rPr>
          <w:sz w:val="20"/>
          <w:szCs w:val="20"/>
          <w:color w:val="auto"/>
        </w:rPr>
      </w:pPr>
    </w:p>
    <w:p>
      <w:pPr>
        <w:ind w:left="260" w:right="4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2" w:lineRule="exact"/>
        <w:rPr>
          <w:sz w:val="20"/>
          <w:szCs w:val="20"/>
          <w:color w:val="auto"/>
        </w:rPr>
      </w:pPr>
    </w:p>
    <w:p>
      <w:pPr>
        <w:ind w:left="260" w:right="71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4" w:lineRule="exact"/>
        <w:rPr>
          <w:sz w:val="20"/>
          <w:szCs w:val="20"/>
          <w:color w:val="auto"/>
        </w:rPr>
      </w:pPr>
    </w:p>
    <w:p>
      <w:pPr>
        <w:ind w:left="260" w:right="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148" w:name="page149"/>
    <w:bookmarkEnd w:id="148"/>
    <w:p>
      <w:pPr>
        <w:jc w:val="both"/>
        <w:ind w:left="260" w:right="3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4" w:lineRule="exact"/>
        <w:rPr>
          <w:sz w:val="20"/>
          <w:szCs w:val="20"/>
          <w:color w:val="auto"/>
        </w:rPr>
      </w:pPr>
    </w:p>
    <w:p>
      <w:pPr>
        <w:ind w:left="260" w:right="3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 thereof.</w:t>
      </w:r>
    </w:p>
    <w:p>
      <w:pPr>
        <w:spacing w:after="0" w:line="122" w:lineRule="exact"/>
        <w:rPr>
          <w:sz w:val="20"/>
          <w:szCs w:val="20"/>
          <w:color w:val="auto"/>
        </w:rPr>
      </w:pPr>
    </w:p>
    <w:p>
      <w:pPr>
        <w:ind w:left="260" w:right="5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4" w:lineRule="exact"/>
        <w:rPr>
          <w:sz w:val="20"/>
          <w:szCs w:val="20"/>
          <w:color w:val="auto"/>
        </w:rPr>
      </w:pPr>
    </w:p>
    <w:p>
      <w:pPr>
        <w:ind w:left="260" w:right="41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2" w:lineRule="exact"/>
        <w:rPr>
          <w:sz w:val="20"/>
          <w:szCs w:val="20"/>
          <w:color w:val="auto"/>
        </w:rPr>
      </w:pPr>
    </w:p>
    <w:p>
      <w:pPr>
        <w:ind w:left="260" w:right="459"/>
        <w:spacing w:after="0" w:line="321"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joint venture, joint-stock company, limited liability company, association, trust,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unincorporated organization, any other entity or organization, including a government or political subdivision or an agency or instrumentality thereof.</w:t>
      </w:r>
    </w:p>
    <w:p>
      <w:pPr>
        <w:spacing w:after="0" w:line="99" w:lineRule="exact"/>
        <w:rPr>
          <w:sz w:val="20"/>
          <w:szCs w:val="20"/>
          <w:color w:val="auto"/>
        </w:rPr>
      </w:pPr>
    </w:p>
    <w:p>
      <w:pPr>
        <w:ind w:left="260" w:right="3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4" w:lineRule="exact"/>
        <w:rPr>
          <w:sz w:val="20"/>
          <w:szCs w:val="20"/>
          <w:color w:val="auto"/>
        </w:rPr>
      </w:pPr>
    </w:p>
    <w:p>
      <w:pPr>
        <w:ind w:left="260" w:right="45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2" w:lineRule="exact"/>
        <w:rPr>
          <w:sz w:val="20"/>
          <w:szCs w:val="20"/>
          <w:color w:val="auto"/>
        </w:rPr>
      </w:pPr>
    </w:p>
    <w:p>
      <w:pPr>
        <w:ind w:left="260" w:right="4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2"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w:t>
      </w:r>
    </w:p>
    <w:p>
      <w:pPr>
        <w:spacing w:after="0" w:line="174" w:lineRule="exact"/>
        <w:rPr>
          <w:sz w:val="20"/>
          <w:szCs w:val="20"/>
          <w:color w:val="auto"/>
        </w:rPr>
      </w:pPr>
    </w:p>
    <w:p>
      <w:pPr>
        <w:jc w:val="both"/>
        <w:ind w:left="260" w:right="459" w:firstLine="2"/>
        <w:spacing w:after="0" w:line="263" w:lineRule="auto"/>
        <w:tabs>
          <w:tab w:leader="none" w:pos="456"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by one or more subsidiaries of such Person or by such Person and one or more subsidiaries of such Person;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149" w:name="page150"/>
    <w:bookmarkEnd w:id="149"/>
    <w:p>
      <w:pPr>
        <w:ind w:left="460" w:hanging="198"/>
        <w:spacing w:after="0"/>
        <w:tabs>
          <w:tab w:leader="none" w:pos="4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171" w:lineRule="exact"/>
        <w:rPr>
          <w:rFonts w:ascii="Times New Roman" w:cs="Times New Roman" w:eastAsia="Times New Roman" w:hAnsi="Times New Roman"/>
          <w:sz w:val="14"/>
          <w:szCs w:val="14"/>
          <w:color w:val="auto"/>
        </w:rPr>
      </w:pPr>
    </w:p>
    <w:p>
      <w:pPr>
        <w:ind w:left="260" w:right="339" w:firstLine="2"/>
        <w:spacing w:after="0" w:line="258" w:lineRule="auto"/>
        <w:tabs>
          <w:tab w:leader="none" w:pos="456"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38" w:lineRule="exact"/>
        <w:rPr>
          <w:sz w:val="20"/>
          <w:szCs w:val="20"/>
          <w:color w:val="auto"/>
        </w:rPr>
      </w:pPr>
    </w:p>
    <w:p>
      <w:pPr>
        <w:ind w:left="260" w:right="31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72" w:lineRule="exact"/>
        <w:rPr>
          <w:sz w:val="20"/>
          <w:szCs w:val="20"/>
          <w:color w:val="auto"/>
        </w:rPr>
      </w:pPr>
    </w:p>
    <w:p>
      <w:pPr>
        <w:ind w:left="260" w:right="1359" w:firstLine="1086"/>
        <w:spacing w:after="0" w:line="435" w:lineRule="auto"/>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 Section 2.01 Designation and Terms of Securities.</w:t>
      </w:r>
    </w:p>
    <w:p>
      <w:pPr>
        <w:spacing w:after="0" w:line="1" w:lineRule="exact"/>
        <w:rPr>
          <w:sz w:val="20"/>
          <w:szCs w:val="20"/>
          <w:color w:val="auto"/>
        </w:rPr>
      </w:pPr>
    </w:p>
    <w:p>
      <w:pPr>
        <w:jc w:val="both"/>
        <w:ind w:left="260" w:right="299" w:firstLine="2"/>
        <w:spacing w:after="0" w:line="258" w:lineRule="auto"/>
        <w:tabs>
          <w:tab w:leader="none" w:pos="456"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40" w:lineRule="exact"/>
        <w:rPr>
          <w:sz w:val="20"/>
          <w:szCs w:val="20"/>
          <w:color w:val="auto"/>
        </w:rPr>
      </w:pPr>
    </w:p>
    <w:p>
      <w:pPr>
        <w:ind w:left="460" w:hanging="198"/>
        <w:spacing w:after="0"/>
        <w:tabs>
          <w:tab w:leader="none" w:pos="4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171" w:lineRule="exact"/>
        <w:rPr>
          <w:rFonts w:ascii="Times New Roman" w:cs="Times New Roman" w:eastAsia="Times New Roman" w:hAnsi="Times New Roman"/>
          <w:sz w:val="14"/>
          <w:szCs w:val="14"/>
          <w:color w:val="auto"/>
        </w:rPr>
      </w:pPr>
    </w:p>
    <w:p>
      <w:pPr>
        <w:ind w:left="260" w:right="359" w:firstLine="2"/>
        <w:spacing w:after="0" w:line="278" w:lineRule="auto"/>
        <w:tabs>
          <w:tab w:leader="none" w:pos="45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2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71" w:lineRule="exact"/>
        <w:rPr>
          <w:rFonts w:ascii="Times New Roman" w:cs="Times New Roman" w:eastAsia="Times New Roman" w:hAnsi="Times New Roman"/>
          <w:sz w:val="14"/>
          <w:szCs w:val="14"/>
          <w:color w:val="auto"/>
        </w:rPr>
      </w:pPr>
    </w:p>
    <w:p>
      <w:pPr>
        <w:ind w:left="260" w:right="439" w:firstLine="2"/>
        <w:spacing w:after="0" w:line="258" w:lineRule="auto"/>
        <w:tabs>
          <w:tab w:leader="none" w:pos="45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39"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or the manner of calculation of such rate or rates, if any;</w:t>
      </w:r>
    </w:p>
    <w:p>
      <w:pPr>
        <w:spacing w:after="0" w:line="171" w:lineRule="exact"/>
        <w:rPr>
          <w:rFonts w:ascii="Times New Roman" w:cs="Times New Roman" w:eastAsia="Times New Roman" w:hAnsi="Times New Roman"/>
          <w:sz w:val="14"/>
          <w:szCs w:val="14"/>
          <w:color w:val="auto"/>
        </w:rPr>
      </w:pPr>
    </w:p>
    <w:p>
      <w:pPr>
        <w:ind w:left="260" w:right="379" w:firstLine="2"/>
        <w:spacing w:after="0" w:line="263" w:lineRule="auto"/>
        <w:tabs>
          <w:tab w:leader="none" w:pos="433"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3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50" w:name="page151"/>
    <w:bookmarkEnd w:id="150"/>
    <w:p>
      <w:pPr>
        <w:ind w:left="260" w:right="439" w:firstLine="2"/>
        <w:spacing w:after="0" w:line="278" w:lineRule="auto"/>
        <w:tabs>
          <w:tab w:leader="none" w:pos="45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126" w:lineRule="exact"/>
        <w:rPr>
          <w:rFonts w:ascii="Times New Roman" w:cs="Times New Roman" w:eastAsia="Times New Roman" w:hAnsi="Times New Roman"/>
          <w:sz w:val="14"/>
          <w:szCs w:val="14"/>
          <w:color w:val="auto"/>
        </w:rPr>
      </w:pPr>
    </w:p>
    <w:p>
      <w:pPr>
        <w:ind w:left="260" w:right="519" w:firstLine="2"/>
        <w:spacing w:after="0" w:line="258" w:lineRule="auto"/>
        <w:tabs>
          <w:tab w:leader="none" w:pos="42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39" w:lineRule="exact"/>
        <w:rPr>
          <w:rFonts w:ascii="Times New Roman" w:cs="Times New Roman" w:eastAsia="Times New Roman" w:hAnsi="Times New Roman"/>
          <w:sz w:val="14"/>
          <w:szCs w:val="14"/>
          <w:color w:val="auto"/>
        </w:rPr>
      </w:pPr>
    </w:p>
    <w:p>
      <w:pPr>
        <w:ind w:left="420" w:hanging="158"/>
        <w:spacing w:after="0"/>
        <w:tabs>
          <w:tab w:leader="none" w:pos="4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171" w:lineRule="exact"/>
        <w:rPr>
          <w:rFonts w:ascii="Times New Roman" w:cs="Times New Roman" w:eastAsia="Times New Roman" w:hAnsi="Times New Roman"/>
          <w:sz w:val="14"/>
          <w:szCs w:val="14"/>
          <w:color w:val="auto"/>
        </w:rPr>
      </w:pPr>
    </w:p>
    <w:p>
      <w:pPr>
        <w:ind w:left="260" w:right="399" w:firstLine="2"/>
        <w:spacing w:after="0" w:line="278" w:lineRule="auto"/>
        <w:tabs>
          <w:tab w:leader="none" w:pos="45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one thousand U.S. dollars ($1,000) or any integral multiple thereof, the denominations in which the Securities of the series shall be issuable;</w:t>
      </w:r>
    </w:p>
    <w:p>
      <w:pPr>
        <w:spacing w:after="0" w:line="126" w:lineRule="exact"/>
        <w:rPr>
          <w:rFonts w:ascii="Times New Roman" w:cs="Times New Roman" w:eastAsia="Times New Roman" w:hAnsi="Times New Roman"/>
          <w:sz w:val="14"/>
          <w:szCs w:val="14"/>
          <w:color w:val="auto"/>
        </w:rPr>
      </w:pPr>
    </w:p>
    <w:p>
      <w:pPr>
        <w:ind w:left="260" w:right="459" w:firstLine="2"/>
        <w:spacing w:after="0" w:line="258" w:lineRule="auto"/>
        <w:tabs>
          <w:tab w:leader="none" w:pos="42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39" w:lineRule="exact"/>
        <w:rPr>
          <w:rFonts w:ascii="Times New Roman" w:cs="Times New Roman" w:eastAsia="Times New Roman" w:hAnsi="Times New Roman"/>
          <w:sz w:val="14"/>
          <w:szCs w:val="14"/>
          <w:color w:val="auto"/>
        </w:rPr>
      </w:pPr>
    </w:p>
    <w:p>
      <w:pPr>
        <w:jc w:val="both"/>
        <w:ind w:left="260" w:right="299" w:firstLine="2"/>
        <w:spacing w:after="0" w:line="263" w:lineRule="auto"/>
        <w:tabs>
          <w:tab w:leader="none" w:pos="495"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6" w:lineRule="exact"/>
        <w:rPr>
          <w:rFonts w:ascii="Times New Roman" w:cs="Times New Roman" w:eastAsia="Times New Roman" w:hAnsi="Times New Roman"/>
          <w:sz w:val="14"/>
          <w:szCs w:val="14"/>
          <w:color w:val="auto"/>
        </w:rPr>
      </w:pPr>
    </w:p>
    <w:p>
      <w:pPr>
        <w:ind w:left="260" w:right="479" w:firstLine="2"/>
        <w:spacing w:after="0" w:line="258" w:lineRule="auto"/>
        <w:tabs>
          <w:tab w:leader="none" w:pos="45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39" w:lineRule="exact"/>
        <w:rPr>
          <w:rFonts w:ascii="Times New Roman" w:cs="Times New Roman" w:eastAsia="Times New Roman" w:hAnsi="Times New Roman"/>
          <w:sz w:val="14"/>
          <w:szCs w:val="14"/>
          <w:color w:val="auto"/>
        </w:rPr>
      </w:pPr>
    </w:p>
    <w:p>
      <w:pPr>
        <w:ind w:left="260" w:right="339" w:firstLine="2"/>
        <w:spacing w:after="0" w:line="278" w:lineRule="auto"/>
        <w:tabs>
          <w:tab w:leader="none" w:pos="45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12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w:t>
      </w:r>
    </w:p>
    <w:p>
      <w:pPr>
        <w:spacing w:after="0" w:line="171" w:lineRule="exact"/>
        <w:rPr>
          <w:rFonts w:ascii="Times New Roman" w:cs="Times New Roman" w:eastAsia="Times New Roman" w:hAnsi="Times New Roman"/>
          <w:sz w:val="14"/>
          <w:szCs w:val="14"/>
          <w:color w:val="auto"/>
        </w:rPr>
      </w:pPr>
    </w:p>
    <w:p>
      <w:pPr>
        <w:ind w:left="260" w:right="319" w:firstLine="2"/>
        <w:spacing w:after="0" w:line="252" w:lineRule="auto"/>
        <w:tabs>
          <w:tab w:leader="none" w:pos="456"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45" w:lineRule="exact"/>
        <w:rPr>
          <w:rFonts w:ascii="Times New Roman" w:cs="Times New Roman" w:eastAsia="Times New Roman" w:hAnsi="Times New Roman"/>
          <w:sz w:val="14"/>
          <w:szCs w:val="14"/>
          <w:color w:val="auto"/>
        </w:rPr>
      </w:pPr>
    </w:p>
    <w:p>
      <w:pPr>
        <w:ind w:left="260" w:right="439" w:firstLine="2"/>
        <w:spacing w:after="0" w:line="263" w:lineRule="auto"/>
        <w:tabs>
          <w:tab w:leader="none" w:pos="433"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51" w:name="page152"/>
    <w:bookmarkEnd w:id="151"/>
    <w:p>
      <w:pPr>
        <w:ind w:left="260" w:right="379" w:firstLine="2"/>
        <w:spacing w:after="0" w:line="263" w:lineRule="auto"/>
        <w:tabs>
          <w:tab w:leader="none" w:pos="441"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36" w:lineRule="exact"/>
        <w:rPr>
          <w:rFonts w:ascii="Times New Roman" w:cs="Times New Roman" w:eastAsia="Times New Roman" w:hAnsi="Times New Roman"/>
          <w:sz w:val="14"/>
          <w:szCs w:val="14"/>
          <w:color w:val="auto"/>
        </w:rPr>
      </w:pPr>
    </w:p>
    <w:p>
      <w:pPr>
        <w:ind w:left="260" w:right="439" w:firstLine="2"/>
        <w:spacing w:after="0" w:line="278" w:lineRule="auto"/>
        <w:tabs>
          <w:tab w:leader="none" w:pos="426"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126" w:lineRule="exact"/>
        <w:rPr>
          <w:rFonts w:ascii="Times New Roman" w:cs="Times New Roman" w:eastAsia="Times New Roman" w:hAnsi="Times New Roman"/>
          <w:sz w:val="14"/>
          <w:szCs w:val="14"/>
          <w:color w:val="auto"/>
        </w:rPr>
      </w:pPr>
    </w:p>
    <w:p>
      <w:pPr>
        <w:ind w:left="260" w:right="279" w:firstLine="2"/>
        <w:spacing w:after="0" w:line="278" w:lineRule="auto"/>
        <w:tabs>
          <w:tab w:leader="none" w:pos="456"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2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Securities;</w:t>
      </w:r>
    </w:p>
    <w:p>
      <w:pPr>
        <w:spacing w:after="0" w:line="171" w:lineRule="exact"/>
        <w:rPr>
          <w:rFonts w:ascii="Times New Roman" w:cs="Times New Roman" w:eastAsia="Times New Roman" w:hAnsi="Times New Roman"/>
          <w:sz w:val="14"/>
          <w:szCs w:val="14"/>
          <w:color w:val="auto"/>
        </w:rPr>
      </w:pPr>
    </w:p>
    <w:p>
      <w:pPr>
        <w:ind w:left="480" w:hanging="218"/>
        <w:spacing w:after="0"/>
        <w:tabs>
          <w:tab w:leader="none" w:pos="4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71"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Securities of the series;</w:t>
      </w:r>
    </w:p>
    <w:p>
      <w:pPr>
        <w:spacing w:after="0" w:line="171"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and</w:t>
      </w:r>
    </w:p>
    <w:p>
      <w:pPr>
        <w:spacing w:after="0" w:line="171"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subordination terms of the Securities of the series.</w:t>
      </w:r>
    </w:p>
    <w:p>
      <w:pPr>
        <w:spacing w:after="0" w:line="172"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26" w:lineRule="exact"/>
        <w:rPr>
          <w:sz w:val="20"/>
          <w:szCs w:val="20"/>
          <w:color w:val="auto"/>
        </w:rPr>
      </w:pPr>
    </w:p>
    <w:p>
      <w:pPr>
        <w:jc w:val="both"/>
        <w:ind w:left="260" w:right="379"/>
        <w:spacing w:after="0" w:line="263"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6"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p>
    <w:p>
      <w:pPr>
        <w:spacing w:after="0" w:line="91"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52" w:name="page153"/>
    <w:bookmarkEnd w:id="152"/>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2.03 Denominations: Provisions for Payment.</w:t>
      </w:r>
    </w:p>
    <w:p>
      <w:pPr>
        <w:spacing w:after="0" w:line="91" w:lineRule="exact"/>
        <w:rPr>
          <w:sz w:val="20"/>
          <w:szCs w:val="20"/>
          <w:color w:val="auto"/>
        </w:rPr>
      </w:pPr>
    </w:p>
    <w:p>
      <w:pPr>
        <w:ind w:left="260" w:right="339"/>
        <w:spacing w:after="0" w:line="254"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2"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3" w:lineRule="exact"/>
        <w:rPr>
          <w:sz w:val="20"/>
          <w:szCs w:val="20"/>
          <w:color w:val="auto"/>
        </w:rPr>
      </w:pPr>
    </w:p>
    <w:p>
      <w:pPr>
        <w:jc w:val="both"/>
        <w:ind w:left="260" w:right="559"/>
        <w:spacing w:after="0" w:line="292"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20" w:lineRule="exact"/>
        <w:rPr>
          <w:sz w:val="20"/>
          <w:szCs w:val="20"/>
          <w:color w:val="auto"/>
        </w:rPr>
      </w:pPr>
    </w:p>
    <w:p>
      <w:pPr>
        <w:ind w:left="260" w:right="279" w:firstLine="2"/>
        <w:spacing w:after="0" w:line="271" w:lineRule="auto"/>
        <w:tabs>
          <w:tab w:leader="none" w:pos="45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34" w:lineRule="exact"/>
        <w:rPr>
          <w:rFonts w:ascii="Times New Roman" w:cs="Times New Roman" w:eastAsia="Times New Roman" w:hAnsi="Times New Roman"/>
          <w:sz w:val="13"/>
          <w:szCs w:val="13"/>
          <w:color w:val="auto"/>
        </w:rPr>
      </w:pPr>
    </w:p>
    <w:p>
      <w:pPr>
        <w:ind w:left="260" w:right="339" w:firstLine="2"/>
        <w:spacing w:after="0" w:line="263" w:lineRule="auto"/>
        <w:tabs>
          <w:tab w:leader="none" w:pos="456"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6"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2"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153" w:name="page154"/>
    <w:bookmarkEnd w:id="153"/>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2.04 Execution and Authentications.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72"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0" w:lineRule="exact"/>
        <w:rPr>
          <w:sz w:val="20"/>
          <w:szCs w:val="20"/>
          <w:color w:val="auto"/>
        </w:rPr>
      </w:pPr>
    </w:p>
    <w:p>
      <w:pPr>
        <w:ind w:left="260" w:right="319"/>
        <w:spacing w:after="0" w:line="279" w:lineRule="auto"/>
        <w:rPr>
          <w:sz w:val="20"/>
          <w:szCs w:val="20"/>
          <w:color w:val="auto"/>
        </w:rPr>
      </w:pPr>
      <w:r>
        <w:rPr>
          <w:rFonts w:ascii="Times New Roman" w:cs="Times New Roman" w:eastAsia="Times New Roman" w:hAnsi="Times New Roman"/>
          <w:sz w:val="13"/>
          <w:szCs w:val="13"/>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29" w:lineRule="exact"/>
        <w:rPr>
          <w:sz w:val="20"/>
          <w:szCs w:val="20"/>
          <w:color w:val="auto"/>
        </w:rPr>
      </w:pPr>
    </w:p>
    <w:p>
      <w:pPr>
        <w:ind w:left="260" w:right="479"/>
        <w:spacing w:after="0" w:line="263" w:lineRule="auto"/>
        <w:rPr>
          <w:sz w:val="20"/>
          <w:szCs w:val="20"/>
          <w:color w:val="auto"/>
        </w:rPr>
      </w:pPr>
      <w:r>
        <w:rPr>
          <w:rFonts w:ascii="Times New Roman" w:cs="Times New Roman" w:eastAsia="Times New Roman" w:hAnsi="Times New Roman"/>
          <w:sz w:val="14"/>
          <w:szCs w:val="14"/>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36" w:lineRule="exact"/>
        <w:rPr>
          <w:sz w:val="20"/>
          <w:szCs w:val="20"/>
          <w:color w:val="auto"/>
        </w:rPr>
      </w:pPr>
    </w:p>
    <w:p>
      <w:pPr>
        <w:ind w:left="260" w:right="499"/>
        <w:spacing w:after="0" w:line="278" w:lineRule="auto"/>
        <w:rPr>
          <w:sz w:val="20"/>
          <w:szCs w:val="20"/>
          <w:color w:val="auto"/>
        </w:rPr>
      </w:pPr>
      <w:r>
        <w:rPr>
          <w:rFonts w:ascii="Times New Roman" w:cs="Times New Roman" w:eastAsia="Times New Roman" w:hAnsi="Times New Roman"/>
          <w:sz w:val="14"/>
          <w:szCs w:val="14"/>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2.05 Registration of Transfer and Exchange.</w:t>
      </w:r>
    </w:p>
    <w:p>
      <w:pPr>
        <w:spacing w:after="0" w:line="91" w:lineRule="exact"/>
        <w:rPr>
          <w:sz w:val="20"/>
          <w:szCs w:val="20"/>
          <w:color w:val="auto"/>
        </w:rPr>
      </w:pPr>
    </w:p>
    <w:p>
      <w:pPr>
        <w:ind w:left="260" w:right="319" w:firstLine="2"/>
        <w:spacing w:after="0" w:line="255" w:lineRule="auto"/>
        <w:tabs>
          <w:tab w:leader="none" w:pos="456"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w:t>
      </w:r>
    </w:p>
    <w:p>
      <w:pPr>
        <w:spacing w:after="0" w:line="20" w:lineRule="exact"/>
        <w:rPr>
          <w:rFonts w:ascii="Times New Roman" w:cs="Times New Roman" w:eastAsia="Times New Roman" w:hAnsi="Times New Roman"/>
          <w:sz w:val="14"/>
          <w:szCs w:val="14"/>
          <w:color w:val="auto"/>
        </w:rPr>
      </w:pPr>
    </w:p>
    <w:p>
      <w:pPr>
        <w:ind w:left="260" w:right="4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43"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6" w:lineRule="exact"/>
        <w:rPr>
          <w:sz w:val="20"/>
          <w:szCs w:val="20"/>
          <w:color w:val="auto"/>
        </w:rPr>
      </w:pPr>
    </w:p>
    <w:p>
      <w:pPr>
        <w:ind w:left="260" w:right="419"/>
        <w:spacing w:after="0" w:line="263"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7" w:right="1440" w:bottom="1440" w:gutter="0" w:footer="0" w:header="0"/>
        </w:sectPr>
      </w:pPr>
    </w:p>
    <w:bookmarkStart w:id="154" w:name="page155"/>
    <w:bookmarkEnd w:id="154"/>
    <w:p>
      <w:pPr>
        <w:ind w:left="260" w:right="359" w:firstLine="2"/>
        <w:spacing w:after="0" w:line="258" w:lineRule="auto"/>
        <w:tabs>
          <w:tab w:leader="none" w:pos="456"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39" w:lineRule="exact"/>
        <w:rPr>
          <w:rFonts w:ascii="Times New Roman" w:cs="Times New Roman" w:eastAsia="Times New Roman" w:hAnsi="Times New Roman"/>
          <w:sz w:val="14"/>
          <w:szCs w:val="14"/>
          <w:color w:val="auto"/>
        </w:rPr>
      </w:pPr>
    </w:p>
    <w:p>
      <w:pPr>
        <w:ind w:left="260" w:right="399" w:firstLine="2"/>
        <w:spacing w:after="0" w:line="255" w:lineRule="auto"/>
        <w:tabs>
          <w:tab w:leader="none" w:pos="456"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43"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p>
    <w:p>
      <w:pPr>
        <w:spacing w:after="0" w:line="91" w:lineRule="exact"/>
        <w:rPr>
          <w:sz w:val="20"/>
          <w:szCs w:val="20"/>
          <w:color w:val="auto"/>
        </w:rPr>
      </w:pPr>
    </w:p>
    <w:p>
      <w:pPr>
        <w:ind w:left="260" w:right="379"/>
        <w:spacing w:after="0" w:line="251"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p>
    <w:p>
      <w:pPr>
        <w:spacing w:after="0" w:line="91"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55" w:name="page156"/>
    <w:bookmarkEnd w:id="155"/>
    <w:p>
      <w:pPr>
        <w:ind w:left="26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3" w:lineRule="exact"/>
        <w:rPr>
          <w:sz w:val="20"/>
          <w:szCs w:val="20"/>
          <w:color w:val="auto"/>
        </w:rPr>
      </w:pPr>
    </w:p>
    <w:p>
      <w:pPr>
        <w:ind w:left="260" w:right="419"/>
        <w:spacing w:after="0" w:line="253"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2.08 Cancellation.</w:t>
      </w:r>
    </w:p>
    <w:p>
      <w:pPr>
        <w:spacing w:after="0" w:line="91" w:lineRule="exact"/>
        <w:rPr>
          <w:sz w:val="20"/>
          <w:szCs w:val="20"/>
          <w:color w:val="auto"/>
        </w:rPr>
      </w:pPr>
    </w:p>
    <w:p>
      <w:pPr>
        <w:ind w:left="260" w:right="439"/>
        <w:spacing w:after="0" w:line="253"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p>
    <w:p>
      <w:pPr>
        <w:spacing w:after="0" w:line="91"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2.10 Authenticating Agent.</w:t>
      </w:r>
    </w:p>
    <w:p>
      <w:pPr>
        <w:spacing w:after="0" w:line="91"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48" w:lineRule="exact"/>
        <w:rPr>
          <w:sz w:val="20"/>
          <w:szCs w:val="20"/>
          <w:color w:val="auto"/>
        </w:rPr>
      </w:pPr>
    </w:p>
    <w:p>
      <w:pPr>
        <w:ind w:left="260" w:right="519"/>
        <w:spacing w:after="0" w:line="254"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56" w:name="page157"/>
    <w:bookmarkEnd w:id="15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2.11 Global Securities.</w:t>
      </w:r>
    </w:p>
    <w:p>
      <w:pPr>
        <w:spacing w:after="0" w:line="91" w:lineRule="exact"/>
        <w:rPr>
          <w:sz w:val="20"/>
          <w:szCs w:val="20"/>
          <w:color w:val="auto"/>
        </w:rPr>
      </w:pPr>
    </w:p>
    <w:p>
      <w:pPr>
        <w:ind w:left="260" w:right="379" w:firstLine="2"/>
        <w:spacing w:after="0" w:line="253" w:lineRule="auto"/>
        <w:tabs>
          <w:tab w:leader="none" w:pos="456"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1" w:lineRule="exact"/>
        <w:rPr>
          <w:rFonts w:ascii="Times New Roman" w:cs="Times New Roman" w:eastAsia="Times New Roman" w:hAnsi="Times New Roman"/>
          <w:sz w:val="14"/>
          <w:szCs w:val="14"/>
          <w:color w:val="auto"/>
        </w:rPr>
      </w:pPr>
    </w:p>
    <w:p>
      <w:pPr>
        <w:ind w:left="260" w:right="7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43" w:lineRule="exact"/>
        <w:rPr>
          <w:rFonts w:ascii="Times New Roman" w:cs="Times New Roman" w:eastAsia="Times New Roman" w:hAnsi="Times New Roman"/>
          <w:sz w:val="14"/>
          <w:szCs w:val="14"/>
          <w:color w:val="auto"/>
        </w:rPr>
      </w:pPr>
    </w:p>
    <w:p>
      <w:pPr>
        <w:ind w:left="260" w:right="319" w:firstLine="2"/>
        <w:spacing w:after="0" w:line="263" w:lineRule="auto"/>
        <w:tabs>
          <w:tab w:leader="none" w:pos="456"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36" w:lineRule="exact"/>
        <w:rPr>
          <w:rFonts w:ascii="Times New Roman" w:cs="Times New Roman" w:eastAsia="Times New Roman" w:hAnsi="Times New Roman"/>
          <w:sz w:val="14"/>
          <w:szCs w:val="14"/>
          <w:color w:val="auto"/>
        </w:rPr>
      </w:pPr>
    </w:p>
    <w:p>
      <w:pPr>
        <w:ind w:left="260" w:right="279" w:firstLine="2"/>
        <w:spacing w:after="0" w:line="270" w:lineRule="auto"/>
        <w:tabs>
          <w:tab w:leader="none" w:pos="456"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3.01 Redemption.</w:t>
      </w:r>
    </w:p>
    <w:p>
      <w:pPr>
        <w:spacing w:after="0" w:line="9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157" w:name="page158"/>
    <w:bookmarkEnd w:id="157"/>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3.02 Notice of Redemption.</w:t>
      </w:r>
    </w:p>
    <w:p>
      <w:pPr>
        <w:spacing w:after="0" w:line="91" w:lineRule="exact"/>
        <w:rPr>
          <w:sz w:val="20"/>
          <w:szCs w:val="20"/>
          <w:color w:val="auto"/>
        </w:rPr>
      </w:pPr>
    </w:p>
    <w:p>
      <w:pPr>
        <w:ind w:left="260" w:right="299" w:firstLine="2"/>
        <w:spacing w:after="0" w:line="251" w:lineRule="auto"/>
        <w:tabs>
          <w:tab w:leader="none" w:pos="456"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6" w:lineRule="exact"/>
        <w:rPr>
          <w:sz w:val="20"/>
          <w:szCs w:val="20"/>
          <w:color w:val="auto"/>
        </w:rPr>
      </w:pPr>
    </w:p>
    <w:p>
      <w:pPr>
        <w:ind w:left="260" w:right="339"/>
        <w:spacing w:after="0" w:line="254" w:lineRule="auto"/>
        <w:rPr>
          <w:sz w:val="20"/>
          <w:szCs w:val="20"/>
          <w:color w:val="auto"/>
        </w:rPr>
      </w:pPr>
      <w:r>
        <w:rPr>
          <w:rFonts w:ascii="Times New Roman" w:cs="Times New Roman" w:eastAsia="Times New Roman" w:hAnsi="Times New Roman"/>
          <w:sz w:val="14"/>
          <w:szCs w:val="14"/>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2"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6" w:lineRule="exact"/>
        <w:rPr>
          <w:sz w:val="20"/>
          <w:szCs w:val="20"/>
          <w:color w:val="auto"/>
        </w:rPr>
      </w:pPr>
    </w:p>
    <w:p>
      <w:pPr>
        <w:ind w:left="260" w:right="279" w:firstLine="2"/>
        <w:spacing w:after="0" w:line="250" w:lineRule="auto"/>
        <w:tabs>
          <w:tab w:leader="none" w:pos="456"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p>
    <w:p>
      <w:pPr>
        <w:spacing w:after="0" w:line="91" w:lineRule="exact"/>
        <w:rPr>
          <w:sz w:val="20"/>
          <w:szCs w:val="20"/>
          <w:color w:val="auto"/>
        </w:rPr>
      </w:pPr>
    </w:p>
    <w:p>
      <w:pPr>
        <w:ind w:left="260" w:right="359" w:firstLine="2"/>
        <w:spacing w:after="0" w:line="252" w:lineRule="auto"/>
        <w:tabs>
          <w:tab w:leader="none" w:pos="456"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7" w:right="1440" w:bottom="1440" w:gutter="0" w:footer="0" w:header="0"/>
        </w:sectPr>
      </w:pPr>
    </w:p>
    <w:bookmarkStart w:id="158" w:name="page159"/>
    <w:bookmarkEnd w:id="158"/>
    <w:p>
      <w:pPr>
        <w:ind w:left="260" w:right="439" w:firstLine="2"/>
        <w:spacing w:after="0" w:line="263" w:lineRule="auto"/>
        <w:tabs>
          <w:tab w:leader="none" w:pos="456"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3.04 Sinking Fund.</w:t>
      </w:r>
    </w:p>
    <w:p>
      <w:pPr>
        <w:spacing w:after="0" w:line="91"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26"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p>
    <w:p>
      <w:pPr>
        <w:spacing w:after="0" w:line="91"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p>
    <w:p>
      <w:pPr>
        <w:spacing w:after="0" w:line="91"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p>
    <w:p>
      <w:pPr>
        <w:spacing w:after="0" w:line="91" w:lineRule="exact"/>
        <w:rPr>
          <w:sz w:val="20"/>
          <w:szCs w:val="20"/>
          <w:color w:val="auto"/>
        </w:rPr>
      </w:pPr>
    </w:p>
    <w:p>
      <w:pPr>
        <w:ind w:left="260" w:right="279"/>
        <w:spacing w:after="0" w:line="274" w:lineRule="auto"/>
        <w:rPr>
          <w:sz w:val="20"/>
          <w:szCs w:val="20"/>
          <w:color w:val="auto"/>
        </w:rPr>
      </w:pPr>
      <w:r>
        <w:rPr>
          <w:rFonts w:ascii="Times New Roman" w:cs="Times New Roman" w:eastAsia="Times New Roman" w:hAnsi="Times New Roman"/>
          <w:sz w:val="13"/>
          <w:szCs w:val="13"/>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59" w:name="page160"/>
    <w:bookmarkEnd w:id="159"/>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4.02 Maintenance of Office or Agency.</w:t>
      </w:r>
    </w:p>
    <w:p>
      <w:pPr>
        <w:spacing w:after="0" w:line="91" w:lineRule="exact"/>
        <w:rPr>
          <w:sz w:val="20"/>
          <w:szCs w:val="20"/>
          <w:color w:val="auto"/>
        </w:rPr>
      </w:pPr>
    </w:p>
    <w:p>
      <w:pPr>
        <w:jc w:val="both"/>
        <w:ind w:left="260" w:right="379"/>
        <w:spacing w:after="0" w:line="279" w:lineRule="auto"/>
        <w:rPr>
          <w:sz w:val="20"/>
          <w:szCs w:val="20"/>
          <w:color w:val="auto"/>
        </w:rPr>
      </w:pPr>
      <w:r>
        <w:rPr>
          <w:rFonts w:ascii="Times New Roman" w:cs="Times New Roman" w:eastAsia="Times New Roman" w:hAnsi="Times New Roman"/>
          <w:sz w:val="13"/>
          <w:szCs w:val="13"/>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ind w:left="260" w:right="299" w:firstLine="2"/>
        <w:spacing w:after="0" w:line="249" w:lineRule="auto"/>
        <w:tabs>
          <w:tab w:leader="none" w:pos="46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4.03 Paying Agents.</w:t>
      </w:r>
    </w:p>
    <w:p>
      <w:pPr>
        <w:spacing w:after="0" w:line="91" w:lineRule="exact"/>
        <w:rPr>
          <w:sz w:val="20"/>
          <w:szCs w:val="20"/>
          <w:color w:val="auto"/>
        </w:rPr>
      </w:pPr>
    </w:p>
    <w:p>
      <w:pPr>
        <w:jc w:val="both"/>
        <w:ind w:left="260" w:right="419" w:firstLine="2"/>
        <w:spacing w:after="0" w:line="263" w:lineRule="auto"/>
        <w:tabs>
          <w:tab w:leader="none" w:pos="456"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36" w:lineRule="exact"/>
        <w:rPr>
          <w:sz w:val="20"/>
          <w:szCs w:val="20"/>
          <w:color w:val="auto"/>
        </w:rPr>
      </w:pPr>
    </w:p>
    <w:p>
      <w:pPr>
        <w:ind w:left="260" w:right="399" w:firstLine="2"/>
        <w:spacing w:after="0" w:line="263" w:lineRule="auto"/>
        <w:tabs>
          <w:tab w:leader="none" w:pos="44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36" w:lineRule="exact"/>
        <w:rPr>
          <w:rFonts w:ascii="Times New Roman" w:cs="Times New Roman" w:eastAsia="Times New Roman" w:hAnsi="Times New Roman"/>
          <w:sz w:val="14"/>
          <w:szCs w:val="14"/>
          <w:color w:val="auto"/>
        </w:rPr>
      </w:pPr>
    </w:p>
    <w:p>
      <w:pPr>
        <w:ind w:left="260" w:right="279" w:firstLine="2"/>
        <w:spacing w:after="0" w:line="278" w:lineRule="auto"/>
        <w:tabs>
          <w:tab w:leader="none" w:pos="456"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26" w:lineRule="exact"/>
        <w:rPr>
          <w:rFonts w:ascii="Times New Roman" w:cs="Times New Roman" w:eastAsia="Times New Roman" w:hAnsi="Times New Roman"/>
          <w:sz w:val="14"/>
          <w:szCs w:val="14"/>
          <w:color w:val="auto"/>
        </w:rPr>
      </w:pPr>
    </w:p>
    <w:p>
      <w:pPr>
        <w:ind w:left="260" w:right="619" w:firstLine="2"/>
        <w:spacing w:after="0" w:line="278" w:lineRule="auto"/>
        <w:tabs>
          <w:tab w:leader="none" w:pos="44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2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172" w:lineRule="exact"/>
        <w:rPr>
          <w:sz w:val="20"/>
          <w:szCs w:val="20"/>
          <w:color w:val="auto"/>
        </w:rPr>
      </w:pPr>
    </w:p>
    <w:p>
      <w:pPr>
        <w:ind w:left="260" w:right="279" w:firstLine="2"/>
        <w:spacing w:after="0" w:line="252" w:lineRule="auto"/>
        <w:tabs>
          <w:tab w:leader="none" w:pos="45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160" w:name="page161"/>
    <w:bookmarkEnd w:id="160"/>
    <w:p>
      <w:pPr>
        <w:ind w:left="260" w:right="279" w:firstLine="2"/>
        <w:spacing w:after="0" w:line="254" w:lineRule="auto"/>
        <w:tabs>
          <w:tab w:leader="none" w:pos="456"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p>
    <w:p>
      <w:pPr>
        <w:spacing w:after="0" w:line="9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4.05 Compliance with Consolidation Provisions.</w:t>
      </w:r>
    </w:p>
    <w:p>
      <w:pPr>
        <w:spacing w:after="0" w:line="91" w:lineRule="exact"/>
        <w:rPr>
          <w:sz w:val="20"/>
          <w:szCs w:val="20"/>
          <w:color w:val="auto"/>
        </w:rPr>
      </w:pPr>
    </w:p>
    <w:p>
      <w:pPr>
        <w:ind w:left="260" w:right="599"/>
        <w:spacing w:after="0" w:line="263" w:lineRule="auto"/>
        <w:rPr>
          <w:sz w:val="20"/>
          <w:szCs w:val="20"/>
          <w:color w:val="auto"/>
        </w:rPr>
      </w:pPr>
      <w:r>
        <w:rPr>
          <w:rFonts w:ascii="Times New Roman" w:cs="Times New Roman" w:eastAsia="Times New Roman" w:hAnsi="Times New Roman"/>
          <w:sz w:val="14"/>
          <w:szCs w:val="14"/>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p>
    <w:p>
      <w:pPr>
        <w:spacing w:after="0" w:line="91" w:lineRule="exact"/>
        <w:rPr>
          <w:sz w:val="20"/>
          <w:szCs w:val="20"/>
          <w:color w:val="auto"/>
        </w:rPr>
      </w:pPr>
    </w:p>
    <w:p>
      <w:pPr>
        <w:ind w:left="260" w:right="359"/>
        <w:spacing w:after="0" w:line="254"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p>
    <w:p>
      <w:pPr>
        <w:spacing w:after="0" w:line="91" w:lineRule="exact"/>
        <w:rPr>
          <w:sz w:val="20"/>
          <w:szCs w:val="20"/>
          <w:color w:val="auto"/>
        </w:rPr>
      </w:pPr>
    </w:p>
    <w:p>
      <w:pPr>
        <w:ind w:left="260" w:right="279" w:firstLine="2"/>
        <w:spacing w:after="0" w:line="263" w:lineRule="auto"/>
        <w:tabs>
          <w:tab w:leader="none" w:pos="45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3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171" w:lineRule="exact"/>
        <w:rPr>
          <w:rFonts w:ascii="Times New Roman" w:cs="Times New Roman" w:eastAsia="Times New Roman" w:hAnsi="Times New Roman"/>
          <w:sz w:val="14"/>
          <w:szCs w:val="14"/>
          <w:color w:val="auto"/>
        </w:rPr>
      </w:pPr>
    </w:p>
    <w:p>
      <w:pPr>
        <w:ind w:left="260" w:right="499" w:firstLine="2"/>
        <w:spacing w:after="0" w:line="263" w:lineRule="auto"/>
        <w:tabs>
          <w:tab w:leader="none" w:pos="45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p>
    <w:p>
      <w:pPr>
        <w:spacing w:after="0" w:line="91" w:lineRule="exact"/>
        <w:rPr>
          <w:sz w:val="20"/>
          <w:szCs w:val="20"/>
          <w:color w:val="auto"/>
        </w:rPr>
      </w:pPr>
    </w:p>
    <w:p>
      <w:pPr>
        <w:ind w:left="260" w:right="279" w:firstLine="2"/>
        <w:spacing w:after="0" w:line="254" w:lineRule="auto"/>
        <w:tabs>
          <w:tab w:leader="none" w:pos="456"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61" w:name="page162"/>
    <w:bookmarkEnd w:id="161"/>
    <w:p>
      <w:pPr>
        <w:ind w:left="260" w:right="6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43" w:lineRule="exact"/>
        <w:rPr>
          <w:sz w:val="20"/>
          <w:szCs w:val="20"/>
          <w:color w:val="auto"/>
        </w:rPr>
      </w:pPr>
    </w:p>
    <w:p>
      <w:pPr>
        <w:ind w:left="260" w:right="359" w:firstLine="2"/>
        <w:spacing w:after="0" w:line="258" w:lineRule="auto"/>
        <w:tabs>
          <w:tab w:leader="none" w:pos="456"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p>
    <w:p>
      <w:pPr>
        <w:spacing w:after="0" w:line="91" w:lineRule="exact"/>
        <w:rPr>
          <w:sz w:val="20"/>
          <w:szCs w:val="20"/>
          <w:color w:val="auto"/>
        </w:rPr>
      </w:pPr>
    </w:p>
    <w:p>
      <w:pPr>
        <w:ind w:left="260" w:right="519" w:firstLine="2"/>
        <w:spacing w:after="0" w:line="263" w:lineRule="auto"/>
        <w:tabs>
          <w:tab w:leader="none" w:pos="456"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3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171" w:lineRule="exact"/>
        <w:rPr>
          <w:rFonts w:ascii="Times New Roman" w:cs="Times New Roman" w:eastAsia="Times New Roman" w:hAnsi="Times New Roman"/>
          <w:sz w:val="14"/>
          <w:szCs w:val="14"/>
          <w:color w:val="auto"/>
        </w:rPr>
      </w:pPr>
    </w:p>
    <w:p>
      <w:pPr>
        <w:ind w:left="260" w:right="379" w:firstLine="2"/>
        <w:spacing w:after="0" w:line="263" w:lineRule="auto"/>
        <w:tabs>
          <w:tab w:leader="none" w:pos="456"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7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p>
    <w:p>
      <w:pPr>
        <w:spacing w:after="0" w:line="91" w:lineRule="exact"/>
        <w:rPr>
          <w:sz w:val="20"/>
          <w:szCs w:val="20"/>
          <w:color w:val="auto"/>
        </w:rPr>
      </w:pPr>
    </w:p>
    <w:p>
      <w:pPr>
        <w:ind w:left="260" w:right="499" w:firstLine="2"/>
        <w:spacing w:after="0" w:line="278" w:lineRule="auto"/>
        <w:tabs>
          <w:tab w:leader="none" w:pos="456"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126" w:lineRule="exact"/>
        <w:rPr>
          <w:sz w:val="20"/>
          <w:szCs w:val="20"/>
          <w:color w:val="auto"/>
        </w:rPr>
      </w:pPr>
    </w:p>
    <w:p>
      <w:pPr>
        <w:ind w:left="260" w:right="279" w:firstLine="2"/>
        <w:spacing w:after="0" w:line="263" w:lineRule="auto"/>
        <w:tabs>
          <w:tab w:leader="none" w:pos="44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36" w:lineRule="exact"/>
        <w:rPr>
          <w:rFonts w:ascii="Times New Roman" w:cs="Times New Roman" w:eastAsia="Times New Roman" w:hAnsi="Times New Roman"/>
          <w:sz w:val="14"/>
          <w:szCs w:val="14"/>
          <w:color w:val="auto"/>
        </w:rPr>
      </w:pPr>
    </w:p>
    <w:p>
      <w:pPr>
        <w:ind w:left="260" w:right="399" w:firstLine="2"/>
        <w:spacing w:after="0" w:line="258" w:lineRule="auto"/>
        <w:tabs>
          <w:tab w:leader="none" w:pos="456"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39" w:lineRule="exact"/>
        <w:rPr>
          <w:rFonts w:ascii="Times New Roman" w:cs="Times New Roman" w:eastAsia="Times New Roman" w:hAnsi="Times New Roman"/>
          <w:sz w:val="14"/>
          <w:szCs w:val="14"/>
          <w:color w:val="auto"/>
        </w:rPr>
      </w:pPr>
    </w:p>
    <w:p>
      <w:pPr>
        <w:ind w:left="260" w:right="339" w:firstLine="2"/>
        <w:spacing w:after="0" w:line="254" w:lineRule="auto"/>
        <w:tabs>
          <w:tab w:leader="none" w:pos="44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62" w:name="page163"/>
    <w:bookmarkEnd w:id="162"/>
    <w:p>
      <w:pPr>
        <w:ind w:left="260" w:right="439" w:firstLine="2"/>
        <w:spacing w:after="0" w:line="263" w:lineRule="auto"/>
        <w:tabs>
          <w:tab w:leader="none" w:pos="456"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36"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w:t>
      </w:r>
    </w:p>
    <w:p>
      <w:pPr>
        <w:spacing w:after="0" w:line="21" w:lineRule="exact"/>
        <w:rPr>
          <w:sz w:val="20"/>
          <w:szCs w:val="20"/>
          <w:color w:val="auto"/>
        </w:rPr>
      </w:pPr>
    </w:p>
    <w:p>
      <w:pPr>
        <w:ind w:left="260" w:right="339" w:firstLine="2"/>
        <w:spacing w:after="0" w:line="256" w:lineRule="auto"/>
        <w:tabs>
          <w:tab w:leader="none" w:pos="464"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for all or substantially all of its property or (iii) orders the liquidation of the Company, and the order or decree remains unstayed and in effect for 90 days.</w:t>
      </w:r>
    </w:p>
    <w:p>
      <w:pPr>
        <w:spacing w:after="0" w:line="141" w:lineRule="exact"/>
        <w:rPr>
          <w:sz w:val="20"/>
          <w:szCs w:val="20"/>
          <w:color w:val="auto"/>
        </w:rPr>
      </w:pPr>
    </w:p>
    <w:p>
      <w:pPr>
        <w:ind w:left="260" w:right="359" w:firstLine="2"/>
        <w:spacing w:after="0" w:line="271" w:lineRule="auto"/>
        <w:tabs>
          <w:tab w:leader="none" w:pos="456"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w:t>
      </w:r>
    </w:p>
    <w:p>
      <w:pPr>
        <w:spacing w:after="0" w:line="2" w:lineRule="exact"/>
        <w:rPr>
          <w:rFonts w:ascii="Times New Roman" w:cs="Times New Roman" w:eastAsia="Times New Roman" w:hAnsi="Times New Roman"/>
          <w:sz w:val="13"/>
          <w:szCs w:val="13"/>
          <w:color w:val="auto"/>
        </w:rPr>
      </w:pPr>
    </w:p>
    <w:p>
      <w:pPr>
        <w:ind w:left="260" w:right="339" w:firstLine="2"/>
        <w:spacing w:after="0" w:line="256" w:lineRule="auto"/>
        <w:tabs>
          <w:tab w:leader="none" w:pos="456"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0" w:lineRule="exact"/>
        <w:rPr>
          <w:rFonts w:ascii="Times New Roman" w:cs="Times New Roman" w:eastAsia="Times New Roman" w:hAnsi="Times New Roman"/>
          <w:sz w:val="14"/>
          <w:szCs w:val="14"/>
          <w:color w:val="auto"/>
        </w:rPr>
      </w:pPr>
    </w:p>
    <w:p>
      <w:pPr>
        <w:ind w:left="260" w:right="279" w:firstLine="2"/>
        <w:spacing w:after="0" w:line="251" w:lineRule="auto"/>
        <w:tabs>
          <w:tab w:leader="none" w:pos="449"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72" w:lineRule="exact"/>
        <w:rPr>
          <w:sz w:val="20"/>
          <w:szCs w:val="20"/>
          <w:color w:val="auto"/>
        </w:rPr>
      </w:pPr>
    </w:p>
    <w:p>
      <w:pPr>
        <w:ind w:left="260" w:right="359" w:firstLine="2"/>
        <w:spacing w:after="0" w:line="255" w:lineRule="auto"/>
        <w:tabs>
          <w:tab w:leader="none" w:pos="456"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p>
    <w:p>
      <w:pPr>
        <w:spacing w:after="0" w:line="91" w:lineRule="exact"/>
        <w:rPr>
          <w:sz w:val="20"/>
          <w:szCs w:val="20"/>
          <w:color w:val="auto"/>
        </w:rPr>
      </w:pPr>
    </w:p>
    <w:p>
      <w:pPr>
        <w:ind w:left="260" w:right="299" w:firstLine="2"/>
        <w:spacing w:after="0" w:line="258" w:lineRule="auto"/>
        <w:tabs>
          <w:tab w:leader="none" w:pos="456"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63" w:name="page164"/>
    <w:bookmarkEnd w:id="163"/>
    <w:p>
      <w:pPr>
        <w:ind w:left="26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42" w:lineRule="exact"/>
        <w:rPr>
          <w:sz w:val="20"/>
          <w:szCs w:val="20"/>
          <w:color w:val="auto"/>
        </w:rPr>
      </w:pPr>
    </w:p>
    <w:p>
      <w:pPr>
        <w:ind w:left="260" w:right="379" w:firstLine="2"/>
        <w:spacing w:after="0" w:line="255" w:lineRule="auto"/>
        <w:tabs>
          <w:tab w:leader="none" w:pos="45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2" w:lineRule="exact"/>
        <w:rPr>
          <w:rFonts w:ascii="Times New Roman" w:cs="Times New Roman" w:eastAsia="Times New Roman" w:hAnsi="Times New Roman"/>
          <w:sz w:val="14"/>
          <w:szCs w:val="14"/>
          <w:color w:val="auto"/>
        </w:rPr>
      </w:pPr>
    </w:p>
    <w:p>
      <w:pPr>
        <w:ind w:left="260" w:right="299" w:firstLine="2"/>
        <w:spacing w:after="0" w:line="273" w:lineRule="auto"/>
        <w:tabs>
          <w:tab w:leader="none" w:pos="456"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33" w:lineRule="exact"/>
        <w:rPr>
          <w:rFonts w:ascii="Times New Roman" w:cs="Times New Roman" w:eastAsia="Times New Roman" w:hAnsi="Times New Roman"/>
          <w:sz w:val="13"/>
          <w:szCs w:val="13"/>
          <w:color w:val="auto"/>
        </w:rPr>
      </w:pPr>
    </w:p>
    <w:p>
      <w:pPr>
        <w:ind w:left="260" w:right="279" w:firstLine="2"/>
        <w:spacing w:after="0" w:line="255" w:lineRule="auto"/>
        <w:tabs>
          <w:tab w:leader="none" w:pos="45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3" w:lineRule="exact"/>
        <w:rPr>
          <w:sz w:val="20"/>
          <w:szCs w:val="20"/>
          <w:color w:val="auto"/>
        </w:rPr>
      </w:pPr>
    </w:p>
    <w:p>
      <w:pPr>
        <w:ind w:left="260" w:right="319"/>
        <w:spacing w:after="0" w:line="258"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0"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p>
    <w:p>
      <w:pPr>
        <w:spacing w:after="0" w:line="91" w:lineRule="exact"/>
        <w:rPr>
          <w:sz w:val="20"/>
          <w:szCs w:val="20"/>
          <w:color w:val="auto"/>
        </w:rPr>
      </w:pPr>
    </w:p>
    <w:p>
      <w:pPr>
        <w:ind w:left="260" w:right="279"/>
        <w:spacing w:after="0" w:line="263"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64" w:name="page165"/>
    <w:bookmarkEnd w:id="164"/>
    <w:p>
      <w:pPr>
        <w:ind w:left="260" w:right="33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FIRST: To the payment of all indebtedness of the Company to which such series of Securities is subordinated to the extent required by Section 7.06 and any subordination terms of the series specified as contemplated by Article Fourteen;</w:t>
      </w:r>
    </w:p>
    <w:p>
      <w:pPr>
        <w:spacing w:after="0" w:line="126"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or any other Person lawfully entitled thereto.</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p>
    <w:p>
      <w:pPr>
        <w:spacing w:after="0" w:line="91"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8"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p>
    <w:p>
      <w:pPr>
        <w:spacing w:after="0" w:line="91" w:lineRule="exact"/>
        <w:rPr>
          <w:sz w:val="20"/>
          <w:szCs w:val="20"/>
          <w:color w:val="auto"/>
        </w:rPr>
      </w:pPr>
    </w:p>
    <w:p>
      <w:pPr>
        <w:ind w:left="260" w:right="399" w:firstLine="2"/>
        <w:spacing w:after="0" w:line="258" w:lineRule="auto"/>
        <w:tabs>
          <w:tab w:leader="none" w:pos="456"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39"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w:t>
      </w:r>
    </w:p>
    <w:p>
      <w:pPr>
        <w:spacing w:after="0" w:line="20" w:lineRule="exact"/>
        <w:rPr>
          <w:rFonts w:ascii="Times New Roman" w:cs="Times New Roman" w:eastAsia="Times New Roman" w:hAnsi="Times New Roman"/>
          <w:sz w:val="14"/>
          <w:szCs w:val="14"/>
          <w:color w:val="auto"/>
        </w:rPr>
      </w:pPr>
    </w:p>
    <w:p>
      <w:pPr>
        <w:ind w:left="26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65" w:name="page166"/>
    <w:bookmarkEnd w:id="165"/>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6.06 Control by Securityholders.</w:t>
      </w:r>
    </w:p>
    <w:p>
      <w:pPr>
        <w:spacing w:after="0" w:line="91"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p>
    <w:p>
      <w:pPr>
        <w:spacing w:after="0" w:line="91"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p>
    <w:p>
      <w:pPr>
        <w:spacing w:after="0" w:line="91" w:lineRule="exact"/>
        <w:rPr>
          <w:sz w:val="20"/>
          <w:szCs w:val="20"/>
          <w:color w:val="auto"/>
        </w:rPr>
      </w:pPr>
    </w:p>
    <w:p>
      <w:pPr>
        <w:ind w:left="260" w:right="339" w:firstLine="2"/>
        <w:spacing w:after="0" w:line="254" w:lineRule="auto"/>
        <w:tabs>
          <w:tab w:leader="none" w:pos="45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42" w:lineRule="exact"/>
        <w:rPr>
          <w:rFonts w:ascii="Times New Roman" w:cs="Times New Roman" w:eastAsia="Times New Roman" w:hAnsi="Times New Roman"/>
          <w:sz w:val="14"/>
          <w:szCs w:val="14"/>
          <w:color w:val="auto"/>
        </w:rPr>
      </w:pPr>
    </w:p>
    <w:p>
      <w:pPr>
        <w:ind w:left="260" w:right="379" w:firstLine="2"/>
        <w:spacing w:after="0" w:line="278" w:lineRule="auto"/>
        <w:tabs>
          <w:tab w:leader="none" w:pos="45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7" w:right="1440" w:bottom="1440" w:gutter="0" w:footer="0" w:header="0"/>
        </w:sectPr>
      </w:pPr>
    </w:p>
    <w:bookmarkStart w:id="166" w:name="page167"/>
    <w:bookmarkEnd w:id="166"/>
    <w:p>
      <w:pPr>
        <w:ind w:left="260" w:right="439" w:firstLine="2"/>
        <w:spacing w:after="0" w:line="278" w:lineRule="auto"/>
        <w:tabs>
          <w:tab w:leader="none" w:pos="449"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43" w:lineRule="exact"/>
        <w:rPr>
          <w:sz w:val="20"/>
          <w:szCs w:val="20"/>
          <w:color w:val="auto"/>
        </w:rPr>
      </w:pPr>
    </w:p>
    <w:p>
      <w:pPr>
        <w:ind w:left="260" w:right="299" w:firstLine="2"/>
        <w:spacing w:after="0" w:line="263" w:lineRule="auto"/>
        <w:tabs>
          <w:tab w:leader="none" w:pos="487"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4"/>
          <w:szCs w:val="14"/>
          <w:color w:val="auto"/>
        </w:rPr>
      </w:pPr>
    </w:p>
    <w:p>
      <w:pPr>
        <w:ind w:left="260" w:right="319" w:firstLine="2"/>
        <w:spacing w:after="0" w:line="284" w:lineRule="auto"/>
        <w:tabs>
          <w:tab w:leader="none" w:pos="47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41" w:lineRule="exact"/>
        <w:rPr>
          <w:sz w:val="20"/>
          <w:szCs w:val="20"/>
          <w:color w:val="auto"/>
        </w:rPr>
      </w:pPr>
    </w:p>
    <w:p>
      <w:pPr>
        <w:ind w:left="260" w:right="319" w:firstLine="2"/>
        <w:spacing w:after="0" w:line="278" w:lineRule="auto"/>
        <w:tabs>
          <w:tab w:leader="none" w:pos="456"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42" w:lineRule="exact"/>
        <w:rPr>
          <w:rFonts w:ascii="Times New Roman" w:cs="Times New Roman" w:eastAsia="Times New Roman" w:hAnsi="Times New Roman"/>
          <w:sz w:val="14"/>
          <w:szCs w:val="14"/>
          <w:color w:val="auto"/>
        </w:rPr>
      </w:pPr>
    </w:p>
    <w:p>
      <w:pPr>
        <w:ind w:left="260" w:right="459" w:firstLine="2"/>
        <w:spacing w:after="0" w:line="258" w:lineRule="auto"/>
        <w:tabs>
          <w:tab w:leader="none" w:pos="449"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56" w:lineRule="exact"/>
        <w:rPr>
          <w:rFonts w:ascii="Times New Roman" w:cs="Times New Roman" w:eastAsia="Times New Roman" w:hAnsi="Times New Roman"/>
          <w:sz w:val="14"/>
          <w:szCs w:val="14"/>
          <w:color w:val="auto"/>
        </w:rPr>
      </w:pPr>
    </w:p>
    <w:p>
      <w:pPr>
        <w:ind w:left="260" w:right="619" w:firstLine="2"/>
        <w:spacing w:after="0" w:line="258" w:lineRule="auto"/>
        <w:tabs>
          <w:tab w:leader="none" w:pos="456"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89" w:lineRule="exact"/>
        <w:rPr>
          <w:sz w:val="20"/>
          <w:szCs w:val="20"/>
          <w:color w:val="auto"/>
        </w:rPr>
      </w:pPr>
    </w:p>
    <w:p>
      <w:pPr>
        <w:jc w:val="both"/>
        <w:ind w:left="260" w:right="659" w:firstLine="2"/>
        <w:spacing w:after="0" w:line="263" w:lineRule="auto"/>
        <w:tabs>
          <w:tab w:leader="none" w:pos="456"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w:t>
      </w:r>
    </w:p>
    <w:p>
      <w:pPr>
        <w:spacing w:after="0" w:line="20"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signed in the name of the Company by any authorized officer of the Company (unless other evidence in respect thereof is specifically prescribed herein);</w:t>
      </w:r>
    </w:p>
    <w:p>
      <w:pPr>
        <w:spacing w:after="0" w:line="84" w:lineRule="exact"/>
        <w:rPr>
          <w:rFonts w:ascii="Times New Roman" w:cs="Times New Roman" w:eastAsia="Times New Roman" w:hAnsi="Times New Roman"/>
          <w:sz w:val="14"/>
          <w:szCs w:val="14"/>
          <w:color w:val="auto"/>
        </w:rPr>
      </w:pPr>
    </w:p>
    <w:p>
      <w:pPr>
        <w:ind w:left="260" w:right="559" w:firstLine="2"/>
        <w:spacing w:after="0" w:line="278" w:lineRule="auto"/>
        <w:tabs>
          <w:tab w:leader="none" w:pos="456"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42" w:lineRule="exact"/>
        <w:rPr>
          <w:rFonts w:ascii="Times New Roman" w:cs="Times New Roman" w:eastAsia="Times New Roman" w:hAnsi="Times New Roman"/>
          <w:sz w:val="14"/>
          <w:szCs w:val="14"/>
          <w:color w:val="auto"/>
        </w:rPr>
      </w:pPr>
    </w:p>
    <w:p>
      <w:pPr>
        <w:ind w:left="260" w:right="319" w:firstLine="2"/>
        <w:spacing w:after="0" w:line="258" w:lineRule="auto"/>
        <w:tabs>
          <w:tab w:leader="none" w:pos="456"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67" w:name="page168"/>
    <w:bookmarkEnd w:id="167"/>
    <w:p>
      <w:pPr>
        <w:ind w:left="260" w:right="3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53" w:lineRule="exact"/>
        <w:rPr>
          <w:sz w:val="20"/>
          <w:szCs w:val="20"/>
          <w:color w:val="auto"/>
        </w:rPr>
      </w:pPr>
    </w:p>
    <w:p>
      <w:pPr>
        <w:ind w:left="260" w:right="779" w:firstLine="2"/>
        <w:spacing w:after="0" w:line="278" w:lineRule="auto"/>
        <w:tabs>
          <w:tab w:leader="none" w:pos="456"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42" w:lineRule="exact"/>
        <w:rPr>
          <w:rFonts w:ascii="Times New Roman" w:cs="Times New Roman" w:eastAsia="Times New Roman" w:hAnsi="Times New Roman"/>
          <w:sz w:val="14"/>
          <w:szCs w:val="14"/>
          <w:color w:val="auto"/>
        </w:rPr>
      </w:pPr>
    </w:p>
    <w:p>
      <w:pPr>
        <w:ind w:left="260" w:right="299" w:firstLine="2"/>
        <w:spacing w:after="0" w:line="275" w:lineRule="auto"/>
        <w:tabs>
          <w:tab w:leader="none" w:pos="456"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48" w:lineRule="exact"/>
        <w:rPr>
          <w:rFonts w:ascii="Times New Roman" w:cs="Times New Roman" w:eastAsia="Times New Roman" w:hAnsi="Times New Roman"/>
          <w:sz w:val="13"/>
          <w:szCs w:val="13"/>
          <w:color w:val="auto"/>
        </w:rPr>
      </w:pPr>
    </w:p>
    <w:p>
      <w:pPr>
        <w:jc w:val="both"/>
        <w:ind w:left="260" w:right="419" w:firstLine="2"/>
        <w:spacing w:after="0" w:line="318" w:lineRule="auto"/>
        <w:tabs>
          <w:tab w:leader="none" w:pos="456"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9" w:lineRule="exact"/>
        <w:rPr>
          <w:rFonts w:ascii="Times New Roman" w:cs="Times New Roman" w:eastAsia="Times New Roman" w:hAnsi="Times New Roman"/>
          <w:sz w:val="13"/>
          <w:szCs w:val="13"/>
          <w:color w:val="auto"/>
        </w:rPr>
      </w:pPr>
    </w:p>
    <w:p>
      <w:pPr>
        <w:ind w:left="260" w:right="379" w:firstLine="2"/>
        <w:spacing w:after="0" w:line="255" w:lineRule="auto"/>
        <w:tabs>
          <w:tab w:leader="none" w:pos="456"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9" w:lineRule="exact"/>
        <w:rPr>
          <w:rFonts w:ascii="Times New Roman" w:cs="Times New Roman" w:eastAsia="Times New Roman" w:hAnsi="Times New Roman"/>
          <w:sz w:val="14"/>
          <w:szCs w:val="14"/>
          <w:color w:val="auto"/>
        </w:rPr>
      </w:pPr>
    </w:p>
    <w:p>
      <w:pPr>
        <w:ind w:left="260" w:right="319" w:firstLine="2"/>
        <w:spacing w:after="0" w:line="263" w:lineRule="auto"/>
        <w:tabs>
          <w:tab w:leader="none" w:pos="456"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53" w:lineRule="exact"/>
        <w:rPr>
          <w:rFonts w:ascii="Times New Roman" w:cs="Times New Roman" w:eastAsia="Times New Roman" w:hAnsi="Times New Roman"/>
          <w:sz w:val="14"/>
          <w:szCs w:val="14"/>
          <w:color w:val="auto"/>
        </w:rPr>
      </w:pPr>
    </w:p>
    <w:p>
      <w:pPr>
        <w:ind w:left="260" w:right="299" w:firstLine="2"/>
        <w:spacing w:after="0" w:line="251" w:lineRule="auto"/>
        <w:tabs>
          <w:tab w:leader="none" w:pos="526"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46" w:lineRule="exact"/>
        <w:rPr>
          <w:sz w:val="20"/>
          <w:szCs w:val="20"/>
          <w:color w:val="auto"/>
        </w:rPr>
      </w:pPr>
    </w:p>
    <w:p>
      <w:pPr>
        <w:ind w:left="260" w:right="839"/>
        <w:spacing w:after="0" w:line="278" w:lineRule="auto"/>
        <w:rPr>
          <w:sz w:val="20"/>
          <w:szCs w:val="20"/>
          <w:color w:val="auto"/>
        </w:rPr>
      </w:pPr>
      <w:r>
        <w:rPr>
          <w:rFonts w:ascii="Times New Roman" w:cs="Times New Roman" w:eastAsia="Times New Roman" w:hAnsi="Times New Roman"/>
          <w:sz w:val="14"/>
          <w:szCs w:val="14"/>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68" w:name="page169"/>
    <w:bookmarkEnd w:id="168"/>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7.03 Trustee Not Responsible for Recitals or Issuance or Securities.</w:t>
      </w:r>
    </w:p>
    <w:p>
      <w:pPr>
        <w:spacing w:after="0" w:line="91" w:lineRule="exact"/>
        <w:rPr>
          <w:sz w:val="20"/>
          <w:szCs w:val="20"/>
          <w:color w:val="auto"/>
        </w:rPr>
      </w:pPr>
    </w:p>
    <w:p>
      <w:pPr>
        <w:ind w:left="260" w:right="319" w:firstLine="2"/>
        <w:spacing w:after="0" w:line="278" w:lineRule="auto"/>
        <w:tabs>
          <w:tab w:leader="none" w:pos="456"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88" w:lineRule="exact"/>
        <w:rPr>
          <w:rFonts w:ascii="Times New Roman" w:cs="Times New Roman" w:eastAsia="Times New Roman" w:hAnsi="Times New Roman"/>
          <w:sz w:val="14"/>
          <w:szCs w:val="14"/>
          <w:color w:val="auto"/>
        </w:rPr>
      </w:pPr>
    </w:p>
    <w:p>
      <w:pPr>
        <w:ind w:left="260" w:right="299" w:firstLine="2"/>
        <w:spacing w:after="0" w:line="263" w:lineRule="auto"/>
        <w:tabs>
          <w:tab w:leader="none" w:pos="456"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7.04 May Hold Securities.</w:t>
      </w:r>
    </w:p>
    <w:p>
      <w:pPr>
        <w:spacing w:after="0" w:line="91"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p>
    <w:p>
      <w:pPr>
        <w:spacing w:after="0" w:line="91"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p>
    <w:p>
      <w:pPr>
        <w:spacing w:after="0" w:line="91" w:lineRule="exact"/>
        <w:rPr>
          <w:sz w:val="20"/>
          <w:szCs w:val="20"/>
          <w:color w:val="auto"/>
        </w:rPr>
      </w:pPr>
    </w:p>
    <w:p>
      <w:pPr>
        <w:ind w:left="260" w:right="279" w:firstLine="2"/>
        <w:spacing w:after="0" w:line="272" w:lineRule="auto"/>
        <w:tabs>
          <w:tab w:leader="none" w:pos="454"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52" w:lineRule="exact"/>
        <w:rPr>
          <w:rFonts w:ascii="Times New Roman" w:cs="Times New Roman" w:eastAsia="Times New Roman" w:hAnsi="Times New Roman"/>
          <w:sz w:val="13"/>
          <w:szCs w:val="13"/>
          <w:color w:val="auto"/>
        </w:rPr>
      </w:pPr>
    </w:p>
    <w:p>
      <w:pPr>
        <w:ind w:left="260" w:right="419" w:firstLine="2"/>
        <w:spacing w:after="0" w:line="258" w:lineRule="auto"/>
        <w:tabs>
          <w:tab w:leader="none" w:pos="456"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56" w:lineRule="exact"/>
        <w:rPr>
          <w:rFonts w:ascii="Times New Roman" w:cs="Times New Roman" w:eastAsia="Times New Roman" w:hAnsi="Times New Roman"/>
          <w:sz w:val="14"/>
          <w:szCs w:val="14"/>
          <w:color w:val="auto"/>
        </w:rPr>
      </w:pPr>
    </w:p>
    <w:p>
      <w:pPr>
        <w:ind w:left="260" w:right="339" w:firstLine="2"/>
        <w:spacing w:after="0" w:line="255" w:lineRule="auto"/>
        <w:tabs>
          <w:tab w:leader="none" w:pos="456"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7" w:right="1440" w:bottom="1440" w:gutter="0" w:footer="0" w:header="0"/>
        </w:sectPr>
      </w:pPr>
    </w:p>
    <w:bookmarkStart w:id="169" w:name="page170"/>
    <w:bookmarkEnd w:id="169"/>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7.07 Reliance on Officer’s Certificate.</w:t>
      </w:r>
    </w:p>
    <w:p>
      <w:pPr>
        <w:spacing w:after="0" w:line="91" w:lineRule="exact"/>
        <w:rPr>
          <w:sz w:val="20"/>
          <w:szCs w:val="20"/>
          <w:color w:val="auto"/>
        </w:rPr>
      </w:pPr>
    </w:p>
    <w:p>
      <w:pPr>
        <w:ind w:left="260" w:right="359"/>
        <w:spacing w:after="0" w:line="254"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p>
    <w:p>
      <w:pPr>
        <w:spacing w:after="0" w:line="91" w:lineRule="exact"/>
        <w:rPr>
          <w:sz w:val="20"/>
          <w:szCs w:val="20"/>
          <w:color w:val="auto"/>
        </w:rPr>
      </w:pPr>
    </w:p>
    <w:p>
      <w:pPr>
        <w:ind w:left="260" w:right="759"/>
        <w:spacing w:after="0" w:line="278"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p>
    <w:p>
      <w:pPr>
        <w:spacing w:after="0" w:line="91" w:lineRule="exact"/>
        <w:rPr>
          <w:sz w:val="20"/>
          <w:szCs w:val="20"/>
          <w:color w:val="auto"/>
        </w:rPr>
      </w:pPr>
    </w:p>
    <w:p>
      <w:pPr>
        <w:ind w:left="260" w:right="339"/>
        <w:spacing w:after="0" w:line="284"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4" w:lineRule="exact"/>
        <w:rPr>
          <w:sz w:val="20"/>
          <w:szCs w:val="20"/>
          <w:color w:val="auto"/>
        </w:rPr>
      </w:pP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p>
    <w:p>
      <w:pPr>
        <w:spacing w:after="0" w:line="91" w:lineRule="exact"/>
        <w:rPr>
          <w:sz w:val="20"/>
          <w:szCs w:val="20"/>
          <w:color w:val="auto"/>
        </w:rPr>
      </w:pPr>
    </w:p>
    <w:p>
      <w:pPr>
        <w:ind w:left="260" w:right="319" w:firstLine="2"/>
        <w:spacing w:after="0" w:line="273" w:lineRule="auto"/>
        <w:tabs>
          <w:tab w:leader="none" w:pos="456"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50" w:lineRule="exact"/>
        <w:rPr>
          <w:rFonts w:ascii="Times New Roman" w:cs="Times New Roman" w:eastAsia="Times New Roman" w:hAnsi="Times New Roman"/>
          <w:sz w:val="13"/>
          <w:szCs w:val="13"/>
          <w:color w:val="auto"/>
        </w:rPr>
      </w:pPr>
    </w:p>
    <w:p>
      <w:pPr>
        <w:ind w:left="460" w:hanging="198"/>
        <w:spacing w:after="0"/>
        <w:tabs>
          <w:tab w:leader="none" w:pos="46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one of the following shall occur:</w:t>
      </w:r>
    </w:p>
    <w:p>
      <w:pPr>
        <w:spacing w:after="0" w:line="89" w:lineRule="exact"/>
        <w:rPr>
          <w:sz w:val="20"/>
          <w:szCs w:val="20"/>
          <w:color w:val="auto"/>
        </w:rPr>
      </w:pPr>
    </w:p>
    <w:p>
      <w:pPr>
        <w:ind w:left="260" w:right="399" w:firstLine="2"/>
        <w:spacing w:after="0" w:line="278" w:lineRule="auto"/>
        <w:tabs>
          <w:tab w:leader="none" w:pos="449"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7" w:right="1440" w:bottom="1440" w:gutter="0" w:footer="0" w:header="0"/>
        </w:sectPr>
      </w:pPr>
    </w:p>
    <w:bookmarkStart w:id="170" w:name="page171"/>
    <w:bookmarkEnd w:id="170"/>
    <w:p>
      <w:pPr>
        <w:ind w:left="260" w:right="519" w:firstLine="2"/>
        <w:spacing w:after="0" w:line="278" w:lineRule="auto"/>
        <w:tabs>
          <w:tab w:leader="none" w:pos="456"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cease to be eligible in accordance with the provisions of Section 7.09 and shall fail to resign after written request therefor by the Company or by any such Securityholder; or</w:t>
      </w:r>
    </w:p>
    <w:p>
      <w:pPr>
        <w:spacing w:after="0" w:line="42" w:lineRule="exact"/>
        <w:rPr>
          <w:rFonts w:ascii="Times New Roman" w:cs="Times New Roman" w:eastAsia="Times New Roman" w:hAnsi="Times New Roman"/>
          <w:sz w:val="14"/>
          <w:szCs w:val="14"/>
          <w:color w:val="auto"/>
        </w:rPr>
      </w:pPr>
    </w:p>
    <w:p>
      <w:pPr>
        <w:ind w:left="260" w:right="519" w:firstLine="2"/>
        <w:spacing w:after="0" w:line="263" w:lineRule="auto"/>
        <w:tabs>
          <w:tab w:leader="none" w:pos="449"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0" w:lineRule="exact"/>
        <w:rPr>
          <w:sz w:val="20"/>
          <w:szCs w:val="20"/>
          <w:color w:val="auto"/>
        </w:rPr>
      </w:pPr>
    </w:p>
    <w:p>
      <w:pPr>
        <w:ind w:left="260" w:right="439" w:firstLine="2"/>
        <w:spacing w:after="0" w:line="263" w:lineRule="auto"/>
        <w:tabs>
          <w:tab w:leader="none" w:pos="456"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53" w:lineRule="exact"/>
        <w:rPr>
          <w:rFonts w:ascii="Times New Roman" w:cs="Times New Roman" w:eastAsia="Times New Roman" w:hAnsi="Times New Roman"/>
          <w:sz w:val="14"/>
          <w:szCs w:val="14"/>
          <w:color w:val="auto"/>
        </w:rPr>
      </w:pPr>
    </w:p>
    <w:p>
      <w:pPr>
        <w:ind w:left="260" w:right="579" w:firstLine="2"/>
        <w:spacing w:after="0" w:line="278" w:lineRule="auto"/>
        <w:tabs>
          <w:tab w:leader="none" w:pos="456"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42" w:lineRule="exact"/>
        <w:rPr>
          <w:rFonts w:ascii="Times New Roman" w:cs="Times New Roman" w:eastAsia="Times New Roman" w:hAnsi="Times New Roman"/>
          <w:sz w:val="14"/>
          <w:szCs w:val="14"/>
          <w:color w:val="auto"/>
        </w:rPr>
      </w:pPr>
    </w:p>
    <w:p>
      <w:pPr>
        <w:ind w:left="260" w:right="419" w:firstLine="2"/>
        <w:spacing w:after="0" w:line="278" w:lineRule="auto"/>
        <w:tabs>
          <w:tab w:leader="none" w:pos="456"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7.11 Acceptance of Appointment By Successor.</w:t>
      </w:r>
    </w:p>
    <w:p>
      <w:pPr>
        <w:spacing w:after="0" w:line="91" w:lineRule="exact"/>
        <w:rPr>
          <w:sz w:val="20"/>
          <w:szCs w:val="20"/>
          <w:color w:val="auto"/>
        </w:rPr>
      </w:pPr>
    </w:p>
    <w:p>
      <w:pPr>
        <w:ind w:left="260" w:right="319" w:firstLine="2"/>
        <w:spacing w:after="0" w:line="254" w:lineRule="auto"/>
        <w:tabs>
          <w:tab w:leader="none" w:pos="456"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9" w:lineRule="exact"/>
        <w:rPr>
          <w:rFonts w:ascii="Times New Roman" w:cs="Times New Roman" w:eastAsia="Times New Roman" w:hAnsi="Times New Roman"/>
          <w:sz w:val="14"/>
          <w:szCs w:val="14"/>
          <w:color w:val="auto"/>
        </w:rPr>
      </w:pPr>
    </w:p>
    <w:p>
      <w:pPr>
        <w:ind w:left="260" w:right="279" w:firstLine="2"/>
        <w:spacing w:after="0" w:line="271" w:lineRule="auto"/>
        <w:tabs>
          <w:tab w:leader="none" w:pos="456"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71" w:name="page172"/>
    <w:bookmarkEnd w:id="171"/>
    <w:p>
      <w:pPr>
        <w:ind w:left="260" w:right="3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59" w:lineRule="exact"/>
        <w:rPr>
          <w:sz w:val="20"/>
          <w:szCs w:val="20"/>
          <w:color w:val="auto"/>
        </w:rPr>
      </w:pPr>
    </w:p>
    <w:p>
      <w:pPr>
        <w:ind w:left="260" w:right="899" w:firstLine="2"/>
        <w:spacing w:after="0" w:line="318" w:lineRule="auto"/>
        <w:tabs>
          <w:tab w:leader="none" w:pos="456"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9" w:lineRule="exact"/>
        <w:rPr>
          <w:rFonts w:ascii="Times New Roman" w:cs="Times New Roman" w:eastAsia="Times New Roman" w:hAnsi="Times New Roman"/>
          <w:sz w:val="13"/>
          <w:szCs w:val="13"/>
          <w:color w:val="auto"/>
        </w:rPr>
      </w:pPr>
    </w:p>
    <w:p>
      <w:pPr>
        <w:ind w:left="260" w:right="479" w:firstLine="2"/>
        <w:spacing w:after="0" w:line="278" w:lineRule="auto"/>
        <w:tabs>
          <w:tab w:leader="none" w:pos="45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42" w:lineRule="exact"/>
        <w:rPr>
          <w:rFonts w:ascii="Times New Roman" w:cs="Times New Roman" w:eastAsia="Times New Roman" w:hAnsi="Times New Roman"/>
          <w:sz w:val="14"/>
          <w:szCs w:val="14"/>
          <w:color w:val="auto"/>
        </w:rPr>
      </w:pPr>
    </w:p>
    <w:p>
      <w:pPr>
        <w:jc w:val="both"/>
        <w:ind w:left="260" w:right="479" w:firstLine="2"/>
        <w:spacing w:after="0" w:line="258" w:lineRule="auto"/>
        <w:tabs>
          <w:tab w:leader="none" w:pos="45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p>
    <w:p>
      <w:pPr>
        <w:spacing w:after="0" w:line="91" w:lineRule="exact"/>
        <w:rPr>
          <w:sz w:val="20"/>
          <w:szCs w:val="20"/>
          <w:color w:val="auto"/>
        </w:rPr>
      </w:pPr>
    </w:p>
    <w:p>
      <w:pPr>
        <w:ind w:left="260" w:right="279"/>
        <w:spacing w:after="0" w:line="275" w:lineRule="auto"/>
        <w:rPr>
          <w:sz w:val="20"/>
          <w:szCs w:val="20"/>
          <w:color w:val="auto"/>
        </w:rPr>
      </w:pPr>
      <w:r>
        <w:rPr>
          <w:rFonts w:ascii="Times New Roman" w:cs="Times New Roman" w:eastAsia="Times New Roman" w:hAnsi="Times New Roman"/>
          <w:sz w:val="13"/>
          <w:szCs w:val="13"/>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p>
    <w:p>
      <w:pPr>
        <w:spacing w:after="0" w:line="91" w:lineRule="exact"/>
        <w:rPr>
          <w:sz w:val="20"/>
          <w:szCs w:val="20"/>
          <w:color w:val="auto"/>
        </w:rPr>
      </w:pPr>
    </w:p>
    <w:p>
      <w:pPr>
        <w:ind w:left="260" w:right="379"/>
        <w:spacing w:after="0" w:line="318" w:lineRule="auto"/>
        <w:rPr>
          <w:sz w:val="20"/>
          <w:szCs w:val="20"/>
          <w:color w:val="auto"/>
        </w:rPr>
      </w:pPr>
      <w:r>
        <w:rPr>
          <w:rFonts w:ascii="Times New Roman" w:cs="Times New Roman" w:eastAsia="Times New Roman" w:hAnsi="Times New Roman"/>
          <w:sz w:val="13"/>
          <w:szCs w:val="13"/>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p>
    <w:p>
      <w:pPr>
        <w:spacing w:after="0" w:line="9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p>
    <w:p>
      <w:pPr>
        <w:spacing w:after="0" w:line="91" w:lineRule="exact"/>
        <w:rPr>
          <w:sz w:val="20"/>
          <w:szCs w:val="20"/>
          <w:color w:val="auto"/>
        </w:rPr>
      </w:pPr>
    </w:p>
    <w:p>
      <w:pPr>
        <w:ind w:left="260" w:right="379"/>
        <w:spacing w:after="0" w:line="255"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3" w:lineRule="exact"/>
        <w:rPr>
          <w:sz w:val="20"/>
          <w:szCs w:val="20"/>
          <w:color w:val="auto"/>
        </w:rPr>
      </w:pPr>
    </w:p>
    <w:p>
      <w:pPr>
        <w:ind w:left="260" w:right="299"/>
        <w:spacing w:after="0" w:line="251"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p>
    <w:p>
      <w:pPr>
        <w:spacing w:after="0" w:line="91"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43" w:lineRule="exact"/>
        <w:rPr>
          <w:sz w:val="20"/>
          <w:szCs w:val="20"/>
          <w:color w:val="auto"/>
        </w:rPr>
      </w:pPr>
    </w:p>
    <w:p>
      <w:pPr>
        <w:ind w:left="460" w:hanging="198"/>
        <w:spacing w:after="0"/>
        <w:tabs>
          <w:tab w:leader="none" w:pos="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88"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8.03 Who May be Deemed Owners.</w:t>
      </w:r>
    </w:p>
    <w:p>
      <w:pPr>
        <w:spacing w:after="0" w:line="91"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7" w:right="1440" w:bottom="1440" w:gutter="0" w:footer="0" w:header="0"/>
        </w:sectPr>
      </w:pPr>
    </w:p>
    <w:bookmarkStart w:id="173" w:name="page174"/>
    <w:bookmarkEnd w:id="173"/>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8.04 Certain Securities Owned by Company Disregarded.</w:t>
      </w:r>
    </w:p>
    <w:p>
      <w:pPr>
        <w:spacing w:after="0" w:line="91" w:lineRule="exact"/>
        <w:rPr>
          <w:sz w:val="20"/>
          <w:szCs w:val="20"/>
          <w:color w:val="auto"/>
        </w:rPr>
      </w:pPr>
    </w:p>
    <w:p>
      <w:pPr>
        <w:ind w:left="260" w:right="279"/>
        <w:spacing w:after="0" w:line="273" w:lineRule="auto"/>
        <w:rPr>
          <w:sz w:val="20"/>
          <w:szCs w:val="20"/>
          <w:color w:val="auto"/>
        </w:rPr>
      </w:pPr>
      <w:r>
        <w:rPr>
          <w:rFonts w:ascii="Times New Roman" w:cs="Times New Roman" w:eastAsia="Times New Roman" w:hAnsi="Times New Roman"/>
          <w:sz w:val="13"/>
          <w:szCs w:val="13"/>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p>
    <w:p>
      <w:pPr>
        <w:spacing w:after="0" w:line="91"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p>
    <w:p>
      <w:pPr>
        <w:spacing w:after="0" w:line="91" w:lineRule="exact"/>
        <w:rPr>
          <w:sz w:val="20"/>
          <w:szCs w:val="20"/>
          <w:color w:val="auto"/>
        </w:rPr>
      </w:pPr>
    </w:p>
    <w:p>
      <w:pPr>
        <w:ind w:left="260" w:right="279"/>
        <w:spacing w:after="0" w:line="263"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53" w:lineRule="exact"/>
        <w:rPr>
          <w:sz w:val="20"/>
          <w:szCs w:val="20"/>
          <w:color w:val="auto"/>
        </w:rPr>
      </w:pPr>
    </w:p>
    <w:p>
      <w:pPr>
        <w:ind w:left="460" w:hanging="198"/>
        <w:spacing w:after="0"/>
        <w:tabs>
          <w:tab w:leader="none" w:pos="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88"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Ten;</w:t>
      </w:r>
    </w:p>
    <w:p>
      <w:pPr>
        <w:spacing w:after="0" w:line="88"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88" w:lineRule="exact"/>
        <w:rPr>
          <w:rFonts w:ascii="Times New Roman" w:cs="Times New Roman" w:eastAsia="Times New Roman" w:hAnsi="Times New Roman"/>
          <w:sz w:val="14"/>
          <w:szCs w:val="14"/>
          <w:color w:val="auto"/>
        </w:rPr>
      </w:pPr>
    </w:p>
    <w:p>
      <w:pPr>
        <w:ind w:left="260" w:right="399" w:firstLine="2"/>
        <w:spacing w:after="0" w:line="255" w:lineRule="auto"/>
        <w:tabs>
          <w:tab w:leader="none" w:pos="456"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59" w:lineRule="exact"/>
        <w:rPr>
          <w:rFonts w:ascii="Times New Roman" w:cs="Times New Roman" w:eastAsia="Times New Roman" w:hAnsi="Times New Roman"/>
          <w:sz w:val="14"/>
          <w:szCs w:val="14"/>
          <w:color w:val="auto"/>
        </w:rPr>
      </w:pPr>
    </w:p>
    <w:p>
      <w:pPr>
        <w:ind w:left="260" w:right="299" w:firstLine="2"/>
        <w:spacing w:after="0" w:line="278" w:lineRule="auto"/>
        <w:tabs>
          <w:tab w:leader="none" w:pos="456"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7" w:right="1440" w:bottom="1440" w:gutter="0" w:footer="0" w:header="0"/>
        </w:sectPr>
      </w:pPr>
    </w:p>
    <w:bookmarkStart w:id="174" w:name="page175"/>
    <w:bookmarkEnd w:id="174"/>
    <w:p>
      <w:pPr>
        <w:ind w:left="260" w:right="339" w:firstLine="2"/>
        <w:spacing w:after="0" w:line="263" w:lineRule="auto"/>
        <w:tabs>
          <w:tab w:leader="none" w:pos="456"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53"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88" w:lineRule="exact"/>
        <w:rPr>
          <w:rFonts w:ascii="Times New Roman" w:cs="Times New Roman" w:eastAsia="Times New Roman" w:hAnsi="Times New Roman"/>
          <w:sz w:val="14"/>
          <w:szCs w:val="14"/>
          <w:color w:val="auto"/>
        </w:rPr>
      </w:pPr>
    </w:p>
    <w:p>
      <w:pPr>
        <w:ind w:left="260" w:right="299" w:firstLine="2"/>
        <w:spacing w:after="0" w:line="278" w:lineRule="auto"/>
        <w:tabs>
          <w:tab w:leader="none" w:pos="456"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26" w:lineRule="exact"/>
        <w:rPr>
          <w:sz w:val="20"/>
          <w:szCs w:val="20"/>
          <w:color w:val="auto"/>
        </w:rPr>
      </w:pPr>
    </w:p>
    <w:p>
      <w:pPr>
        <w:ind w:left="260" w:right="499"/>
        <w:spacing w:after="0" w:line="263"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6"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p>
    <w:p>
      <w:pPr>
        <w:spacing w:after="0" w:line="91"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8"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p>
    <w:p>
      <w:pPr>
        <w:spacing w:after="0" w:line="91"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p>
    <w:p>
      <w:pPr>
        <w:spacing w:after="0" w:line="91" w:lineRule="exact"/>
        <w:rPr>
          <w:sz w:val="20"/>
          <w:szCs w:val="20"/>
          <w:color w:val="auto"/>
        </w:rPr>
      </w:pPr>
    </w:p>
    <w:p>
      <w:pPr>
        <w:jc w:val="both"/>
        <w:ind w:left="260" w:right="319"/>
        <w:spacing w:after="0" w:line="292" w:lineRule="auto"/>
        <w:rPr>
          <w:sz w:val="20"/>
          <w:szCs w:val="20"/>
          <w:color w:val="auto"/>
        </w:rPr>
      </w:pPr>
      <w:r>
        <w:rPr>
          <w:rFonts w:ascii="Times New Roman" w:cs="Times New Roman" w:eastAsia="Times New Roman" w:hAnsi="Times New Roman"/>
          <w:sz w:val="13"/>
          <w:szCs w:val="13"/>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75" w:name="page176"/>
    <w:bookmarkEnd w:id="175"/>
    <w:p>
      <w:pPr>
        <w:ind w:left="260" w:right="4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9.05 Execution of Supplemental Indentures.</w:t>
      </w:r>
    </w:p>
    <w:p>
      <w:pPr>
        <w:spacing w:after="0" w:line="91"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32" w:lineRule="exact"/>
        <w:rPr>
          <w:sz w:val="20"/>
          <w:szCs w:val="20"/>
          <w:color w:val="auto"/>
        </w:rPr>
      </w:pPr>
    </w:p>
    <w:p>
      <w:pPr>
        <w:ind w:left="260" w:right="339"/>
        <w:spacing w:after="0" w:line="255"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91" w:lineRule="exact"/>
        <w:rPr>
          <w:sz w:val="20"/>
          <w:szCs w:val="20"/>
          <w:color w:val="auto"/>
        </w:rPr>
      </w:pPr>
    </w:p>
    <w:p>
      <w:pPr>
        <w:ind w:left="260" w:right="339"/>
        <w:spacing w:after="0" w:line="270" w:lineRule="auto"/>
        <w:rPr>
          <w:sz w:val="20"/>
          <w:szCs w:val="20"/>
          <w:color w:val="auto"/>
        </w:rPr>
      </w:pPr>
      <w:r>
        <w:rPr>
          <w:rFonts w:ascii="Times New Roman" w:cs="Times New Roman" w:eastAsia="Times New Roman" w:hAnsi="Times New Roman"/>
          <w:sz w:val="13"/>
          <w:szCs w:val="13"/>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176" w:name="page177"/>
    <w:bookmarkEnd w:id="17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10.02 Successor Entity Substituted.</w:t>
      </w:r>
    </w:p>
    <w:p>
      <w:pPr>
        <w:spacing w:after="0" w:line="91" w:lineRule="exact"/>
        <w:rPr>
          <w:sz w:val="20"/>
          <w:szCs w:val="20"/>
          <w:color w:val="auto"/>
        </w:rPr>
      </w:pPr>
    </w:p>
    <w:p>
      <w:pPr>
        <w:ind w:left="260" w:right="319" w:firstLine="2"/>
        <w:spacing w:after="0" w:line="255" w:lineRule="auto"/>
        <w:tabs>
          <w:tab w:leader="none" w:pos="456"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9" w:lineRule="exact"/>
        <w:rPr>
          <w:rFonts w:ascii="Times New Roman" w:cs="Times New Roman" w:eastAsia="Times New Roman" w:hAnsi="Times New Roman"/>
          <w:sz w:val="14"/>
          <w:szCs w:val="14"/>
          <w:color w:val="auto"/>
        </w:rPr>
      </w:pPr>
    </w:p>
    <w:p>
      <w:pPr>
        <w:ind w:left="260" w:right="839" w:firstLine="2"/>
        <w:spacing w:after="0" w:line="278" w:lineRule="auto"/>
        <w:tabs>
          <w:tab w:leader="none" w:pos="456"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42" w:lineRule="exact"/>
        <w:rPr>
          <w:rFonts w:ascii="Times New Roman" w:cs="Times New Roman" w:eastAsia="Times New Roman" w:hAnsi="Times New Roman"/>
          <w:sz w:val="14"/>
          <w:szCs w:val="14"/>
          <w:color w:val="auto"/>
        </w:rPr>
      </w:pPr>
    </w:p>
    <w:p>
      <w:pPr>
        <w:ind w:left="260" w:right="299" w:firstLine="2"/>
        <w:spacing w:after="0" w:line="263" w:lineRule="auto"/>
        <w:tabs>
          <w:tab w:leader="none" w:pos="456"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p>
    <w:p>
      <w:pPr>
        <w:spacing w:after="0" w:line="91"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p>
    <w:p>
      <w:pPr>
        <w:spacing w:after="0" w:line="91"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7" w:right="1440" w:bottom="1440" w:gutter="0" w:footer="0" w:header="0"/>
        </w:sectPr>
      </w:pPr>
    </w:p>
    <w:bookmarkStart w:id="177" w:name="page178"/>
    <w:bookmarkEnd w:id="177"/>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Thereafter, Sections 7.06 and 11.05 shall survive.</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p>
    <w:p>
      <w:pPr>
        <w:spacing w:after="0" w:line="91" w:lineRule="exact"/>
        <w:rPr>
          <w:sz w:val="20"/>
          <w:szCs w:val="20"/>
          <w:color w:val="auto"/>
        </w:rPr>
      </w:pPr>
    </w:p>
    <w:p>
      <w:pPr>
        <w:ind w:left="260" w:right="379"/>
        <w:spacing w:after="0" w:line="292" w:lineRule="auto"/>
        <w:rPr>
          <w:sz w:val="20"/>
          <w:szCs w:val="20"/>
          <w:color w:val="auto"/>
        </w:rPr>
      </w:pPr>
      <w:r>
        <w:rPr>
          <w:rFonts w:ascii="Times New Roman" w:cs="Times New Roman" w:eastAsia="Times New Roman" w:hAnsi="Times New Roman"/>
          <w:sz w:val="13"/>
          <w:szCs w:val="13"/>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p>
    <w:p>
      <w:pPr>
        <w:spacing w:after="0" w:line="91" w:lineRule="exact"/>
        <w:rPr>
          <w:sz w:val="20"/>
          <w:szCs w:val="20"/>
          <w:color w:val="auto"/>
        </w:rPr>
      </w:pPr>
    </w:p>
    <w:p>
      <w:pPr>
        <w:ind w:left="260" w:right="539"/>
        <w:spacing w:after="0" w:line="263"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11.05 Repayment to Company.</w:t>
      </w:r>
    </w:p>
    <w:p>
      <w:pPr>
        <w:spacing w:after="0" w:line="91" w:lineRule="exact"/>
        <w:rPr>
          <w:sz w:val="20"/>
          <w:szCs w:val="20"/>
          <w:color w:val="auto"/>
        </w:rPr>
      </w:pPr>
    </w:p>
    <w:p>
      <w:pPr>
        <w:ind w:left="260" w:right="379"/>
        <w:spacing w:after="0" w:line="275"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12.01 No Recourse.</w:t>
      </w:r>
    </w:p>
    <w:p>
      <w:pPr>
        <w:spacing w:after="0" w:line="91"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13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p>
    <w:p>
      <w:pPr>
        <w:spacing w:after="0" w:line="91"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p>
    <w:p>
      <w:pPr>
        <w:spacing w:after="0" w:line="91"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p>
    <w:p>
      <w:pPr>
        <w:spacing w:after="0" w:line="91" w:lineRule="exact"/>
        <w:rPr>
          <w:sz w:val="20"/>
          <w:szCs w:val="20"/>
          <w:color w:val="auto"/>
        </w:rPr>
      </w:pPr>
    </w:p>
    <w:p>
      <w:pPr>
        <w:ind w:left="260" w:right="539"/>
        <w:spacing w:after="0" w:line="318"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13.04 Notices.</w:t>
      </w:r>
    </w:p>
    <w:p>
      <w:pPr>
        <w:spacing w:after="0" w:line="91"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13.05 Governing Law.</w:t>
      </w:r>
    </w:p>
    <w:p>
      <w:pPr>
        <w:spacing w:after="0" w:line="91" w:lineRule="exact"/>
        <w:rPr>
          <w:sz w:val="20"/>
          <w:szCs w:val="20"/>
          <w:color w:val="auto"/>
        </w:rPr>
      </w:pPr>
    </w:p>
    <w:p>
      <w:pPr>
        <w:ind w:left="260" w:right="439"/>
        <w:spacing w:after="0" w:line="278" w:lineRule="auto"/>
        <w:rPr>
          <w:sz w:val="20"/>
          <w:szCs w:val="20"/>
          <w:color w:val="auto"/>
        </w:rPr>
      </w:pPr>
      <w:r>
        <w:rPr>
          <w:rFonts w:ascii="Times New Roman" w:cs="Times New Roman" w:eastAsia="Times New Roman" w:hAnsi="Times New Roman"/>
          <w:sz w:val="14"/>
          <w:szCs w:val="14"/>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13.06 Treatment of Securities as Debt.</w:t>
      </w:r>
    </w:p>
    <w:p>
      <w:pPr>
        <w:spacing w:after="0" w:line="9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p>
    <w:p>
      <w:pPr>
        <w:spacing w:after="0" w:line="91" w:lineRule="exact"/>
        <w:rPr>
          <w:sz w:val="20"/>
          <w:szCs w:val="20"/>
          <w:color w:val="auto"/>
        </w:rPr>
      </w:pPr>
    </w:p>
    <w:p>
      <w:pPr>
        <w:ind w:left="260" w:right="299" w:firstLine="2"/>
        <w:spacing w:after="0" w:line="254" w:lineRule="auto"/>
        <w:tabs>
          <w:tab w:leader="none" w:pos="456"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7" w:right="1440" w:bottom="1440" w:gutter="0" w:footer="0" w:header="0"/>
        </w:sectPr>
      </w:pPr>
    </w:p>
    <w:bookmarkStart w:id="179" w:name="page180"/>
    <w:bookmarkEnd w:id="179"/>
    <w:p>
      <w:pPr>
        <w:ind w:left="260" w:right="319" w:firstLine="2"/>
        <w:spacing w:after="0" w:line="254" w:lineRule="auto"/>
        <w:tabs>
          <w:tab w:leader="none" w:pos="456"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p>
    <w:p>
      <w:pPr>
        <w:spacing w:after="0" w:line="91"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13.09 Conflict with Trust Indenture Act.</w:t>
      </w:r>
    </w:p>
    <w:p>
      <w:pPr>
        <w:spacing w:after="0" w:line="91"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13.10 Counterparts.</w:t>
      </w:r>
    </w:p>
    <w:p>
      <w:pPr>
        <w:spacing w:after="0" w:line="91" w:lineRule="exact"/>
        <w:rPr>
          <w:sz w:val="20"/>
          <w:szCs w:val="20"/>
          <w:color w:val="auto"/>
        </w:rPr>
      </w:pPr>
    </w:p>
    <w:p>
      <w:pPr>
        <w:ind w:left="260" w:right="279"/>
        <w:spacing w:after="0" w:line="278"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13.11 Separability.</w:t>
      </w:r>
    </w:p>
    <w:p>
      <w:pPr>
        <w:spacing w:after="0" w:line="91"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p>
    <w:p>
      <w:pPr>
        <w:spacing w:after="0" w:line="9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14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SUBORDINATION OF SECURITIES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Section 14.01 Subordination Terms.</w:t>
      </w:r>
    </w:p>
    <w:p>
      <w:pPr>
        <w:spacing w:after="0" w:line="91" w:lineRule="exact"/>
        <w:rPr>
          <w:sz w:val="20"/>
          <w:szCs w:val="20"/>
          <w:color w:val="auto"/>
        </w:rPr>
      </w:pPr>
    </w:p>
    <w:p>
      <w:pPr>
        <w:ind w:left="260" w:right="359"/>
        <w:spacing w:after="0" w:line="278" w:lineRule="auto"/>
        <w:rPr>
          <w:sz w:val="20"/>
          <w:szCs w:val="20"/>
          <w:color w:val="auto"/>
        </w:rPr>
      </w:pPr>
      <w:r>
        <w:rPr>
          <w:rFonts w:ascii="Times New Roman" w:cs="Times New Roman" w:eastAsia="Times New Roman" w:hAnsi="Times New Roman"/>
          <w:sz w:val="14"/>
          <w:szCs w:val="14"/>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7" w:right="1440" w:bottom="1440" w:gutter="0" w:footer="0" w:header="0"/>
        </w:sectPr>
      </w:pPr>
    </w:p>
    <w:bookmarkStart w:id="181" w:name="page182"/>
    <w:bookmarkEnd w:id="181"/>
    <w:p>
      <w:pPr>
        <w:ind w:left="2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Indenture to be duly executed all as of the day and year first above written.</w:t>
      </w:r>
    </w:p>
    <w:p>
      <w:pPr>
        <w:spacing w:after="0" w:line="2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TANGO THERAPEUTICS,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[TRUSTEE], as Trustee</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12700</wp:posOffset>
            </wp:positionV>
            <wp:extent cx="186880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1868805" cy="635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7" w:right="1440" w:bottom="1440" w:gutter="0" w:footer="0" w:header="0"/>
        </w:sectPr>
      </w:pPr>
    </w:p>
    <w:bookmarkStart w:id="182" w:name="page183"/>
    <w:bookmarkEnd w:id="182"/>
    <w:tbl>
      <w:tblPr>
        <w:tblLayout w:type="fixed"/>
        <w:tblInd w:w="260" w:type="dxa"/>
        <w:tblCellMar>
          <w:top w:w="0" w:type="dxa"/>
          <w:left w:w="0" w:type="dxa"/>
          <w:bottom w:w="0" w:type="dxa"/>
          <w:right w:w="0" w:type="dxa"/>
        </w:tblCellMar>
      </w:tblPr>
      <w:tr>
        <w:trPr>
          <w:trHeight w:val="279"/>
        </w:trPr>
        <w:tc>
          <w:tcPr>
            <w:tcW w:w="2460" w:type="dxa"/>
            <w:vAlign w:val="bottom"/>
          </w:tcPr>
          <w:p>
            <w:pPr>
              <w:spacing w:after="0"/>
              <w:rPr>
                <w:sz w:val="24"/>
                <w:szCs w:val="24"/>
                <w:color w:val="auto"/>
              </w:rPr>
            </w:pPr>
          </w:p>
        </w:tc>
        <w:tc>
          <w:tcPr>
            <w:tcW w:w="60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CROSS-REFERENCE TABLE</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186"/>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Section of Trust Indenture Act of 1939, as Amended</w:t>
            </w:r>
          </w:p>
        </w:tc>
        <w:tc>
          <w:tcPr>
            <w:tcW w:w="5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Section of</w:t>
            </w:r>
          </w:p>
        </w:tc>
        <w:tc>
          <w:tcPr>
            <w:tcW w:w="0" w:type="dxa"/>
            <w:vAlign w:val="bottom"/>
          </w:tcPr>
          <w:p>
            <w:pPr>
              <w:spacing w:after="0"/>
              <w:rPr>
                <w:sz w:val="1"/>
                <w:szCs w:val="1"/>
                <w:color w:val="auto"/>
              </w:rPr>
            </w:pPr>
          </w:p>
        </w:tc>
      </w:tr>
      <w:tr>
        <w:trPr>
          <w:trHeight w:val="143"/>
        </w:trPr>
        <w:tc>
          <w:tcPr>
            <w:tcW w:w="2460" w:type="dxa"/>
            <w:vAlign w:val="bottom"/>
            <w:tcBorders>
              <w:bottom w:val="single" w:sz="8" w:color="auto"/>
            </w:tcBorders>
            <w:vMerge w:val="continue"/>
          </w:tcPr>
          <w:p>
            <w:pPr>
              <w:spacing w:after="0"/>
              <w:rPr>
                <w:sz w:val="12"/>
                <w:szCs w:val="12"/>
                <w:color w:val="auto"/>
              </w:rPr>
            </w:pPr>
          </w:p>
        </w:tc>
        <w:tc>
          <w:tcPr>
            <w:tcW w:w="5340" w:type="dxa"/>
            <w:vAlign w:val="bottom"/>
          </w:tcPr>
          <w:p>
            <w:pPr>
              <w:spacing w:after="0"/>
              <w:rPr>
                <w:sz w:val="12"/>
                <w:szCs w:val="12"/>
                <w:color w:val="auto"/>
              </w:rPr>
            </w:pPr>
          </w:p>
        </w:tc>
        <w:tc>
          <w:tcPr>
            <w:tcW w:w="7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Indenture</w:t>
            </w:r>
          </w:p>
        </w:tc>
        <w:tc>
          <w:tcPr>
            <w:tcW w:w="0" w:type="dxa"/>
            <w:vAlign w:val="bottom"/>
          </w:tcPr>
          <w:p>
            <w:pPr>
              <w:spacing w:after="0"/>
              <w:rPr>
                <w:sz w:val="1"/>
                <w:szCs w:val="1"/>
                <w:color w:val="auto"/>
              </w:rPr>
            </w:pPr>
          </w:p>
        </w:tc>
      </w:tr>
      <w:tr>
        <w:trPr>
          <w:trHeight w:val="147"/>
        </w:trPr>
        <w:tc>
          <w:tcPr>
            <w:tcW w:w="24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310(a)</w:t>
            </w:r>
          </w:p>
        </w:tc>
        <w:tc>
          <w:tcPr>
            <w:tcW w:w="53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6040" w:type="dxa"/>
            <w:vAlign w:val="bottom"/>
            <w:gridSpan w:val="2"/>
          </w:tcPr>
          <w:p>
            <w:pPr>
              <w:jc w:val="center"/>
              <w:ind w:left="52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311(a)</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311(c)</w:t>
            </w:r>
          </w:p>
        </w:tc>
        <w:tc>
          <w:tcPr>
            <w:tcW w:w="6040" w:type="dxa"/>
            <w:vAlign w:val="bottom"/>
            <w:gridSpan w:val="2"/>
            <w:shd w:val="clear" w:color="auto" w:fill="CCEEFF"/>
          </w:tcPr>
          <w:p>
            <w:pPr>
              <w:jc w:val="center"/>
              <w:ind w:left="52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5.02(3)</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312(c)</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5.02(3)</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313(b)</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5.04(3)</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314(a)</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314(b)</w:t>
            </w:r>
          </w:p>
        </w:tc>
        <w:tc>
          <w:tcPr>
            <w:tcW w:w="6040" w:type="dxa"/>
            <w:vAlign w:val="bottom"/>
            <w:gridSpan w:val="2"/>
            <w:shd w:val="clear" w:color="auto" w:fill="CCEEFF"/>
          </w:tcPr>
          <w:p>
            <w:pPr>
              <w:jc w:val="center"/>
              <w:ind w:left="52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314(d)</w:t>
            </w:r>
          </w:p>
        </w:tc>
        <w:tc>
          <w:tcPr>
            <w:tcW w:w="6040" w:type="dxa"/>
            <w:vAlign w:val="bottom"/>
            <w:gridSpan w:val="2"/>
            <w:shd w:val="clear" w:color="auto" w:fill="CCEEFF"/>
          </w:tcPr>
          <w:p>
            <w:pPr>
              <w:jc w:val="center"/>
              <w:ind w:left="52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13.07(2)</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314(f)</w:t>
            </w:r>
          </w:p>
        </w:tc>
        <w:tc>
          <w:tcPr>
            <w:tcW w:w="6040" w:type="dxa"/>
            <w:vAlign w:val="bottom"/>
            <w:gridSpan w:val="2"/>
            <w:shd w:val="clear" w:color="auto" w:fill="CCEEFF"/>
          </w:tcPr>
          <w:p>
            <w:pPr>
              <w:jc w:val="center"/>
              <w:ind w:left="5251"/>
              <w:spacing w:after="0"/>
              <w:rPr>
                <w:sz w:val="20"/>
                <w:szCs w:val="20"/>
                <w:color w:val="auto"/>
              </w:rPr>
            </w:pPr>
            <w:r>
              <w:rPr>
                <w:rFonts w:ascii="Times New Roman" w:cs="Times New Roman" w:eastAsia="Times New Roman" w:hAnsi="Times New Roman"/>
                <w:sz w:val="14"/>
                <w:szCs w:val="14"/>
                <w:color w:val="auto"/>
                <w:w w:val="98"/>
              </w:rPr>
              <w:t>Inapplicable</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7.01(1)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315(c)</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315(e)</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316(c)</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317(b)</w:t>
            </w:r>
          </w:p>
        </w:tc>
        <w:tc>
          <w:tcPr>
            <w:tcW w:w="6040" w:type="dxa"/>
            <w:vAlign w:val="bottom"/>
            <w:gridSpan w:val="2"/>
            <w:shd w:val="clear" w:color="auto" w:fill="CCEEFF"/>
          </w:tcPr>
          <w:p>
            <w:pPr>
              <w:ind w:left="534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6040" w:type="dxa"/>
            <w:vAlign w:val="bottom"/>
            <w:gridSpan w:val="2"/>
          </w:tcPr>
          <w:p>
            <w:pPr>
              <w:ind w:left="5340"/>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ind w:left="600" w:right="559" w:hanging="338"/>
        <w:spacing w:after="0" w:line="207" w:lineRule="auto"/>
        <w:tabs>
          <w:tab w:leader="none" w:pos="600" w:val="left"/>
        </w:tabs>
        <w:numPr>
          <w:ilvl w:val="0"/>
          <w:numId w:val="2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7" w:right="1440" w:bottom="1440" w:gutter="0" w:footer="0" w:header="0"/>
        </w:sectPr>
      </w:pPr>
    </w:p>
    <w:bookmarkStart w:id="183" w:name="page184"/>
    <w:bookmarkEnd w:id="183"/>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Tango Therapeutics,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201 Brookline Ave., Suite 901</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Boston, MA 02215</w:t>
      </w:r>
    </w:p>
    <w:p>
      <w:pPr>
        <w:spacing w:after="0" w:line="177" w:lineRule="exact"/>
        <w:rPr>
          <w:sz w:val="20"/>
          <w:szCs w:val="20"/>
          <w:color w:val="auto"/>
        </w:rPr>
      </w:pPr>
    </w:p>
    <w:p>
      <w:pPr>
        <w:ind w:left="260"/>
        <w:spacing w:after="0"/>
        <w:tabs>
          <w:tab w:leader="none" w:pos="5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Securities Being Registered under Registration Statement on Form S-3ASR</w:t>
      </w:r>
    </w:p>
    <w:p>
      <w:pPr>
        <w:spacing w:after="0" w:line="172" w:lineRule="exact"/>
        <w:rPr>
          <w:sz w:val="20"/>
          <w:szCs w:val="20"/>
          <w:color w:val="auto"/>
        </w:rPr>
      </w:pPr>
    </w:p>
    <w:p>
      <w:pPr>
        <w:ind w:left="260" w:right="299"/>
        <w:spacing w:after="0" w:line="275" w:lineRule="auto"/>
        <w:rPr>
          <w:sz w:val="20"/>
          <w:szCs w:val="20"/>
          <w:color w:val="auto"/>
        </w:rPr>
      </w:pPr>
      <w:r>
        <w:rPr>
          <w:rFonts w:ascii="Times New Roman" w:cs="Times New Roman" w:eastAsia="Times New Roman" w:hAnsi="Times New Roman"/>
          <w:sz w:val="13"/>
          <w:szCs w:val="13"/>
          <w:color w:val="auto"/>
        </w:rPr>
        <w:t>We have acted as counsel to you in connection with your filing of a Registration Statement on Form S-3ASR (as amended or supplemented, the “Registration Statement”) pursuant to the Securities Act of 1933, as amended (the “Securities Act”), relating to the offering by Tango Therapeutics, Inc., a Delaware corporation (the “Company”), of any combination of (i) the Company’s common stock, par value $0.001 per share (“Common Stock”),</w:t>
      </w:r>
    </w:p>
    <w:p>
      <w:pPr>
        <w:ind w:left="260" w:right="339" w:firstLine="2"/>
        <w:spacing w:after="0" w:line="249" w:lineRule="auto"/>
        <w:tabs>
          <w:tab w:leader="none" w:pos="464"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preferred stock, par value $0.001 per share (“Preferred Stock”), (iii) the Company’s debt securities (“Debt Securities”), (iv) warrants to purchase Common Stock, Preferred Stock, or Debt Securities (“Warrants”), and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47" w:lineRule="exact"/>
        <w:rPr>
          <w:sz w:val="20"/>
          <w:szCs w:val="20"/>
          <w:color w:val="auto"/>
        </w:rPr>
      </w:pPr>
    </w:p>
    <w:p>
      <w:pPr>
        <w:ind w:left="260" w:right="539"/>
        <w:spacing w:after="0" w:line="263"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opinions set forth below are limited to the Delaware General Corporation Law and the law of New York.</w:t>
      </w:r>
    </w:p>
    <w:p>
      <w:pPr>
        <w:spacing w:after="0" w:line="172" w:lineRule="exact"/>
        <w:rPr>
          <w:sz w:val="20"/>
          <w:szCs w:val="20"/>
          <w:color w:val="auto"/>
        </w:rPr>
      </w:pPr>
    </w:p>
    <w:p>
      <w:pPr>
        <w:ind w:left="260" w:right="319"/>
        <w:spacing w:after="0" w:line="275" w:lineRule="auto"/>
        <w:rPr>
          <w:sz w:val="20"/>
          <w:szCs w:val="20"/>
          <w:color w:val="auto"/>
        </w:rPr>
      </w:pPr>
      <w:r>
        <w:rPr>
          <w:rFonts w:ascii="Times New Roman" w:cs="Times New Roman" w:eastAsia="Times New Roman" w:hAnsi="Times New Roman"/>
          <w:sz w:val="13"/>
          <w:szCs w:val="13"/>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9019"/>
          </w:cols>
          <w:pgMar w:left="1440" w:top="123" w:right="1440" w:bottom="1440" w:gutter="0" w:footer="0" w:header="0"/>
        </w:sectPr>
      </w:pPr>
    </w:p>
    <w:bookmarkStart w:id="184" w:name="page185"/>
    <w:bookmarkEnd w:id="18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Tango Therapeutics,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2</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the opinions set forth below, we refer to the following as the “Future Approval and Issuance” of Securities:</w:t>
      </w:r>
    </w:p>
    <w:p>
      <w:pPr>
        <w:spacing w:after="0" w:line="99" w:lineRule="exact"/>
        <w:rPr>
          <w:sz w:val="20"/>
          <w:szCs w:val="20"/>
          <w:color w:val="auto"/>
        </w:rPr>
      </w:pPr>
    </w:p>
    <w:p>
      <w:pPr>
        <w:ind w:left="1020" w:right="299" w:hanging="342"/>
        <w:spacing w:after="0" w:line="258" w:lineRule="auto"/>
        <w:tabs>
          <w:tab w:leader="none" w:pos="10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66" w:lineRule="exact"/>
        <w:rPr>
          <w:rFonts w:ascii="Times New Roman" w:cs="Times New Roman" w:eastAsia="Times New Roman" w:hAnsi="Times New Roman"/>
          <w:sz w:val="14"/>
          <w:szCs w:val="14"/>
          <w:color w:val="auto"/>
        </w:rPr>
      </w:pPr>
    </w:p>
    <w:p>
      <w:pPr>
        <w:ind w:left="1020" w:right="339" w:hanging="342"/>
        <w:spacing w:after="0" w:line="292" w:lineRule="auto"/>
        <w:tabs>
          <w:tab w:leader="none" w:pos="102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47" w:lineRule="exact"/>
        <w:rPr>
          <w:rFonts w:ascii="Times New Roman" w:cs="Times New Roman" w:eastAsia="Times New Roman" w:hAnsi="Times New Roman"/>
          <w:sz w:val="13"/>
          <w:szCs w:val="13"/>
          <w:color w:val="auto"/>
        </w:rPr>
      </w:pPr>
    </w:p>
    <w:p>
      <w:pPr>
        <w:ind w:left="1020" w:right="339" w:hanging="342"/>
        <w:spacing w:after="0" w:line="258" w:lineRule="auto"/>
        <w:tabs>
          <w:tab w:leader="none" w:pos="10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66" w:lineRule="exact"/>
        <w:rPr>
          <w:rFonts w:ascii="Times New Roman" w:cs="Times New Roman" w:eastAsia="Times New Roman" w:hAnsi="Times New Roman"/>
          <w:sz w:val="14"/>
          <w:szCs w:val="14"/>
          <w:color w:val="auto"/>
        </w:rPr>
      </w:pPr>
    </w:p>
    <w:p>
      <w:pPr>
        <w:ind w:left="1020" w:right="339" w:hanging="342"/>
        <w:spacing w:after="0" w:line="263" w:lineRule="auto"/>
        <w:tabs>
          <w:tab w:leader="none" w:pos="10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upon the foregoing, and subject to the additional qualifications set forth below, we are of the opinion that:</w:t>
      </w:r>
    </w:p>
    <w:p>
      <w:pPr>
        <w:spacing w:after="0" w:line="89" w:lineRule="exact"/>
        <w:rPr>
          <w:sz w:val="20"/>
          <w:szCs w:val="20"/>
          <w:color w:val="auto"/>
        </w:rPr>
      </w:pPr>
    </w:p>
    <w:p>
      <w:pPr>
        <w:ind w:left="260" w:right="679" w:firstLine="341"/>
        <w:spacing w:after="0" w:line="278" w:lineRule="auto"/>
        <w:tabs>
          <w:tab w:leader="none" w:pos="738"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Common Stock, such shares of Common Stock will be validly issued, fully paid and nonassessable.</w:t>
      </w:r>
    </w:p>
    <w:p>
      <w:pPr>
        <w:spacing w:after="0" w:line="126" w:lineRule="exact"/>
        <w:rPr>
          <w:rFonts w:ascii="Times New Roman" w:cs="Times New Roman" w:eastAsia="Times New Roman" w:hAnsi="Times New Roman"/>
          <w:sz w:val="14"/>
          <w:szCs w:val="14"/>
          <w:color w:val="auto"/>
        </w:rPr>
      </w:pPr>
    </w:p>
    <w:p>
      <w:pPr>
        <w:ind w:left="260" w:right="679" w:firstLine="341"/>
        <w:spacing w:after="0" w:line="278" w:lineRule="auto"/>
        <w:tabs>
          <w:tab w:leader="none" w:pos="738"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Preferred Stock, such shares of Preferred Stock will be validly issued, fully paid and nonassessable.</w:t>
      </w:r>
    </w:p>
    <w:p>
      <w:pPr>
        <w:spacing w:after="0" w:line="126" w:lineRule="exact"/>
        <w:rPr>
          <w:rFonts w:ascii="Times New Roman" w:cs="Times New Roman" w:eastAsia="Times New Roman" w:hAnsi="Times New Roman"/>
          <w:sz w:val="14"/>
          <w:szCs w:val="14"/>
          <w:color w:val="auto"/>
        </w:rPr>
      </w:pPr>
    </w:p>
    <w:p>
      <w:pPr>
        <w:ind w:left="740" w:hanging="139"/>
        <w:spacing w:after="0"/>
        <w:tabs>
          <w:tab w:leader="none" w:pos="7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Debt Securities, such Debt Securities will be valid and binding obligations of the Company.</w:t>
      </w:r>
    </w:p>
    <w:p>
      <w:pPr>
        <w:sectPr>
          <w:pgSz w:w="11900" w:h="16838" w:orient="portrait"/>
          <w:cols w:equalWidth="0" w:num="1">
            <w:col w:w="9019"/>
          </w:cols>
          <w:pgMar w:left="1440" w:top="239" w:right="1440" w:bottom="1440" w:gutter="0" w:footer="0" w:header="0"/>
        </w:sectPr>
      </w:pPr>
    </w:p>
    <w:bookmarkStart w:id="185" w:name="page186"/>
    <w:bookmarkEnd w:id="185"/>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Tango Therapeutics,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3</w:t>
      </w:r>
    </w:p>
    <w:p>
      <w:pPr>
        <w:spacing w:after="0" w:line="105" w:lineRule="exact"/>
        <w:rPr>
          <w:sz w:val="20"/>
          <w:szCs w:val="20"/>
          <w:color w:val="auto"/>
        </w:rPr>
      </w:pPr>
    </w:p>
    <w:p>
      <w:pPr>
        <w:ind w:left="740" w:hanging="139"/>
        <w:spacing w:after="0"/>
        <w:tabs>
          <w:tab w:leader="none" w:pos="7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Warrants, such Warrants will be valid and binding obligations of the Company.</w:t>
      </w:r>
    </w:p>
    <w:p>
      <w:pPr>
        <w:spacing w:after="0" w:line="171" w:lineRule="exact"/>
        <w:rPr>
          <w:rFonts w:ascii="Times New Roman" w:cs="Times New Roman" w:eastAsia="Times New Roman" w:hAnsi="Times New Roman"/>
          <w:sz w:val="14"/>
          <w:szCs w:val="14"/>
          <w:color w:val="auto"/>
        </w:rPr>
      </w:pPr>
    </w:p>
    <w:p>
      <w:pPr>
        <w:ind w:left="740" w:hanging="139"/>
        <w:spacing w:after="0"/>
        <w:tabs>
          <w:tab w:leader="none" w:pos="7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Units, such Units will be valid and binding obligations of the Company.</w:t>
      </w:r>
    </w:p>
    <w:p>
      <w:pPr>
        <w:spacing w:after="0" w:line="172"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24"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 Lawyer</w:t>
      </w:r>
      <w:r>
        <w:rPr>
          <w:rFonts w:ascii="Times New Roman" w:cs="Times New Roman" w:eastAsia="Times New Roman" w:hAnsi="Times New Roman"/>
          <w:sz w:val="14"/>
          <w:szCs w:val="14"/>
          <w:color w:val="auto"/>
        </w:rPr>
        <w:t xml:space="preserve"> 815 (Summer 2019).</w:t>
      </w:r>
    </w:p>
    <w:p>
      <w:pPr>
        <w:spacing w:after="0" w:line="124"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239" w:right="1440" w:bottom="1440" w:gutter="0" w:footer="0" w:header="0"/>
        </w:sectPr>
      </w:pPr>
    </w:p>
    <w:bookmarkStart w:id="186" w:name="page187"/>
    <w:bookmarkEnd w:id="186"/>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9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Tango Therapeutics,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201 Brookline Ave., Suite 901</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Boston, MA 02215</w:t>
      </w:r>
    </w:p>
    <w:p>
      <w:pPr>
        <w:spacing w:after="0" w:line="17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Securities Registered under Registration Statement on Form S-3ASR</w:t>
      </w:r>
    </w:p>
    <w:p>
      <w:pPr>
        <w:spacing w:after="0" w:line="172" w:lineRule="exact"/>
        <w:rPr>
          <w:sz w:val="20"/>
          <w:szCs w:val="20"/>
          <w:color w:val="auto"/>
        </w:rPr>
      </w:pPr>
    </w:p>
    <w:p>
      <w:pPr>
        <w:ind w:left="260" w:right="279" w:firstLine="339"/>
        <w:spacing w:after="0" w:line="251" w:lineRule="auto"/>
        <w:rPr>
          <w:sz w:val="20"/>
          <w:szCs w:val="20"/>
          <w:color w:val="auto"/>
        </w:rPr>
      </w:pPr>
      <w:r>
        <w:rPr>
          <w:rFonts w:ascii="Times New Roman" w:cs="Times New Roman" w:eastAsia="Times New Roman" w:hAnsi="Times New Roman"/>
          <w:sz w:val="14"/>
          <w:szCs w:val="14"/>
          <w:color w:val="auto"/>
        </w:rPr>
        <w:t>We have acted as counsel to you in connection with your filing of a Registration Statement on Form S-3ASR (as amended or supplemented, the “Registration Statement”) filed on November 21, 2025 with the Securities and Exchange Commission (the “Commission”) pursuant to the Securities Act of 1933, as amended (the “Securities Act”), relating to the registration of the offering by Tango Therapeutics, Inc., a Delaware corporation (the “Company”) of an unspecified amount of any combination of securities of the types specified therein. Reference is made to our opinion letter dated November 21, 2025 and included as Exhibit 5.1 to the Registration Statement. We are delivering this supplemental opinion letter in connection with the sale agreement prospectus supplement (the “Prospectus Supplement”) included in the Registration Statement. The Prospectus Supplement relates to the offering by the Company of up to $100,000,000 in shares (the “Shares”) of the Company’s common stock, par value $0.001 per share (“Common Stock”) covered by the Registration Statement. The Shares are being offered and sold by the sales agent named in, and pursuant to, a sales agreement among the Company and such sales agent.</w:t>
      </w:r>
    </w:p>
    <w:p>
      <w:pPr>
        <w:spacing w:after="0" w:line="148" w:lineRule="exact"/>
        <w:rPr>
          <w:sz w:val="20"/>
          <w:szCs w:val="20"/>
          <w:color w:val="auto"/>
        </w:rPr>
      </w:pPr>
    </w:p>
    <w:p>
      <w:pPr>
        <w:ind w:left="260" w:right="559" w:firstLine="339"/>
        <w:spacing w:after="0" w:line="263"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36" w:lineRule="exact"/>
        <w:rPr>
          <w:sz w:val="20"/>
          <w:szCs w:val="20"/>
          <w:color w:val="auto"/>
        </w:rPr>
      </w:pPr>
    </w:p>
    <w:p>
      <w:pPr>
        <w:ind w:left="260" w:right="319" w:firstLine="339"/>
        <w:spacing w:after="0" w:line="258" w:lineRule="auto"/>
        <w:rPr>
          <w:sz w:val="20"/>
          <w:szCs w:val="20"/>
          <w:color w:val="auto"/>
        </w:rPr>
      </w:pPr>
      <w:r>
        <w:rPr>
          <w:rFonts w:ascii="Times New Roman" w:cs="Times New Roman" w:eastAsia="Times New Roman" w:hAnsi="Times New Roman"/>
          <w:sz w:val="14"/>
          <w:szCs w:val="14"/>
          <w:color w:val="auto"/>
        </w:rPr>
        <w:t>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40" w:lineRule="exact"/>
        <w:rPr>
          <w:sz w:val="20"/>
          <w:szCs w:val="20"/>
          <w:color w:val="auto"/>
        </w:rPr>
      </w:pPr>
    </w:p>
    <w:p>
      <w:pPr>
        <w:ind w:left="260" w:right="359" w:firstLine="339"/>
        <w:spacing w:after="0" w:line="258" w:lineRule="auto"/>
        <w:rPr>
          <w:sz w:val="20"/>
          <w:szCs w:val="20"/>
          <w:color w:val="auto"/>
        </w:rPr>
      </w:pPr>
      <w:r>
        <w:rPr>
          <w:rFonts w:ascii="Times New Roman" w:cs="Times New Roman" w:eastAsia="Times New Roman" w:hAnsi="Times New Roman"/>
          <w:sz w:val="14"/>
          <w:szCs w:val="14"/>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ectPr>
          <w:pgSz w:w="11900" w:h="16838" w:orient="portrait"/>
          <w:cols w:equalWidth="0" w:num="1">
            <w:col w:w="9019"/>
          </w:cols>
          <w:pgMar w:left="1440" w:top="123" w:right="1440" w:bottom="1440" w:gutter="0" w:footer="0" w:header="0"/>
        </w:sectPr>
      </w:pPr>
    </w:p>
    <w:bookmarkStart w:id="187" w:name="page188"/>
    <w:bookmarkEnd w:id="187"/>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Tango Therapeutics,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November 21,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2</w:t>
      </w:r>
    </w:p>
    <w:p>
      <w:pPr>
        <w:spacing w:after="0" w:line="1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opinion set forth below is limited to the Delaware General Corporation Law.</w:t>
      </w:r>
    </w:p>
    <w:p>
      <w:pPr>
        <w:spacing w:after="0" w:line="172" w:lineRule="exact"/>
        <w:rPr>
          <w:sz w:val="20"/>
          <w:szCs w:val="20"/>
          <w:color w:val="auto"/>
        </w:rPr>
      </w:pPr>
    </w:p>
    <w:p>
      <w:pPr>
        <w:ind w:left="260" w:right="379" w:firstLine="339"/>
        <w:spacing w:after="0" w:line="278" w:lineRule="auto"/>
        <w:rPr>
          <w:sz w:val="20"/>
          <w:szCs w:val="20"/>
          <w:color w:val="auto"/>
        </w:rPr>
      </w:pPr>
      <w:r>
        <w:rPr>
          <w:rFonts w:ascii="Times New Roman" w:cs="Times New Roman" w:eastAsia="Times New Roman" w:hAnsi="Times New Roman"/>
          <w:sz w:val="14"/>
          <w:szCs w:val="14"/>
          <w:color w:val="auto"/>
        </w:rPr>
        <w:t>Based on the foregoing, we are of the opinion that the Shares have been duly authorized and, upon Future Approval and Issuance, will be validly issued, fully paid and nonassessable.</w:t>
      </w:r>
    </w:p>
    <w:p>
      <w:pPr>
        <w:spacing w:after="0" w:line="124" w:lineRule="exact"/>
        <w:rPr>
          <w:sz w:val="20"/>
          <w:szCs w:val="20"/>
          <w:color w:val="auto"/>
        </w:rPr>
      </w:pPr>
    </w:p>
    <w:p>
      <w:pPr>
        <w:ind w:left="260" w:right="519" w:firstLine="339"/>
        <w:spacing w:after="0" w:line="281" w:lineRule="auto"/>
        <w:rPr>
          <w:sz w:val="20"/>
          <w:szCs w:val="20"/>
          <w:color w:val="auto"/>
        </w:rPr>
      </w:pPr>
      <w:r>
        <w:rPr>
          <w:rFonts w:ascii="Times New Roman" w:cs="Times New Roman" w:eastAsia="Times New Roman" w:hAnsi="Times New Roman"/>
          <w:sz w:val="14"/>
          <w:szCs w:val="14"/>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Lawyer </w:t>
      </w:r>
      <w:r>
        <w:rPr>
          <w:rFonts w:ascii="Times New Roman" w:cs="Times New Roman" w:eastAsia="Times New Roman" w:hAnsi="Times New Roman"/>
          <w:sz w:val="14"/>
          <w:szCs w:val="14"/>
          <w:color w:val="auto"/>
        </w:rPr>
        <w:t>815 (Summer 2019).</w:t>
      </w:r>
    </w:p>
    <w:p>
      <w:pPr>
        <w:spacing w:after="0" w:line="124" w:lineRule="exact"/>
        <w:rPr>
          <w:sz w:val="20"/>
          <w:szCs w:val="20"/>
          <w:color w:val="auto"/>
        </w:rPr>
      </w:pPr>
    </w:p>
    <w:p>
      <w:pPr>
        <w:ind w:left="260" w:right="399" w:firstLine="339"/>
        <w:spacing w:after="0" w:line="258" w:lineRule="auto"/>
        <w:rPr>
          <w:sz w:val="20"/>
          <w:szCs w:val="20"/>
          <w:color w:val="auto"/>
        </w:rPr>
      </w:pPr>
      <w:r>
        <w:rPr>
          <w:rFonts w:ascii="Times New Roman" w:cs="Times New Roman" w:eastAsia="Times New Roman" w:hAnsi="Times New Roman"/>
          <w:sz w:val="14"/>
          <w:szCs w:val="14"/>
          <w:color w:val="auto"/>
        </w:rPr>
        <w:t>This opinion is being furnished to you for submission to the Commission as Exhibit 5.2 to the Registration Statement. We hereby consent to the filing of this opinion letter as an exhibit to the Registration Statement and its incorporation by reference and the reference to our firm therein. In giving our consent, we do not admit that we are in the category of persons whose consent is required under Section 7 of the Securities Act or the rules and regulations thereunder.</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xml:space="preserve">GOODWIN PROCTER </w:t>
      </w:r>
      <w:r>
        <w:rPr>
          <w:rFonts w:ascii="Times New Roman" w:cs="Times New Roman" w:eastAsia="Times New Roman" w:hAnsi="Times New Roman"/>
          <w:sz w:val="11"/>
          <w:szCs w:val="11"/>
          <w:color w:val="auto"/>
        </w:rPr>
        <w:t>LLP</w:t>
      </w:r>
    </w:p>
    <w:p>
      <w:pPr>
        <w:sectPr>
          <w:pgSz w:w="11900" w:h="16838" w:orient="portrait"/>
          <w:cols w:equalWidth="0" w:num="1">
            <w:col w:w="9019"/>
          </w:cols>
          <w:pgMar w:left="1440" w:top="239" w:right="1440" w:bottom="1440" w:gutter="0" w:footer="0" w:header="0"/>
        </w:sectPr>
      </w:pPr>
    </w:p>
    <w:bookmarkStart w:id="188" w:name="page189"/>
    <w:bookmarkEnd w:id="18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left="260" w:right="639"/>
        <w:spacing w:after="0" w:line="258"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Tango Therapeutics, Inc. of our report dated February 27, 2025 relating to the financial statements and the effectiveness of internal control over financial reporting, which appears in Tango Therapeutics, Inc.’s Annual Report on Form 10-K for the year ended December 31, 2024. We also consent to the reference to us under the heading “Experts” in such Registration Statement.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November 21, 2025</w:t>
      </w:r>
    </w:p>
    <w:p>
      <w:pPr>
        <w:sectPr>
          <w:pgSz w:w="11900" w:h="16838" w:orient="portrait"/>
          <w:cols w:equalWidth="0" w:num="1">
            <w:col w:w="9019"/>
          </w:cols>
          <w:pgMar w:left="1440" w:top="123" w:right="1440" w:bottom="1440" w:gutter="0" w:footer="0" w:header="0"/>
        </w:sectPr>
      </w:pPr>
    </w:p>
    <w:bookmarkStart w:id="189" w:name="page190"/>
    <w:bookmarkEnd w:id="189"/>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Tango Therapeutics,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ind w:left="20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6"/>
              </w:rPr>
              <w:t>Securities</w:t>
            </w: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Common</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7"/>
                <w:szCs w:val="17"/>
                <w:color w:val="auto"/>
              </w:rPr>
              <w:t>6 Equity</w:t>
            </w:r>
          </w:p>
        </w:tc>
        <w:tc>
          <w:tcPr>
            <w:tcW w:w="20" w:type="dxa"/>
            <w:vAlign w:val="bottom"/>
          </w:tcPr>
          <w:p>
            <w:pPr>
              <w:spacing w:after="0"/>
              <w:rPr>
                <w:sz w:val="8"/>
                <w:szCs w:val="8"/>
                <w:color w:val="auto"/>
              </w:rPr>
            </w:pPr>
          </w:p>
        </w:tc>
        <w:tc>
          <w:tcPr>
            <w:tcW w:w="760" w:type="dxa"/>
            <w:vAlign w:val="bottom"/>
            <w:vMerge w:val="restart"/>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457(o)</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100,000,000</w:t>
            </w: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0.0001381</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right"/>
              <w:spacing w:after="0" w:line="167" w:lineRule="exact"/>
              <w:rPr>
                <w:sz w:val="20"/>
                <w:szCs w:val="20"/>
                <w:color w:val="auto"/>
              </w:rPr>
            </w:pPr>
            <w:r>
              <w:rPr>
                <w:rFonts w:ascii="Arial" w:cs="Arial" w:eastAsia="Arial" w:hAnsi="Arial"/>
                <w:sz w:val="17"/>
                <w:szCs w:val="17"/>
                <w:color w:val="auto"/>
                <w:w w:val="98"/>
              </w:rPr>
              <w:t>100,000,000.00</w:t>
            </w:r>
          </w:p>
        </w:tc>
        <w:tc>
          <w:tcPr>
            <w:tcW w:w="8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5"/>
                <w:szCs w:val="15"/>
                <w:color w:val="auto"/>
              </w:rPr>
              <w:t>$0.001</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-3895090</wp:posOffset>
            </wp:positionV>
            <wp:extent cx="7214870" cy="5657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214870" cy="565785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7"/>
          <w:szCs w:val="17"/>
          <w:color w:val="auto"/>
        </w:rPr>
        <w:t>per share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Paid</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5"/>
          </w:tcPr>
          <w:p>
            <w:pPr>
              <w:ind w:left="32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197"/>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20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r>
      <w:tr>
        <w:trPr>
          <w:trHeight w:val="21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r>
    </w:tbl>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80" w:hanging="186"/>
        <w:spacing w:after="0" w:line="228" w:lineRule="auto"/>
        <w:tabs>
          <w:tab w:leader="none" w:pos="220" w:val="left"/>
        </w:tabs>
        <w:numPr>
          <w:ilvl w:val="0"/>
          <w:numId w:val="221"/>
        </w:numPr>
        <w:rPr>
          <w:rFonts w:ascii="Arial" w:cs="Arial" w:eastAsia="Arial" w:hAnsi="Arial"/>
          <w:sz w:val="21"/>
          <w:szCs w:val="21"/>
          <w:color w:val="auto"/>
          <w:vertAlign w:val="superscript"/>
        </w:rPr>
      </w:pPr>
      <w:r>
        <w:rPr>
          <w:rFonts w:ascii="Arial" w:cs="Arial" w:eastAsia="Arial" w:hAnsi="Arial"/>
          <w:sz w:val="17"/>
          <w:szCs w:val="17"/>
          <w:color w:val="auto"/>
        </w:rPr>
        <w:t>Note 1.a. The amount to be registered consists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Note 1.b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Note 1.c 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494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6" w:lineRule="exact"/>
        <w:rPr>
          <w:sz w:val="20"/>
          <w:szCs w:val="20"/>
          <w:color w:val="auto"/>
        </w:rPr>
      </w:pPr>
    </w:p>
    <w:p>
      <w:pPr>
        <w:ind w:left="220" w:right="340" w:hanging="186"/>
        <w:spacing w:after="0" w:line="235" w:lineRule="auto"/>
        <w:tabs>
          <w:tab w:leader="none" w:pos="220" w:val="left"/>
        </w:tabs>
        <w:numPr>
          <w:ilvl w:val="0"/>
          <w:numId w:val="222"/>
        </w:numPr>
        <w:rPr>
          <w:rFonts w:ascii="Arial" w:cs="Arial" w:eastAsia="Arial" w:hAnsi="Arial"/>
          <w:sz w:val="20"/>
          <w:szCs w:val="20"/>
          <w:color w:val="auto"/>
          <w:vertAlign w:val="superscript"/>
        </w:rPr>
      </w:pPr>
      <w:r>
        <w:rPr>
          <w:rFonts w:ascii="Arial" w:cs="Arial" w:eastAsia="Arial" w:hAnsi="Arial"/>
          <w:sz w:val="16"/>
          <w:szCs w:val="16"/>
          <w:color w:val="auto"/>
        </w:rPr>
        <w:t>See Notes 1.a. and 1.b. 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120" w:hanging="186"/>
        <w:spacing w:after="0" w:line="222" w:lineRule="auto"/>
        <w:tabs>
          <w:tab w:leader="none" w:pos="220" w:val="left"/>
        </w:tabs>
        <w:numPr>
          <w:ilvl w:val="0"/>
          <w:numId w:val="223"/>
        </w:numPr>
        <w:rPr>
          <w:rFonts w:ascii="Arial" w:cs="Arial" w:eastAsia="Arial" w:hAnsi="Arial"/>
          <w:sz w:val="21"/>
          <w:szCs w:val="21"/>
          <w:color w:val="auto"/>
          <w:vertAlign w:val="superscript"/>
        </w:rPr>
      </w:pPr>
      <w:r>
        <w:rPr>
          <w:rFonts w:ascii="Arial" w:cs="Arial" w:eastAsia="Arial" w:hAnsi="Arial"/>
          <w:sz w:val="17"/>
          <w:szCs w:val="17"/>
          <w:color w:val="auto"/>
        </w:rPr>
        <w:t>See Notes 1.a. and 1.b. Including such indeterminate principal amount of debt securities as may be issued from time to time at indeterminate prices or upon exercise of warrants registered hereby,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0" w:lineRule="exact"/>
        <w:rPr>
          <w:sz w:val="20"/>
          <w:szCs w:val="20"/>
          <w:color w:val="auto"/>
        </w:rPr>
      </w:pPr>
    </w:p>
    <w:p>
      <w:pPr>
        <w:ind w:left="220" w:right="280" w:hanging="186"/>
        <w:spacing w:after="0" w:line="224" w:lineRule="auto"/>
        <w:tabs>
          <w:tab w:leader="none" w:pos="220" w:val="left"/>
        </w:tabs>
        <w:numPr>
          <w:ilvl w:val="0"/>
          <w:numId w:val="224"/>
        </w:numPr>
        <w:rPr>
          <w:rFonts w:ascii="Arial" w:cs="Arial" w:eastAsia="Arial" w:hAnsi="Arial"/>
          <w:sz w:val="21"/>
          <w:szCs w:val="21"/>
          <w:color w:val="auto"/>
          <w:vertAlign w:val="superscript"/>
        </w:rPr>
      </w:pPr>
      <w:r>
        <w:rPr>
          <w:rFonts w:ascii="Arial" w:cs="Arial" w:eastAsia="Arial" w:hAnsi="Arial"/>
          <w:sz w:val="17"/>
          <w:szCs w:val="17"/>
          <w:color w:val="auto"/>
        </w:rPr>
        <w:t>See Notes 1.a. and 1.b. 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2" w:lineRule="exact"/>
        <w:rPr>
          <w:sz w:val="20"/>
          <w:szCs w:val="20"/>
          <w:color w:val="auto"/>
        </w:rPr>
      </w:pPr>
    </w:p>
    <w:p>
      <w:pPr>
        <w:ind w:left="220" w:right="180" w:hanging="186"/>
        <w:spacing w:after="0" w:line="224" w:lineRule="auto"/>
        <w:tabs>
          <w:tab w:leader="none" w:pos="220" w:val="left"/>
        </w:tabs>
        <w:numPr>
          <w:ilvl w:val="0"/>
          <w:numId w:val="225"/>
        </w:numPr>
        <w:rPr>
          <w:rFonts w:ascii="Arial" w:cs="Arial" w:eastAsia="Arial" w:hAnsi="Arial"/>
          <w:sz w:val="21"/>
          <w:szCs w:val="21"/>
          <w:color w:val="auto"/>
          <w:vertAlign w:val="superscript"/>
        </w:rPr>
      </w:pPr>
      <w:r>
        <w:rPr>
          <w:rFonts w:ascii="Arial" w:cs="Arial" w:eastAsia="Arial" w:hAnsi="Arial"/>
          <w:sz w:val="17"/>
          <w:szCs w:val="17"/>
          <w:color w:val="auto"/>
        </w:rPr>
        <w:t>See Notes 1.a. and 1.b. 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190" w:name="page191"/>
    <w:bookmarkEnd w:id="190"/>
    <w:p>
      <w:pPr>
        <w:ind w:left="220" w:right="120" w:hanging="186"/>
        <w:spacing w:after="0" w:line="237" w:lineRule="auto"/>
        <w:tabs>
          <w:tab w:leader="none" w:pos="220" w:val="left"/>
        </w:tabs>
        <w:numPr>
          <w:ilvl w:val="0"/>
          <w:numId w:val="226"/>
        </w:numPr>
        <w:rPr>
          <w:rFonts w:ascii="Arial" w:cs="Arial" w:eastAsia="Arial" w:hAnsi="Arial"/>
          <w:sz w:val="20"/>
          <w:szCs w:val="20"/>
          <w:color w:val="auto"/>
          <w:vertAlign w:val="superscript"/>
        </w:rPr>
      </w:pPr>
      <w:r>
        <w:rPr>
          <w:rFonts w:ascii="Arial" w:cs="Arial" w:eastAsia="Arial" w:hAnsi="Arial"/>
          <w:sz w:val="16"/>
          <w:szCs w:val="16"/>
          <w:color w:val="auto"/>
        </w:rPr>
        <w:t>See Note 1.b. In accordance with Rules 456(b) and 457(r) under the Securities Act of 1933, as amended, except with respect to the $31,828.43 to be paid in connection with the primary offering of common stock described in the table, which is being paid with the filing of this registration statement, the registrant is deferring payment of all registration fees and will pay the registration fees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w w:val="99"/>
              </w:rPr>
              <w:t>Table 2: Fee Offset Claims and Sources</w:t>
            </w: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tcPr>
          <w:p>
            <w:pPr>
              <w:ind w:left="58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ind w:left="240"/>
              <w:spacing w:after="0" w:line="114" w:lineRule="exact"/>
              <w:rPr>
                <w:sz w:val="20"/>
                <w:szCs w:val="20"/>
                <w:color w:val="auto"/>
              </w:rPr>
            </w:pPr>
            <w:r>
              <w:rPr>
                <w:rFonts w:ascii="Arial" w:cs="Arial" w:eastAsia="Arial" w:hAnsi="Arial"/>
                <w:sz w:val="12"/>
                <w:szCs w:val="12"/>
                <w:b w:val="1"/>
                <w:bCs w:val="1"/>
                <w:color w:val="auto"/>
              </w:rPr>
              <w:t>Filer Name</w:t>
            </w:r>
          </w:p>
        </w:tc>
        <w:tc>
          <w:tcPr>
            <w:tcW w:w="20" w:type="dxa"/>
            <w:vAlign w:val="bottom"/>
          </w:tcPr>
          <w:p>
            <w:pPr>
              <w:spacing w:after="0"/>
              <w:rPr>
                <w:sz w:val="9"/>
                <w:szCs w:val="9"/>
                <w:color w:val="auto"/>
              </w:rPr>
            </w:pPr>
          </w:p>
        </w:tc>
        <w:tc>
          <w:tcPr>
            <w:tcW w:w="5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10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Associated</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10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7"/>
          </w:tcPr>
          <w:p>
            <w:pPr>
              <w:ind w:left="62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jc w:val="right"/>
              <w:ind w:right="337"/>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Tango</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shd w:val="clear" w:color="auto" w:fill="E7E7E2"/>
          </w:tcPr>
          <w:p>
            <w:pPr>
              <w:jc w:val="center"/>
              <w:spacing w:after="0" w:line="188"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6"/>
                <w:szCs w:val="16"/>
                <w:color w:val="auto"/>
              </w:rPr>
            </w:pPr>
          </w:p>
        </w:tc>
        <w:tc>
          <w:tcPr>
            <w:tcW w:w="920" w:type="dxa"/>
            <w:vAlign w:val="bottom"/>
            <w:shd w:val="clear" w:color="auto" w:fill="E7E7E2"/>
          </w:tcPr>
          <w:p>
            <w:pPr>
              <w:jc w:val="center"/>
              <w:spacing w:after="0" w:line="188"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1, 2</w:t>
            </w:r>
          </w:p>
        </w:tc>
        <w:tc>
          <w:tcPr>
            <w:tcW w:w="20" w:type="dxa"/>
            <w:vAlign w:val="bottom"/>
          </w:tcPr>
          <w:p>
            <w:pPr>
              <w:spacing w:after="0"/>
              <w:rPr>
                <w:sz w:val="14"/>
                <w:szCs w:val="14"/>
                <w:color w:val="auto"/>
              </w:rPr>
            </w:pPr>
          </w:p>
        </w:tc>
        <w:tc>
          <w:tcPr>
            <w:tcW w:w="132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Therapeutics,</w:t>
            </w:r>
          </w:p>
        </w:tc>
        <w:tc>
          <w:tcPr>
            <w:tcW w:w="20" w:type="dxa"/>
            <w:vAlign w:val="bottom"/>
          </w:tcPr>
          <w:p>
            <w:pPr>
              <w:spacing w:after="0"/>
              <w:rPr>
                <w:sz w:val="14"/>
                <w:szCs w:val="14"/>
                <w:color w:val="auto"/>
              </w:rPr>
            </w:pPr>
          </w:p>
        </w:tc>
        <w:tc>
          <w:tcPr>
            <w:tcW w:w="56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8"/>
              </w:rPr>
              <w:t>05/12/2025</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14"/>
                <w:szCs w:val="14"/>
                <w:color w:val="auto"/>
              </w:rPr>
            </w:pPr>
          </w:p>
        </w:tc>
        <w:tc>
          <w:tcPr>
            <w:tcW w:w="92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20"/>
                <w:szCs w:val="20"/>
                <w:color w:val="auto"/>
              </w:rPr>
            </w:pPr>
          </w:p>
        </w:tc>
        <w:tc>
          <w:tcPr>
            <w:tcW w:w="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20"/>
                <w:szCs w:val="20"/>
                <w:color w:val="auto"/>
              </w:rPr>
            </w:pPr>
          </w:p>
        </w:tc>
        <w:tc>
          <w:tcPr>
            <w:tcW w:w="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5"/>
              </w:rPr>
              <w:t>287202</w:t>
            </w:r>
          </w:p>
        </w:tc>
        <w:tc>
          <w:tcPr>
            <w:tcW w:w="20" w:type="dxa"/>
            <w:vAlign w:val="bottom"/>
          </w:tcPr>
          <w:p>
            <w:pPr>
              <w:spacing w:after="0"/>
              <w:rPr>
                <w:sz w:val="20"/>
                <w:szCs w:val="20"/>
                <w:color w:val="auto"/>
              </w:rPr>
            </w:pPr>
          </w:p>
        </w:tc>
        <w:tc>
          <w:tcPr>
            <w:tcW w:w="8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13,810.00</w:t>
            </w:r>
          </w:p>
        </w:tc>
        <w:tc>
          <w:tcPr>
            <w:tcW w:w="20" w:type="dxa"/>
            <w:vAlign w:val="bottom"/>
          </w:tcPr>
          <w:p>
            <w:pPr>
              <w:spacing w:after="0"/>
              <w:rPr>
                <w:sz w:val="20"/>
                <w:szCs w:val="20"/>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90,202,482.04</w:t>
            </w:r>
          </w:p>
        </w:tc>
        <w:tc>
          <w:tcPr>
            <w:tcW w:w="20" w:type="dxa"/>
            <w:vAlign w:val="bottom"/>
          </w:tcPr>
          <w:p>
            <w:pPr>
              <w:spacing w:after="0"/>
              <w:rPr>
                <w:sz w:val="20"/>
                <w:szCs w:val="20"/>
                <w:color w:val="auto"/>
              </w:rPr>
            </w:pPr>
          </w:p>
        </w:tc>
        <w:tc>
          <w:tcPr>
            <w:tcW w:w="7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Tango</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Therapeutics,</w:t>
            </w:r>
          </w:p>
        </w:tc>
        <w:tc>
          <w:tcPr>
            <w:tcW w:w="20" w:type="dxa"/>
            <w:vAlign w:val="bottom"/>
          </w:tcPr>
          <w:p>
            <w:pPr>
              <w:spacing w:after="0"/>
              <w:rPr>
                <w:sz w:val="8"/>
                <w:szCs w:val="8"/>
                <w:color w:val="auto"/>
              </w:rPr>
            </w:pPr>
          </w:p>
        </w:tc>
        <w:tc>
          <w:tcPr>
            <w:tcW w:w="56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8"/>
              </w:rPr>
              <w:t>05/12/2025</w:t>
            </w: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287202</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28,146.10</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10"/>
                <w:szCs w:val="10"/>
                <w:color w:val="auto"/>
              </w:rPr>
            </w:pPr>
          </w:p>
        </w:tc>
        <w:tc>
          <w:tcPr>
            <w:tcW w:w="5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06" w:lineRule="exact"/>
        <w:rPr>
          <w:sz w:val="20"/>
          <w:szCs w:val="20"/>
          <w:color w:val="auto"/>
        </w:rPr>
      </w:pPr>
    </w:p>
    <w:p>
      <w:pPr>
        <w:ind w:left="220" w:right="40" w:hanging="186"/>
        <w:spacing w:after="0" w:line="228" w:lineRule="auto"/>
        <w:tabs>
          <w:tab w:leader="none" w:pos="220" w:val="left"/>
        </w:tabs>
        <w:numPr>
          <w:ilvl w:val="0"/>
          <w:numId w:val="227"/>
        </w:numPr>
        <w:rPr>
          <w:rFonts w:ascii="Arial" w:cs="Arial" w:eastAsia="Arial" w:hAnsi="Arial"/>
          <w:sz w:val="21"/>
          <w:szCs w:val="21"/>
          <w:color w:val="auto"/>
          <w:vertAlign w:val="superscript"/>
        </w:rPr>
      </w:pPr>
      <w:r>
        <w:rPr>
          <w:rFonts w:ascii="Arial" w:cs="Arial" w:eastAsia="Arial" w:hAnsi="Arial"/>
          <w:sz w:val="17"/>
          <w:szCs w:val="17"/>
          <w:color w:val="auto"/>
        </w:rPr>
        <w:t>The registrant previously registered $400,000,000 of an indeterminate amount of securities to be offered from time to time at prices to be determined at the time of each such offering pursuant to a Registration Statement on Form S-3 (File No. 333-287202) filed with the Securities and Exchange Commission (the "Commission") on May 12, 2025, and declared effective by the Commission on May 21, 2025 (the "Prior Registration Statement"). The registrant previously paid an aggregate registration fee of $61,240 in connection with the Prior Registration Statement (based on the filing fee rate in effect at the time of the filing of the Prior Registration Statement). As of the date of filing of this Registration Statement, the registrant sold an aggregate of $209,999,998 of such securities under the Prior Registration Statement, leaving the balance of $190,000,002 (the "Unsold Securities"), representing $26,239 in registration fees, of such Unsold Securities under the Prior Registration Statement. Pursuant to Rule 457(p) under the Securities Act, the registrant hereby applies $13,810 of the registration fee previously paid in connection with the Prior Registration Statement in connection with the Unsold Securities to offset the registration fees that are payable in connection with the registration of securities on this registration statement. Pursuant to Rule 457(p) under the Securities Act, the offering of the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494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Offset Note</w:t>
      </w:r>
    </w:p>
    <w:p>
      <w:pPr>
        <w:spacing w:after="0" w:line="83" w:lineRule="exact"/>
        <w:rPr>
          <w:sz w:val="20"/>
          <w:szCs w:val="20"/>
          <w:color w:val="auto"/>
        </w:rPr>
      </w:pPr>
    </w:p>
    <w:p>
      <w:pPr>
        <w:ind w:left="220" w:hanging="186"/>
        <w:spacing w:after="0"/>
        <w:tabs>
          <w:tab w:leader="none" w:pos="220" w:val="left"/>
        </w:tabs>
        <w:numPr>
          <w:ilvl w:val="0"/>
          <w:numId w:val="228"/>
        </w:numPr>
        <w:rPr>
          <w:rFonts w:ascii="Arial" w:cs="Arial" w:eastAsia="Arial" w:hAnsi="Arial"/>
          <w:sz w:val="21"/>
          <w:szCs w:val="21"/>
          <w:color w:val="auto"/>
          <w:vertAlign w:val="superscript"/>
        </w:rPr>
      </w:pPr>
      <w:r>
        <w:rPr>
          <w:rFonts w:ascii="Arial" w:cs="Arial" w:eastAsia="Arial" w:hAnsi="Arial"/>
          <w:sz w:val="17"/>
          <w:szCs w:val="17"/>
          <w:color w:val="auto"/>
        </w:rPr>
        <w:t>See Rule 457(p) Statement of Withdrawal, Termination, or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494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0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2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
      <w:numFmt w:val="bullet"/>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1"/>
      <w:numFmt w:val="decimal"/>
      <w:start w:val="24"/>
    </w:lvl>
  </w:abstractNum>
  <w:abstractNum w:abstractNumId="37">
    <w:nsid w:val="B37E80A"/>
    <w:multiLevelType w:val="hybridMultilevel"/>
    <w:lvl w:ilvl="0">
      <w:lvlJc w:val="left"/>
      <w:lvlText w:val="%1"/>
      <w:numFmt w:val="decimal"/>
      <w:start w:val="107"/>
    </w:lvl>
  </w:abstractNum>
  <w:abstractNum w:abstractNumId="38">
    <w:nsid w:val="2157F6BC"/>
    <w:multiLevelType w:val="hybridMultilevel"/>
    <w:lvl w:ilvl="0">
      <w:lvlJc w:val="left"/>
      <w:lvlText w:val="*"/>
      <w:numFmt w:val="bullet"/>
      <w:start w:val="1"/>
    </w:lvl>
  </w:abstractNum>
  <w:abstractNum w:abstractNumId="39">
    <w:nsid w:val="704E1DD5"/>
    <w:multiLevelType w:val="hybridMultilevel"/>
    <w:lvl w:ilvl="0">
      <w:lvlJc w:val="left"/>
      <w:lvlText w:val="**"/>
      <w:numFmt w:val="bullet"/>
      <w:start w:val="1"/>
    </w:lvl>
  </w:abstractNum>
  <w:abstractNum w:abstractNumId="40">
    <w:nsid w:val="57D2F10E"/>
    <w:multiLevelType w:val="hybridMultilevel"/>
    <w:lvl w:ilvl="0">
      <w:lvlJc w:val="left"/>
      <w:lvlText w:val="(%1)"/>
      <w:numFmt w:val="decimal"/>
      <w:start w:val="1"/>
    </w:lvl>
  </w:abstractNum>
  <w:abstractNum w:abstractNumId="41">
    <w:nsid w:val="BFFAE18"/>
    <w:multiLevelType w:val="hybridMultilevel"/>
    <w:lvl w:ilvl="0">
      <w:lvlJc w:val="left"/>
      <w:lvlText w:val="(%1)"/>
      <w:numFmt w:val="lowerRoman"/>
      <w:start w:val="2"/>
    </w:lvl>
  </w:abstractNum>
  <w:abstractNum w:abstractNumId="42">
    <w:nsid w:val="E3E47A8"/>
    <w:multiLevelType w:val="hybridMultilevel"/>
    <w:lvl w:ilvl="0">
      <w:lvlJc w:val="left"/>
      <w:lvlText w:val="(%1)"/>
      <w:numFmt w:val="decimal"/>
      <w:start w:val="2"/>
    </w:lvl>
  </w:abstractNum>
  <w:abstractNum w:abstractNumId="43">
    <w:nsid w:val="2E48F044"/>
    <w:multiLevelType w:val="hybridMultilevel"/>
    <w:lvl w:ilvl="0">
      <w:lvlJc w:val="left"/>
      <w:lvlText w:val="(%1)"/>
      <w:numFmt w:val="lowerRoman"/>
      <w:start w:val="1"/>
    </w:lvl>
  </w:abstractNum>
  <w:abstractNum w:abstractNumId="44">
    <w:nsid w:val="49D0FEAC"/>
    <w:multiLevelType w:val="hybridMultilevel"/>
    <w:lvl w:ilvl="0">
      <w:lvlJc w:val="left"/>
      <w:lvlText w:val="(%1)"/>
      <w:numFmt w:val="decimal"/>
      <w:start w:val="5"/>
    </w:lvl>
  </w:abstractNum>
  <w:abstractNum w:abstractNumId="45">
    <w:nsid w:val="4BEE5A5B"/>
    <w:multiLevelType w:val="hybridMultilevel"/>
    <w:lvl w:ilvl="0">
      <w:lvlJc w:val="left"/>
      <w:lvlText w:val="(%1)"/>
      <w:numFmt w:val="lowerRoman"/>
      <w:start w:val="1"/>
    </w:lvl>
  </w:abstractNum>
  <w:abstractNum w:abstractNumId="46">
    <w:nsid w:val="5551B9F3"/>
    <w:multiLevelType w:val="hybridMultilevel"/>
    <w:lvl w:ilvl="0">
      <w:lvlJc w:val="left"/>
      <w:lvlText w:val="(%1)"/>
      <w:numFmt w:val="decimal"/>
      <w:start w:val="6"/>
    </w:lvl>
  </w:abstractNum>
  <w:abstractNum w:abstractNumId="47">
    <w:nsid w:val="24F6AB8E"/>
    <w:multiLevelType w:val="hybridMultilevel"/>
    <w:lvl w:ilvl="0">
      <w:lvlJc w:val="left"/>
      <w:lvlText w:val="%1."/>
      <w:numFmt w:val="decimal"/>
      <w:start w:val="1"/>
    </w:lvl>
  </w:abstractNum>
  <w:abstractNum w:abstractNumId="48">
    <w:nsid w:val="634C574C"/>
    <w:multiLevelType w:val="hybridMultilevel"/>
    <w:lvl w:ilvl="0">
      <w:lvlJc w:val="left"/>
      <w:lvlText w:val="%1."/>
      <w:numFmt w:val="decimal"/>
      <w:start w:val="2"/>
    </w:lvl>
  </w:abstractNum>
  <w:abstractNum w:abstractNumId="49">
    <w:nsid w:val="24E99DD7"/>
    <w:multiLevelType w:val="hybridMultilevel"/>
    <w:lvl w:ilvl="0">
      <w:lvlJc w:val="left"/>
      <w:lvlText w:val="%1."/>
      <w:numFmt w:val="decimal"/>
      <w:start w:val="3"/>
    </w:lvl>
  </w:abstractNum>
  <w:abstractNum w:abstractNumId="50">
    <w:nsid w:val="2A31B62D"/>
    <w:multiLevelType w:val="hybridMultilevel"/>
    <w:lvl w:ilvl="0">
      <w:lvlJc w:val="left"/>
      <w:lvlText w:val="(%1)"/>
      <w:numFmt w:val="lowerLetter"/>
      <w:start w:val="1"/>
    </w:lvl>
  </w:abstractNum>
  <w:abstractNum w:abstractNumId="51">
    <w:nsid w:val="1849C29B"/>
    <w:multiLevelType w:val="hybridMultilevel"/>
    <w:lvl w:ilvl="0">
      <w:lvlJc w:val="left"/>
      <w:lvlText w:val="(%1)"/>
      <w:numFmt w:val="lowerLetter"/>
      <w:start w:val="2"/>
    </w:lvl>
  </w:abstractNum>
  <w:abstractNum w:abstractNumId="52">
    <w:nsid w:val="7DFF9D09"/>
    <w:multiLevelType w:val="hybridMultilevel"/>
    <w:lvl w:ilvl="0">
      <w:lvlJc w:val="left"/>
      <w:lvlText w:val="%1."/>
      <w:numFmt w:val="decimal"/>
      <w:start w:val="5"/>
    </w:lvl>
  </w:abstractNum>
  <w:abstractNum w:abstractNumId="53">
    <w:nsid w:val="754342"/>
    <w:multiLevelType w:val="hybridMultilevel"/>
    <w:lvl w:ilvl="0">
      <w:lvlJc w:val="left"/>
      <w:lvlText w:val="(%1)"/>
      <w:numFmt w:val="lowerLetter"/>
      <w:start w:val="1"/>
    </w:lvl>
  </w:abstractNum>
  <w:abstractNum w:abstractNumId="54">
    <w:nsid w:val="69E7F3E5"/>
    <w:multiLevelType w:val="hybridMultilevel"/>
    <w:lvl w:ilvl="0">
      <w:lvlJc w:val="left"/>
      <w:lvlText w:val="(%1)"/>
      <w:numFmt w:val="lowerLetter"/>
      <w:start w:val="3"/>
    </w:lvl>
  </w:abstractNum>
  <w:abstractNum w:abstractNumId="55">
    <w:nsid w:val="2A6DE806"/>
    <w:multiLevelType w:val="hybridMultilevel"/>
    <w:lvl w:ilvl="0">
      <w:lvlJc w:val="left"/>
      <w:lvlText w:val="%1"/>
      <w:numFmt w:val="lowerRoman"/>
      <w:start w:val="1"/>
    </w:lvl>
    <w:lvl w:ilvl="1">
      <w:lvlJc w:val="left"/>
      <w:lvlText w:val="%2."/>
      <w:numFmt w:val="decimal"/>
      <w:start w:val="6"/>
    </w:lvl>
  </w:abstractNum>
  <w:abstractNum w:abstractNumId="56">
    <w:nsid w:val="1816F8C4"/>
    <w:multiLevelType w:val="hybridMultilevel"/>
    <w:lvl w:ilvl="0">
      <w:lvlJc w:val="left"/>
      <w:lvlText w:val="(%1)"/>
      <w:numFmt w:val="lowerRoman"/>
      <w:start w:val="1"/>
    </w:lvl>
    <w:lvl w:ilvl="1">
      <w:lvlJc w:val="left"/>
      <w:lvlText w:val="%2"/>
      <w:numFmt w:val="decimal"/>
      <w:start w:val="1"/>
    </w:lvl>
  </w:abstractNum>
  <w:abstractNum w:abstractNumId="57">
    <w:nsid w:val="37DF2233"/>
    <w:multiLevelType w:val="hybridMultilevel"/>
    <w:lvl w:ilvl="0">
      <w:lvlJc w:val="left"/>
      <w:lvlText w:val="(%1)"/>
      <w:numFmt w:val="lowerLetter"/>
      <w:start w:val="1"/>
    </w:lvl>
  </w:abstractNum>
  <w:abstractNum w:abstractNumId="58">
    <w:nsid w:val="7AB49DAF"/>
    <w:multiLevelType w:val="hybridMultilevel"/>
    <w:lvl w:ilvl="0">
      <w:lvlJc w:val="left"/>
      <w:lvlText w:val="(%1)"/>
      <w:numFmt w:val="lowerLetter"/>
      <w:start w:val="2"/>
    </w:lvl>
  </w:abstractNum>
  <w:abstractNum w:abstractNumId="59">
    <w:nsid w:val="759F82CD"/>
    <w:multiLevelType w:val="hybridMultilevel"/>
    <w:lvl w:ilvl="0">
      <w:lvlJc w:val="left"/>
      <w:lvlText w:val="(%1)"/>
      <w:numFmt w:val="lowerLetter"/>
      <w:start w:val="5"/>
    </w:lvl>
  </w:abstractNum>
  <w:abstractNum w:abstractNumId="60">
    <w:nsid w:val="61E74EA3"/>
    <w:multiLevelType w:val="hybridMultilevel"/>
    <w:lvl w:ilvl="0">
      <w:lvlJc w:val="left"/>
      <w:lvlText w:val="%1"/>
      <w:numFmt w:val="lowerLetter"/>
      <w:start w:val="1"/>
    </w:lvl>
    <w:lvl w:ilvl="1">
      <w:lvlJc w:val="left"/>
      <w:lvlText w:val="(%2)"/>
      <w:numFmt w:val="lowerLetter"/>
      <w:start w:val="10"/>
    </w:lvl>
  </w:abstractNum>
  <w:abstractNum w:abstractNumId="61">
    <w:nsid w:val="597B4D84"/>
    <w:multiLevelType w:val="hybridMultilevel"/>
    <w:lvl w:ilvl="0">
      <w:lvlJc w:val="left"/>
      <w:lvlText w:val="(%1)"/>
      <w:numFmt w:val="lowerLetter"/>
      <w:start w:val="22"/>
    </w:lvl>
    <w:lvl w:ilvl="1">
      <w:lvlJc w:val="left"/>
      <w:lvlText w:val="(%2)"/>
      <w:numFmt w:val="lowerLetter"/>
      <w:start w:val="11"/>
    </w:lvl>
  </w:abstractNum>
  <w:abstractNum w:abstractNumId="62">
    <w:nsid w:val="F819E7F"/>
    <w:multiLevelType w:val="hybridMultilevel"/>
    <w:lvl w:ilvl="0">
      <w:lvlJc w:val="left"/>
      <w:lvlText w:val="(%1)"/>
      <w:numFmt w:val="lowerLetter"/>
      <w:start w:val="14"/>
    </w:lvl>
  </w:abstractNum>
  <w:abstractNum w:abstractNumId="63">
    <w:nsid w:val="57C7D42D"/>
    <w:multiLevelType w:val="hybridMultilevel"/>
    <w:lvl w:ilvl="0">
      <w:lvlJc w:val="left"/>
      <w:lvlText w:val="(%1)"/>
      <w:numFmt w:val="lowerLetter"/>
      <w:start w:val="17"/>
    </w:lvl>
  </w:abstractNum>
  <w:abstractNum w:abstractNumId="64">
    <w:nsid w:val="312167AD"/>
    <w:multiLevelType w:val="hybridMultilevel"/>
    <w:lvl w:ilvl="0">
      <w:lvlJc w:val="left"/>
      <w:lvlText w:val="(%1)"/>
      <w:numFmt w:val="lowerLetter"/>
      <w:start w:val="22"/>
    </w:lvl>
  </w:abstractNum>
  <w:abstractNum w:abstractNumId="65">
    <w:nsid w:val="631B64D4"/>
    <w:multiLevelType w:val="hybridMultilevel"/>
    <w:lvl w:ilvl="0">
      <w:lvlJc w:val="left"/>
      <w:lvlText w:val="(%1)"/>
      <w:numFmt w:val="lowerLetter"/>
      <w:start w:val="27"/>
    </w:lvl>
  </w:abstractNum>
  <w:abstractNum w:abstractNumId="66">
    <w:nsid w:val="78B5E776"/>
    <w:multiLevelType w:val="hybridMultilevel"/>
    <w:lvl w:ilvl="0">
      <w:lvlJc w:val="left"/>
      <w:lvlText w:val="(%1)"/>
      <w:numFmt w:val="lowerLetter"/>
      <w:start w:val="28"/>
    </w:lvl>
  </w:abstractNum>
  <w:abstractNum w:abstractNumId="67">
    <w:nsid w:val="75486E47"/>
    <w:multiLevelType w:val="hybridMultilevel"/>
    <w:lvl w:ilvl="0">
      <w:lvlJc w:val="left"/>
      <w:lvlText w:val="(%1)"/>
      <w:numFmt w:val="lowerLetter"/>
      <w:start w:val="30"/>
    </w:lvl>
  </w:abstractNum>
  <w:abstractNum w:abstractNumId="68">
    <w:nsid w:val="6E534CDE"/>
    <w:multiLevelType w:val="hybridMultilevel"/>
    <w:lvl w:ilvl="0">
      <w:lvlJc w:val="left"/>
      <w:lvlText w:val="(%1)"/>
      <w:numFmt w:val="lowerLetter"/>
      <w:start w:val="33"/>
    </w:lvl>
  </w:abstractNum>
  <w:abstractNum w:abstractNumId="69">
    <w:nsid w:val="1A0DDE32"/>
    <w:multiLevelType w:val="hybridMultilevel"/>
    <w:lvl w:ilvl="0">
      <w:lvlJc w:val="left"/>
      <w:lvlText w:val="(%1)"/>
      <w:numFmt w:val="lowerLetter"/>
      <w:start w:val="39"/>
    </w:lvl>
  </w:abstractNum>
  <w:abstractNum w:abstractNumId="70">
    <w:nsid w:val="65968C1C"/>
    <w:multiLevelType w:val="hybridMultilevel"/>
    <w:lvl w:ilvl="0">
      <w:lvlJc w:val="left"/>
      <w:lvlText w:val="(%1)"/>
      <w:numFmt w:val="lowerLetter"/>
      <w:start w:val="44"/>
    </w:lvl>
  </w:abstractNum>
  <w:abstractNum w:abstractNumId="71">
    <w:nsid w:val="46263DEC"/>
    <w:multiLevelType w:val="hybridMultilevel"/>
    <w:lvl w:ilvl="0">
      <w:lvlJc w:val="left"/>
      <w:lvlText w:val="%1"/>
      <w:numFmt w:val="lowerLetter"/>
      <w:start w:val="1"/>
    </w:lvl>
    <w:lvl w:ilvl="1">
      <w:lvlJc w:val="left"/>
      <w:lvlText w:val="(%2)"/>
      <w:numFmt w:val="lowerLetter"/>
      <w:start w:val="47"/>
    </w:lvl>
  </w:abstractNum>
  <w:abstractNum w:abstractNumId="72">
    <w:nsid w:val="260D8C4A"/>
    <w:multiLevelType w:val="hybridMultilevel"/>
    <w:lvl w:ilvl="0">
      <w:lvlJc w:val="left"/>
      <w:lvlText w:val="(%1)"/>
      <w:numFmt w:val="lowerLetter"/>
      <w:start w:val="9"/>
    </w:lvl>
    <w:lvl w:ilvl="1">
      <w:lvlJc w:val="left"/>
      <w:lvlText w:val="(%2)"/>
      <w:numFmt w:val="lowerLetter"/>
      <w:start w:val="49"/>
    </w:lvl>
  </w:abstractNum>
  <w:abstractNum w:abstractNumId="73">
    <w:nsid w:val="73D4D3C4"/>
    <w:multiLevelType w:val="hybridMultilevel"/>
    <w:lvl w:ilvl="0">
      <w:lvlJc w:val="left"/>
      <w:lvlText w:val="(%1)"/>
      <w:numFmt w:val="lowerLetter"/>
      <w:start w:val="52"/>
    </w:lvl>
  </w:abstractNum>
  <w:abstractNum w:abstractNumId="74">
    <w:nsid w:val="746F2E30"/>
    <w:multiLevelType w:val="hybridMultilevel"/>
    <w:lvl w:ilvl="0">
      <w:lvlJc w:val="left"/>
      <w:lvlText w:val="(%1)"/>
      <w:numFmt w:val="lowerLetter"/>
      <w:start w:val="53"/>
    </w:lvl>
  </w:abstractNum>
  <w:abstractNum w:abstractNumId="75">
    <w:nsid w:val="6FDE8AF6"/>
    <w:multiLevelType w:val="hybridMultilevel"/>
    <w:lvl w:ilvl="0">
      <w:lvlJc w:val="left"/>
      <w:lvlText w:val="(%1)"/>
      <w:numFmt w:val="lowerLetter"/>
      <w:start w:val="1"/>
    </w:lvl>
  </w:abstractNum>
  <w:abstractNum w:abstractNumId="76">
    <w:nsid w:val="3FC32E20"/>
    <w:multiLevelType w:val="hybridMultilevel"/>
    <w:lvl w:ilvl="0">
      <w:lvlJc w:val="left"/>
      <w:lvlText w:val="(%1)"/>
      <w:numFmt w:val="lowerLetter"/>
      <w:start w:val="2"/>
    </w:lvl>
  </w:abstractNum>
  <w:abstractNum w:abstractNumId="77">
    <w:nsid w:val="49C0E823"/>
    <w:multiLevelType w:val="hybridMultilevel"/>
    <w:lvl w:ilvl="0">
      <w:lvlJc w:val="left"/>
      <w:lvlText w:val="(%1)"/>
      <w:numFmt w:val="lowerLetter"/>
      <w:start w:val="6"/>
    </w:lvl>
  </w:abstractNum>
  <w:abstractNum w:abstractNumId="78">
    <w:nsid w:val="14D53685"/>
    <w:multiLevelType w:val="hybridMultilevel"/>
    <w:lvl w:ilvl="0">
      <w:lvlJc w:val="left"/>
      <w:lvlText w:val="(%1)"/>
      <w:numFmt w:val="lowerLetter"/>
      <w:start w:val="10"/>
    </w:lvl>
  </w:abstractNum>
  <w:abstractNum w:abstractNumId="79">
    <w:nsid w:val="230F856C"/>
    <w:multiLevelType w:val="hybridMultilevel"/>
    <w:lvl w:ilvl="0">
      <w:lvlJc w:val="left"/>
      <w:lvlText w:val="%1"/>
      <w:numFmt w:val="lowerRoman"/>
      <w:start w:val="1"/>
    </w:lvl>
    <w:lvl w:ilvl="1">
      <w:lvlJc w:val="left"/>
      <w:lvlText w:val="(%2)"/>
      <w:numFmt w:val="lowerRoman"/>
      <w:start w:val="1"/>
    </w:lvl>
  </w:abstractNum>
  <w:abstractNum w:abstractNumId="80">
    <w:nsid w:val="6EAA85FB"/>
    <w:multiLevelType w:val="hybridMultilevel"/>
    <w:lvl w:ilvl="0">
      <w:lvlJc w:val="left"/>
      <w:lvlText w:val="(%1)"/>
      <w:numFmt w:val="lowerRoman"/>
      <w:start w:val="1"/>
    </w:lvl>
    <w:lvl w:ilvl="1">
      <w:lvlJc w:val="left"/>
      <w:lvlText w:val="%2"/>
      <w:numFmt w:val="lowerRoman"/>
      <w:start w:val="1"/>
    </w:lvl>
  </w:abstractNum>
  <w:abstractNum w:abstractNumId="81">
    <w:nsid w:val="3F06ECB2"/>
    <w:multiLevelType w:val="hybridMultilevel"/>
    <w:lvl w:ilvl="0">
      <w:lvlJc w:val="left"/>
      <w:lvlText w:val="(%1)"/>
      <w:numFmt w:val="lowerLetter"/>
      <w:start w:val="14"/>
    </w:lvl>
  </w:abstractNum>
  <w:abstractNum w:abstractNumId="82">
    <w:nsid w:val="3B594807"/>
    <w:multiLevelType w:val="hybridMultilevel"/>
    <w:lvl w:ilvl="0">
      <w:lvlJc w:val="left"/>
      <w:lvlText w:val="(%1)"/>
      <w:numFmt w:val="lowerLetter"/>
      <w:start w:val="16"/>
    </w:lvl>
  </w:abstractNum>
  <w:abstractNum w:abstractNumId="83">
    <w:nsid w:val="6CAA2304"/>
    <w:multiLevelType w:val="hybridMultilevel"/>
    <w:lvl w:ilvl="0">
      <w:lvlJc w:val="left"/>
      <w:lvlText w:val="(%1)"/>
      <w:numFmt w:val="lowerLetter"/>
      <w:start w:val="21"/>
    </w:lvl>
  </w:abstractNum>
  <w:abstractNum w:abstractNumId="84">
    <w:nsid w:val="3F7C2FF4"/>
    <w:multiLevelType w:val="hybridMultilevel"/>
    <w:lvl w:ilvl="0">
      <w:lvlJc w:val="left"/>
      <w:lvlText w:val="(%1)"/>
      <w:numFmt w:val="lowerLetter"/>
      <w:start w:val="25"/>
    </w:lvl>
  </w:abstractNum>
  <w:abstractNum w:abstractNumId="85">
    <w:nsid w:val="25413BEC"/>
    <w:multiLevelType w:val="hybridMultilevel"/>
    <w:lvl w:ilvl="0">
      <w:lvlJc w:val="left"/>
      <w:lvlText w:val="(%1)"/>
      <w:numFmt w:val="lowerLetter"/>
      <w:start w:val="27"/>
    </w:lvl>
  </w:abstractNum>
  <w:abstractNum w:abstractNumId="86">
    <w:nsid w:val="17180B0B"/>
    <w:multiLevelType w:val="hybridMultilevel"/>
    <w:lvl w:ilvl="0">
      <w:lvlJc w:val="left"/>
      <w:lvlText w:val="%1."/>
      <w:numFmt w:val="decimal"/>
      <w:start w:val="8"/>
    </w:lvl>
  </w:abstractNum>
  <w:abstractNum w:abstractNumId="87">
    <w:nsid w:val="579328B9"/>
    <w:multiLevelType w:val="hybridMultilevel"/>
    <w:lvl w:ilvl="0">
      <w:lvlJc w:val="left"/>
      <w:lvlText w:val="(%1)"/>
      <w:numFmt w:val="lowerLetter"/>
      <w:start w:val="1"/>
    </w:lvl>
  </w:abstractNum>
  <w:abstractNum w:abstractNumId="88">
    <w:nsid w:val="5D205E20"/>
    <w:multiLevelType w:val="hybridMultilevel"/>
    <w:lvl w:ilvl="0">
      <w:lvlJc w:val="left"/>
      <w:lvlText w:val="(%1)"/>
      <w:numFmt w:val="lowerLetter"/>
      <w:start w:val="3"/>
    </w:lvl>
  </w:abstractNum>
  <w:abstractNum w:abstractNumId="89">
    <w:nsid w:val="11CCA8BA"/>
    <w:multiLevelType w:val="hybridMultilevel"/>
    <w:lvl w:ilvl="0">
      <w:lvlJc w:val="left"/>
      <w:lvlText w:val="%1"/>
      <w:numFmt w:val="lowerLetter"/>
      <w:start w:val="1"/>
    </w:lvl>
    <w:lvl w:ilvl="1">
      <w:lvlJc w:val="left"/>
      <w:lvlText w:val="(%2)"/>
      <w:numFmt w:val="lowerLetter"/>
      <w:start w:val="8"/>
    </w:lvl>
  </w:abstractNum>
  <w:abstractNum w:abstractNumId="90">
    <w:nsid w:val="4D32AB86"/>
    <w:multiLevelType w:val="hybridMultilevel"/>
    <w:lvl w:ilvl="0">
      <w:lvlJc w:val="left"/>
      <w:lvlText w:val="(%1)"/>
      <w:numFmt w:val="lowerLetter"/>
      <w:start w:val="35"/>
    </w:lvl>
    <w:lvl w:ilvl="1">
      <w:lvlJc w:val="left"/>
      <w:lvlText w:val="(%2)"/>
      <w:numFmt w:val="lowerLetter"/>
      <w:start w:val="15"/>
    </w:lvl>
  </w:abstractNum>
  <w:abstractNum w:abstractNumId="91">
    <w:nsid w:val="3F07ACC3"/>
    <w:multiLevelType w:val="hybridMultilevel"/>
    <w:lvl w:ilvl="0">
      <w:lvlJc w:val="left"/>
      <w:lvlText w:val="%1."/>
      <w:numFmt w:val="decimal"/>
      <w:start w:val="9"/>
    </w:lvl>
  </w:abstractNum>
  <w:abstractNum w:abstractNumId="92">
    <w:nsid w:val="6B47F63E"/>
    <w:multiLevelType w:val="hybridMultilevel"/>
    <w:lvl w:ilvl="0">
      <w:lvlJc w:val="left"/>
      <w:lvlText w:val="(%1)"/>
      <w:numFmt w:val="lowerLetter"/>
      <w:start w:val="1"/>
    </w:lvl>
  </w:abstractNum>
  <w:abstractNum w:abstractNumId="93">
    <w:nsid w:val="5CB44A05"/>
    <w:multiLevelType w:val="hybridMultilevel"/>
    <w:lvl w:ilvl="0">
      <w:lvlJc w:val="left"/>
      <w:lvlText w:val="(%1)"/>
      <w:numFmt w:val="lowerLetter"/>
      <w:start w:val="4"/>
    </w:lvl>
  </w:abstractNum>
  <w:abstractNum w:abstractNumId="94">
    <w:nsid w:val="16CF80F1"/>
    <w:multiLevelType w:val="hybridMultilevel"/>
    <w:lvl w:ilvl="0">
      <w:lvlJc w:val="left"/>
      <w:lvlText w:val="%1."/>
      <w:numFmt w:val="decimal"/>
      <w:start w:val="10"/>
    </w:lvl>
  </w:abstractNum>
  <w:abstractNum w:abstractNumId="95">
    <w:nsid w:val="1C695DEC"/>
    <w:multiLevelType w:val="hybridMultilevel"/>
    <w:lvl w:ilvl="0">
      <w:lvlJc w:val="left"/>
      <w:lvlText w:val="%1."/>
      <w:numFmt w:val="decimal"/>
      <w:start w:val="11"/>
    </w:lvl>
  </w:abstractNum>
  <w:abstractNum w:abstractNumId="96">
    <w:nsid w:val="3FCFAED9"/>
    <w:multiLevelType w:val="hybridMultilevel"/>
    <w:lvl w:ilvl="0">
      <w:lvlJc w:val="left"/>
      <w:lvlText w:val="(%1)"/>
      <w:numFmt w:val="lowerLetter"/>
      <w:start w:val="1"/>
    </w:lvl>
  </w:abstractNum>
  <w:abstractNum w:abstractNumId="97">
    <w:nsid w:val="F856867"/>
    <w:multiLevelType w:val="hybridMultilevel"/>
    <w:lvl w:ilvl="0">
      <w:lvlJc w:val="left"/>
      <w:lvlText w:val="(%1)"/>
      <w:numFmt w:val="lowerLetter"/>
      <w:start w:val="6"/>
    </w:lvl>
  </w:abstractNum>
  <w:abstractNum w:abstractNumId="98">
    <w:nsid w:val="11B1CC33"/>
    <w:multiLevelType w:val="hybridMultilevel"/>
    <w:lvl w:ilvl="0">
      <w:lvlJc w:val="left"/>
      <w:lvlText w:val="%1."/>
      <w:numFmt w:val="decimal"/>
      <w:start w:val="12"/>
    </w:lvl>
  </w:abstractNum>
  <w:abstractNum w:abstractNumId="99">
    <w:nsid w:val="2E22FBB7"/>
    <w:multiLevelType w:val="hybridMultilevel"/>
    <w:lvl w:ilvl="0">
      <w:lvlJc w:val="left"/>
      <w:lvlText w:val="%1"/>
      <w:numFmt w:val="decimal"/>
      <w:start w:val="100"/>
    </w:lvl>
  </w:abstractNum>
  <w:abstractNum w:abstractNumId="100">
    <w:nsid w:val="29934699"/>
    <w:multiLevelType w:val="hybridMultilevel"/>
    <w:lvl w:ilvl="0">
      <w:lvlJc w:val="left"/>
      <w:lvlText w:val="(%1)"/>
      <w:numFmt w:val="lowerRoman"/>
      <w:start w:val="3"/>
    </w:lvl>
  </w:abstractNum>
  <w:abstractNum w:abstractNumId="101">
    <w:nsid w:val="77485850"/>
    <w:multiLevelType w:val="hybridMultilevel"/>
    <w:lvl w:ilvl="0">
      <w:lvlJc w:val="left"/>
      <w:lvlText w:val="%1."/>
      <w:numFmt w:val="decimal"/>
      <w:start w:val="13"/>
    </w:lvl>
  </w:abstractNum>
  <w:abstractNum w:abstractNumId="102">
    <w:nsid w:val="744939A3"/>
    <w:multiLevelType w:val="hybridMultilevel"/>
    <w:lvl w:ilvl="0">
      <w:lvlJc w:val="left"/>
      <w:lvlText w:val="%1."/>
      <w:numFmt w:val="decimal"/>
      <w:start w:val="16"/>
    </w:lvl>
  </w:abstractNum>
  <w:abstractNum w:abstractNumId="103">
    <w:nsid w:val="4FA0D2E3"/>
    <w:multiLevelType w:val="hybridMultilevel"/>
    <w:lvl w:ilvl="0">
      <w:lvlJc w:val="left"/>
      <w:lvlText w:val="(%1)"/>
      <w:numFmt w:val="lowerLetter"/>
      <w:start w:val="1"/>
    </w:lvl>
  </w:abstractNum>
  <w:abstractNum w:abstractNumId="104">
    <w:nsid w:val="6B1D2C14"/>
    <w:multiLevelType w:val="hybridMultilevel"/>
    <w:lvl w:ilvl="0">
      <w:lvlJc w:val="left"/>
      <w:lvlText w:val="%1."/>
      <w:numFmt w:val="decimal"/>
      <w:start w:val="19"/>
    </w:lvl>
  </w:abstractNum>
  <w:abstractNum w:abstractNumId="105">
    <w:nsid w:val="68B867D3"/>
    <w:multiLevelType w:val="hybridMultilevel"/>
    <w:lvl w:ilvl="0">
      <w:lvlJc w:val="left"/>
      <w:lvlText w:val="(%1)"/>
      <w:numFmt w:val="lowerLetter"/>
      <w:start w:val="1"/>
    </w:lvl>
  </w:abstractNum>
  <w:abstractNum w:abstractNumId="106">
    <w:nsid w:val="3F7F5DD9"/>
    <w:multiLevelType w:val="hybridMultilevel"/>
    <w:lvl w:ilvl="0">
      <w:lvlJc w:val="left"/>
      <w:lvlText w:val="%1."/>
      <w:numFmt w:val="decimal"/>
      <w:start w:val="21"/>
    </w:lvl>
  </w:abstractNum>
  <w:abstractNum w:abstractNumId="107">
    <w:nsid w:val="2AE05A34"/>
    <w:multiLevelType w:val="hybridMultilevel"/>
    <w:lvl w:ilvl="0">
      <w:lvlJc w:val="left"/>
      <w:lvlText w:val="(%1)"/>
      <w:numFmt w:val="lowerRoman"/>
      <w:start w:val="3"/>
    </w:lvl>
    <w:lvl w:ilvl="1">
      <w:lvlJc w:val="left"/>
      <w:lvlText w:val="%2."/>
      <w:numFmt w:val="decimal"/>
      <w:start w:val="22"/>
    </w:lvl>
  </w:abstractNum>
  <w:abstractNum w:abstractNumId="108">
    <w:nsid w:val="32794FF7"/>
    <w:multiLevelType w:val="hybridMultilevel"/>
    <w:lvl w:ilvl="0">
      <w:lvlJc w:val="left"/>
      <w:lvlText w:val="1"/>
      <w:numFmt w:val="bullet"/>
      <w:start w:val="1"/>
    </w:lvl>
  </w:abstractNum>
  <w:abstractNum w:abstractNumId="109">
    <w:nsid w:val="5454945E"/>
    <w:multiLevelType w:val="hybridMultilevel"/>
    <w:lvl w:ilvl="0">
      <w:lvlJc w:val="left"/>
      <w:lvlText w:val="(%1)"/>
      <w:numFmt w:val="decimal"/>
      <w:start w:val="1"/>
    </w:lvl>
  </w:abstractNum>
  <w:abstractNum w:abstractNumId="110">
    <w:nsid w:val="4DEFDFA0"/>
    <w:multiLevelType w:val="hybridMultilevel"/>
    <w:lvl w:ilvl="0">
      <w:lvlJc w:val="left"/>
      <w:lvlText w:val="(%1)"/>
      <w:numFmt w:val="decimal"/>
      <w:start w:val="2"/>
    </w:lvl>
  </w:abstractNum>
  <w:abstractNum w:abstractNumId="111">
    <w:nsid w:val="2123D5F2"/>
    <w:multiLevelType w:val="hybridMultilevel"/>
    <w:lvl w:ilvl="0">
      <w:lvlJc w:val="left"/>
      <w:lvlText w:val="(%1)"/>
      <w:numFmt w:val="decimal"/>
      <w:start w:val="1"/>
    </w:lvl>
  </w:abstractNum>
  <w:abstractNum w:abstractNumId="112">
    <w:nsid w:val="135B8110"/>
    <w:multiLevelType w:val="hybridMultilevel"/>
    <w:lvl w:ilvl="0">
      <w:lvlJc w:val="left"/>
      <w:lvlText w:val="(%1)"/>
      <w:numFmt w:val="lowerLetter"/>
      <w:start w:val="1"/>
    </w:lvl>
  </w:abstractNum>
  <w:abstractNum w:abstractNumId="113">
    <w:nsid w:val="94927A8"/>
    <w:multiLevelType w:val="hybridMultilevel"/>
    <w:lvl w:ilvl="0">
      <w:lvlJc w:val="left"/>
      <w:lvlText w:val="(%1)"/>
      <w:numFmt w:val="lowerLetter"/>
      <w:start w:val="8"/>
    </w:lvl>
  </w:abstractNum>
  <w:abstractNum w:abstractNumId="114">
    <w:nsid w:val="DCDF8F6"/>
    <w:multiLevelType w:val="hybridMultilevel"/>
    <w:lvl w:ilvl="0">
      <w:lvlJc w:val="left"/>
      <w:lvlText w:val="(%1)"/>
      <w:numFmt w:val="lowerLetter"/>
      <w:start w:val="19"/>
    </w:lvl>
  </w:abstractNum>
  <w:abstractNum w:abstractNumId="115">
    <w:nsid w:val="52D7B105"/>
    <w:multiLevelType w:val="hybridMultilevel"/>
    <w:lvl w:ilvl="0">
      <w:lvlJc w:val="left"/>
      <w:lvlText w:val="(%1)"/>
      <w:numFmt w:val="decimal"/>
      <w:start w:val="1"/>
    </w:lvl>
  </w:abstractNum>
  <w:abstractNum w:abstractNumId="116">
    <w:nsid w:val="2E8A6394"/>
    <w:multiLevelType w:val="hybridMultilevel"/>
    <w:lvl w:ilvl="0">
      <w:lvlJc w:val="left"/>
      <w:lvlText w:val="(%1)"/>
      <w:numFmt w:val="decimal"/>
      <w:start w:val="1"/>
    </w:lvl>
  </w:abstractNum>
  <w:abstractNum w:abstractNumId="117">
    <w:nsid w:val="24E60401"/>
    <w:multiLevelType w:val="hybridMultilevel"/>
    <w:lvl w:ilvl="0">
      <w:lvlJc w:val="left"/>
      <w:lvlText w:val="(%1)"/>
      <w:numFmt w:val="decimal"/>
      <w:start w:val="3"/>
    </w:lvl>
  </w:abstractNum>
  <w:abstractNum w:abstractNumId="118">
    <w:nsid w:val="2A6AD9BE"/>
    <w:multiLevelType w:val="hybridMultilevel"/>
    <w:lvl w:ilvl="0">
      <w:lvlJc w:val="left"/>
      <w:lvlText w:val="(%1)"/>
      <w:numFmt w:val="decimal"/>
      <w:start w:val="1"/>
    </w:lvl>
  </w:abstractNum>
  <w:abstractNum w:abstractNumId="119">
    <w:nsid w:val="BAAC1B4"/>
    <w:multiLevelType w:val="hybridMultilevel"/>
    <w:lvl w:ilvl="0">
      <w:lvlJc w:val="left"/>
      <w:lvlText w:val="(%1)"/>
      <w:numFmt w:val="decimal"/>
      <w:start w:val="1"/>
    </w:lvl>
  </w:abstractNum>
  <w:abstractNum w:abstractNumId="120">
    <w:nsid w:val="36B2ACBC"/>
    <w:multiLevelType w:val="hybridMultilevel"/>
    <w:lvl w:ilvl="0">
      <w:lvlJc w:val="left"/>
      <w:lvlText w:val="(%1)"/>
      <w:numFmt w:val="decimal"/>
      <w:start w:val="2"/>
    </w:lvl>
  </w:abstractNum>
  <w:abstractNum w:abstractNumId="121">
    <w:nsid w:val="779D8544"/>
    <w:multiLevelType w:val="hybridMultilevel"/>
    <w:lvl w:ilvl="0">
      <w:lvlJc w:val="left"/>
      <w:lvlText w:val="(%1)"/>
      <w:numFmt w:val="decimal"/>
      <w:start w:val="1"/>
    </w:lvl>
  </w:abstractNum>
  <w:abstractNum w:abstractNumId="122">
    <w:nsid w:val="4AB26E78"/>
    <w:multiLevelType w:val="hybridMultilevel"/>
    <w:lvl w:ilvl="0">
      <w:lvlJc w:val="left"/>
      <w:lvlText w:val="(%1)"/>
      <w:numFmt w:val="lowerRoman"/>
      <w:start w:val="2"/>
    </w:lvl>
  </w:abstractNum>
  <w:abstractNum w:abstractNumId="123">
    <w:nsid w:val="21FAA2FA"/>
    <w:multiLevelType w:val="hybridMultilevel"/>
    <w:lvl w:ilvl="0">
      <w:lvlJc w:val="left"/>
      <w:lvlText w:val="(%1)"/>
      <w:numFmt w:val="decimal"/>
      <w:start w:val="1"/>
    </w:lvl>
  </w:abstractNum>
  <w:abstractNum w:abstractNumId="124">
    <w:nsid w:val="5451CF49"/>
    <w:multiLevelType w:val="hybridMultilevel"/>
    <w:lvl w:ilvl="0">
      <w:lvlJc w:val="left"/>
      <w:lvlText w:val="(%1)"/>
      <w:numFmt w:val="lowerLetter"/>
      <w:start w:val="1"/>
    </w:lvl>
  </w:abstractNum>
  <w:abstractNum w:abstractNumId="125">
    <w:nsid w:val="6181EF69"/>
    <w:multiLevelType w:val="hybridMultilevel"/>
    <w:lvl w:ilvl="0">
      <w:lvlJc w:val="left"/>
      <w:lvlText w:val="(%1)"/>
      <w:numFmt w:val="decimal"/>
      <w:start w:val="2"/>
    </w:lvl>
  </w:abstractNum>
  <w:abstractNum w:abstractNumId="126">
    <w:nsid w:val="3E6400E6"/>
    <w:multiLevelType w:val="hybridMultilevel"/>
    <w:lvl w:ilvl="0">
      <w:lvlJc w:val="left"/>
      <w:lvlText w:val="(%1)"/>
      <w:numFmt w:val="decimal"/>
      <w:start w:val="1"/>
    </w:lvl>
  </w:abstractNum>
  <w:abstractNum w:abstractNumId="127">
    <w:nsid w:val="14217E23"/>
    <w:multiLevelType w:val="hybridMultilevel"/>
    <w:lvl w:ilvl="0">
      <w:lvlJc w:val="left"/>
      <w:lvlText w:val="(%1)"/>
      <w:numFmt w:val="decimal"/>
      <w:start w:val="1"/>
    </w:lvl>
  </w:abstractNum>
  <w:abstractNum w:abstractNumId="128">
    <w:nsid w:val="710757D0"/>
    <w:multiLevelType w:val="hybridMultilevel"/>
    <w:lvl w:ilvl="0">
      <w:lvlJc w:val="left"/>
      <w:lvlText w:val="(%1)"/>
      <w:numFmt w:val="decimal"/>
      <w:start w:val="2"/>
    </w:lvl>
  </w:abstractNum>
  <w:abstractNum w:abstractNumId="129">
    <w:nsid w:val="5015CD1A"/>
    <w:multiLevelType w:val="hybridMultilevel"/>
    <w:lvl w:ilvl="0">
      <w:lvlJc w:val="left"/>
      <w:lvlText w:val="(%1)"/>
      <w:numFmt w:val="decimal"/>
      <w:start w:val="1"/>
    </w:lvl>
  </w:abstractNum>
  <w:abstractNum w:abstractNumId="130">
    <w:nsid w:val="424479DA"/>
    <w:multiLevelType w:val="hybridMultilevel"/>
    <w:lvl w:ilvl="0">
      <w:lvlJc w:val="left"/>
      <w:lvlText w:val="(%1)"/>
      <w:numFmt w:val="decimal"/>
      <w:start w:val="1"/>
    </w:lvl>
  </w:abstractNum>
  <w:abstractNum w:abstractNumId="131">
    <w:nsid w:val="1A9A9E69"/>
    <w:multiLevelType w:val="hybridMultilevel"/>
    <w:lvl w:ilvl="0">
      <w:lvlJc w:val="left"/>
      <w:lvlText w:val="(%1)"/>
      <w:numFmt w:val="lowerLetter"/>
      <w:start w:val="1"/>
    </w:lvl>
  </w:abstractNum>
  <w:abstractNum w:abstractNumId="132">
    <w:nsid w:val="475E256A"/>
    <w:multiLevelType w:val="hybridMultilevel"/>
    <w:lvl w:ilvl="0">
      <w:lvlJc w:val="left"/>
      <w:lvlText w:val="(%1)"/>
      <w:numFmt w:val="lowerLetter"/>
      <w:start w:val="4"/>
    </w:lvl>
  </w:abstractNum>
  <w:abstractNum w:abstractNumId="133">
    <w:nsid w:val="368DB37E"/>
    <w:multiLevelType w:val="hybridMultilevel"/>
    <w:lvl w:ilvl="0">
      <w:lvlJc w:val="left"/>
      <w:lvlText w:val="(%1)"/>
      <w:numFmt w:val="lowerRoman"/>
      <w:start w:val="2"/>
    </w:lvl>
  </w:abstractNum>
  <w:abstractNum w:abstractNumId="134">
    <w:nsid w:val="6A3B714C"/>
    <w:multiLevelType w:val="hybridMultilevel"/>
    <w:lvl w:ilvl="0">
      <w:lvlJc w:val="left"/>
      <w:lvlText w:val="(%1)"/>
      <w:numFmt w:val="decimal"/>
      <w:start w:val="2"/>
    </w:lvl>
  </w:abstractNum>
  <w:abstractNum w:abstractNumId="135">
    <w:nsid w:val="327B517E"/>
    <w:multiLevelType w:val="hybridMultilevel"/>
    <w:lvl w:ilvl="0">
      <w:lvlJc w:val="left"/>
      <w:lvlText w:val="(%1)"/>
      <w:numFmt w:val="decimal"/>
      <w:start w:val="5"/>
    </w:lvl>
  </w:abstractNum>
  <w:abstractNum w:abstractNumId="136">
    <w:nsid w:val="1F461B51"/>
    <w:multiLevelType w:val="hybridMultilevel"/>
    <w:lvl w:ilvl="0">
      <w:lvlJc w:val="left"/>
      <w:lvlText w:val="(%1)"/>
      <w:numFmt w:val="decimal"/>
      <w:start w:val="3"/>
    </w:lvl>
  </w:abstractNum>
  <w:abstractNum w:abstractNumId="137">
    <w:nsid w:val="29BACF25"/>
    <w:multiLevelType w:val="hybridMultilevel"/>
    <w:lvl w:ilvl="0">
      <w:lvlJc w:val="left"/>
      <w:lvlText w:val="(%1)"/>
      <w:numFmt w:val="decimal"/>
      <w:start w:val="4"/>
    </w:lvl>
  </w:abstractNum>
  <w:abstractNum w:abstractNumId="138">
    <w:nsid w:val="5D5BABB3"/>
    <w:multiLevelType w:val="hybridMultilevel"/>
    <w:lvl w:ilvl="0">
      <w:lvlJc w:val="left"/>
      <w:lvlText w:val="(%1)"/>
      <w:numFmt w:val="decimal"/>
      <w:start w:val="1"/>
    </w:lvl>
  </w:abstractNum>
  <w:abstractNum w:abstractNumId="139">
    <w:nsid w:val="51BF6B48"/>
    <w:multiLevelType w:val="hybridMultilevel"/>
    <w:lvl w:ilvl="0">
      <w:lvlJc w:val="left"/>
      <w:lvlText w:val="(%1)"/>
      <w:numFmt w:val="decimal"/>
      <w:start w:val="2"/>
    </w:lvl>
  </w:abstractNum>
  <w:abstractNum w:abstractNumId="140">
    <w:nsid w:val="7E0F6384"/>
    <w:multiLevelType w:val="hybridMultilevel"/>
    <w:lvl w:ilvl="0">
      <w:lvlJc w:val="left"/>
      <w:lvlText w:val="(%1)"/>
      <w:numFmt w:val="decimal"/>
      <w:start w:val="1"/>
    </w:lvl>
  </w:abstractNum>
  <w:abstractNum w:abstractNumId="141">
    <w:nsid w:val="2B4B8B53"/>
    <w:multiLevelType w:val="hybridMultilevel"/>
    <w:lvl w:ilvl="0">
      <w:lvlJc w:val="left"/>
      <w:lvlText w:val="(%1)"/>
      <w:numFmt w:val="decimal"/>
      <w:start w:val="1"/>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upperLetter"/>
      <w:start w:val="1"/>
    </w:lvl>
  </w:abstractNum>
  <w:abstractNum w:abstractNumId="144">
    <w:nsid w:val="3494B2FB"/>
    <w:multiLevelType w:val="hybridMultilevel"/>
    <w:lvl w:ilvl="0">
      <w:lvlJc w:val="left"/>
      <w:lvlText w:val="(%1)"/>
      <w:numFmt w:val="lowerLetter"/>
      <w:start w:val="2"/>
    </w:lvl>
  </w:abstractNum>
  <w:abstractNum w:abstractNumId="145">
    <w:nsid w:val="B13A31"/>
    <w:multiLevelType w:val="hybridMultilevel"/>
    <w:lvl w:ilvl="0">
      <w:lvlJc w:val="left"/>
      <w:lvlText w:val="(%1)"/>
      <w:numFmt w:val="decimal"/>
      <w:start w:val="1"/>
    </w:lvl>
  </w:abstractNum>
  <w:abstractNum w:abstractNumId="146">
    <w:nsid w:val="64429599"/>
    <w:multiLevelType w:val="hybridMultilevel"/>
    <w:lvl w:ilvl="0">
      <w:lvlJc w:val="left"/>
      <w:lvlText w:val="(%1)"/>
      <w:numFmt w:val="decimal"/>
      <w:start w:val="5"/>
    </w:lvl>
  </w:abstractNum>
  <w:abstractNum w:abstractNumId="147">
    <w:nsid w:val="631F1690"/>
    <w:multiLevelType w:val="hybridMultilevel"/>
    <w:lvl w:ilvl="0">
      <w:lvlJc w:val="left"/>
      <w:lvlText w:val="(%1)"/>
      <w:numFmt w:val="decimal"/>
      <w:start w:val="1"/>
    </w:lvl>
  </w:abstractNum>
  <w:abstractNum w:abstractNumId="148">
    <w:nsid w:val="25973E32"/>
    <w:multiLevelType w:val="hybridMultilevel"/>
    <w:lvl w:ilvl="0">
      <w:lvlJc w:val="left"/>
      <w:lvlText w:val="(%1)"/>
      <w:numFmt w:val="decimal"/>
      <w:start w:val="1"/>
    </w:lvl>
  </w:abstractNum>
  <w:abstractNum w:abstractNumId="149">
    <w:nsid w:val="EAD6F57"/>
    <w:multiLevelType w:val="hybridMultilevel"/>
    <w:lvl w:ilvl="0">
      <w:lvlJc w:val="left"/>
      <w:lvlText w:val="(%1)"/>
      <w:numFmt w:val="decimal"/>
      <w:start w:val="1"/>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decimal"/>
      <w:start w:val="3"/>
    </w:lvl>
  </w:abstractNum>
  <w:abstractNum w:abstractNumId="152">
    <w:nsid w:val="64AF49B"/>
    <w:multiLevelType w:val="hybridMultilevel"/>
    <w:lvl w:ilvl="0">
      <w:lvlJc w:val="left"/>
      <w:lvlText w:val="(%1)"/>
      <w:numFmt w:val="decimal"/>
      <w:start w:val="1"/>
    </w:lvl>
  </w:abstractNum>
  <w:abstractNum w:abstractNumId="153">
    <w:nsid w:val="397C46BC"/>
    <w:multiLevelType w:val="hybridMultilevel"/>
    <w:lvl w:ilvl="0">
      <w:lvlJc w:val="left"/>
      <w:lvlText w:val="(%1)"/>
      <w:numFmt w:val="decimal"/>
      <w:start w:val="3"/>
    </w:lvl>
  </w:abstractNum>
  <w:abstractNum w:abstractNumId="154">
    <w:nsid w:val="7E448DE9"/>
    <w:multiLevelType w:val="hybridMultilevel"/>
    <w:lvl w:ilvl="0">
      <w:lvlJc w:val="left"/>
      <w:lvlText w:val="(%1)"/>
      <w:numFmt w:val="decimal"/>
      <w:start w:val="1"/>
    </w:lvl>
  </w:abstractNum>
  <w:abstractNum w:abstractNumId="155">
    <w:nsid w:val="5A9CC3E5"/>
    <w:multiLevelType w:val="hybridMultilevel"/>
    <w:lvl w:ilvl="0">
      <w:lvlJc w:val="left"/>
      <w:lvlText w:val="(%1)"/>
      <w:numFmt w:val="decimal"/>
      <w:start w:val="1"/>
    </w:lvl>
  </w:abstractNum>
  <w:abstractNum w:abstractNumId="156">
    <w:nsid w:val="1AFE3625"/>
    <w:multiLevelType w:val="hybridMultilevel"/>
    <w:lvl w:ilvl="0">
      <w:lvlJc w:val="left"/>
      <w:lvlText w:val="(%1)"/>
      <w:numFmt w:val="decimal"/>
      <w:start w:val="5"/>
    </w:lvl>
  </w:abstractNum>
  <w:abstractNum w:abstractNumId="157">
    <w:nsid w:val="3CA88ECF"/>
    <w:multiLevelType w:val="hybridMultilevel"/>
    <w:lvl w:ilvl="0">
      <w:lvlJc w:val="left"/>
      <w:lvlText w:val="(%1)"/>
      <w:numFmt w:val="decimal"/>
      <w:start w:val="1"/>
    </w:lvl>
  </w:abstractNum>
  <w:abstractNum w:abstractNumId="158">
    <w:nsid w:val="6EBE4208"/>
    <w:multiLevelType w:val="hybridMultilevel"/>
    <w:lvl w:ilvl="0">
      <w:lvlJc w:val="left"/>
      <w:lvlText w:val="(%1)"/>
      <w:numFmt w:val="decimal"/>
      <w:start w:val="1"/>
    </w:lvl>
  </w:abstractNum>
  <w:abstractNum w:abstractNumId="159">
    <w:nsid w:val="C058DF5"/>
    <w:multiLevelType w:val="hybridMultilevel"/>
    <w:lvl w:ilvl="0">
      <w:lvlJc w:val="left"/>
      <w:lvlText w:val="2"/>
      <w:numFmt w:val="bullet"/>
      <w:start w:val="1"/>
    </w:lvl>
  </w:abstractNum>
  <w:abstractNum w:abstractNumId="160">
    <w:nsid w:val="CBE5BE9"/>
    <w:multiLevelType w:val="hybridMultilevel"/>
    <w:lvl w:ilvl="0">
      <w:lvlJc w:val="left"/>
      <w:lvlText w:val="1"/>
      <w:numFmt w:val="bullet"/>
      <w:start w:val="1"/>
    </w:lvl>
  </w:abstractNum>
  <w:abstractNum w:abstractNumId="161">
    <w:nsid w:val="3102BBE2"/>
    <w:multiLevelType w:val="hybridMultilevel"/>
    <w:lvl w:ilvl="0">
      <w:lvlJc w:val="left"/>
      <w:lvlText w:val="(%1)"/>
      <w:numFmt w:val="decimal"/>
      <w:start w:val="1"/>
    </w:lvl>
  </w:abstractNum>
  <w:abstractNum w:abstractNumId="162">
    <w:nsid w:val="26A02C5E"/>
    <w:multiLevelType w:val="hybridMultilevel"/>
    <w:lvl w:ilvl="0">
      <w:lvlJc w:val="left"/>
      <w:lvlText w:val="(%1)"/>
      <w:numFmt w:val="decimal"/>
      <w:start w:val="2"/>
    </w:lvl>
  </w:abstractNum>
  <w:abstractNum w:abstractNumId="163">
    <w:nsid w:val="541C8153"/>
    <w:multiLevelType w:val="hybridMultilevel"/>
    <w:lvl w:ilvl="0">
      <w:lvlJc w:val="left"/>
      <w:lvlText w:val="(%1)"/>
      <w:numFmt w:val="decimal"/>
      <w:start w:val="1"/>
    </w:lvl>
  </w:abstractNum>
  <w:abstractNum w:abstractNumId="164">
    <w:nsid w:val="67906F60"/>
    <w:multiLevelType w:val="hybridMultilevel"/>
    <w:lvl w:ilvl="0">
      <w:lvlJc w:val="left"/>
      <w:lvlText w:val="(%1)"/>
      <w:numFmt w:val="lowerLetter"/>
      <w:start w:val="1"/>
    </w:lvl>
  </w:abstractNum>
  <w:abstractNum w:abstractNumId="165">
    <w:nsid w:val="10DB9DAA"/>
    <w:multiLevelType w:val="hybridMultilevel"/>
    <w:lvl w:ilvl="0">
      <w:lvlJc w:val="left"/>
      <w:lvlText w:val="(%1)"/>
      <w:numFmt w:val="lowerLetter"/>
      <w:start w:val="8"/>
    </w:lvl>
  </w:abstractNum>
  <w:abstractNum w:abstractNumId="166">
    <w:nsid w:val="697D2D2"/>
    <w:multiLevelType w:val="hybridMultilevel"/>
    <w:lvl w:ilvl="0">
      <w:lvlJc w:val="left"/>
      <w:lvlText w:val="(%1)"/>
      <w:numFmt w:val="lowerLetter"/>
      <w:start w:val="19"/>
    </w:lvl>
  </w:abstractNum>
  <w:abstractNum w:abstractNumId="167">
    <w:nsid w:val="6D68AB2"/>
    <w:multiLevelType w:val="hybridMultilevel"/>
    <w:lvl w:ilvl="0">
      <w:lvlJc w:val="left"/>
      <w:lvlText w:val="(%1)"/>
      <w:numFmt w:val="decimal"/>
      <w:start w:val="1"/>
    </w:lvl>
  </w:abstractNum>
  <w:abstractNum w:abstractNumId="168">
    <w:nsid w:val="3A966CD0"/>
    <w:multiLevelType w:val="hybridMultilevel"/>
    <w:lvl w:ilvl="0">
      <w:lvlJc w:val="left"/>
      <w:lvlText w:val="(%1)"/>
      <w:numFmt w:val="decimal"/>
      <w:start w:val="1"/>
    </w:lvl>
  </w:abstractNum>
  <w:abstractNum w:abstractNumId="169">
    <w:nsid w:val="63F37E85"/>
    <w:multiLevelType w:val="hybridMultilevel"/>
    <w:lvl w:ilvl="0">
      <w:lvlJc w:val="left"/>
      <w:lvlText w:val="(%1)"/>
      <w:numFmt w:val="decimal"/>
      <w:start w:val="3"/>
    </w:lvl>
  </w:abstractNum>
  <w:abstractNum w:abstractNumId="170">
    <w:nsid w:val="5895F5FA"/>
    <w:multiLevelType w:val="hybridMultilevel"/>
    <w:lvl w:ilvl="0">
      <w:lvlJc w:val="left"/>
      <w:lvlText w:val="(%1)"/>
      <w:numFmt w:val="decimal"/>
      <w:start w:val="1"/>
    </w:lvl>
  </w:abstractNum>
  <w:abstractNum w:abstractNumId="171">
    <w:nsid w:val="38A5D054"/>
    <w:multiLevelType w:val="hybridMultilevel"/>
    <w:lvl w:ilvl="0">
      <w:lvlJc w:val="left"/>
      <w:lvlText w:val="(%1)"/>
      <w:numFmt w:val="decimal"/>
      <w:start w:val="1"/>
    </w:lvl>
  </w:abstractNum>
  <w:abstractNum w:abstractNumId="172">
    <w:nsid w:val="F3F09D8"/>
    <w:multiLevelType w:val="hybridMultilevel"/>
    <w:lvl w:ilvl="0">
      <w:lvlJc w:val="left"/>
      <w:lvlText w:val="(%1)"/>
      <w:numFmt w:val="decimal"/>
      <w:start w:val="2"/>
    </w:lvl>
  </w:abstractNum>
  <w:abstractNum w:abstractNumId="173">
    <w:nsid w:val="4B793735"/>
    <w:multiLevelType w:val="hybridMultilevel"/>
    <w:lvl w:ilvl="0">
      <w:lvlJc w:val="left"/>
      <w:lvlText w:val="(%1)"/>
      <w:numFmt w:val="decimal"/>
      <w:start w:val="1"/>
    </w:lvl>
  </w:abstractNum>
  <w:abstractNum w:abstractNumId="174">
    <w:nsid w:val="4A10B4E8"/>
    <w:multiLevelType w:val="hybridMultilevel"/>
    <w:lvl w:ilvl="0">
      <w:lvlJc w:val="left"/>
      <w:lvlText w:val="(%1)"/>
      <w:numFmt w:val="decimal"/>
      <w:start w:val="2"/>
    </w:lvl>
  </w:abstractNum>
  <w:abstractNum w:abstractNumId="175">
    <w:nsid w:val="43D3BCD4"/>
    <w:multiLevelType w:val="hybridMultilevel"/>
    <w:lvl w:ilvl="0">
      <w:lvlJc w:val="left"/>
      <w:lvlText w:val="(%1)"/>
      <w:numFmt w:val="lowerRoman"/>
      <w:start w:val="2"/>
    </w:lvl>
  </w:abstractNum>
  <w:abstractNum w:abstractNumId="176">
    <w:nsid w:val="4C2A7166"/>
    <w:multiLevelType w:val="hybridMultilevel"/>
    <w:lvl w:ilvl="0">
      <w:lvlJc w:val="left"/>
      <w:lvlText w:val="(%1)"/>
      <w:numFmt w:val="decimal"/>
      <w:start w:val="1"/>
    </w:lvl>
  </w:abstractNum>
  <w:abstractNum w:abstractNumId="177">
    <w:nsid w:val="2E534A82"/>
    <w:multiLevelType w:val="hybridMultilevel"/>
    <w:lvl w:ilvl="0">
      <w:lvlJc w:val="left"/>
      <w:lvlText w:val="(%1)"/>
      <w:numFmt w:val="lowerLetter"/>
      <w:start w:val="1"/>
    </w:lvl>
  </w:abstractNum>
  <w:abstractNum w:abstractNumId="178">
    <w:nsid w:val="26F2D364"/>
    <w:multiLevelType w:val="hybridMultilevel"/>
    <w:lvl w:ilvl="0">
      <w:lvlJc w:val="left"/>
      <w:lvlText w:val="(%1)"/>
      <w:numFmt w:val="decimal"/>
      <w:start w:val="2"/>
    </w:lvl>
  </w:abstractNum>
  <w:abstractNum w:abstractNumId="179">
    <w:nsid w:val="71C1AF98"/>
    <w:multiLevelType w:val="hybridMultilevel"/>
    <w:lvl w:ilvl="0">
      <w:lvlJc w:val="left"/>
      <w:lvlText w:val="(%1)"/>
      <w:numFmt w:val="decimal"/>
      <w:start w:val="3"/>
    </w:lvl>
  </w:abstractNum>
  <w:abstractNum w:abstractNumId="180">
    <w:nsid w:val="3D00B9D9"/>
    <w:multiLevelType w:val="hybridMultilevel"/>
    <w:lvl w:ilvl="0">
      <w:lvlJc w:val="left"/>
      <w:lvlText w:val="(%1)"/>
      <w:numFmt w:val="decimal"/>
      <w:start w:val="1"/>
    </w:lvl>
  </w:abstractNum>
  <w:abstractNum w:abstractNumId="181">
    <w:nsid w:val="15BCABA8"/>
    <w:multiLevelType w:val="hybridMultilevel"/>
    <w:lvl w:ilvl="0">
      <w:lvlJc w:val="left"/>
      <w:lvlText w:val="(%1)"/>
      <w:numFmt w:val="decimal"/>
      <w:start w:val="1"/>
    </w:lvl>
  </w:abstractNum>
  <w:abstractNum w:abstractNumId="182">
    <w:nsid w:val="4E0B9A87"/>
    <w:multiLevelType w:val="hybridMultilevel"/>
    <w:lvl w:ilvl="0">
      <w:lvlJc w:val="left"/>
      <w:lvlText w:val="(%1)"/>
      <w:numFmt w:val="decimal"/>
      <w:start w:val="2"/>
    </w:lvl>
  </w:abstractNum>
  <w:abstractNum w:abstractNumId="183">
    <w:nsid w:val="434BAE75"/>
    <w:multiLevelType w:val="hybridMultilevel"/>
    <w:lvl w:ilvl="0">
      <w:lvlJc w:val="left"/>
      <w:lvlText w:val="(%1)"/>
      <w:numFmt w:val="decimal"/>
      <w:start w:val="1"/>
    </w:lvl>
  </w:abstractNum>
  <w:abstractNum w:abstractNumId="184">
    <w:nsid w:val="4F38F265"/>
    <w:multiLevelType w:val="hybridMultilevel"/>
    <w:lvl w:ilvl="0">
      <w:lvlJc w:val="left"/>
      <w:lvlText w:val="(%1)"/>
      <w:numFmt w:val="decimal"/>
      <w:start w:val="1"/>
    </w:lvl>
  </w:abstractNum>
  <w:abstractNum w:abstractNumId="185">
    <w:nsid w:val="4C502870"/>
    <w:multiLevelType w:val="hybridMultilevel"/>
    <w:lvl w:ilvl="0">
      <w:lvlJc w:val="left"/>
      <w:lvlText w:val="(%1)"/>
      <w:numFmt w:val="lowerLetter"/>
      <w:start w:val="1"/>
    </w:lvl>
  </w:abstractNum>
  <w:abstractNum w:abstractNumId="186">
    <w:nsid w:val="1DE8725A"/>
    <w:multiLevelType w:val="hybridMultilevel"/>
    <w:lvl w:ilvl="0">
      <w:lvlJc w:val="left"/>
      <w:lvlText w:val="(%1)"/>
      <w:numFmt w:val="lowerLetter"/>
      <w:start w:val="4"/>
    </w:lvl>
  </w:abstractNum>
  <w:abstractNum w:abstractNumId="187">
    <w:nsid w:val="6A37288A"/>
    <w:multiLevelType w:val="hybridMultilevel"/>
    <w:lvl w:ilvl="0">
      <w:lvlJc w:val="left"/>
      <w:lvlText w:val="(%1)"/>
      <w:numFmt w:val="lowerRoman"/>
      <w:start w:val="2"/>
    </w:lvl>
  </w:abstractNum>
  <w:abstractNum w:abstractNumId="188">
    <w:nsid w:val="8F8B73F"/>
    <w:multiLevelType w:val="hybridMultilevel"/>
    <w:lvl w:ilvl="0">
      <w:lvlJc w:val="left"/>
      <w:lvlText w:val="(%1)"/>
      <w:numFmt w:val="decimal"/>
      <w:start w:val="2"/>
    </w:lvl>
  </w:abstractNum>
  <w:abstractNum w:abstractNumId="189">
    <w:nsid w:val="CA6B462"/>
    <w:multiLevelType w:val="hybridMultilevel"/>
    <w:lvl w:ilvl="0">
      <w:lvlJc w:val="left"/>
      <w:lvlText w:val="(%1)"/>
      <w:numFmt w:val="decimal"/>
      <w:start w:val="5"/>
    </w:lvl>
  </w:abstractNum>
  <w:abstractNum w:abstractNumId="190">
    <w:nsid w:val="763CB680"/>
    <w:multiLevelType w:val="hybridMultilevel"/>
    <w:lvl w:ilvl="0">
      <w:lvlJc w:val="left"/>
      <w:lvlText w:val="(%1)"/>
      <w:numFmt w:val="decimal"/>
      <w:start w:val="3"/>
    </w:lvl>
  </w:abstractNum>
  <w:abstractNum w:abstractNumId="191">
    <w:nsid w:val="15B71329"/>
    <w:multiLevelType w:val="hybridMultilevel"/>
    <w:lvl w:ilvl="0">
      <w:lvlJc w:val="left"/>
      <w:lvlText w:val="(%1)"/>
      <w:numFmt w:val="decimal"/>
      <w:start w:val="4"/>
    </w:lvl>
  </w:abstractNum>
  <w:abstractNum w:abstractNumId="192">
    <w:nsid w:val="3DA97044"/>
    <w:multiLevelType w:val="hybridMultilevel"/>
    <w:lvl w:ilvl="0">
      <w:lvlJc w:val="left"/>
      <w:lvlText w:val="(%1)"/>
      <w:numFmt w:val="decimal"/>
      <w:start w:val="1"/>
    </w:lvl>
  </w:abstractNum>
  <w:abstractNum w:abstractNumId="193">
    <w:nsid w:val="1CDCE2DE"/>
    <w:multiLevelType w:val="hybridMultilevel"/>
    <w:lvl w:ilvl="0">
      <w:lvlJc w:val="left"/>
      <w:lvlText w:val="(%1)"/>
      <w:numFmt w:val="decimal"/>
      <w:start w:val="2"/>
    </w:lvl>
  </w:abstractNum>
  <w:abstractNum w:abstractNumId="194">
    <w:nsid w:val="69D3947C"/>
    <w:multiLevelType w:val="hybridMultilevel"/>
    <w:lvl w:ilvl="0">
      <w:lvlJc w:val="left"/>
      <w:lvlText w:val="(%1)"/>
      <w:numFmt w:val="decimal"/>
      <w:start w:val="1"/>
    </w:lvl>
  </w:abstractNum>
  <w:abstractNum w:abstractNumId="195">
    <w:nsid w:val="2539DFA5"/>
    <w:multiLevelType w:val="hybridMultilevel"/>
    <w:lvl w:ilvl="0">
      <w:lvlJc w:val="left"/>
      <w:lvlText w:val="(%1)"/>
      <w:numFmt w:val="decimal"/>
      <w:start w:val="1"/>
    </w:lvl>
  </w:abstractNum>
  <w:abstractNum w:abstractNumId="196">
    <w:nsid w:val="2DB88089"/>
    <w:multiLevelType w:val="hybridMultilevel"/>
    <w:lvl w:ilvl="0">
      <w:lvlJc w:val="left"/>
      <w:lvlText w:val="(%1)"/>
      <w:numFmt w:val="lowerLetter"/>
      <w:start w:val="1"/>
    </w:lvl>
  </w:abstractNum>
  <w:abstractNum w:abstractNumId="197">
    <w:nsid w:val="706B674E"/>
    <w:multiLevelType w:val="hybridMultilevel"/>
    <w:lvl w:ilvl="0">
      <w:lvlJc w:val="left"/>
      <w:lvlText w:val="(%1)"/>
      <w:numFmt w:val="upperLetter"/>
      <w:start w:val="1"/>
    </w:lvl>
  </w:abstractNum>
  <w:abstractNum w:abstractNumId="198">
    <w:nsid w:val="2C106A57"/>
    <w:multiLevelType w:val="hybridMultilevel"/>
    <w:lvl w:ilvl="0">
      <w:lvlJc w:val="left"/>
      <w:lvlText w:val="(%1)"/>
      <w:numFmt w:val="lowerLetter"/>
      <w:start w:val="2"/>
    </w:lvl>
  </w:abstractNum>
  <w:abstractNum w:abstractNumId="199">
    <w:nsid w:val="684EED59"/>
    <w:multiLevelType w:val="hybridMultilevel"/>
    <w:lvl w:ilvl="0">
      <w:lvlJc w:val="left"/>
      <w:lvlText w:val="(%1)"/>
      <w:numFmt w:val="decimal"/>
      <w:start w:val="1"/>
    </w:lvl>
  </w:abstractNum>
  <w:abstractNum w:abstractNumId="200">
    <w:nsid w:val="545EE5D3"/>
    <w:multiLevelType w:val="hybridMultilevel"/>
    <w:lvl w:ilvl="0">
      <w:lvlJc w:val="left"/>
      <w:lvlText w:val="(%1)"/>
      <w:numFmt w:val="decimal"/>
      <w:start w:val="5"/>
    </w:lvl>
  </w:abstractNum>
  <w:abstractNum w:abstractNumId="201">
    <w:nsid w:val="4A66051"/>
    <w:multiLevelType w:val="hybridMultilevel"/>
    <w:lvl w:ilvl="0">
      <w:lvlJc w:val="left"/>
      <w:lvlText w:val="(%1)"/>
      <w:numFmt w:val="decimal"/>
      <w:start w:val="1"/>
    </w:lvl>
  </w:abstractNum>
  <w:abstractNum w:abstractNumId="202">
    <w:nsid w:val="20F4BDAD"/>
    <w:multiLevelType w:val="hybridMultilevel"/>
    <w:lvl w:ilvl="0">
      <w:lvlJc w:val="left"/>
      <w:lvlText w:val="(%1)"/>
      <w:numFmt w:val="decimal"/>
      <w:start w:val="1"/>
    </w:lvl>
  </w:abstractNum>
  <w:abstractNum w:abstractNumId="203">
    <w:nsid w:val="639DEFAC"/>
    <w:multiLevelType w:val="hybridMultilevel"/>
    <w:lvl w:ilvl="0">
      <w:lvlJc w:val="left"/>
      <w:lvlText w:val="(%1)"/>
      <w:numFmt w:val="decimal"/>
      <w:start w:val="1"/>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lowerLetter"/>
      <w:start w:val="2"/>
    </w:lvl>
  </w:abstractNum>
  <w:abstractNum w:abstractNumId="206">
    <w:nsid w:val="2771AC80"/>
    <w:multiLevelType w:val="hybridMultilevel"/>
    <w:lvl w:ilvl="0">
      <w:lvlJc w:val="left"/>
      <w:lvlText w:val="(%1)"/>
      <w:numFmt w:val="decimal"/>
      <w:start w:val="3"/>
    </w:lvl>
  </w:abstractNum>
  <w:abstractNum w:abstractNumId="207">
    <w:nsid w:val="1C4A08EC"/>
    <w:multiLevelType w:val="hybridMultilevel"/>
    <w:lvl w:ilvl="0">
      <w:lvlJc w:val="left"/>
      <w:lvlText w:val="(%1)"/>
      <w:numFmt w:val="decimal"/>
      <w:start w:val="1"/>
    </w:lvl>
  </w:abstractNum>
  <w:abstractNum w:abstractNumId="208">
    <w:nsid w:val="1958BD17"/>
    <w:multiLevelType w:val="hybridMultilevel"/>
    <w:lvl w:ilvl="0">
      <w:lvlJc w:val="left"/>
      <w:lvlText w:val="(%1)"/>
      <w:numFmt w:val="decimal"/>
      <w:start w:val="3"/>
    </w:lvl>
  </w:abstractNum>
  <w:abstractNum w:abstractNumId="209">
    <w:nsid w:val="4E647FE4"/>
    <w:multiLevelType w:val="hybridMultilevel"/>
    <w:lvl w:ilvl="0">
      <w:lvlJc w:val="left"/>
      <w:lvlText w:val="(%1)"/>
      <w:numFmt w:val="decimal"/>
      <w:start w:val="1"/>
    </w:lvl>
  </w:abstractNum>
  <w:abstractNum w:abstractNumId="210">
    <w:nsid w:val="E0BB885"/>
    <w:multiLevelType w:val="hybridMultilevel"/>
    <w:lvl w:ilvl="0">
      <w:lvlJc w:val="left"/>
      <w:lvlText w:val="(%1)"/>
      <w:numFmt w:val="decimal"/>
      <w:start w:val="1"/>
    </w:lvl>
  </w:abstractNum>
  <w:abstractNum w:abstractNumId="211">
    <w:nsid w:val="565976F1"/>
    <w:multiLevelType w:val="hybridMultilevel"/>
    <w:lvl w:ilvl="0">
      <w:lvlJc w:val="left"/>
      <w:lvlText w:val="(%1)"/>
      <w:numFmt w:val="decimal"/>
      <w:start w:val="7"/>
    </w:lvl>
  </w:abstractNum>
  <w:abstractNum w:abstractNumId="212">
    <w:nsid w:val="64212B8C"/>
    <w:multiLevelType w:val="hybridMultilevel"/>
    <w:lvl w:ilvl="0">
      <w:lvlJc w:val="left"/>
      <w:lvlText w:val="(%1)"/>
      <w:numFmt w:val="decimal"/>
      <w:start w:val="1"/>
    </w:lvl>
  </w:abstractNum>
  <w:abstractNum w:abstractNumId="213">
    <w:nsid w:val="5C17530C"/>
    <w:multiLevelType w:val="hybridMultilevel"/>
    <w:lvl w:ilvl="0">
      <w:lvlJc w:val="left"/>
      <w:lvlText w:val="(%1)"/>
      <w:numFmt w:val="decimal"/>
      <w:start w:val="1"/>
    </w:lvl>
  </w:abstractNum>
  <w:abstractNum w:abstractNumId="214">
    <w:nsid w:val="19A52566"/>
    <w:multiLevelType w:val="hybridMultilevel"/>
    <w:lvl w:ilvl="0">
      <w:lvlJc w:val="left"/>
      <w:lvlText w:val="(%1)"/>
      <w:numFmt w:val="decimal"/>
      <w:start w:val="2"/>
    </w:lvl>
  </w:abstractNum>
  <w:abstractNum w:abstractNumId="215">
    <w:nsid w:val="335A1DF1"/>
    <w:multiLevelType w:val="hybridMultilevel"/>
    <w:lvl w:ilvl="0">
      <w:lvlJc w:val="left"/>
      <w:lvlText w:val="2"/>
      <w:numFmt w:val="bullet"/>
      <w:start w:val="1"/>
    </w:lvl>
  </w:abstractNum>
  <w:abstractNum w:abstractNumId="216">
    <w:nsid w:val="28677B7C"/>
    <w:multiLevelType w:val="hybridMultilevel"/>
    <w:lvl w:ilvl="0">
      <w:lvlJc w:val="left"/>
      <w:lvlText w:val="(%1)"/>
      <w:numFmt w:val="lowerRoman"/>
      <w:start w:val="2"/>
    </w:lvl>
  </w:abstractNum>
  <w:abstractNum w:abstractNumId="217">
    <w:nsid w:val="378D97C0"/>
    <w:multiLevelType w:val="hybridMultilevel"/>
    <w:lvl w:ilvl="0">
      <w:lvlJc w:val="left"/>
      <w:lvlText w:val="•"/>
      <w:numFmt w:val="bullet"/>
      <w:start w:val="1"/>
    </w:lvl>
  </w:abstractNum>
  <w:abstractNum w:abstractNumId="218">
    <w:nsid w:val="1D91467C"/>
    <w:multiLevelType w:val="hybridMultilevel"/>
    <w:lvl w:ilvl="0">
      <w:lvlJc w:val="left"/>
      <w:lvlText w:val="%1."/>
      <w:numFmt w:val="decimal"/>
      <w:start w:val="1"/>
    </w:lvl>
  </w:abstractNum>
  <w:abstractNum w:abstractNumId="219">
    <w:nsid w:val="316032BB"/>
    <w:multiLevelType w:val="hybridMultilevel"/>
    <w:lvl w:ilvl="0">
      <w:lvlJc w:val="left"/>
      <w:lvlText w:val="%1."/>
      <w:numFmt w:val="decimal"/>
      <w:start w:val="4"/>
    </w:lvl>
  </w:abstractNum>
  <w:abstractNum w:abstractNumId="220">
    <w:nsid w:val="44344C22"/>
    <w:multiLevelType w:val="hybridMultilevel"/>
    <w:lvl w:ilvl="0">
      <w:lvlJc w:val="left"/>
      <w:lvlText w:val="1"/>
      <w:numFmt w:val="bullet"/>
      <w:start w:val="1"/>
    </w:lvl>
  </w:abstractNum>
  <w:abstractNum w:abstractNumId="221">
    <w:nsid w:val="13CDFCFC"/>
    <w:multiLevelType w:val="hybridMultilevel"/>
    <w:lvl w:ilvl="0">
      <w:lvlJc w:val="left"/>
      <w:lvlText w:val="2"/>
      <w:numFmt w:val="bullet"/>
      <w:start w:val="1"/>
    </w:lvl>
  </w:abstractNum>
  <w:abstractNum w:abstractNumId="222">
    <w:nsid w:val="471745E4"/>
    <w:multiLevelType w:val="hybridMultilevel"/>
    <w:lvl w:ilvl="0">
      <w:lvlJc w:val="left"/>
      <w:lvlText w:val="3"/>
      <w:numFmt w:val="bullet"/>
      <w:start w:val="1"/>
    </w:lvl>
  </w:abstractNum>
  <w:abstractNum w:abstractNumId="223">
    <w:nsid w:val="1DDBC66"/>
    <w:multiLevelType w:val="hybridMultilevel"/>
    <w:lvl w:ilvl="0">
      <w:lvlJc w:val="left"/>
      <w:lvlText w:val="4"/>
      <w:numFmt w:val="bullet"/>
      <w:start w:val="1"/>
    </w:lvl>
  </w:abstractNum>
  <w:abstractNum w:abstractNumId="224">
    <w:nsid w:val="30AADFDA"/>
    <w:multiLevelType w:val="hybridMultilevel"/>
    <w:lvl w:ilvl="0">
      <w:lvlJc w:val="left"/>
      <w:lvlText w:val="5"/>
      <w:numFmt w:val="bullet"/>
      <w:start w:val="1"/>
    </w:lvl>
  </w:abstractNum>
  <w:abstractNum w:abstractNumId="225">
    <w:nsid w:val="30EADA61"/>
    <w:multiLevelType w:val="hybridMultilevel"/>
    <w:lvl w:ilvl="0">
      <w:lvlJc w:val="left"/>
      <w:lvlText w:val="6"/>
      <w:numFmt w:val="bullet"/>
      <w:start w:val="1"/>
    </w:lvl>
  </w:abstractNum>
  <w:abstractNum w:abstractNumId="226">
    <w:nsid w:val="27179C0B"/>
    <w:multiLevelType w:val="hybridMultilevel"/>
    <w:lvl w:ilvl="0">
      <w:lvlJc w:val="left"/>
      <w:lvlText w:val="1"/>
      <w:numFmt w:val="bullet"/>
      <w:start w:val="1"/>
    </w:lvl>
  </w:abstractNum>
  <w:abstractNum w:abstractNumId="227">
    <w:nsid w:val="5E63606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jpe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jpe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51" Type="http://schemas.openxmlformats.org/officeDocument/2006/relationships/hyperlink" Target="http://www.sec.gov/ix?doc=/Archives/edgar/data/1819133/000095017025028353/tngx-20241231.htm" TargetMode="External"/><Relationship Id="rId52" Type="http://schemas.openxmlformats.org/officeDocument/2006/relationships/hyperlink" Target="http://www.sec.gov/ix?doc=/Archives/edgar/data/1819133/000095017025057632/tngx-20250424.htm" TargetMode="External"/><Relationship Id="rId53" Type="http://schemas.openxmlformats.org/officeDocument/2006/relationships/hyperlink" Target="http://www.sec.gov/ix?doc=/Archives/edgar/data/1819133/000095017025068549/tngx-20250331.htm" TargetMode="External"/><Relationship Id="rId54" Type="http://schemas.openxmlformats.org/officeDocument/2006/relationships/hyperlink" Target="http://www.sec.gov/ix?doc=/Archives/edgar/data/1819133/000095017025102392/tngx-20250630.htm" TargetMode="External"/><Relationship Id="rId55" Type="http://schemas.openxmlformats.org/officeDocument/2006/relationships/hyperlink" Target="http://www.sec.gov/ix?doc=/Archives/edgar/data/1819133/000119312525263680/tngx-20250930.htm" TargetMode="External"/><Relationship Id="rId56" Type="http://schemas.openxmlformats.org/officeDocument/2006/relationships/hyperlink" Target="http://www.sec.gov/ix?doc=/Archives/edgar/data/1819133/000119312525137032/d926935d8k.htm" TargetMode="External"/><Relationship Id="rId57" Type="http://schemas.openxmlformats.org/officeDocument/2006/relationships/hyperlink" Target="http://www.sec.gov/ix?doc=/Archives/edgar/data/1819133/000119312525187680/d88761d8k.htm" TargetMode="External"/><Relationship Id="rId58" Type="http://schemas.openxmlformats.org/officeDocument/2006/relationships/hyperlink" Target="http://www.sec.gov/ix?doc=/Archives/edgar/data/1819133/000119312525247658/d88744d8k.htm" TargetMode="External"/><Relationship Id="rId59" Type="http://schemas.openxmlformats.org/officeDocument/2006/relationships/hyperlink" Target="http://www.sec.gov/ix?doc=/Archives/edgar/data/1819133/000119312525249302/d80580d8k.htm" TargetMode="External"/><Relationship Id="rId60" Type="http://schemas.openxmlformats.org/officeDocument/2006/relationships/hyperlink" Target="http://www.sec.gov/Archives/edgar/data/1819133/000121390020024994/ea126358-8a12b_bctgacquis.htm" TargetMode="External"/><Relationship Id="rId61" Type="http://schemas.openxmlformats.org/officeDocument/2006/relationships/hyperlink" Target="http://www.sec.gov/Archives/edgar/data/1819133/000095017023009854/tngx-ex4_2.htm" TargetMode="External"/><Relationship Id="rId105" Type="http://schemas.openxmlformats.org/officeDocument/2006/relationships/hyperlink" Target="http://www.sec.gov/Archives/edgar/data/1819133/000095017024092274/tngx-ex3_1.htm" TargetMode="External"/><Relationship Id="rId106" Type="http://schemas.openxmlformats.org/officeDocument/2006/relationships/hyperlink" Target="http://www.sec.gov/Archives/edgar/data/1819133/000119312525137032/d926935dex31.htm" TargetMode="External"/><Relationship Id="rId107" Type="http://schemas.openxmlformats.org/officeDocument/2006/relationships/hyperlink" Target="http://www.sec.gov/Archives/edgar/data/1819133/000119312521298942/d211731dex42.htm" TargetMode="External"/><Relationship Id="rId108" Type="http://schemas.openxmlformats.org/officeDocument/2006/relationships/hyperlink" Target="http://www.sec.gov/Archives/edgar/data/1819133/000119312521246234/d203347dex102.htm" TargetMode="External"/><Relationship Id="rId109" Type="http://schemas.openxmlformats.org/officeDocument/2006/relationships/hyperlink" Target="http://www.sec.gov/Archives/edgar/data/1819133/000121390021037131/ea144230ex4-5_bctg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2025-11-21T07:38:54Z</dcterms:created>
  <dcterms:modified xsi:type="dcterms:W3CDTF">2025-11-21T07:38:54Z</dcterms:modified>
</cp:coreProperties>
</file>