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258445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248920</wp:posOffset>
            </wp:positionV>
            <wp:extent cx="146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231775</wp:posOffset>
            </wp:positionV>
            <wp:extent cx="1517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2760" w:type="dxa"/>
            <w:vAlign w:val="bottom"/>
          </w:tcPr>
          <w:p>
            <w:pPr>
              <w:jc w:val="center"/>
              <w:ind w:right="123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35"/>
        </w:trPr>
        <w:tc>
          <w:tcPr>
            <w:tcW w:w="2760" w:type="dxa"/>
            <w:vAlign w:val="bottom"/>
          </w:tcPr>
          <w:p>
            <w:pPr>
              <w:jc w:val="center"/>
              <w:ind w:right="1271"/>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3520" w:type="dxa"/>
            <w:vAlign w:val="bottom"/>
          </w:tcPr>
          <w:p>
            <w:pPr>
              <w:ind w:left="1360"/>
              <w:spacing w:after="0" w:line="135"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20" w:type="dxa"/>
            <w:vAlign w:val="bottom"/>
          </w:tcPr>
          <w:p>
            <w:pPr>
              <w:jc w:val="center"/>
              <w:ind w:left="13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60" w:type="dxa"/>
            <w:vAlign w:val="bottom"/>
          </w:tcPr>
          <w:p>
            <w:pPr>
              <w:jc w:val="center"/>
              <w:ind w:right="125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20" w:type="dxa"/>
            <w:vAlign w:val="bottom"/>
          </w:tcPr>
          <w:p>
            <w:pPr>
              <w:ind w:left="13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200" w:lineRule="exact"/>
        <w:rPr>
          <w:sz w:val="24"/>
          <w:szCs w:val="24"/>
          <w:color w:val="auto"/>
        </w:rPr>
      </w:pPr>
    </w:p>
    <w:p>
      <w:pPr>
        <w:sectPr>
          <w:pgSz w:w="11900" w:h="16838" w:orient="portrait"/>
          <w:cols w:equalWidth="0" w:num="1">
            <w:col w:w="11240"/>
          </w:cols>
          <w:pgMar w:left="320" w:top="1019" w:right="339" w:bottom="1440" w:gutter="0" w:footer="0" w:header="0"/>
        </w:sectPr>
      </w:pPr>
    </w:p>
    <w:p>
      <w:pPr>
        <w:spacing w:after="0" w:line="3"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p>
      <w:pPr>
        <w:spacing w:after="0" w:line="28"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02215</w:t>
      </w:r>
    </w:p>
    <w:p>
      <w:pPr>
        <w:spacing w:after="0" w:line="28" w:lineRule="exact"/>
        <w:rPr>
          <w:sz w:val="24"/>
          <w:szCs w:val="24"/>
          <w:color w:val="auto"/>
        </w:rPr>
      </w:pPr>
    </w:p>
    <w:p>
      <w:pPr>
        <w:sectPr>
          <w:pgSz w:w="11900" w:h="16838" w:orient="portrait"/>
          <w:cols w:equalWidth="0" w:num="2">
            <w:col w:w="6580" w:space="720"/>
            <w:col w:w="3940"/>
          </w:cols>
          <w:pgMar w:left="320" w:top="1019" w:right="339" w:bottom="1440" w:gutter="0" w:footer="0" w:header="0"/>
          <w:type w:val="continuous"/>
        </w:sectPr>
      </w:pPr>
    </w:p>
    <w:p>
      <w:pPr>
        <w:jc w:val="center"/>
        <w:ind w:left="9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520" w:space="720"/>
            <w:col w:w="4000"/>
          </w:cols>
          <w:pgMar w:left="320" w:top="101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244475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2"/>
              </w:rPr>
              <w:t>Trading</w:t>
            </w:r>
          </w:p>
        </w:tc>
        <w:tc>
          <w:tcPr>
            <w:tcW w:w="100" w:type="dxa"/>
            <w:vAlign w:val="bottom"/>
          </w:tcPr>
          <w:p>
            <w:pPr>
              <w:spacing w:after="0"/>
              <w:rPr>
                <w:sz w:val="12"/>
                <w:szCs w:val="12"/>
                <w:color w:val="auto"/>
              </w:rPr>
            </w:pPr>
          </w:p>
        </w:tc>
        <w:tc>
          <w:tcPr>
            <w:tcW w:w="3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6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6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222" w:lineRule="exact"/>
        <w:rPr>
          <w:sz w:val="24"/>
          <w:szCs w:val="24"/>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34" w:lineRule="exact"/>
        <w:rPr>
          <w:sz w:val="24"/>
          <w:szCs w:val="24"/>
          <w:color w:val="auto"/>
        </w:rPr>
      </w:pPr>
    </w:p>
    <w:p>
      <w:pPr>
        <w:ind w:left="9320"/>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24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On May 8, 2024, Tango Therapeutics, Inc. (Tango or the Company) issued a press release relating to its results of operations and financial condition for the quarter ended March 31, 2024. A copy of the press release is furnished as Exhibit 99.1 to this Current Report on Form 8-K.</w:t>
      </w:r>
    </w:p>
    <w:p>
      <w:pPr>
        <w:spacing w:after="0" w:line="18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24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720" w:type="dxa"/>
            <w:vAlign w:val="bottom"/>
          </w:tcPr>
          <w:p>
            <w:pPr>
              <w:spacing w:after="0"/>
              <w:rPr>
                <w:sz w:val="18"/>
                <w:szCs w:val="18"/>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2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8"/>
              </w:rPr>
              <w:t>Press Release issued by Tango Therapeutics, Inc. on May 8, 2024 relating to its results of operations and financial condition for</w:t>
            </w: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tcBorders>
              <w:right w:val="single" w:sz="8" w:color="0000FF"/>
            </w:tcBorders>
            <w:gridSpan w:val="3"/>
            <w:shd w:val="clear" w:color="auto" w:fill="0000FF"/>
          </w:tcPr>
          <w:p>
            <w:pPr>
              <w:spacing w:after="0" w:line="20" w:lineRule="exact"/>
              <w:rPr>
                <w:sz w:val="1"/>
                <w:szCs w:val="1"/>
                <w:color w:val="auto"/>
              </w:rPr>
            </w:pPr>
          </w:p>
        </w:tc>
        <w:tc>
          <w:tcPr>
            <w:tcW w:w="7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2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0000FF"/>
              </w:rPr>
              <w:t>the quarter ended March 31, 2024.</w:t>
            </w: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740" w:type="dxa"/>
            <w:vAlign w:val="bottom"/>
            <w:tcBorders>
              <w:right w:val="single" w:sz="8" w:color="0000EE"/>
            </w:tcBorders>
            <w:gridSpan w:val="3"/>
            <w:shd w:val="clear" w:color="auto" w:fill="0000FF"/>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r>
      <w:tr>
        <w:trPr>
          <w:trHeight w:val="404"/>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203"/>
        </w:trPr>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ind w:right="500" w:firstLine="50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4"/>
                <w:szCs w:val="24"/>
                <w:color w:val="auto"/>
              </w:rPr>
            </w:pPr>
          </w:p>
        </w:tc>
        <w:tc>
          <w:tcPr>
            <w:tcW w:w="858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34"/>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Dated: May 8, 2024</w:t>
            </w:r>
          </w:p>
        </w:tc>
        <w:tc>
          <w:tcPr>
            <w:tcW w:w="8580" w:type="dxa"/>
            <w:vAlign w:val="bottom"/>
            <w:gridSpan w:val="3"/>
          </w:tcPr>
          <w:p>
            <w:pPr>
              <w:jc w:val="center"/>
              <w:ind w:right="4040"/>
              <w:spacing w:after="0"/>
              <w:rPr>
                <w:sz w:val="20"/>
                <w:szCs w:val="20"/>
                <w:color w:val="auto"/>
              </w:rPr>
            </w:pPr>
            <w:r>
              <w:rPr>
                <w:rFonts w:ascii="Times New Roman" w:cs="Times New Roman" w:eastAsia="Times New Roman" w:hAnsi="Times New Roman"/>
                <w:sz w:val="22"/>
                <w:szCs w:val="22"/>
                <w:color w:val="auto"/>
              </w:rPr>
              <w:t>By: /s/ Douglas Barry</w:t>
            </w:r>
          </w:p>
        </w:tc>
      </w:tr>
      <w:tr>
        <w:trPr>
          <w:trHeight w:val="236"/>
        </w:trPr>
        <w:tc>
          <w:tcPr>
            <w:tcW w:w="2660" w:type="dxa"/>
            <w:vAlign w:val="bottom"/>
          </w:tcPr>
          <w:p>
            <w:pPr>
              <w:spacing w:after="0"/>
              <w:rPr>
                <w:sz w:val="20"/>
                <w:szCs w:val="20"/>
                <w:color w:val="auto"/>
              </w:rPr>
            </w:pPr>
          </w:p>
        </w:tc>
        <w:tc>
          <w:tcPr>
            <w:tcW w:w="1700" w:type="dxa"/>
            <w:vAlign w:val="bottom"/>
          </w:tcPr>
          <w:p>
            <w:pPr>
              <w:ind w:left="88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540" w:type="dxa"/>
            <w:vAlign w:val="bottom"/>
            <w:tcBorders>
              <w:top w:val="single" w:sz="8" w:color="auto"/>
            </w:tcBorders>
          </w:tcPr>
          <w:p>
            <w:pPr>
              <w:jc w:val="center"/>
              <w:ind w:right="292"/>
              <w:spacing w:after="0" w:line="236" w:lineRule="exact"/>
              <w:rPr>
                <w:sz w:val="20"/>
                <w:szCs w:val="20"/>
                <w:color w:val="auto"/>
              </w:rPr>
            </w:pPr>
            <w:r>
              <w:rPr>
                <w:rFonts w:ascii="Times New Roman" w:cs="Times New Roman" w:eastAsia="Times New Roman" w:hAnsi="Times New Roman"/>
                <w:sz w:val="22"/>
                <w:szCs w:val="22"/>
                <w:color w:val="auto"/>
                <w:w w:val="88"/>
              </w:rPr>
              <w:t>Douglas Barry</w:t>
            </w:r>
          </w:p>
        </w:tc>
        <w:tc>
          <w:tcPr>
            <w:tcW w:w="5340" w:type="dxa"/>
            <w:vAlign w:val="bottom"/>
          </w:tcPr>
          <w:p>
            <w:pPr>
              <w:spacing w:after="0"/>
              <w:rPr>
                <w:sz w:val="20"/>
                <w:szCs w:val="20"/>
                <w:color w:val="auto"/>
              </w:rPr>
            </w:pPr>
          </w:p>
        </w:tc>
      </w:tr>
      <w:tr>
        <w:trPr>
          <w:trHeight w:val="282"/>
        </w:trPr>
        <w:tc>
          <w:tcPr>
            <w:tcW w:w="2660" w:type="dxa"/>
            <w:vAlign w:val="bottom"/>
          </w:tcPr>
          <w:p>
            <w:pPr>
              <w:spacing w:after="0"/>
              <w:rPr>
                <w:sz w:val="24"/>
                <w:szCs w:val="24"/>
                <w:color w:val="auto"/>
              </w:rPr>
            </w:pPr>
          </w:p>
        </w:tc>
        <w:tc>
          <w:tcPr>
            <w:tcW w:w="858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Title: General Counsel</w:t>
            </w:r>
          </w:p>
        </w:tc>
      </w:tr>
      <w:tr>
        <w:trPr>
          <w:trHeight w:val="967"/>
        </w:trPr>
        <w:tc>
          <w:tcPr>
            <w:tcW w:w="2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spacing w:after="0" w:line="3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jc w:val="center"/>
        <w:ind w:right="20"/>
        <w:spacing w:after="0"/>
        <w:rPr>
          <w:sz w:val="20"/>
          <w:szCs w:val="20"/>
          <w:color w:val="auto"/>
        </w:rPr>
      </w:pPr>
      <w:r>
        <w:rPr>
          <w:rFonts w:ascii="Calibri" w:cs="Calibri" w:eastAsia="Calibri" w:hAnsi="Calibri"/>
          <w:sz w:val="22"/>
          <w:szCs w:val="22"/>
          <w:b w:val="1"/>
          <w:bCs w:val="1"/>
          <w:color w:val="auto"/>
        </w:rPr>
        <w:t>Tango Therapeutcs Reports First Quarter 2024 Financial Results</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and Provides Business Highlights</w:t>
      </w:r>
    </w:p>
    <w:p>
      <w:pPr>
        <w:spacing w:after="0" w:line="27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i w:val="1"/>
          <w:iCs w:val="1"/>
          <w:color w:val="auto"/>
        </w:rPr>
        <w:t>– Dose expansion initated in TNG908 phase 1/2 clinical trial –</w:t>
      </w:r>
    </w:p>
    <w:p>
      <w:pPr>
        <w:spacing w:after="0" w:line="271" w:lineRule="exact"/>
        <w:rPr>
          <w:sz w:val="20"/>
          <w:szCs w:val="20"/>
          <w:color w:val="auto"/>
        </w:rPr>
      </w:pPr>
    </w:p>
    <w:p>
      <w:pPr>
        <w:ind w:left="2540"/>
        <w:spacing w:after="0"/>
        <w:rPr>
          <w:sz w:val="20"/>
          <w:szCs w:val="20"/>
          <w:color w:val="auto"/>
        </w:rPr>
      </w:pPr>
      <w:r>
        <w:rPr>
          <w:rFonts w:ascii="Calibri" w:cs="Calibri" w:eastAsia="Calibri" w:hAnsi="Calibri"/>
          <w:sz w:val="22"/>
          <w:szCs w:val="22"/>
          <w:i w:val="1"/>
          <w:iCs w:val="1"/>
          <w:color w:val="auto"/>
        </w:rPr>
        <w:t>– Dose expansion expected to initate in TNG462 phase 1/2 clinical trial</w:t>
      </w:r>
    </w:p>
    <w:p>
      <w:pPr>
        <w:spacing w:after="0" w:line="1" w:lineRule="exact"/>
        <w:rPr>
          <w:sz w:val="20"/>
          <w:szCs w:val="20"/>
          <w:color w:val="auto"/>
        </w:rPr>
      </w:pPr>
    </w:p>
    <w:p>
      <w:pPr>
        <w:ind w:left="5080"/>
        <w:spacing w:after="0"/>
        <w:rPr>
          <w:sz w:val="20"/>
          <w:szCs w:val="20"/>
          <w:color w:val="auto"/>
        </w:rPr>
      </w:pPr>
      <w:r>
        <w:rPr>
          <w:rFonts w:ascii="Calibri" w:cs="Calibri" w:eastAsia="Calibri" w:hAnsi="Calibri"/>
          <w:sz w:val="22"/>
          <w:szCs w:val="22"/>
          <w:i w:val="1"/>
          <w:iCs w:val="1"/>
          <w:color w:val="auto"/>
        </w:rPr>
        <w:t>in 2Q 2024 –</w:t>
      </w:r>
    </w:p>
    <w:p>
      <w:pPr>
        <w:spacing w:after="0" w:line="271" w:lineRule="exact"/>
        <w:rPr>
          <w:sz w:val="20"/>
          <w:szCs w:val="20"/>
          <w:color w:val="auto"/>
        </w:rPr>
      </w:pPr>
    </w:p>
    <w:p>
      <w:pPr>
        <w:ind w:left="3040"/>
        <w:spacing w:after="0"/>
        <w:rPr>
          <w:sz w:val="20"/>
          <w:szCs w:val="20"/>
          <w:color w:val="auto"/>
        </w:rPr>
      </w:pPr>
      <w:r>
        <w:rPr>
          <w:rFonts w:ascii="Calibri" w:cs="Calibri" w:eastAsia="Calibri" w:hAnsi="Calibri"/>
          <w:sz w:val="22"/>
          <w:szCs w:val="22"/>
          <w:i w:val="1"/>
          <w:iCs w:val="1"/>
          <w:color w:val="auto"/>
        </w:rPr>
        <w:t>– Clinical data expected in 2H 2024 from PRMT5 program –</w:t>
      </w:r>
    </w:p>
    <w:p>
      <w:pPr>
        <w:spacing w:after="0" w:line="271" w:lineRule="exact"/>
        <w:rPr>
          <w:sz w:val="20"/>
          <w:szCs w:val="20"/>
          <w:color w:val="auto"/>
        </w:rPr>
      </w:pPr>
    </w:p>
    <w:p>
      <w:pPr>
        <w:ind w:left="1460"/>
        <w:spacing w:after="0"/>
        <w:rPr>
          <w:sz w:val="20"/>
          <w:szCs w:val="20"/>
          <w:color w:val="auto"/>
        </w:rPr>
      </w:pPr>
      <w:r>
        <w:rPr>
          <w:rFonts w:ascii="Calibri" w:cs="Calibri" w:eastAsia="Calibri" w:hAnsi="Calibri"/>
          <w:sz w:val="22"/>
          <w:szCs w:val="22"/>
          <w:i w:val="1"/>
          <w:iCs w:val="1"/>
          <w:color w:val="auto"/>
        </w:rPr>
        <w:t>– Dose escalaton ongoing in TNG260 and TNG348 clinical-stage precision oncology programs –</w:t>
      </w:r>
    </w:p>
    <w:p>
      <w:pPr>
        <w:spacing w:after="0" w:line="282" w:lineRule="exact"/>
        <w:rPr>
          <w:sz w:val="20"/>
          <w:szCs w:val="20"/>
          <w:color w:val="auto"/>
        </w:rPr>
      </w:pPr>
    </w:p>
    <w:p>
      <w:pPr>
        <w:ind w:left="120"/>
        <w:spacing w:after="0"/>
        <w:rPr>
          <w:sz w:val="20"/>
          <w:szCs w:val="20"/>
          <w:color w:val="auto"/>
        </w:rPr>
      </w:pPr>
      <w:r>
        <w:rPr>
          <w:rFonts w:ascii="Calibri" w:cs="Calibri" w:eastAsia="Calibri" w:hAnsi="Calibri"/>
          <w:sz w:val="21"/>
          <w:szCs w:val="21"/>
          <w:i w:val="1"/>
          <w:iCs w:val="1"/>
          <w:color w:val="auto"/>
        </w:rPr>
        <w:t>– Strong cash positon of $344 million as of March 31, 2024; cash runway into late 2026 expected to fund all clinical programs</w:t>
      </w:r>
    </w:p>
    <w:p>
      <w:pPr>
        <w:spacing w:after="0" w:line="3" w:lineRule="exact"/>
        <w:rPr>
          <w:sz w:val="20"/>
          <w:szCs w:val="20"/>
          <w:color w:val="auto"/>
        </w:rPr>
      </w:pPr>
    </w:p>
    <w:p>
      <w:pPr>
        <w:ind w:left="4440"/>
        <w:spacing w:after="0"/>
        <w:rPr>
          <w:sz w:val="20"/>
          <w:szCs w:val="20"/>
          <w:color w:val="auto"/>
        </w:rPr>
      </w:pPr>
      <w:r>
        <w:rPr>
          <w:rFonts w:ascii="Calibri" w:cs="Calibri" w:eastAsia="Calibri" w:hAnsi="Calibri"/>
          <w:sz w:val="22"/>
          <w:szCs w:val="22"/>
          <w:i w:val="1"/>
          <w:iCs w:val="1"/>
          <w:color w:val="auto"/>
        </w:rPr>
        <w:t>through proof-of-concept –</w:t>
      </w:r>
    </w:p>
    <w:p>
      <w:pPr>
        <w:spacing w:after="0" w:line="200" w:lineRule="exact"/>
        <w:rPr>
          <w:sz w:val="20"/>
          <w:szCs w:val="20"/>
          <w:color w:val="auto"/>
        </w:rPr>
      </w:pPr>
    </w:p>
    <w:p>
      <w:pPr>
        <w:spacing w:after="0" w:line="352" w:lineRule="exact"/>
        <w:rPr>
          <w:sz w:val="20"/>
          <w:szCs w:val="20"/>
          <w:color w:val="auto"/>
        </w:rPr>
      </w:pPr>
    </w:p>
    <w:p>
      <w:pPr>
        <w:spacing w:after="0" w:line="237" w:lineRule="auto"/>
        <w:rPr>
          <w:sz w:val="20"/>
          <w:szCs w:val="20"/>
          <w:color w:val="auto"/>
        </w:rPr>
      </w:pPr>
      <w:r>
        <w:rPr>
          <w:rFonts w:ascii="Calibri" w:cs="Calibri" w:eastAsia="Calibri" w:hAnsi="Calibri"/>
          <w:sz w:val="22"/>
          <w:szCs w:val="22"/>
          <w:b w:val="1"/>
          <w:bCs w:val="1"/>
          <w:color w:val="auto"/>
        </w:rPr>
        <w:t xml:space="preserve">BOSTON, Mass. – May 8, 2024 </w:t>
      </w:r>
      <w:r>
        <w:rPr>
          <w:rFonts w:ascii="Calibri" w:cs="Calibri" w:eastAsia="Calibri" w:hAnsi="Calibri"/>
          <w:sz w:val="22"/>
          <w:szCs w:val="22"/>
          <w:color w:val="auto"/>
        </w:rPr>
        <w:t>– Tango Therapeutcs, Inc. (NASDAQ: TNGX), a clinical-stage biotechnology company commited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to discovering and delivering the next generaton of precision cancer medicines, reported its fnancial results for the frst quarter ended March 31, 2024, and provided business highlights.</w:t>
      </w:r>
    </w:p>
    <w:p>
      <w:pPr>
        <w:spacing w:after="0" w:line="284" w:lineRule="exact"/>
        <w:rPr>
          <w:sz w:val="20"/>
          <w:szCs w:val="20"/>
          <w:color w:val="auto"/>
        </w:rPr>
      </w:pPr>
    </w:p>
    <w:p>
      <w:pPr>
        <w:spacing w:after="0" w:line="239" w:lineRule="auto"/>
        <w:rPr>
          <w:sz w:val="20"/>
          <w:szCs w:val="20"/>
          <w:color w:val="auto"/>
        </w:rPr>
      </w:pPr>
      <w:r>
        <w:rPr>
          <w:rFonts w:ascii="Calibri" w:cs="Calibri" w:eastAsia="Calibri" w:hAnsi="Calibri"/>
          <w:sz w:val="22"/>
          <w:szCs w:val="22"/>
          <w:color w:val="auto"/>
        </w:rPr>
        <w:t>“We are progressing both TNG908 and TNG462 into dose expansion in order to accelerate our clinical development. We look forward to sharing a comprehensive clinical data update on our PRMT5 program in the second half of this year,” said Barbara Weber, M.D., President and Chief Executve Ofcer of Tango Therapeutcs. “We contnue to make substantal progress across our other programs as enrollment and dose escalaton are contnuing in the phase 1/2 clinical trials of TNG260 and TNG348. Finally, we welcomed the newest member of our leadership team, Julie Carretero, as Chief Human Resources Ofcer. She will play an instrumental role in growing the company while maintaining our culture at a pivotal tme for the company."</w:t>
      </w:r>
    </w:p>
    <w:p>
      <w:pPr>
        <w:spacing w:after="0" w:line="27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Recent Business Highlights</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Pipeline Update</w:t>
      </w:r>
    </w:p>
    <w:p>
      <w:pPr>
        <w:spacing w:after="0" w:line="26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TNG908, a blood-brain barrier penetrant, MTA-cooperatve PRMT5 inhibitor</w:t>
      </w:r>
    </w:p>
    <w:p>
      <w:pPr>
        <w:spacing w:after="0" w:line="122" w:lineRule="exact"/>
        <w:rPr>
          <w:sz w:val="20"/>
          <w:szCs w:val="20"/>
          <w:color w:val="auto"/>
        </w:rPr>
      </w:pPr>
    </w:p>
    <w:p>
      <w:pPr>
        <w:ind w:left="1020" w:right="160" w:hanging="503"/>
        <w:spacing w:after="0" w:line="235"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Expansion cohorts have been opened in MTAP-deleted solid tumors in glioblastoma (GBM), non-small cell lung and pancreatc cancers at 600 mg BID in the TNG908 phase 1/2 clinical trial.</w:t>
      </w:r>
    </w:p>
    <w:p>
      <w:pPr>
        <w:spacing w:after="0" w:line="111"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MTAP deletons occur in approximately 10%-15% of all human cancers, including 40% of GBM.</w:t>
      </w:r>
    </w:p>
    <w:p>
      <w:pPr>
        <w:spacing w:after="0" w:line="26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TNG462, a potentally best-in-class MTA-cooperatve PRMT5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7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Dose expansion is expected to initate in the TNG462 phase 1/2 clinical trial in 2Q 2024.</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safety, tolerability and pharmacokinetc profles of TNG462 remain favorable with increasing doses.</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TNG260, a frst-in-class, highly selectve CoREST complex inhibitor</w:t>
      </w:r>
    </w:p>
    <w:p>
      <w:pPr>
        <w:spacing w:after="0" w:line="120" w:lineRule="exact"/>
        <w:rPr>
          <w:sz w:val="20"/>
          <w:szCs w:val="20"/>
          <w:color w:val="auto"/>
        </w:rPr>
      </w:pPr>
    </w:p>
    <w:p>
      <w:pPr>
        <w:ind w:left="1020" w:hanging="503"/>
        <w:spacing w:after="0" w:line="238"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Dose escalaton is ongoing in the TNG260 phase 1/2 clinical trial evaluatng the safety, pharmacokinetcs, pharmacodynamics and efcacy of TNG260 in combinaton with pembrolizumab in patents with locally advanced or metastatc solid tumors with an STK11 loss-of-functon mutaton. To date, safety, tolerability and pharmacokinetc profles remain favorable.</w:t>
      </w:r>
    </w:p>
    <w:p>
      <w:pPr>
        <w:spacing w:after="0" w:line="122" w:lineRule="exact"/>
        <w:rPr>
          <w:rFonts w:ascii="Times New Roman" w:cs="Times New Roman" w:eastAsia="Times New Roman" w:hAnsi="Times New Roman"/>
          <w:sz w:val="22"/>
          <w:szCs w:val="22"/>
          <w:color w:val="auto"/>
        </w:rPr>
      </w:pPr>
    </w:p>
    <w:p>
      <w:pPr>
        <w:ind w:left="1020" w:right="100" w:hanging="503"/>
        <w:spacing w:after="0" w:line="235"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STK11 mutatons occur in approximately 15% of NSCLC, 15% of cervical, 10% of carcinoma of unknown primary, 5% of breast and 3% of pancreatc cancers.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TNG348, a novel USP1 inhibitor</w:t>
      </w:r>
    </w:p>
    <w:p>
      <w:pPr>
        <w:spacing w:after="0" w:line="120" w:lineRule="exact"/>
        <w:rPr>
          <w:sz w:val="20"/>
          <w:szCs w:val="20"/>
          <w:color w:val="auto"/>
        </w:rPr>
      </w:pPr>
    </w:p>
    <w:p>
      <w:pPr>
        <w:ind w:left="1020" w:right="60" w:hanging="503"/>
        <w:spacing w:after="0" w:line="237"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Single agent dose escalaton is ongoing in the TNG348 phase 1/2 clinical trial evaluatng the safety, pharmacokinetcs, pharmacodynamics and efcacy of TNG348 as a single agent and in combinaton with olaparib, a PARP inhibitor, in patents with BRCA1/2-mutant and other HRD+ (homologous recombinaton defcient) cancers.</w:t>
      </w:r>
    </w:p>
    <w:p>
      <w:pPr>
        <w:spacing w:after="0" w:line="111"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Early clinical data support switch to once-a-day dosing.</w:t>
      </w:r>
    </w:p>
    <w:p>
      <w:pPr>
        <w:spacing w:after="0" w:line="120" w:lineRule="exact"/>
        <w:rPr>
          <w:rFonts w:ascii="Times New Roman" w:cs="Times New Roman" w:eastAsia="Times New Roman" w:hAnsi="Times New Roman"/>
          <w:sz w:val="22"/>
          <w:szCs w:val="22"/>
          <w:color w:val="auto"/>
        </w:rPr>
      </w:pPr>
    </w:p>
    <w:p>
      <w:pPr>
        <w:ind w:left="1020" w:right="440" w:hanging="503"/>
        <w:spacing w:after="0" w:line="235"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Single agent dose escalaton pharmacokinetc, pharmacodynamic, safety and tolerability data are favorable and support the opening of the combinaton cohort with olaparib in 2Q 2024.</w:t>
      </w:r>
    </w:p>
    <w:p>
      <w:pPr>
        <w:spacing w:after="0" w:line="122" w:lineRule="exact"/>
        <w:rPr>
          <w:rFonts w:ascii="Times New Roman" w:cs="Times New Roman" w:eastAsia="Times New Roman" w:hAnsi="Times New Roman"/>
          <w:sz w:val="22"/>
          <w:szCs w:val="22"/>
          <w:color w:val="auto"/>
        </w:rPr>
      </w:pPr>
    </w:p>
    <w:p>
      <w:pPr>
        <w:ind w:left="1020" w:right="40" w:hanging="503"/>
        <w:spacing w:after="0" w:line="235"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HRD+ cancers, including BRCA1/2 mutatons, represent up to 50% of ovarian cancers, 25% of breast cancers, 10% of prostate cancers and 5% of pancreatc cancers.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Upcoming Milestones</w:t>
      </w:r>
    </w:p>
    <w:p>
      <w:pPr>
        <w:spacing w:after="0" w:line="10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Dose expansion in the TNG462 phase 1/2 clinical trial is expected to initate in 2Q 2024.</w:t>
      </w:r>
    </w:p>
    <w:p>
      <w:pPr>
        <w:spacing w:after="0" w:line="119" w:lineRule="exact"/>
        <w:rPr>
          <w:rFonts w:ascii="Times New Roman" w:cs="Times New Roman" w:eastAsia="Times New Roman" w:hAnsi="Times New Roman"/>
          <w:sz w:val="22"/>
          <w:szCs w:val="22"/>
          <w:color w:val="auto"/>
        </w:rPr>
      </w:pPr>
    </w:p>
    <w:p>
      <w:pPr>
        <w:ind w:left="1020" w:right="100" w:hanging="503"/>
        <w:spacing w:after="0" w:line="235"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comprehensive update of the PRMT5 program, including clinical data from the ongoing phase 1/2 clinical trials of TNG908 and TNG462, is expected in 2H 2024.</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Scientfc Publicatons</w:t>
      </w:r>
    </w:p>
    <w:p>
      <w:pPr>
        <w:spacing w:after="0" w:line="120" w:lineRule="exact"/>
        <w:rPr>
          <w:sz w:val="20"/>
          <w:szCs w:val="20"/>
          <w:color w:val="auto"/>
        </w:rPr>
      </w:pPr>
    </w:p>
    <w:p>
      <w:pPr>
        <w:ind w:left="1020" w:right="220" w:hanging="503"/>
        <w:spacing w:after="0" w:line="235" w:lineRule="auto"/>
        <w:tabs>
          <w:tab w:leader="none" w:pos="102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“Discovery of TNG908: A Selectve, Brain Penetrant, MTA-Cooperatve PRMT5 Inhibitor That Is Synthetcally Lethal with MTAP-Deleted Cancers,” was published in March in the Journal of Medicinal Chemistry.</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Leadership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spacing w:after="0" w:line="89" w:lineRule="exact"/>
        <w:rPr>
          <w:sz w:val="20"/>
          <w:szCs w:val="20"/>
          <w:color w:val="auto"/>
        </w:rPr>
      </w:pPr>
    </w:p>
    <w:p>
      <w:pPr>
        <w:ind w:left="1020" w:right="100" w:hanging="503"/>
        <w:spacing w:after="0" w:line="239" w:lineRule="auto"/>
        <w:tabs>
          <w:tab w:leader="none" w:pos="1020"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Julie Carretero joined as Chief Human Resources Ofcer in March. Ms. Carretero brings over 25 years of biopharmaceutcal and human resources experience to this newly created role. Most recently, Ms. Carretero served as Chief People Ofcer at Evelo Biosciences where she oversaw growth from a clinical to a commercial-stage company. Previously she held senior human resources roles at multple companies, including FXI, Mater Communicatons and Novarts.</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Financial Results</w:t>
      </w:r>
    </w:p>
    <w:p>
      <w:pPr>
        <w:spacing w:after="0" w:line="282" w:lineRule="exact"/>
        <w:rPr>
          <w:sz w:val="20"/>
          <w:szCs w:val="20"/>
          <w:color w:val="auto"/>
        </w:rPr>
      </w:pPr>
    </w:p>
    <w:p>
      <w:pPr>
        <w:ind w:right="20"/>
        <w:spacing w:after="0" w:line="235" w:lineRule="auto"/>
        <w:rPr>
          <w:sz w:val="20"/>
          <w:szCs w:val="20"/>
          <w:color w:val="auto"/>
        </w:rPr>
      </w:pPr>
      <w:r>
        <w:rPr>
          <w:rFonts w:ascii="Calibri" w:cs="Calibri" w:eastAsia="Calibri" w:hAnsi="Calibri"/>
          <w:sz w:val="22"/>
          <w:szCs w:val="22"/>
          <w:color w:val="auto"/>
        </w:rPr>
        <w:t>As of March 31, 2024, the Company held $343.6 million in cash, cash equivalents and marketable securites, which the Company expects to be sufcient to fund operatons into late 2026.</w:t>
      </w:r>
    </w:p>
    <w:p>
      <w:pPr>
        <w:spacing w:after="0" w:line="284" w:lineRule="exact"/>
        <w:rPr>
          <w:sz w:val="20"/>
          <w:szCs w:val="20"/>
          <w:color w:val="auto"/>
        </w:rPr>
      </w:pPr>
    </w:p>
    <w:p>
      <w:pPr>
        <w:ind w:right="80"/>
        <w:spacing w:after="0" w:line="237" w:lineRule="auto"/>
        <w:rPr>
          <w:sz w:val="20"/>
          <w:szCs w:val="20"/>
          <w:color w:val="auto"/>
        </w:rPr>
      </w:pPr>
      <w:r>
        <w:rPr>
          <w:rFonts w:ascii="Calibri" w:cs="Calibri" w:eastAsia="Calibri" w:hAnsi="Calibri"/>
          <w:sz w:val="22"/>
          <w:szCs w:val="22"/>
          <w:color w:val="auto"/>
        </w:rPr>
        <w:t>Collaboraton revenue was $6.5 million for the three months ended March 31, 2024, compared to $5.8 million for the same period in 2023. Research costs incurred under the collaboraton were similar during each of the three-month periods presented which resulted in similar collaboraton revenue amounts recognized.</w:t>
      </w:r>
    </w:p>
    <w:p>
      <w:pPr>
        <w:spacing w:after="0" w:line="284" w:lineRule="exact"/>
        <w:rPr>
          <w:sz w:val="20"/>
          <w:szCs w:val="20"/>
          <w:color w:val="auto"/>
        </w:rPr>
      </w:pPr>
    </w:p>
    <w:p>
      <w:pPr>
        <w:ind w:right="140"/>
        <w:spacing w:after="0" w:line="237" w:lineRule="auto"/>
        <w:rPr>
          <w:sz w:val="20"/>
          <w:szCs w:val="20"/>
          <w:color w:val="auto"/>
        </w:rPr>
      </w:pPr>
      <w:r>
        <w:rPr>
          <w:rFonts w:ascii="Calibri" w:cs="Calibri" w:eastAsia="Calibri" w:hAnsi="Calibri"/>
          <w:sz w:val="22"/>
          <w:szCs w:val="22"/>
          <w:color w:val="auto"/>
        </w:rPr>
        <w:t>Research and development expenses were $38.1 million for the three months ended March 31, 2024, compared to $28.0 million for the same period in 2023. The change is due to increased spend relatng to the advancement of our clinical programs and personnel-related costs to support our research and development actvites.</w:t>
      </w:r>
    </w:p>
    <w:p>
      <w:pPr>
        <w:spacing w:after="0" w:line="284" w:lineRule="exact"/>
        <w:rPr>
          <w:sz w:val="20"/>
          <w:szCs w:val="20"/>
          <w:color w:val="auto"/>
        </w:rPr>
      </w:pPr>
    </w:p>
    <w:p>
      <w:pPr>
        <w:ind w:right="120"/>
        <w:spacing w:after="0" w:line="235" w:lineRule="auto"/>
        <w:rPr>
          <w:sz w:val="20"/>
          <w:szCs w:val="20"/>
          <w:color w:val="auto"/>
        </w:rPr>
      </w:pPr>
      <w:r>
        <w:rPr>
          <w:rFonts w:ascii="Calibri" w:cs="Calibri" w:eastAsia="Calibri" w:hAnsi="Calibri"/>
          <w:sz w:val="22"/>
          <w:szCs w:val="22"/>
          <w:color w:val="auto"/>
        </w:rPr>
        <w:t>General and administratve expenses were $10.7 million for the three months ended March 31, 2024, compared to $8.0 million for the same period in 2023. The change was primarily due to increases in personnel-related costs.</w:t>
      </w:r>
    </w:p>
    <w:p>
      <w:pPr>
        <w:spacing w:after="0" w:line="284" w:lineRule="exact"/>
        <w:rPr>
          <w:sz w:val="20"/>
          <w:szCs w:val="20"/>
          <w:color w:val="auto"/>
        </w:rPr>
      </w:pPr>
    </w:p>
    <w:p>
      <w:pPr>
        <w:ind w:right="480"/>
        <w:spacing w:after="0" w:line="235" w:lineRule="auto"/>
        <w:rPr>
          <w:sz w:val="20"/>
          <w:szCs w:val="20"/>
          <w:color w:val="auto"/>
        </w:rPr>
      </w:pPr>
      <w:r>
        <w:rPr>
          <w:rFonts w:ascii="Calibri" w:cs="Calibri" w:eastAsia="Calibri" w:hAnsi="Calibri"/>
          <w:sz w:val="22"/>
          <w:szCs w:val="22"/>
          <w:color w:val="auto"/>
        </w:rPr>
        <w:t>Net loss for the three months ended March 31, 2024 was $37.9 million, or $0.35 per share, compared to a net loss of $28.0 million, or $0.32 per share, in the same period in 2023.</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Tango Therapeutcs</w:t>
      </w:r>
    </w:p>
    <w:p>
      <w:pPr>
        <w:spacing w:after="0" w:line="284" w:lineRule="exact"/>
        <w:rPr>
          <w:sz w:val="20"/>
          <w:szCs w:val="20"/>
          <w:color w:val="auto"/>
        </w:rPr>
      </w:pPr>
    </w:p>
    <w:p>
      <w:pPr>
        <w:spacing w:after="0" w:line="253" w:lineRule="auto"/>
        <w:rPr>
          <w:sz w:val="20"/>
          <w:szCs w:val="20"/>
          <w:color w:val="auto"/>
        </w:rPr>
      </w:pPr>
      <w:r>
        <w:rPr>
          <w:rFonts w:ascii="Calibri" w:cs="Calibri" w:eastAsia="Calibri" w:hAnsi="Calibri"/>
          <w:sz w:val="21"/>
          <w:szCs w:val="21"/>
          <w:color w:val="auto"/>
        </w:rPr>
        <w:t>Tango Therapeutcs is a clinical-stage biotechnology company dedicated to discovering novel drug targets and delivering the next generaton of precision medicine for the treatment of cancer. Using an approach that starts and ends with patents, Tango leverages the genetc principle of synthetc lethality to discover and develop therapies that take aim at critcal targets in cancer. This includes expanding the universe of precision oncology targets into novel areas such as tumor suppressor gene loss and their contributon to the ability of cancer cells to evade immune cell killing. For more informaton, please visit www.tangotx.com.</w:t>
      </w:r>
    </w:p>
    <w:p>
      <w:pPr>
        <w:spacing w:after="0" w:line="25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Calibri" w:cs="Calibri" w:eastAsia="Calibri" w:hAnsi="Calibri"/>
          <w:sz w:val="22"/>
          <w:szCs w:val="22"/>
          <w:color w:val="auto"/>
        </w:rPr>
        <w:t>Certain statements in this press release may be considered forward-looking statements. Forward-looking statements generally relate to future events, Tango’s future operatng performance and goals, the antcipated benefts of therapies and combinaton therapies (that include a Tango pipeline product), as well as the expectatons, beliefs and development objectves for Tango’s product pipeline and clinical trials. In some cases, you can identfy forward-looking statements by terminology such as “may”, “should”, “expect”, “intend”, “will”, “goal”, “estmate”, “antcipate”, “believe”, “predict”, “designed,” “potental” or “contnue”, or the negatves of these terms or variatons of them or similar terminology. For example, implicit or explicit statements concerning the following include or consttute forward-looking statements: dose expansion expected to initate in TNG462 phase 1/2 clinical trial in 2Q 2024; clinical data expected in 2H 2024 from PRMT5 program; Company expects cash runway into late 2026 and this cash runway is expected to fund all clinical programs through proof-of-concept; the Company is progressing both TNG908 and TNG462 into dose expansion in order to accelerate clinical development; Company expects to share a comprehensive clinical data update on our PRMT5 program in the second half of this year; Company contnues to make substantal progress across other programs as enrollment and dose escalaton are contnuing in the phase 1/2 clinical trials of TNG260 and TNG348; early clinical data for TNG348 support switch to once-a-day dosing; single agent dose escalaton pharmacokinetc, pharmacodynamic, safety and tolerability data for TNG348 support opening of combinaton with olaparib in Q2 2024; a comprehensive update of the PRMT5 program, including clinical data from ongoing phase 1/2 clinical trials of TNG908 and TNG462, is expected in 2H 2024; Tango is commited to discovering and delivering the next generaton of precision cancer medicines; and the expected tming of: (i) development candidate declaraton for certain targets; (ii) initatng IND-enabling studies; (iii) fling INDs; (iv) clinical trial initaton, dose escalaton and dose expansion and (v) disclosing inital, interim, additonal and fnal clinical trial results; and the expected benefts of the Company's development candidates and other product candidates. Such forward-looking statements are subject to risks, uncertaintes, and other factors which could cause actual results to difer materially from those expressed or implied by such forward-looking statements. These forward-looking statements are based upon estmates and assumptons that, while considered reasonable by Tango and its management, are inherently uncertain. New risks and uncertaintes may emerge from tme to tme, and it is not possible to predict all risks and uncertaintes. Factors that may cause actual results to difer materially from current expectatons include, but are not limited to: benefts of product candidates seen in preclinical tests and analyses may not be evident when tested in later preclinical studies or in clinical trials or when used in broader patent populatons (if approved for commercial sale); Tango has limited experience conductng clinical trials (and will rely on a third party to operate its clinical trials) and may not be able to commence the clinical trial (including opening clinical trial sites, dosing the frst patent, and contnued enrollment and dosing of an adequate number of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915035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0" w:right="379" w:bottom="1440" w:gutter="0" w:footer="0" w:header="0"/>
        </w:sectPr>
      </w:pPr>
    </w:p>
    <w:bookmarkStart w:id="7" w:name="page8"/>
    <w:bookmarkEnd w:id="7"/>
    <w:p>
      <w:pPr>
        <w:spacing w:after="0"/>
        <w:rPr>
          <w:sz w:val="20"/>
          <w:szCs w:val="20"/>
          <w:color w:val="auto"/>
        </w:rPr>
      </w:pPr>
      <w:r>
        <w:rPr>
          <w:rFonts w:ascii="Calibri" w:cs="Calibri" w:eastAsia="Calibri" w:hAnsi="Calibri"/>
          <w:sz w:val="22"/>
          <w:szCs w:val="22"/>
          <w:color w:val="auto"/>
        </w:rPr>
        <w:t>trial partcipants) when expected, may not be able to contnue dosing, initate dose escalaton and/or dose expansion on antcipated tmelines, and may not generate results (including fnal, inital or additonal safety, efcacy data and proof-of-mechanism and proof-of-concept) in the antcipated tmeframe (or at all); Tango’s pipeline products may not be safe and/or efectve in humans; Tango has a limited operatng history and has not generated any revenue to date from product sales, and may never become proftable; other companies may be able to identfy and develop product candidates more quickly than the Company and commercially introduce the product prior to the Company; the Company’s proprietary discovery platorm is novel and may not identfy any synthetc lethal targets for future development; the Company may not be able to identfy development candidates on the schedule it antcipates due to technical, fnancial or other reasons; the Company may not be able to fle INDs for development candidates on tme, or at all, due to technical or fnancial reasons or otherwise; the Company may utlize cash resources more quickly than antcipated; Tango will need to raise capital in the future and if we are unable to raise capital when needed or on atractve terms, we would be forced to delay, scale back or discontnue some of our development programs or future commercializaton eforts (which may delay fling of INDs, dosing patents, initaton of dose expansion, reportng clinical trial results and fling new drug applicatons); Tango’s approach to the discovery and development of product candidates is novel and unproven, which makes it difcult to predict the tme, cost of development, and likelihood of successfully developing any products; the Company may be unable to advance our preclinical development programs into and through the clinic for safety or efcacy reasons or commercialize our product candidates or we may experience signifcant delays in doing so as a result of factors beyond Tango’s control; the Company may not be able to realize the benefts of ODD or Fast Track designaton (and such designatons may not advance any antcipated approval tmelines); Tango may not identfy or discover additonal product candidates or may expend limited resources to pursue a partcular product candidate or indicaton and fail to capitalize on product candidates or indicatons that may be more proftable or for which there is a greater likelihood of success; the Company’s product candidates may cause adverse or other undesirable side efects (or may not show requisite efcacy) that could, among other things, delay or prevent regulatory approval; our dependence on one or a limited number third partes for conductng clinical trials and producing drug substance and drug product (including drug substance, which is currently sole sourced); government regulaton may negatvely impact the Company’s business, including the potental approval of the BIOSECURE Act; and our ability to obtain and maintain patent and other intellectual property protecton for our technology and product candidates or the scope of intellectual property protecton obtained is not sufciently broad. Additonal informaton concerning risks, uncertaintes and assumptons can be found in Tango’s flings with the SEC, including the risk factors referenced in Tango’s Annual Report on Form 10-K for the fscal year ended December 31, 2023, as supplemented and/or modifed by its most recent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915035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8" w:name="page9"/>
    <w:bookmarkEnd w:id="8"/>
    <w:p>
      <w:pPr>
        <w:jc w:val="both"/>
        <w:spacing w:after="0" w:line="237" w:lineRule="auto"/>
        <w:rPr>
          <w:sz w:val="20"/>
          <w:szCs w:val="20"/>
          <w:color w:val="auto"/>
        </w:rPr>
      </w:pPr>
      <w:r>
        <w:rPr>
          <w:rFonts w:ascii="Calibri" w:cs="Calibri" w:eastAsia="Calibri" w:hAnsi="Calibri"/>
          <w:sz w:val="22"/>
          <w:szCs w:val="22"/>
          <w:color w:val="auto"/>
        </w:rPr>
        <w:t>Report on Form 10-Q. You should not place undue reliance on forward-looking statements in this press release, which speak only as of the date they are made and are qualifed in their entrety by reference to the cautonary statements herein. Tango specifcally disclaims any duty to update these forward-looking statements.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Sam Martn/Andrew Vulis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Argot Partners</w:t>
      </w:r>
    </w:p>
    <w:p>
      <w:pPr>
        <w:spacing w:after="0" w:line="20" w:lineRule="exact"/>
        <w:rPr>
          <w:sz w:val="20"/>
          <w:szCs w:val="20"/>
          <w:color w:val="auto"/>
        </w:rPr>
      </w:pPr>
    </w:p>
    <w:p>
      <w:pPr>
        <w:spacing w:after="0"/>
        <w:rPr>
          <w:sz w:val="20"/>
          <w:szCs w:val="20"/>
          <w:color w:val="auto"/>
        </w:rPr>
      </w:pPr>
      <w:r>
        <w:rPr>
          <w:rFonts w:ascii="Calibri" w:cs="Calibri" w:eastAsia="Calibri" w:hAnsi="Calibri"/>
          <w:sz w:val="20"/>
          <w:szCs w:val="20"/>
          <w:color w:val="0000FF"/>
        </w:rPr>
        <w:t>tango@argotpartners.com</w:t>
      </w:r>
    </w:p>
    <w:p>
      <w:pPr>
        <w:spacing w:after="0" w:line="27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Media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Amanda Brown Galgay</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SVP, Corporate Communicatons, Tango Therapeutcs</w:t>
      </w:r>
    </w:p>
    <w:p>
      <w:pPr>
        <w:spacing w:after="0" w:line="232" w:lineRule="auto"/>
        <w:rPr>
          <w:sz w:val="20"/>
          <w:szCs w:val="20"/>
          <w:color w:val="auto"/>
        </w:rPr>
      </w:pPr>
      <w:r>
        <w:rPr>
          <w:rFonts w:ascii="Calibri" w:cs="Calibri" w:eastAsia="Calibri" w:hAnsi="Calibri"/>
          <w:sz w:val="20"/>
          <w:szCs w:val="20"/>
          <w:u w:val="single" w:color="auto"/>
          <w:color w:val="0000FF"/>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1037590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20" w:right="719" w:bottom="1440" w:gutter="0" w:footer="0" w:header="0"/>
        </w:sectPr>
      </w:pPr>
    </w:p>
    <w:bookmarkStart w:id="9" w:name="page10"/>
    <w:bookmarkEnd w:id="9"/>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Consolidated Statements of Operatons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 thousands, except share and per share data)</w:t>
      </w:r>
    </w:p>
    <w:p>
      <w:pPr>
        <w:spacing w:after="0" w:line="286"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38,065</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100" w:type="dxa"/>
            <w:vAlign w:val="bottom"/>
          </w:tcPr>
          <w:p>
            <w:pPr>
              <w:spacing w:after="0"/>
              <w:rPr>
                <w:sz w:val="20"/>
                <w:szCs w:val="20"/>
                <w:color w:val="auto"/>
              </w:rPr>
            </w:pPr>
          </w:p>
        </w:tc>
      </w:tr>
      <w:tr>
        <w:trPr>
          <w:trHeight w:val="236"/>
        </w:trPr>
        <w:tc>
          <w:tcPr>
            <w:tcW w:w="7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48,726</w:t>
            </w:r>
          </w:p>
        </w:tc>
        <w:tc>
          <w:tcPr>
            <w:tcW w:w="3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(42,255 )</w:t>
            </w:r>
          </w:p>
        </w:tc>
        <w:tc>
          <w:tcPr>
            <w:tcW w:w="4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(30,286 )</w:t>
            </w:r>
          </w:p>
        </w:tc>
      </w:tr>
      <w:tr>
        <w:trPr>
          <w:trHeight w:val="236"/>
        </w:trPr>
        <w:tc>
          <w:tcPr>
            <w:tcW w:w="7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3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(37,874 )</w:t>
            </w:r>
          </w:p>
        </w:tc>
        <w:tc>
          <w:tcPr>
            <w:tcW w:w="4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(28,008 )</w:t>
            </w:r>
          </w:p>
        </w:tc>
      </w:tr>
      <w:tr>
        <w:trPr>
          <w:trHeight w:val="243"/>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(40 )</w:t>
            </w:r>
          </w:p>
        </w:tc>
        <w:tc>
          <w:tcPr>
            <w:tcW w:w="4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(37,914 )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(28,008 )</w:t>
            </w:r>
          </w:p>
        </w:tc>
      </w:tr>
      <w:tr>
        <w:trPr>
          <w:trHeight w:val="241"/>
        </w:trPr>
        <w:tc>
          <w:tcPr>
            <w:tcW w:w="74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(0.35 )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(0.32 )</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108,171,463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88,193,917</w:t>
            </w:r>
          </w:p>
        </w:tc>
        <w:tc>
          <w:tcPr>
            <w:tcW w:w="100" w:type="dxa"/>
            <w:vAlign w:val="bottom"/>
          </w:tcPr>
          <w:p>
            <w:pPr>
              <w:spacing w:after="0"/>
              <w:rPr>
                <w:sz w:val="20"/>
                <w:szCs w:val="20"/>
                <w:color w:val="auto"/>
              </w:rPr>
            </w:pPr>
          </w:p>
        </w:tc>
      </w:tr>
      <w:tr>
        <w:trPr>
          <w:trHeight w:val="3526"/>
        </w:trPr>
        <w:tc>
          <w:tcPr>
            <w:tcW w:w="7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-3522345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-3196590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-2879725</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400" w:type="dxa"/>
            <w:vAlign w:val="bottom"/>
          </w:tcPr>
          <w:p>
            <w:pPr>
              <w:spacing w:after="0"/>
              <w:rPr>
                <w:sz w:val="16"/>
                <w:szCs w:val="16"/>
                <w:color w:val="auto"/>
              </w:rPr>
            </w:pPr>
          </w:p>
        </w:tc>
        <w:tc>
          <w:tcPr>
            <w:tcW w:w="11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80" w:type="dxa"/>
            <w:vAlign w:val="bottom"/>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61,163</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66,385</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11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282,436</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270,500</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Pr>
          <w:p>
            <w:pPr>
              <w:spacing w:after="0"/>
              <w:rPr>
                <w:sz w:val="19"/>
                <w:szCs w:val="19"/>
                <w:color w:val="auto"/>
              </w:rPr>
            </w:pPr>
          </w:p>
        </w:tc>
      </w:tr>
      <w:tr>
        <w:trPr>
          <w:trHeight w:val="233"/>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8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8,437</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352,036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346,538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1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9,908</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1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9"/>
                <w:szCs w:val="19"/>
                <w:color w:val="auto"/>
              </w:rPr>
            </w:pPr>
          </w:p>
        </w:tc>
      </w:tr>
      <w:tr>
        <w:trPr>
          <w:trHeight w:val="223"/>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18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406,222</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402,567</w:t>
            </w:r>
          </w:p>
        </w:tc>
        <w:tc>
          <w:tcPr>
            <w:tcW w:w="100" w:type="dxa"/>
            <w:vAlign w:val="bottom"/>
            <w:shd w:val="clear" w:color="auto" w:fill="CFF0FC"/>
          </w:tcPr>
          <w:p>
            <w:pPr>
              <w:spacing w:after="0"/>
              <w:rPr>
                <w:sz w:val="19"/>
                <w:szCs w:val="19"/>
                <w:color w:val="auto"/>
              </w:rPr>
            </w:pPr>
          </w:p>
        </w:tc>
      </w:tr>
      <w:tr>
        <w:trPr>
          <w:trHeight w:val="221"/>
        </w:trPr>
        <w:tc>
          <w:tcPr>
            <w:tcW w:w="7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180" w:type="dxa"/>
            <w:vAlign w:val="bottom"/>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1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13,755</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15,401</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tcPr>
          <w:p>
            <w:pPr>
              <w:spacing w:after="0"/>
              <w:rPr>
                <w:sz w:val="19"/>
                <w:szCs w:val="19"/>
                <w:color w:val="auto"/>
              </w:rPr>
            </w:pPr>
          </w:p>
        </w:tc>
      </w:tr>
      <w:tr>
        <w:trPr>
          <w:trHeight w:val="233"/>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18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23,070</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1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36,169</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36,838</w:t>
            </w: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62,812</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66,683</w:t>
            </w:r>
          </w:p>
        </w:tc>
        <w:tc>
          <w:tcPr>
            <w:tcW w:w="100" w:type="dxa"/>
            <w:vAlign w:val="bottom"/>
          </w:tcPr>
          <w:p>
            <w:pPr>
              <w:spacing w:after="0"/>
              <w:rPr>
                <w:sz w:val="19"/>
                <w:szCs w:val="19"/>
                <w:color w:val="auto"/>
              </w:rPr>
            </w:pPr>
          </w:p>
        </w:tc>
      </w:tr>
      <w:tr>
        <w:trPr>
          <w:trHeight w:val="229"/>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141,770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149,459</w:t>
            </w:r>
          </w:p>
        </w:tc>
        <w:tc>
          <w:tcPr>
            <w:tcW w:w="100" w:type="dxa"/>
            <w:vAlign w:val="bottom"/>
            <w:shd w:val="clear" w:color="auto" w:fill="CFF0FC"/>
          </w:tcPr>
          <w:p>
            <w:pPr>
              <w:spacing w:after="0"/>
              <w:rPr>
                <w:sz w:val="19"/>
                <w:szCs w:val="19"/>
                <w:color w:val="auto"/>
              </w:rPr>
            </w:pPr>
          </w:p>
        </w:tc>
      </w:tr>
      <w:tr>
        <w:trPr>
          <w:trHeight w:val="22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264,452</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253,108</w:t>
            </w:r>
          </w:p>
        </w:tc>
        <w:tc>
          <w:tcPr>
            <w:tcW w:w="100" w:type="dxa"/>
            <w:vAlign w:val="bottom"/>
          </w:tcPr>
          <w:p>
            <w:pPr>
              <w:spacing w:after="0"/>
              <w:rPr>
                <w:sz w:val="19"/>
                <w:szCs w:val="19"/>
                <w:color w:val="auto"/>
              </w:rPr>
            </w:pPr>
          </w:p>
        </w:tc>
      </w:tr>
      <w:tr>
        <w:trPr>
          <w:trHeight w:val="263"/>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18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406,222</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402,567</w:t>
            </w:r>
          </w:p>
        </w:tc>
        <w:tc>
          <w:tcPr>
            <w:tcW w:w="100" w:type="dxa"/>
            <w:vAlign w:val="bottom"/>
            <w:shd w:val="clear" w:color="auto" w:fill="CFF0FC"/>
          </w:tcPr>
          <w:p>
            <w:pPr>
              <w:spacing w:after="0"/>
              <w:rPr>
                <w:sz w:val="22"/>
                <w:szCs w:val="22"/>
                <w:color w:val="auto"/>
              </w:rPr>
            </w:pPr>
          </w:p>
        </w:tc>
      </w:tr>
      <w:tr>
        <w:trPr>
          <w:trHeight w:val="1614"/>
        </w:trPr>
        <w:tc>
          <w:tcPr>
            <w:tcW w:w="7400" w:type="dxa"/>
            <w:vAlign w:val="bottom"/>
            <w:tcBorders>
              <w:top w:val="single" w:sz="8" w:color="CFF0FC"/>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-3745230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-2853690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-1971040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-1071245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-1053465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2024-05-08T06:29:44Z</dcterms:created>
  <dcterms:modified xsi:type="dcterms:W3CDTF">2024-05-08T06:29:44Z</dcterms:modified>
</cp:coreProperties>
</file>