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(RULE 13D - 101)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13d-1(a) AND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 THERETO FILED PURSUANT TO 13d-2(a)</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Josh La Grange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801 17th Street, NW, Washington, DC 20006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202-639-7497</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November 6, 2024</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39"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45" w:lineRule="exact"/>
        <w:rPr>
          <w:sz w:val="24"/>
          <w:szCs w:val="24"/>
          <w:color w:val="auto"/>
        </w:rPr>
      </w:pPr>
    </w:p>
    <w:p>
      <w:pPr>
        <w:ind w:right="20" w:firstLine="8"/>
        <w:spacing w:after="0" w:line="261" w:lineRule="auto"/>
        <w:tabs>
          <w:tab w:leader="none" w:pos="10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CUSIP No. 87583X109</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BCTG Holdings,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932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9320" w:type="dxa"/>
            <w:vAlign w:val="bottom"/>
            <w:tcBorders>
              <w:bottom w:val="single" w:sz="8" w:color="auto"/>
            </w:tcBorders>
            <w:gridSpan w:val="4"/>
          </w:tcPr>
          <w:p>
            <w:pPr>
              <w:spacing w:after="0"/>
              <w:rPr>
                <w:sz w:val="4"/>
                <w:szCs w:val="4"/>
                <w:color w:val="auto"/>
              </w:rPr>
            </w:pPr>
          </w:p>
        </w:tc>
        <w:tc>
          <w:tcPr>
            <w:tcW w:w="5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Delaware</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6,988,450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400" w:type="dxa"/>
            <w:vAlign w:val="bottom"/>
            <w:tcBorders>
              <w:left w:val="single" w:sz="8" w:color="auto"/>
            </w:tcBorders>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6,988,450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w w:val="98"/>
              </w:rPr>
              <w:t>6,988,450</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rPr>
              <w:t>6.5%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OO</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0"/>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b w:val="1"/>
          <w:bCs w:val="1"/>
          <w:color w:val="auto"/>
        </w:rPr>
        <w:t>CUSIP No. 87583X109</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Calibri" w:cs="Calibri" w:eastAsia="Calibri" w:hAnsi="Calibri"/>
                <w:sz w:val="18"/>
                <w:szCs w:val="18"/>
                <w:color w:val="auto"/>
              </w:rPr>
              <w:t>MVA Investors,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93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21"/>
                <w:szCs w:val="21"/>
                <w:color w:val="auto"/>
              </w:rPr>
            </w:pPr>
          </w:p>
        </w:tc>
        <w:tc>
          <w:tcPr>
            <w:tcW w:w="560" w:type="dxa"/>
            <w:vAlign w:val="bottom"/>
            <w:tcBorders>
              <w:right w:val="single" w:sz="8" w:color="auto"/>
            </w:tcBorders>
            <w:vMerge w:val="continue"/>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4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000" w:type="dxa"/>
            <w:vAlign w:val="bottom"/>
          </w:tcPr>
          <w:p>
            <w:pPr>
              <w:ind w:left="40"/>
              <w:spacing w:after="0" w:line="201" w:lineRule="exact"/>
              <w:rPr>
                <w:sz w:val="20"/>
                <w:szCs w:val="20"/>
                <w:color w:val="auto"/>
              </w:rPr>
            </w:pPr>
            <w:r>
              <w:rPr>
                <w:rFonts w:ascii="Calibri" w:cs="Calibri" w:eastAsia="Calibri" w:hAnsi="Calibri"/>
                <w:sz w:val="18"/>
                <w:szCs w:val="18"/>
                <w:color w:val="auto"/>
              </w:rPr>
              <w:t>108,793</w:t>
            </w: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108,793</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w w:val="94"/>
              </w:rPr>
              <w:t>108,793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rPr>
              <w:t>0.1%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b w:val="1"/>
          <w:bCs w:val="1"/>
          <w:color w:val="auto"/>
        </w:rPr>
        <w:t>CUSIP No. 87583X109</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Calibri" w:cs="Calibri" w:eastAsia="Calibri" w:hAnsi="Calibri"/>
                <w:sz w:val="18"/>
                <w:szCs w:val="18"/>
                <w:color w:val="auto"/>
              </w:rPr>
              <w:t>Aaron I. Davis</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93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9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Calibri" w:cs="Calibri" w:eastAsia="Calibri" w:hAnsi="Calibri"/>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93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32,500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21"/>
                <w:szCs w:val="21"/>
                <w:color w:val="auto"/>
              </w:rPr>
            </w:pPr>
          </w:p>
        </w:tc>
        <w:tc>
          <w:tcPr>
            <w:tcW w:w="540" w:type="dxa"/>
            <w:vAlign w:val="bottom"/>
            <w:tcBorders>
              <w:right w:val="single" w:sz="8" w:color="auto"/>
            </w:tcBorders>
            <w:vMerge w:val="continue"/>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4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8000" w:type="dxa"/>
            <w:vAlign w:val="bottom"/>
          </w:tcPr>
          <w:p>
            <w:pPr>
              <w:ind w:left="40"/>
              <w:spacing w:after="0" w:line="201" w:lineRule="exact"/>
              <w:rPr>
                <w:sz w:val="20"/>
                <w:szCs w:val="20"/>
                <w:color w:val="auto"/>
              </w:rPr>
            </w:pPr>
            <w:r>
              <w:rPr>
                <w:rFonts w:ascii="Calibri" w:cs="Calibri" w:eastAsia="Calibri" w:hAnsi="Calibri"/>
                <w:sz w:val="18"/>
                <w:szCs w:val="18"/>
                <w:color w:val="auto"/>
              </w:rPr>
              <w:t>3,719,435</w:t>
            </w: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400" w:type="dxa"/>
            <w:vAlign w:val="bottom"/>
            <w:tcBorders>
              <w:left w:val="single" w:sz="8" w:color="auto"/>
            </w:tcBorders>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32,500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3,719,435</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w w:val="98"/>
              </w:rPr>
              <w:t>3,751,935</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rPr>
              <w:t>3.5%</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IN</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CUSIP No. 87583X109</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vMerge w:val="restart"/>
          </w:tcPr>
          <w:p>
            <w:pPr>
              <w:ind w:left="40"/>
              <w:spacing w:after="0"/>
              <w:rPr>
                <w:sz w:val="20"/>
                <w:szCs w:val="20"/>
                <w:color w:val="auto"/>
              </w:rPr>
            </w:pPr>
            <w:r>
              <w:rPr>
                <w:rFonts w:ascii="Calibri" w:cs="Calibri" w:eastAsia="Calibri" w:hAnsi="Calibri"/>
                <w:sz w:val="18"/>
                <w:szCs w:val="18"/>
                <w:color w:val="auto"/>
              </w:rPr>
              <w:t>Boxer Capital Management,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93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520" w:type="dxa"/>
            <w:vAlign w:val="bottom"/>
            <w:tcBorders>
              <w:bottom w:val="single" w:sz="8" w:color="auto"/>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N/A</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4"/>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Delaware</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21"/>
                <w:szCs w:val="21"/>
                <w:color w:val="auto"/>
              </w:rPr>
            </w:pPr>
          </w:p>
        </w:tc>
        <w:tc>
          <w:tcPr>
            <w:tcW w:w="540" w:type="dxa"/>
            <w:vAlign w:val="bottom"/>
            <w:tcBorders>
              <w:right w:val="single" w:sz="8" w:color="auto"/>
            </w:tcBorders>
            <w:vMerge w:val="continue"/>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4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8000" w:type="dxa"/>
            <w:vAlign w:val="bottom"/>
          </w:tcPr>
          <w:p>
            <w:pPr>
              <w:ind w:left="40"/>
              <w:spacing w:after="0" w:line="201" w:lineRule="exact"/>
              <w:rPr>
                <w:sz w:val="20"/>
                <w:szCs w:val="20"/>
                <w:color w:val="auto"/>
              </w:rPr>
            </w:pPr>
            <w:r>
              <w:rPr>
                <w:rFonts w:ascii="Calibri" w:cs="Calibri" w:eastAsia="Calibri" w:hAnsi="Calibri"/>
                <w:sz w:val="18"/>
                <w:szCs w:val="18"/>
                <w:color w:val="auto"/>
              </w:rPr>
              <w:t>3,610,642</w:t>
            </w: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vMerge w:val="restart"/>
          </w:tcPr>
          <w:p>
            <w:pPr>
              <w:ind w:left="40"/>
              <w:spacing w:after="0"/>
              <w:rPr>
                <w:sz w:val="20"/>
                <w:szCs w:val="20"/>
                <w:color w:val="auto"/>
              </w:rPr>
            </w:pPr>
            <w:r>
              <w:rPr>
                <w:rFonts w:ascii="Calibri" w:cs="Calibri" w:eastAsia="Calibri" w:hAnsi="Calibri"/>
                <w:sz w:val="18"/>
                <w:szCs w:val="18"/>
                <w:color w:val="auto"/>
              </w:rPr>
              <w:t>3,610,642</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w w:val="98"/>
              </w:rPr>
              <w:t>3,610,642</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Calibri" w:cs="Calibri" w:eastAsia="Calibri" w:hAnsi="Calibri"/>
                <w:sz w:val="18"/>
                <w:szCs w:val="18"/>
                <w:color w:val="auto"/>
              </w:rPr>
              <w:t>3.4%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Calibri" w:cs="Calibri" w:eastAsia="Calibri" w:hAnsi="Calibri"/>
                <w:sz w:val="18"/>
                <w:szCs w:val="18"/>
                <w:color w:val="auto"/>
              </w:rPr>
              <w:t>OO, IA</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8"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With respect to Boxer Capital Management, LLC (“</w:t>
      </w:r>
      <w:r>
        <w:rPr>
          <w:rFonts w:ascii="Times New Roman" w:cs="Times New Roman" w:eastAsia="Times New Roman" w:hAnsi="Times New Roman"/>
          <w:sz w:val="18"/>
          <w:szCs w:val="18"/>
          <w:u w:val="single" w:color="auto"/>
          <w:color w:val="auto"/>
        </w:rPr>
        <w:t>BCM</w:t>
      </w:r>
      <w:r>
        <w:rPr>
          <w:rFonts w:ascii="Times New Roman" w:cs="Times New Roman" w:eastAsia="Times New Roman" w:hAnsi="Times New Roman"/>
          <w:sz w:val="18"/>
          <w:szCs w:val="18"/>
          <w:color w:val="auto"/>
        </w:rPr>
        <w:t>”), BCTG Holdings, LLC (“</w:t>
      </w:r>
      <w:r>
        <w:rPr>
          <w:rFonts w:ascii="Times New Roman" w:cs="Times New Roman" w:eastAsia="Times New Roman" w:hAnsi="Times New Roman"/>
          <w:sz w:val="18"/>
          <w:szCs w:val="18"/>
          <w:u w:val="single" w:color="auto"/>
          <w:color w:val="auto"/>
        </w:rPr>
        <w:t>BCTG Holdings</w:t>
      </w:r>
      <w:r>
        <w:rPr>
          <w:rFonts w:ascii="Times New Roman" w:cs="Times New Roman" w:eastAsia="Times New Roman" w:hAnsi="Times New Roman"/>
          <w:sz w:val="18"/>
          <w:szCs w:val="18"/>
          <w:color w:val="auto"/>
        </w:rPr>
        <w:t>”), MVA Investors, LLC (“</w:t>
      </w:r>
      <w:r>
        <w:rPr>
          <w:rFonts w:ascii="Times New Roman" w:cs="Times New Roman" w:eastAsia="Times New Roman" w:hAnsi="Times New Roman"/>
          <w:sz w:val="18"/>
          <w:szCs w:val="18"/>
          <w:u w:val="single" w:color="auto"/>
          <w:color w:val="auto"/>
        </w:rPr>
        <w:t>MVA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and Aaron I. Davis (together with BCM, BCTG Holdings and MVA Investors,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this amendment (this “</w:t>
      </w:r>
      <w:r>
        <w:rPr>
          <w:rFonts w:ascii="Times New Roman" w:cs="Times New Roman" w:eastAsia="Times New Roman" w:hAnsi="Times New Roman"/>
          <w:sz w:val="18"/>
          <w:szCs w:val="18"/>
          <w:u w:val="single" w:color="auto"/>
          <w:color w:val="auto"/>
        </w:rPr>
        <w:t>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 6</w:t>
      </w:r>
      <w:r>
        <w:rPr>
          <w:rFonts w:ascii="Times New Roman" w:cs="Times New Roman" w:eastAsia="Times New Roman" w:hAnsi="Times New Roman"/>
          <w:sz w:val="18"/>
          <w:szCs w:val="18"/>
          <w:color w:val="auto"/>
        </w:rPr>
        <w:t>”) further amends and supplements the statement on Schedule 13D filed on August 20, 2021 (the “</w:t>
      </w:r>
      <w:r>
        <w:rPr>
          <w:rFonts w:ascii="Times New Roman" w:cs="Times New Roman" w:eastAsia="Times New Roman" w:hAnsi="Times New Roman"/>
          <w:sz w:val="18"/>
          <w:szCs w:val="18"/>
          <w:u w:val="single" w:color="auto"/>
          <w:color w:val="auto"/>
        </w:rPr>
        <w:t>Original Filing</w:t>
      </w:r>
      <w:r>
        <w:rPr>
          <w:rFonts w:ascii="Times New Roman" w:cs="Times New Roman" w:eastAsia="Times New Roman" w:hAnsi="Times New Roman"/>
          <w:sz w:val="18"/>
          <w:szCs w:val="18"/>
          <w:color w:val="auto"/>
        </w:rPr>
        <w:t>”) by BCTG Holdings, MVA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Mr. Davis and certain other persons with respect to the Common Stock, par value $0.001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Tango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as previously amended and filed on January 4, 2022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August 16, 2023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October 18,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October 15, 2024 (“</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and October 28, 2024 (</w:t>
      </w:r>
      <w:r>
        <w:rPr>
          <w:rFonts w:ascii="Times New Roman" w:cs="Times New Roman" w:eastAsia="Times New Roman" w:hAnsi="Times New Roman"/>
          <w:sz w:val="18"/>
          <w:szCs w:val="18"/>
          <w:u w:val="single" w:color="auto"/>
          <w:color w:val="auto"/>
        </w:rPr>
        <w:t>Amendment No. 5</w:t>
      </w:r>
      <w:r>
        <w:rPr>
          <w:rFonts w:ascii="Times New Roman" w:cs="Times New Roman" w:eastAsia="Times New Roman" w:hAnsi="Times New Roman"/>
          <w:sz w:val="18"/>
          <w:szCs w:val="18"/>
          <w:color w:val="auto"/>
        </w:rPr>
        <w:t>). Capitalized terms used herein but not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shall have the respective meanings defined in the Original Filing, as previously amended. The Original Filing, as previously amended, is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hereby only as specifically set forth herein, provided that with respect to any Item amended herein, if such Item is incorporated by reference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Item in the Original Filing, as previously amended, such incorporation by reference is also amended hereby.</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5(a) and (b) are hereby amended and restated to read as follows:</w:t>
      </w:r>
    </w:p>
    <w:p>
      <w:pPr>
        <w:spacing w:after="0" w:line="212" w:lineRule="exact"/>
        <w:rPr>
          <w:sz w:val="20"/>
          <w:szCs w:val="20"/>
          <w:color w:val="auto"/>
        </w:rPr>
      </w:pPr>
    </w:p>
    <w:p>
      <w:pPr>
        <w:jc w:val="both"/>
        <w:ind w:firstLine="494"/>
        <w:spacing w:after="0" w:line="258" w:lineRule="auto"/>
        <w:tabs>
          <w:tab w:leader="none" w:pos="7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For information regarding beneficial ownership, see the information presented on the cover pages. All percentages are based on 107,450,318 shares of the Issuer’s Common Stock outstanding, which is (i) 107,417,818 shares of the Issuer’s Common Stock outstanding as of November 1, 2024 as set forth in the Issuer’s 10-Q filed with the Securities and Exchange Commission on November 6, 2024,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32,500 shares of Common Stock subject to options to purchase shares of Common Stock, held by Mr. Davis, exercisable in the next 60 days. The Reporting Persons may be deemed to beneficially own, in the aggregate, 10,740,385 shares of Common Stock, representing beneficial ownership of 9.996% of the outstanding shares of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5(c) is hereby supplemented by the addition of the following:</w:t>
      </w:r>
    </w:p>
    <w:p>
      <w:pPr>
        <w:spacing w:after="0" w:line="21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BCM caused an account under its management to sell shares of the Issuer’s Common Stock in the open market for cash on November 6, 2024, in the number and at the average price disclosed in a filing on Form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911225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2024</w:t>
      </w:r>
    </w:p>
    <w:p>
      <w:pPr>
        <w:spacing w:after="0" w:line="200" w:lineRule="exact"/>
        <w:rPr>
          <w:sz w:val="20"/>
          <w:szCs w:val="20"/>
          <w:color w:val="auto"/>
        </w:rPr>
      </w:pP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BCTG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1342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MVA INVESTORS,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1342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AARON I. DAVIS</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3488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Aaron I. Davis, Individually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BOXER CAPITAL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Calibri" w:cs="Calibri" w:eastAsia="Calibri" w:hAnsi="Calibri"/>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12065</wp:posOffset>
            </wp:positionV>
            <wp:extent cx="21342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sectPr>
      <w:pgSz w:w="11900" w:h="16838" w:orient="portrait"/>
      <w:cols w:equalWidth="0" w:num="1">
        <w:col w:w="10800"/>
      </w:cols>
      <w:pgMar w:left="320" w:top="333"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2024-11-07T20:42:36Z</dcterms:created>
  <dcterms:modified xsi:type="dcterms:W3CDTF">2024-11-07T20:42:36Z</dcterms:modified>
</cp:coreProperties>
</file>