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Boxer Capital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68"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10"/>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10"/>
            <w:vMerge w:val="continue"/>
          </w:tcPr>
          <w:p>
            <w:pPr>
              <w:spacing w:after="0" w:line="20" w:lineRule="exact"/>
              <w:rPr>
                <w:sz w:val="1"/>
                <w:szCs w:val="1"/>
                <w:color w:val="auto"/>
              </w:rPr>
            </w:pPr>
          </w:p>
        </w:tc>
        <w:tc>
          <w:tcPr>
            <w:tcW w:w="376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40" w:type="dxa"/>
            <w:vAlign w:val="bottom"/>
            <w:gridSpan w:val="4"/>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11/06/2024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3,080,000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3,610,642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108,793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6,988,450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18"/>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40" w:type="dxa"/>
            <w:vAlign w:val="bottom"/>
            <w:gridSpan w:val="14"/>
          </w:tcPr>
          <w:p>
            <w:pPr>
              <w:jc w:val="center"/>
              <w:ind w:lef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Boxer Capital Management, LLC</w:t>
              </w:r>
            </w:hyperlink>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Davis Aaron I.</w:t>
              </w:r>
            </w:hyperlink>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 SUITE 300</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-440690</wp:posOffset>
            </wp:positionV>
            <wp:extent cx="2809240" cy="520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$3.0000 to $3.3955,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indirectly by Boxer Capital Management, LLC ("BCM") as the investment manager of an account holding such securities. BCM disclaims beneficial ownership of such securities except to the extent of its pecuniary interest therein. Mr. Davis is the Managing Member of BCM and has voting and dispositive power over securities beneficially owned by BCM, but disclaims beneficial ownership of these securities except to the extent of his pecuniary interest, if any.</w:t>
      </w:r>
    </w:p>
    <w:p>
      <w:pPr>
        <w:spacing w:after="0" w:line="20" w:lineRule="exact"/>
        <w:rPr>
          <w:rFonts w:ascii="Times New Roman" w:cs="Times New Roman" w:eastAsia="Times New Roman" w:hAnsi="Times New Roman"/>
          <w:sz w:val="13"/>
          <w:szCs w:val="13"/>
          <w:color w:val="008000"/>
        </w:rPr>
      </w:pPr>
    </w:p>
    <w:p>
      <w:pPr>
        <w:ind w:right="4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MVA Investors, LLC ("MVA Investors"). Aaron I. Davis is a member of and has voting and dispositive power over securities held by MVA Investors, but disclaims beneficial ownership of these securities except to the extent of such person's pecuniary interest therein, if any. BCM disclaims beneficial ownership of these securities.</w:t>
      </w:r>
    </w:p>
    <w:p>
      <w:pPr>
        <w:spacing w:after="0" w:line="7"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BCTG Holdings, LLC ("BCTG"). MVA Investors is a member of BCTG. Mr. Davis is a member of the investment committee of BCTG. Mr. Davis disclaims beneficial ownership of these securities except to the extent of his pecuniary interest therein, if any. BCM disclaims beneficial ownership of these securities.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Reporting Persons may be deemed members of a group that formerly beneficially owned more than 10% of the outstanding shares of the Issuer's Common Stock.</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Aaron I. Davis, Managing</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202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Member, Boxer Capital</w:t>
            </w:r>
          </w:p>
        </w:tc>
        <w:tc>
          <w:tcPr>
            <w:tcW w:w="100" w:type="dxa"/>
            <w:vAlign w:val="bottom"/>
          </w:tcPr>
          <w:p>
            <w:pPr>
              <w:spacing w:after="0"/>
              <w:rPr>
                <w:sz w:val="16"/>
                <w:szCs w:val="16"/>
                <w:color w:val="auto"/>
              </w:rPr>
            </w:pPr>
          </w:p>
        </w:tc>
        <w:tc>
          <w:tcPr>
            <w:tcW w:w="8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color w:val="0000FF"/>
              </w:rPr>
              <w:t>11/07/2024</w:t>
            </w:r>
          </w:p>
        </w:tc>
      </w:tr>
      <w:tr>
        <w:trPr>
          <w:trHeight w:val="193"/>
        </w:trPr>
        <w:tc>
          <w:tcPr>
            <w:tcW w:w="16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Management, LLC</w:t>
            </w:r>
          </w:p>
        </w:tc>
        <w:tc>
          <w:tcPr>
            <w:tcW w:w="4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47"/>
        </w:trPr>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Aaron I. Davis</w:t>
            </w:r>
          </w:p>
        </w:tc>
        <w:tc>
          <w:tcPr>
            <w:tcW w:w="800" w:type="dxa"/>
            <w:vAlign w:val="bottom"/>
            <w:gridSpan w:val="3"/>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11/07/2024</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2018299"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2024-11-07T20:36:06Z</dcterms:created>
  <dcterms:modified xsi:type="dcterms:W3CDTF">2024-11-07T20:36:06Z</dcterms:modified>
</cp:coreProperties>
</file>