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140" w:right="1600" w:hanging="311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TANGO THERAPEUTICS, INC.</w:t>
      </w:r>
    </w:p>
    <w:p>
      <w:pPr>
        <w:sectPr>
          <w:pgSz w:w="11900" w:h="16838" w:orient="portrait"/>
          <w:cols w:equalWidth="0" w:num="1">
            <w:col w:w="11240"/>
          </w:cols>
          <w:pgMar w:left="320" w:top="665"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700" w:space="240"/>
            <w:col w:w="330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500" w:type="dxa"/>
            <w:vAlign w:val="bottom"/>
          </w:tcPr>
          <w:p>
            <w:pPr>
              <w:jc w:val="center"/>
              <w:ind w:left="1058"/>
              <w:spacing w:after="0"/>
              <w:rPr>
                <w:sz w:val="20"/>
                <w:szCs w:val="20"/>
                <w:color w:val="auto"/>
              </w:rPr>
            </w:pPr>
            <w:r>
              <w:rPr>
                <w:rFonts w:ascii="Arial" w:cs="Arial" w:eastAsia="Arial" w:hAnsi="Arial"/>
                <w:sz w:val="18"/>
                <w:szCs w:val="18"/>
                <w:b w:val="1"/>
                <w:bCs w:val="1"/>
                <w:color w:val="auto"/>
                <w:w w:val="89"/>
              </w:rPr>
              <w:t>201 Brookline Ave., Suite 901</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jc w:val="center"/>
              <w:ind w:left="1058"/>
              <w:spacing w:after="0"/>
              <w:rPr>
                <w:sz w:val="20"/>
                <w:szCs w:val="20"/>
                <w:color w:val="auto"/>
              </w:rPr>
            </w:pPr>
            <w:r>
              <w:rPr>
                <w:rFonts w:ascii="Arial" w:cs="Arial" w:eastAsia="Arial" w:hAnsi="Arial"/>
                <w:sz w:val="18"/>
                <w:szCs w:val="18"/>
                <w:b w:val="1"/>
                <w:bCs w:val="1"/>
                <w:color w:val="auto"/>
                <w:w w:val="91"/>
              </w:rPr>
              <w:t>Boston, MA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Arial" w:cs="Arial" w:eastAsia="Arial" w:hAnsi="Arial"/>
                <w:sz w:val="18"/>
                <w:szCs w:val="18"/>
                <w:b w:val="1"/>
                <w:bCs w:val="1"/>
                <w:color w:val="auto"/>
              </w:rPr>
              <w:t>02215</w:t>
            </w:r>
          </w:p>
        </w:tc>
        <w:tc>
          <w:tcPr>
            <w:tcW w:w="0" w:type="dxa"/>
            <w:vAlign w:val="bottom"/>
          </w:tcPr>
          <w:p>
            <w:pPr>
              <w:spacing w:after="0"/>
              <w:rPr>
                <w:sz w:val="1"/>
                <w:szCs w:val="1"/>
                <w:color w:val="auto"/>
              </w:rPr>
            </w:pPr>
          </w:p>
        </w:tc>
      </w:tr>
      <w:tr>
        <w:trPr>
          <w:trHeight w:val="173"/>
        </w:trPr>
        <w:tc>
          <w:tcPr>
            <w:tcW w:w="4500" w:type="dxa"/>
            <w:vAlign w:val="bottom"/>
          </w:tcPr>
          <w:p>
            <w:pPr>
              <w:jc w:val="center"/>
              <w:ind w:left="105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140" w:type="dxa"/>
            <w:vAlign w:val="bottom"/>
            <w:gridSpan w:val="2"/>
            <w:vMerge w:val="restart"/>
          </w:tcPr>
          <w:p>
            <w:pPr>
              <w:jc w:val="center"/>
              <w:ind w:left="10"/>
              <w:spacing w:after="0"/>
              <w:rPr>
                <w:sz w:val="20"/>
                <w:szCs w:val="20"/>
                <w:color w:val="auto"/>
              </w:rPr>
            </w:pPr>
            <w:r>
              <w:rPr>
                <w:rFonts w:ascii="Arial" w:cs="Arial" w:eastAsia="Arial" w:hAnsi="Arial"/>
                <w:sz w:val="18"/>
                <w:szCs w:val="18"/>
                <w:b w:val="1"/>
                <w:bCs w:val="1"/>
                <w:color w:val="auto"/>
                <w:w w:val="90"/>
              </w:rPr>
              <w:t>(857) 320-4900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00"/>
        </w:trPr>
        <w:tc>
          <w:tcPr>
            <w:tcW w:w="45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6"/>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00" w:type="dxa"/>
            <w:vAlign w:val="bottom"/>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5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5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3"/>
              </w:rPr>
              <w:t>Trading</w:t>
            </w:r>
          </w:p>
        </w:tc>
        <w:tc>
          <w:tcPr>
            <w:tcW w:w="3580" w:type="dxa"/>
            <w:vAlign w:val="bottom"/>
            <w:vMerge w:val="restart"/>
          </w:tcPr>
          <w:p>
            <w:pPr>
              <w:jc w:val="center"/>
              <w:ind w:right="82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TNGX</w:t>
            </w:r>
          </w:p>
        </w:tc>
        <w:tc>
          <w:tcPr>
            <w:tcW w:w="1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821"/>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5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2023, the registrant had 101,989,696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5"/>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5"/>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jc w:val="both"/>
        <w:ind w:right="40" w:firstLine="599"/>
        <w:spacing w:after="0" w:line="263"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2022. These risks include, among others, the following (which is not an exhaustive list of all such risks):</w:t>
      </w:r>
    </w:p>
    <w:p>
      <w:pPr>
        <w:spacing w:after="0" w:line="76" w:lineRule="exact"/>
        <w:rPr>
          <w:sz w:val="20"/>
          <w:szCs w:val="20"/>
          <w:color w:val="auto"/>
        </w:rPr>
      </w:pPr>
    </w:p>
    <w:p>
      <w:pPr>
        <w:ind w:left="1040" w:right="220" w:hanging="465"/>
        <w:spacing w:after="0" w:line="286"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8" w:lineRule="exact"/>
        <w:rPr>
          <w:rFonts w:ascii="Arial" w:cs="Arial" w:eastAsia="Arial" w:hAnsi="Arial"/>
          <w:sz w:val="17"/>
          <w:szCs w:val="17"/>
          <w:color w:val="auto"/>
        </w:rPr>
      </w:pPr>
    </w:p>
    <w:p>
      <w:pPr>
        <w:ind w:left="1040" w:right="80" w:hanging="46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83" w:lineRule="exact"/>
        <w:rPr>
          <w:rFonts w:ascii="Arial" w:cs="Arial" w:eastAsia="Arial" w:hAnsi="Arial"/>
          <w:sz w:val="18"/>
          <w:szCs w:val="18"/>
          <w:color w:val="auto"/>
        </w:rPr>
      </w:pPr>
    </w:p>
    <w:p>
      <w:pPr>
        <w:jc w:val="both"/>
        <w:ind w:left="1040" w:hanging="452"/>
        <w:spacing w:after="0" w:line="311" w:lineRule="auto"/>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62" w:lineRule="exact"/>
        <w:rPr>
          <w:rFonts w:ascii="Arial" w:cs="Arial" w:eastAsia="Arial" w:hAnsi="Arial"/>
          <w:sz w:val="16"/>
          <w:szCs w:val="16"/>
          <w:color w:val="auto"/>
        </w:rPr>
      </w:pPr>
    </w:p>
    <w:p>
      <w:pPr>
        <w:ind w:left="1040" w:right="180" w:hanging="46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83" w:lineRule="exact"/>
        <w:rPr>
          <w:rFonts w:ascii="Arial" w:cs="Arial" w:eastAsia="Arial" w:hAnsi="Arial"/>
          <w:sz w:val="18"/>
          <w:szCs w:val="18"/>
          <w:color w:val="auto"/>
        </w:rPr>
      </w:pPr>
    </w:p>
    <w:p>
      <w:pPr>
        <w:ind w:left="1040" w:right="240" w:hanging="452"/>
        <w:spacing w:after="0" w:line="26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97" w:lineRule="exact"/>
        <w:rPr>
          <w:rFonts w:ascii="Arial" w:cs="Arial" w:eastAsia="Arial" w:hAnsi="Arial"/>
          <w:sz w:val="18"/>
          <w:szCs w:val="18"/>
          <w:color w:val="auto"/>
        </w:rPr>
      </w:pPr>
    </w:p>
    <w:p>
      <w:pPr>
        <w:ind w:left="1040" w:right="160" w:hanging="452"/>
        <w:spacing w:after="0" w:line="25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200" w:lineRule="exact"/>
        <w:rPr>
          <w:rFonts w:ascii="Arial" w:cs="Arial" w:eastAsia="Arial" w:hAnsi="Arial"/>
          <w:sz w:val="18"/>
          <w:szCs w:val="18"/>
          <w:color w:val="auto"/>
        </w:rPr>
      </w:pPr>
    </w:p>
    <w:p>
      <w:pPr>
        <w:ind w:left="1040" w:right="20" w:hanging="46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83" w:lineRule="exact"/>
        <w:rPr>
          <w:rFonts w:ascii="Arial" w:cs="Arial" w:eastAsia="Arial" w:hAnsi="Arial"/>
          <w:sz w:val="18"/>
          <w:szCs w:val="18"/>
          <w:color w:val="auto"/>
        </w:rPr>
      </w:pPr>
    </w:p>
    <w:p>
      <w:pPr>
        <w:ind w:left="1040" w:right="300" w:hanging="452"/>
        <w:spacing w:after="0" w:line="342" w:lineRule="auto"/>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37" w:lineRule="exact"/>
        <w:rPr>
          <w:rFonts w:ascii="Arial" w:cs="Arial" w:eastAsia="Arial" w:hAnsi="Arial"/>
          <w:sz w:val="16"/>
          <w:szCs w:val="16"/>
          <w:color w:val="auto"/>
        </w:rPr>
      </w:pPr>
    </w:p>
    <w:p>
      <w:pPr>
        <w:ind w:left="1040" w:hanging="452"/>
        <w:spacing w:after="0" w:line="25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00" w:lineRule="exact"/>
        <w:rPr>
          <w:rFonts w:ascii="Arial" w:cs="Arial" w:eastAsia="Arial" w:hAnsi="Arial"/>
          <w:sz w:val="18"/>
          <w:szCs w:val="18"/>
          <w:color w:val="auto"/>
        </w:rPr>
      </w:pPr>
    </w:p>
    <w:p>
      <w:pPr>
        <w:ind w:left="1040" w:right="240" w:hanging="46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83" w:lineRule="exact"/>
        <w:rPr>
          <w:rFonts w:ascii="Arial" w:cs="Arial" w:eastAsia="Arial" w:hAnsi="Arial"/>
          <w:sz w:val="18"/>
          <w:szCs w:val="18"/>
          <w:color w:val="auto"/>
        </w:rPr>
      </w:pPr>
    </w:p>
    <w:p>
      <w:pPr>
        <w:ind w:left="1040" w:right="520" w:hanging="452"/>
        <w:spacing w:after="0" w:line="26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97" w:lineRule="exact"/>
        <w:rPr>
          <w:rFonts w:ascii="Arial" w:cs="Arial" w:eastAsia="Arial" w:hAnsi="Arial"/>
          <w:sz w:val="18"/>
          <w:szCs w:val="18"/>
          <w:color w:val="auto"/>
        </w:rPr>
      </w:pPr>
    </w:p>
    <w:p>
      <w:pPr>
        <w:ind w:left="1040" w:right="60" w:hanging="452"/>
        <w:spacing w:after="0" w:line="26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97" w:lineRule="exact"/>
        <w:rPr>
          <w:rFonts w:ascii="Arial" w:cs="Arial" w:eastAsia="Arial" w:hAnsi="Arial"/>
          <w:sz w:val="18"/>
          <w:szCs w:val="18"/>
          <w:color w:val="auto"/>
        </w:rPr>
      </w:pPr>
    </w:p>
    <w:p>
      <w:pPr>
        <w:ind w:left="1040" w:right="140" w:hanging="452"/>
        <w:spacing w:after="0" w:line="26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ind w:left="1040" w:right="320" w:hanging="46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97" w:lineRule="exact"/>
        <w:rPr>
          <w:rFonts w:ascii="Arial" w:cs="Arial" w:eastAsia="Arial" w:hAnsi="Arial"/>
          <w:sz w:val="18"/>
          <w:szCs w:val="18"/>
          <w:color w:val="auto"/>
        </w:rPr>
      </w:pPr>
    </w:p>
    <w:p>
      <w:pPr>
        <w:ind w:left="1040" w:right="180" w:hanging="452"/>
        <w:spacing w:after="0" w:line="259"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00" w:lineRule="exact"/>
        <w:rPr>
          <w:rFonts w:ascii="Arial" w:cs="Arial" w:eastAsia="Arial" w:hAnsi="Arial"/>
          <w:sz w:val="18"/>
          <w:szCs w:val="18"/>
          <w:color w:val="auto"/>
        </w:rPr>
      </w:pPr>
    </w:p>
    <w:p>
      <w:pPr>
        <w:ind w:left="1040" w:right="100" w:hanging="452"/>
        <w:spacing w:after="0" w:line="259"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00" w:lineRule="exact"/>
        <w:rPr>
          <w:rFonts w:ascii="Arial" w:cs="Arial" w:eastAsia="Arial" w:hAnsi="Arial"/>
          <w:sz w:val="18"/>
          <w:szCs w:val="18"/>
          <w:color w:val="auto"/>
        </w:rPr>
      </w:pPr>
    </w:p>
    <w:p>
      <w:pPr>
        <w:ind w:left="1040" w:right="440" w:hanging="452"/>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59" w:lineRule="exact"/>
        <w:rPr>
          <w:rFonts w:ascii="Arial" w:cs="Arial" w:eastAsia="Arial" w:hAnsi="Arial"/>
          <w:sz w:val="17"/>
          <w:szCs w:val="17"/>
          <w:color w:val="auto"/>
        </w:rPr>
      </w:pPr>
    </w:p>
    <w:p>
      <w:pPr>
        <w:ind w:left="1040" w:right="140" w:hanging="452"/>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83" w:lineRule="exact"/>
        <w:rPr>
          <w:rFonts w:ascii="Arial" w:cs="Arial" w:eastAsia="Arial" w:hAnsi="Arial"/>
          <w:sz w:val="18"/>
          <w:szCs w:val="18"/>
          <w:color w:val="auto"/>
        </w:rPr>
      </w:pPr>
    </w:p>
    <w:p>
      <w:pPr>
        <w:ind w:left="1040" w:right="80" w:hanging="452"/>
        <w:spacing w:after="0" w:line="263"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firstLine="495"/>
        <w:spacing w:after="0" w:line="271" w:lineRule="auto"/>
        <w:rPr>
          <w:sz w:val="20"/>
          <w:szCs w:val="20"/>
          <w:color w:val="auto"/>
        </w:rPr>
      </w:pPr>
      <w:r>
        <w:rPr>
          <w:rFonts w:ascii="Arial" w:cs="Arial" w:eastAsia="Arial" w:hAnsi="Arial"/>
          <w:sz w:val="17"/>
          <w:szCs w:val="17"/>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70" w:lineRule="exact"/>
        <w:rPr>
          <w:sz w:val="20"/>
          <w:szCs w:val="20"/>
          <w:color w:val="auto"/>
        </w:rPr>
      </w:pPr>
    </w:p>
    <w:p>
      <w:pPr>
        <w:ind w:left="1040" w:right="60" w:hanging="452"/>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and initiation and completion of studies or clinical trials and related preparatory work, and the period during which the results of the clinical trials (including initial and final trial results) will become available;</w:t>
      </w:r>
    </w:p>
    <w:p>
      <w:pPr>
        <w:spacing w:after="0" w:line="200" w:lineRule="exact"/>
        <w:rPr>
          <w:rFonts w:ascii="Arial" w:cs="Arial" w:eastAsia="Arial" w:hAnsi="Arial"/>
          <w:sz w:val="18"/>
          <w:szCs w:val="18"/>
          <w:color w:val="auto"/>
        </w:rPr>
      </w:pPr>
    </w:p>
    <w:p>
      <w:pPr>
        <w:ind w:left="1040" w:right="300" w:hanging="452"/>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 and the ability to identify clinical trial investigators to use our product candidates in trials);</w:t>
      </w:r>
    </w:p>
    <w:p>
      <w:pPr>
        <w:spacing w:after="0" w:line="183" w:lineRule="exact"/>
        <w:rPr>
          <w:rFonts w:ascii="Arial" w:cs="Arial" w:eastAsia="Arial" w:hAnsi="Arial"/>
          <w:sz w:val="18"/>
          <w:szCs w:val="18"/>
          <w:color w:val="auto"/>
        </w:rPr>
      </w:pPr>
    </w:p>
    <w:p>
      <w:pPr>
        <w:ind w:left="1040" w:right="40" w:hanging="452"/>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83" w:lineRule="exact"/>
        <w:rPr>
          <w:rFonts w:ascii="Arial" w:cs="Arial" w:eastAsia="Arial" w:hAnsi="Arial"/>
          <w:sz w:val="18"/>
          <w:szCs w:val="18"/>
          <w:color w:val="auto"/>
        </w:rPr>
      </w:pPr>
    </w:p>
    <w:p>
      <w:pPr>
        <w:ind w:left="1040" w:right="80" w:hanging="452"/>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83" w:lineRule="exact"/>
        <w:rPr>
          <w:rFonts w:ascii="Arial" w:cs="Arial" w:eastAsia="Arial" w:hAnsi="Arial"/>
          <w:sz w:val="18"/>
          <w:szCs w:val="18"/>
          <w:color w:val="auto"/>
        </w:rPr>
      </w:pPr>
    </w:p>
    <w:p>
      <w:pPr>
        <w:ind w:left="1040" w:right="220" w:hanging="452"/>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2026);</w:t>
      </w:r>
    </w:p>
    <w:p>
      <w:pPr>
        <w:spacing w:after="0" w:line="197"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238" w:lineRule="exact"/>
        <w:rPr>
          <w:rFonts w:ascii="Arial" w:cs="Arial" w:eastAsia="Arial" w:hAnsi="Arial"/>
          <w:sz w:val="18"/>
          <w:szCs w:val="18"/>
          <w:color w:val="auto"/>
        </w:rPr>
      </w:pPr>
    </w:p>
    <w:p>
      <w:pPr>
        <w:ind w:left="1040" w:right="120" w:hanging="45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83" w:lineRule="exact"/>
        <w:rPr>
          <w:rFonts w:ascii="Arial" w:cs="Arial" w:eastAsia="Arial" w:hAnsi="Arial"/>
          <w:sz w:val="18"/>
          <w:szCs w:val="18"/>
          <w:color w:val="auto"/>
        </w:rPr>
      </w:pPr>
    </w:p>
    <w:p>
      <w:pPr>
        <w:ind w:left="1040" w:right="220" w:hanging="45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(if approved) and any other approved products;</w:t>
      </w:r>
    </w:p>
    <w:p>
      <w:pPr>
        <w:spacing w:after="0" w:line="183"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238" w:lineRule="exact"/>
        <w:rPr>
          <w:rFonts w:ascii="Arial" w:cs="Arial" w:eastAsia="Arial" w:hAnsi="Arial"/>
          <w:sz w:val="18"/>
          <w:szCs w:val="18"/>
          <w:color w:val="auto"/>
        </w:rPr>
      </w:pPr>
    </w:p>
    <w:p>
      <w:pPr>
        <w:ind w:left="1040" w:right="580" w:hanging="45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including pricing regulations by U.S. (such as CMS) and foreign regulatory authorities;</w:t>
      </w:r>
    </w:p>
    <w:p>
      <w:pPr>
        <w:spacing w:after="0" w:line="183"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38" w:lineRule="exact"/>
        <w:rPr>
          <w:rFonts w:ascii="Arial" w:cs="Arial" w:eastAsia="Arial" w:hAnsi="Arial"/>
          <w:sz w:val="18"/>
          <w:szCs w:val="18"/>
          <w:color w:val="auto"/>
        </w:rPr>
      </w:pPr>
    </w:p>
    <w:p>
      <w:pPr>
        <w:ind w:left="1040" w:right="80" w:hanging="452"/>
        <w:spacing w:after="0" w:line="342" w:lineRule="auto"/>
        <w:tabs>
          <w:tab w:leader="none" w:pos="108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37" w:lineRule="exact"/>
        <w:rPr>
          <w:rFonts w:ascii="Arial" w:cs="Arial" w:eastAsia="Arial" w:hAnsi="Arial"/>
          <w:sz w:val="16"/>
          <w:szCs w:val="16"/>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38"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industry;</w:t>
      </w:r>
    </w:p>
    <w:p>
      <w:pPr>
        <w:spacing w:after="0" w:line="238" w:lineRule="exact"/>
        <w:rPr>
          <w:rFonts w:ascii="Arial" w:cs="Arial" w:eastAsia="Arial" w:hAnsi="Arial"/>
          <w:sz w:val="18"/>
          <w:szCs w:val="18"/>
          <w:color w:val="auto"/>
        </w:rPr>
      </w:pPr>
    </w:p>
    <w:p>
      <w:pPr>
        <w:ind w:left="1040" w:right="140" w:hanging="452"/>
        <w:spacing w:after="0" w:line="342"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37" w:lineRule="exact"/>
        <w:rPr>
          <w:rFonts w:ascii="Arial" w:cs="Arial" w:eastAsia="Arial" w:hAnsi="Arial"/>
          <w:sz w:val="16"/>
          <w:szCs w:val="16"/>
          <w:color w:val="auto"/>
        </w:rPr>
      </w:pPr>
    </w:p>
    <w:p>
      <w:pPr>
        <w:ind w:left="1040" w:right="180" w:hanging="452"/>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uncertainties, including those identified in Part II, Item 1A of this Quarterly Report on Form 10-Q and in Part I, Item 1A of our Annual Report on Form 10-K for the year ended December 31, 2022 - in both cases, see section titled “Risk Factors.”</w:t>
      </w:r>
    </w:p>
    <w:p>
      <w:pPr>
        <w:spacing w:after="0" w:line="160"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The forward-looking statements contained in Part I, Item 1A of our Annual Report on Form 10-K for the year ended December 31, 2022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2022. Should one or more of these risks or uncertainties materialize, or should any of our assumptions prove incorrect, actual results may vary in material respects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 w:name="page6"/>
    <w:bookmarkEnd w:id="5"/>
    <w:p>
      <w:pPr>
        <w:jc w:val="both"/>
        <w:ind w:right="40"/>
        <w:spacing w:after="0" w:line="259" w:lineRule="auto"/>
        <w:rPr>
          <w:sz w:val="20"/>
          <w:szCs w:val="20"/>
          <w:color w:val="auto"/>
        </w:rPr>
      </w:pPr>
      <w:r>
        <w:rPr>
          <w:rFonts w:ascii="Arial" w:cs="Arial" w:eastAsia="Arial" w:hAnsi="Arial"/>
          <w:sz w:val="18"/>
          <w:szCs w:val="18"/>
          <w:color w:val="auto"/>
        </w:rPr>
        <w:t>from those projected in these forward-looking statements. Some of these risks and uncertainties may in the future be amplified by the COVID-19 pandemic and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DEFINED TERMS IN THIS QUARTERLY REPORT ON FORM 10-Q</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Unless the context otherwise requires in this Quarterly Report on Form 10-Q for the three and nine months ended September 30, 2023, we use the following defined terms:</w:t>
      </w:r>
    </w:p>
    <w:p>
      <w:pPr>
        <w:spacing w:after="0" w:line="6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"we", "our" and "us" mean Tango Therapeutics, Inc. and its wholly-owned subsidiaries;</w:t>
      </w:r>
    </w:p>
    <w:p>
      <w:pPr>
        <w:spacing w:after="0" w:line="117" w:lineRule="exact"/>
        <w:rPr>
          <w:rFonts w:ascii="Arial" w:cs="Arial" w:eastAsia="Arial" w:hAnsi="Arial"/>
          <w:sz w:val="18"/>
          <w:szCs w:val="18"/>
          <w:color w:val="auto"/>
        </w:rPr>
      </w:pPr>
    </w:p>
    <w:p>
      <w:pPr>
        <w:ind w:left="1020" w:right="54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 Tango Therapeutics, Inc.);</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"CoREST” means Co-repressor of Repressor Element-1 Silencing Transcription;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“Gilead” means Gilead Sciences, Inc.;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“GBM” means glioblastoma;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“HRD+” means homologous recombination deficient;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“MTA” means methylthioadenosine;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“MTAP” means methylthioadenosine phosphorylase;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“NSCLC” means non-small cell lung cancer;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“PRMT5” means protein arginine methyltransferase 5;</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Report" means this Quarterly Report on Form 10-Q for the three and nine months ended September 30, 2023;</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“SDMA” means symmetric di-methylation of specific arginine;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“STK11” means serine-threonine kinase 11;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Arial" w:cs="Arial" w:eastAsia="Arial" w:hAnsi="Arial"/>
          <w:sz w:val="18"/>
          <w:szCs w:val="18"/>
          <w:color w:val="auto"/>
        </w:rPr>
        <w:t>W</w:t>
      </w:r>
      <w:r>
        <w:rPr>
          <w:rFonts w:ascii="Arial" w:cs="Arial" w:eastAsia="Arial" w:hAnsi="Arial"/>
          <w:sz w:val="17"/>
          <w:szCs w:val="17"/>
          <w:color w:val="auto"/>
        </w:rPr>
        <w:t>e also make available, free of charge on our website, the reports filed with the SEC by our executive officers, directors and 10% stockholders pursuant to Section 16 under the Exchange Act as soon as reasonably practicable a</w:t>
      </w:r>
      <w:r>
        <w:rPr>
          <w:rFonts w:ascii="Arial" w:cs="Arial" w:eastAsia="Arial" w:hAnsi="Arial"/>
          <w:sz w:val="18"/>
          <w:szCs w:val="18"/>
          <w:color w:val="auto"/>
        </w:rPr>
        <w:t>f</w:t>
      </w:r>
      <w:r>
        <w:rPr>
          <w:rFonts w:ascii="Arial" w:cs="Arial" w:eastAsia="Arial" w:hAnsi="Arial"/>
          <w:sz w:val="17"/>
          <w:szCs w:val="17"/>
          <w:color w:val="auto"/>
        </w:rPr>
        <w:t>ter copies of those filings are provided to us by those persons</w:t>
      </w:r>
      <w:r>
        <w:rPr>
          <w:rFonts w:ascii="Arial" w:cs="Arial" w:eastAsia="Arial" w:hAnsi="Arial"/>
          <w:sz w:val="18"/>
          <w:szCs w:val="18"/>
          <w:color w:val="auto"/>
        </w:rPr>
        <w:t>. A</w:t>
      </w:r>
      <w:r>
        <w:rPr>
          <w:rFonts w:ascii="Arial" w:cs="Arial" w:eastAsia="Arial" w:hAnsi="Arial"/>
          <w:sz w:val="17"/>
          <w:szCs w:val="17"/>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firstLine="509"/>
        <w:spacing w:after="0" w:line="257" w:lineRule="auto"/>
        <w:rPr>
          <w:sz w:val="20"/>
          <w:szCs w:val="20"/>
          <w:color w:val="auto"/>
        </w:rPr>
      </w:pPr>
      <w:r>
        <w:rPr>
          <w:rFonts w:ascii="Arial" w:cs="Arial" w:eastAsia="Arial" w:hAnsi="Arial"/>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7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13"/>
        </w:trPr>
        <w:tc>
          <w:tcPr>
            <w:tcW w:w="7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58,533</w:t>
            </w:r>
          </w:p>
        </w:tc>
        <w:tc>
          <w:tcPr>
            <w:tcW w:w="2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59,968</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301,347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306,165</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FF0FC"/>
          </w:tcPr>
          <w:p>
            <w:pPr>
              <w:spacing w:after="0"/>
              <w:rPr>
                <w:sz w:val="20"/>
                <w:szCs w:val="20"/>
                <w:color w:val="auto"/>
              </w:rPr>
            </w:pPr>
          </w:p>
        </w:tc>
      </w:tr>
      <w:tr>
        <w:trPr>
          <w:trHeight w:val="223"/>
        </w:trPr>
        <w:tc>
          <w:tcPr>
            <w:tcW w:w="700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9"/>
                <w:szCs w:val="19"/>
                <w:color w:val="auto"/>
              </w:rPr>
            </w:pPr>
          </w:p>
        </w:tc>
      </w:tr>
      <w:tr>
        <w:trPr>
          <w:trHeight w:val="229"/>
        </w:trPr>
        <w:tc>
          <w:tcPr>
            <w:tcW w:w="70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370,891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375,272</w:t>
            </w:r>
          </w:p>
        </w:tc>
        <w:tc>
          <w:tcPr>
            <w:tcW w:w="100" w:type="dxa"/>
            <w:vAlign w:val="bottom"/>
            <w:shd w:val="clear" w:color="auto" w:fill="CFF0FC"/>
          </w:tcPr>
          <w:p>
            <w:pPr>
              <w:spacing w:after="0"/>
              <w:rPr>
                <w:sz w:val="19"/>
                <w:szCs w:val="19"/>
                <w:color w:val="auto"/>
              </w:rPr>
            </w:pPr>
          </w:p>
        </w:tc>
      </w:tr>
      <w:tr>
        <w:trPr>
          <w:trHeight w:val="220"/>
        </w:trPr>
        <w:tc>
          <w:tcPr>
            <w:tcW w:w="7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44,422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46,886</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spacing w:after="0"/>
              <w:rPr>
                <w:sz w:val="20"/>
                <w:szCs w:val="20"/>
                <w:color w:val="auto"/>
              </w:rPr>
            </w:pPr>
            <w:r>
              <w:rPr>
                <w:rFonts w:ascii="Arial" w:cs="Arial" w:eastAsia="Arial" w:hAnsi="Arial"/>
                <w:sz w:val="16"/>
                <w:szCs w:val="16"/>
                <w:color w:val="auto"/>
              </w:rPr>
              <w:t>Restricted cash, net of current portion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9"/>
                <w:szCs w:val="19"/>
                <w:color w:val="auto"/>
              </w:rPr>
            </w:pPr>
          </w:p>
        </w:tc>
      </w:tr>
      <w:tr>
        <w:trPr>
          <w:trHeight w:val="23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428,189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436,470</w:t>
            </w:r>
          </w:p>
        </w:tc>
        <w:tc>
          <w:tcPr>
            <w:tcW w:w="10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0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4,453</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17,495</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31,792</w:t>
            </w:r>
          </w:p>
        </w:tc>
        <w:tc>
          <w:tcPr>
            <w:tcW w:w="100" w:type="dxa"/>
            <w:vAlign w:val="bottom"/>
          </w:tcPr>
          <w:p>
            <w:pPr>
              <w:spacing w:after="0"/>
              <w:rPr>
                <w:sz w:val="19"/>
                <w:szCs w:val="19"/>
                <w:color w:val="auto"/>
              </w:rPr>
            </w:pPr>
          </w:p>
        </w:tc>
      </w:tr>
      <w:tr>
        <w:trPr>
          <w:trHeight w:val="233"/>
        </w:trPr>
        <w:tc>
          <w:tcPr>
            <w:tcW w:w="7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Income tax payable</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Borders>
              <w:top w:val="single" w:sz="8" w:color="CFF0FC"/>
            </w:tcBorders>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43,416</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55,545</w:t>
            </w:r>
          </w:p>
        </w:tc>
        <w:tc>
          <w:tcPr>
            <w:tcW w:w="100" w:type="dxa"/>
            <w:vAlign w:val="bottom"/>
            <w:tcBorders>
              <w:top w:val="single" w:sz="8" w:color="CFF0FC"/>
            </w:tcBorders>
          </w:tcPr>
          <w:p>
            <w:pPr>
              <w:spacing w:after="0"/>
              <w:rPr>
                <w:sz w:val="19"/>
                <w:szCs w:val="19"/>
                <w:color w:val="auto"/>
              </w:rPr>
            </w:pPr>
          </w:p>
        </w:tc>
      </w:tr>
      <w:tr>
        <w:trPr>
          <w:trHeight w:val="23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37,466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39,361</w:t>
            </w:r>
          </w:p>
        </w:tc>
        <w:tc>
          <w:tcPr>
            <w:tcW w:w="100" w:type="dxa"/>
            <w:vAlign w:val="bottom"/>
            <w:shd w:val="clear" w:color="auto" w:fill="CFF0FC"/>
          </w:tcPr>
          <w:p>
            <w:pPr>
              <w:spacing w:after="0"/>
              <w:rPr>
                <w:sz w:val="20"/>
                <w:szCs w:val="20"/>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92,088</w:t>
            </w:r>
          </w:p>
        </w:tc>
        <w:tc>
          <w:tcPr>
            <w:tcW w:w="100" w:type="dxa"/>
            <w:vAlign w:val="bottom"/>
          </w:tcPr>
          <w:p>
            <w:pPr>
              <w:spacing w:after="0"/>
              <w:rPr>
                <w:sz w:val="19"/>
                <w:szCs w:val="19"/>
                <w:color w:val="auto"/>
              </w:rPr>
            </w:pPr>
          </w:p>
        </w:tc>
      </w:tr>
      <w:tr>
        <w:trPr>
          <w:trHeight w:val="230"/>
        </w:trPr>
        <w:tc>
          <w:tcPr>
            <w:tcW w:w="70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186,994</w:t>
            </w:r>
          </w:p>
        </w:tc>
        <w:tc>
          <w:tcPr>
            <w:tcW w:w="100" w:type="dxa"/>
            <w:vAlign w:val="bottom"/>
            <w:shd w:val="clear" w:color="auto" w:fill="CFF0FC"/>
          </w:tcPr>
          <w:p>
            <w:pPr>
              <w:spacing w:after="0"/>
              <w:rPr>
                <w:sz w:val="19"/>
                <w:szCs w:val="19"/>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0"/>
        </w:trPr>
        <w:tc>
          <w:tcPr>
            <w:tcW w:w="7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6"/>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 shares issued</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outstanding as of September 30, 2023 and December 31, 2022, respectively</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00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200,000,000 shares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authorized at September 30, 2023 and December 31, 2022;</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101,847,154 and 88,179,374 shares issued and outstanding as of</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September 30, 2023 and December 31, 2022, respectively</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r>
      <w:tr>
        <w:trPr>
          <w:trHeight w:val="220"/>
        </w:trPr>
        <w:tc>
          <w:tcPr>
            <w:tcW w:w="70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617,667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522,605</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(681 )</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(3,705 )</w:t>
            </w:r>
          </w:p>
        </w:tc>
      </w:tr>
      <w:tr>
        <w:trPr>
          <w:trHeight w:val="223"/>
        </w:trPr>
        <w:tc>
          <w:tcPr>
            <w:tcW w:w="7000" w:type="dxa"/>
            <w:vAlign w:val="bottom"/>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(340,493 )</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(269,512 )</w:t>
            </w:r>
          </w:p>
        </w:tc>
      </w:tr>
      <w:tr>
        <w:trPr>
          <w:trHeight w:val="223"/>
        </w:trPr>
        <w:tc>
          <w:tcPr>
            <w:tcW w:w="7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276,595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0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428,189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436,470</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-3676650</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-3676650</wp:posOffset>
            </wp:positionV>
            <wp:extent cx="603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-2493645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6032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-179070</wp:posOffset>
            </wp:positionV>
            <wp:extent cx="685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8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6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0"/>
        </w:trPr>
        <w:tc>
          <w:tcPr>
            <w:tcW w:w="51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r>
      <w:tr>
        <w:trPr>
          <w:trHeight w:val="23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FF0FC"/>
          </w:tcPr>
          <w:p>
            <w:pPr>
              <w:spacing w:after="0"/>
              <w:rPr>
                <w:sz w:val="20"/>
                <w:szCs w:val="20"/>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License revenue</w:t>
            </w:r>
          </w:p>
        </w:tc>
        <w:tc>
          <w:tcPr>
            <w:tcW w:w="16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r>
      <w:tr>
        <w:trPr>
          <w:trHeight w:val="236"/>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6,920</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28,744</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76,815</w:t>
            </w:r>
          </w:p>
        </w:tc>
        <w:tc>
          <w:tcPr>
            <w:tcW w:w="100" w:type="dxa"/>
            <w:vAlign w:val="bottom"/>
            <w:shd w:val="clear" w:color="auto" w:fill="CFF0FC"/>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36,843</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110,256</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(25,626 )</w:t>
            </w:r>
          </w:p>
        </w:tc>
        <w:tc>
          <w:tcPr>
            <w:tcW w:w="14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(29,923 )</w:t>
            </w:r>
          </w:p>
        </w:tc>
        <w:tc>
          <w:tcPr>
            <w:tcW w:w="16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(79,160 )</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(80,504 )</w:t>
            </w: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80" w:type="dxa"/>
            <w:vAlign w:val="bottom"/>
          </w:tcPr>
          <w:p>
            <w:pPr>
              <w:ind w:left="36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0"/>
                <w:szCs w:val="20"/>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(87 )</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(70,981</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 and diluted</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(0.23 )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(0.33 )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(0.78 )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(0.90 )</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w w:val="92"/>
              </w:rPr>
              <w:t>Weighted average number of common shares outstanding – basic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97,033,273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87,892,195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91,268,133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87,868,081</w:t>
            </w:r>
          </w:p>
        </w:tc>
        <w:tc>
          <w:tcPr>
            <w:tcW w:w="100" w:type="dxa"/>
            <w:vAlign w:val="bottom"/>
          </w:tcPr>
          <w:p>
            <w:pPr>
              <w:spacing w:after="0"/>
              <w:rPr>
                <w:sz w:val="20"/>
                <w:szCs w:val="20"/>
                <w:color w:val="auto"/>
              </w:rPr>
            </w:pPr>
          </w:p>
        </w:tc>
      </w:tr>
      <w:tr>
        <w:trPr>
          <w:trHeight w:val="250"/>
        </w:trPr>
        <w:tc>
          <w:tcPr>
            <w:tcW w:w="5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spacing w:after="0"/>
              <w:rPr>
                <w:sz w:val="21"/>
                <w:szCs w:val="2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(22,263 )</w:t>
            </w:r>
          </w:p>
        </w:tc>
        <w:tc>
          <w:tcPr>
            <w:tcW w:w="14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(29,050 )</w:t>
            </w:r>
          </w:p>
        </w:tc>
        <w:tc>
          <w:tcPr>
            <w:tcW w:w="16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(70,981 )</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(79,116 )</w:t>
            </w: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(509 )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(4,091 )</w:t>
            </w:r>
          </w:p>
        </w:tc>
      </w:tr>
      <w:tr>
        <w:trPr>
          <w:trHeight w:val="277"/>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(67,957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-3316605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-3316605</wp:posOffset>
            </wp:positionV>
            <wp:extent cx="5969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-3316605</wp:posOffset>
            </wp:positionV>
            <wp:extent cx="603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-3316605</wp:posOffset>
            </wp:positionV>
            <wp:extent cx="603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-2682240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-2682240</wp:posOffset>
            </wp:positionV>
            <wp:extent cx="5969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-2682240</wp:posOffset>
            </wp:positionV>
            <wp:extent cx="603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-2682240</wp:posOffset>
            </wp:positionV>
            <wp:extent cx="603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-2056765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-2056765</wp:posOffset>
            </wp:positionV>
            <wp:extent cx="5969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-2056765</wp:posOffset>
            </wp:positionV>
            <wp:extent cx="603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-2056765</wp:posOffset>
            </wp:positionV>
            <wp:extent cx="603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-1413510</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-1413510</wp:posOffset>
            </wp:positionV>
            <wp:extent cx="5969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-1413510</wp:posOffset>
            </wp:positionV>
            <wp:extent cx="603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-1413510</wp:posOffset>
            </wp:positionV>
            <wp:extent cx="6032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9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-24765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-8255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Accumulated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2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34"/>
              <w:spacing w:after="0"/>
              <w:rPr>
                <w:sz w:val="20"/>
                <w:szCs w:val="20"/>
                <w:color w:val="auto"/>
              </w:rPr>
            </w:pPr>
            <w:r>
              <w:rPr>
                <w:rFonts w:ascii="Arial" w:cs="Arial" w:eastAsia="Arial" w:hAnsi="Arial"/>
                <w:sz w:val="12"/>
                <w:szCs w:val="12"/>
                <w:b w:val="1"/>
                <w:bCs w:val="1"/>
                <w:color w:val="auto"/>
              </w:rPr>
              <w:t>Additional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Total</w:t>
            </w:r>
          </w:p>
        </w:tc>
      </w:tr>
      <w:tr>
        <w:trPr>
          <w:trHeight w:val="168"/>
        </w:trPr>
        <w:tc>
          <w:tcPr>
            <w:tcW w:w="2580" w:type="dxa"/>
            <w:vAlign w:val="bottom"/>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434"/>
              <w:spacing w:after="0"/>
              <w:rPr>
                <w:sz w:val="20"/>
                <w:szCs w:val="20"/>
                <w:color w:val="auto"/>
              </w:rPr>
            </w:pPr>
            <w:r>
              <w:rPr>
                <w:rFonts w:ascii="Arial" w:cs="Arial" w:eastAsia="Arial" w:hAnsi="Arial"/>
                <w:sz w:val="12"/>
                <w:szCs w:val="12"/>
                <w:b w:val="1"/>
                <w:bCs w:val="1"/>
                <w:color w:val="auto"/>
              </w:rPr>
              <w:t>Paid-in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4"/>
              </w:rPr>
              <w:t>Comprehensive</w:t>
            </w:r>
          </w:p>
        </w:tc>
        <w:tc>
          <w:tcPr>
            <w:tcW w:w="22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Stockholders’</w:t>
            </w:r>
          </w:p>
        </w:tc>
      </w:tr>
      <w:tr>
        <w:trPr>
          <w:trHeight w:val="152"/>
        </w:trPr>
        <w:tc>
          <w:tcPr>
            <w:tcW w:w="2580" w:type="dxa"/>
            <w:vAlign w:val="bottom"/>
          </w:tcPr>
          <w:p>
            <w:pPr>
              <w:spacing w:after="0"/>
              <w:rPr>
                <w:sz w:val="13"/>
                <w:szCs w:val="13"/>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w w:val="96"/>
              </w:rPr>
              <w:t>Amount</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Capital</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w w:val="85"/>
              </w:rPr>
              <w:t>Loss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Pr>
          <w:p>
            <w:pPr>
              <w:spacing w:after="0"/>
              <w:rPr>
                <w:sz w:val="13"/>
                <w:szCs w:val="13"/>
                <w:color w:val="auto"/>
              </w:rPr>
            </w:pPr>
          </w:p>
        </w:tc>
      </w:tr>
      <w:tr>
        <w:trPr>
          <w:trHeight w:val="172"/>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88,179,374</w:t>
            </w:r>
          </w:p>
        </w:tc>
        <w:tc>
          <w:tcPr>
            <w:tcW w:w="4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522,605</w:t>
            </w:r>
          </w:p>
        </w:tc>
        <w:tc>
          <w:tcPr>
            <w:tcW w:w="4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(3,705 )</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(269,512 )</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249,476</w:t>
            </w:r>
          </w:p>
        </w:tc>
        <w:tc>
          <w:tcPr>
            <w:tcW w:w="100" w:type="dxa"/>
            <w:vAlign w:val="bottom"/>
            <w:shd w:val="clear" w:color="auto" w:fill="CFF0FC"/>
          </w:tcPr>
          <w:p>
            <w:pPr>
              <w:spacing w:after="0"/>
              <w:rPr>
                <w:sz w:val="14"/>
                <w:szCs w:val="14"/>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580" w:type="dxa"/>
            <w:vAlign w:val="bottom"/>
          </w:tcPr>
          <w:p>
            <w:pPr>
              <w:ind w:left="20"/>
              <w:spacing w:after="0"/>
              <w:rPr>
                <w:sz w:val="20"/>
                <w:szCs w:val="20"/>
                <w:color w:val="auto"/>
              </w:rPr>
            </w:pPr>
            <w:r>
              <w:rPr>
                <w:rFonts w:ascii="Arial" w:cs="Arial" w:eastAsia="Arial" w:hAnsi="Arial"/>
                <w:sz w:val="13"/>
                <w:szCs w:val="13"/>
                <w:color w:val="auto"/>
              </w:rPr>
              <w:t>options and employee 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30,590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4,219</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(28,008 )</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(28,008 )</w:t>
            </w:r>
          </w:p>
        </w:tc>
      </w:tr>
      <w:tr>
        <w:trPr>
          <w:trHeight w:val="20"/>
        </w:trPr>
        <w:tc>
          <w:tcPr>
            <w:tcW w:w="25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120" w:type="dxa"/>
            <w:vAlign w:val="bottom"/>
          </w:tcPr>
          <w:p>
            <w:pPr>
              <w:jc w:val="right"/>
              <w:spacing w:after="0"/>
              <w:rPr>
                <w:sz w:val="20"/>
                <w:szCs w:val="20"/>
                <w:color w:val="auto"/>
              </w:rPr>
            </w:pPr>
            <w:r>
              <w:rPr>
                <w:rFonts w:ascii="Arial" w:cs="Arial" w:eastAsia="Arial" w:hAnsi="Arial"/>
                <w:sz w:val="13"/>
                <w:szCs w:val="13"/>
                <w:color w:val="auto"/>
              </w:rPr>
              <w:t>88,209,964</w:t>
            </w:r>
          </w:p>
        </w:tc>
        <w:tc>
          <w:tcPr>
            <w:tcW w:w="24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88</w:t>
            </w:r>
          </w:p>
        </w:tc>
        <w:tc>
          <w:tcPr>
            <w:tcW w:w="24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526,897</w:t>
            </w:r>
          </w:p>
        </w:tc>
        <w:tc>
          <w:tcPr>
            <w:tcW w:w="20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(2,201 )</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(297,520 )</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227,264</w:t>
            </w:r>
          </w:p>
        </w:tc>
        <w:tc>
          <w:tcPr>
            <w:tcW w:w="100" w:type="dxa"/>
            <w:vAlign w:val="bottom"/>
          </w:tcPr>
          <w:p>
            <w:pPr>
              <w:spacing w:after="0"/>
              <w:rPr>
                <w:sz w:val="14"/>
                <w:szCs w:val="14"/>
                <w:color w:val="auto"/>
              </w:rPr>
            </w:pPr>
          </w:p>
        </w:tc>
      </w:tr>
      <w:tr>
        <w:trPr>
          <w:trHeight w:val="20"/>
        </w:trPr>
        <w:tc>
          <w:tcPr>
            <w:tcW w:w="2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2580" w:type="dxa"/>
            <w:vAlign w:val="bottom"/>
            <w:shd w:val="clear" w:color="auto" w:fill="CFF0FC"/>
          </w:tcPr>
          <w:p>
            <w:pPr>
              <w:ind w:left="20"/>
              <w:spacing w:after="0" w:line="132" w:lineRule="exact"/>
              <w:rPr>
                <w:sz w:val="20"/>
                <w:szCs w:val="20"/>
                <w:color w:val="auto"/>
              </w:rPr>
            </w:pPr>
            <w:r>
              <w:rPr>
                <w:rFonts w:ascii="Arial" w:cs="Arial" w:eastAsia="Arial" w:hAnsi="Arial"/>
                <w:sz w:val="13"/>
                <w:szCs w:val="13"/>
                <w:color w:val="auto"/>
              </w:rPr>
              <w:t>Issuance of common stock from exercise of</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3"/>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 and employee stock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252,880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5,121</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(20,710 )</w:t>
            </w: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(20,710 )</w:t>
            </w:r>
          </w:p>
        </w:tc>
      </w:tr>
      <w:tr>
        <w:trPr>
          <w:trHeight w:val="20"/>
        </w:trPr>
        <w:tc>
          <w:tcPr>
            <w:tcW w:w="2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88,462,844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532,604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(1,517 )</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(318,230 )</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212,945</w:t>
            </w:r>
          </w:p>
        </w:tc>
        <w:tc>
          <w:tcPr>
            <w:tcW w:w="100" w:type="dxa"/>
            <w:vAlign w:val="bottom"/>
            <w:shd w:val="clear" w:color="auto" w:fill="CFF0FC"/>
          </w:tcPr>
          <w:p>
            <w:pPr>
              <w:spacing w:after="0"/>
              <w:rPr>
                <w:sz w:val="18"/>
                <w:szCs w:val="18"/>
                <w:color w:val="auto"/>
              </w:rPr>
            </w:pPr>
          </w:p>
        </w:tc>
      </w:tr>
      <w:tr>
        <w:trPr>
          <w:trHeight w:val="132"/>
        </w:trPr>
        <w:tc>
          <w:tcPr>
            <w:tcW w:w="2580" w:type="dxa"/>
            <w:vAlign w:val="bottom"/>
            <w:tcBorders>
              <w:top w:val="single" w:sz="8" w:color="CFF0FC"/>
            </w:tcBorders>
          </w:tcPr>
          <w:p>
            <w:pPr>
              <w:ind w:left="20"/>
              <w:spacing w:after="0" w:line="132" w:lineRule="exact"/>
              <w:rPr>
                <w:sz w:val="20"/>
                <w:szCs w:val="20"/>
                <w:color w:val="auto"/>
              </w:rPr>
            </w:pPr>
            <w:r>
              <w:rPr>
                <w:rFonts w:ascii="Arial" w:cs="Arial" w:eastAsia="Arial" w:hAnsi="Arial"/>
                <w:sz w:val="13"/>
                <w:szCs w:val="13"/>
                <w:color w:val="auto"/>
              </w:rPr>
              <w:t>Issuance of common stock from exercise of</w:t>
            </w: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73"/>
        </w:trPr>
        <w:tc>
          <w:tcPr>
            <w:tcW w:w="2580" w:type="dxa"/>
            <w:vAlign w:val="bottom"/>
          </w:tcPr>
          <w:p>
            <w:pPr>
              <w:ind w:left="20"/>
              <w:spacing w:after="0"/>
              <w:rPr>
                <w:sz w:val="20"/>
                <w:szCs w:val="20"/>
                <w:color w:val="auto"/>
              </w:rPr>
            </w:pPr>
            <w:r>
              <w:rPr>
                <w:rFonts w:ascii="Arial" w:cs="Arial" w:eastAsia="Arial" w:hAnsi="Arial"/>
                <w:sz w:val="13"/>
                <w:szCs w:val="13"/>
                <w:color w:val="auto"/>
              </w:rPr>
              <w:t>options and employee 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187,639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5"/>
                <w:szCs w:val="15"/>
                <w:color w:val="auto"/>
              </w:rPr>
            </w:pPr>
          </w:p>
        </w:tc>
      </w:tr>
      <w:tr>
        <w:trPr>
          <w:trHeight w:val="151"/>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from private</w:t>
            </w: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3"/>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placement financing, net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13,196,671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79,762</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79,776</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4,860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4,860</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(22,263 )</w:t>
            </w: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(22,263 )</w:t>
            </w:r>
          </w:p>
        </w:tc>
      </w:tr>
      <w:tr>
        <w:trPr>
          <w:trHeight w:val="20"/>
        </w:trPr>
        <w:tc>
          <w:tcPr>
            <w:tcW w:w="2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101,847,154</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617,667</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(681 )</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(340,493 )</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276,595</w:t>
            </w:r>
          </w:p>
        </w:tc>
        <w:tc>
          <w:tcPr>
            <w:tcW w:w="100" w:type="dxa"/>
            <w:vAlign w:val="bottom"/>
            <w:shd w:val="clear" w:color="auto" w:fill="CFF0FC"/>
          </w:tcPr>
          <w:p>
            <w:pPr>
              <w:spacing w:after="0"/>
              <w:rPr>
                <w:sz w:val="16"/>
                <w:szCs w:val="16"/>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-1722120</wp:posOffset>
            </wp:positionV>
            <wp:extent cx="7747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-1722120</wp:posOffset>
            </wp:positionV>
            <wp:extent cx="768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-1722120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-1722120</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-1722120</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-916940</wp:posOffset>
            </wp:positionV>
            <wp:extent cx="479171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91710" cy="23177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w w:val="85"/>
              </w:rPr>
              <w:t>Amount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1060" w:type="dxa"/>
            <w:vAlign w:val="bottom"/>
          </w:tcPr>
          <w:p>
            <w:pPr>
              <w:jc w:val="right"/>
              <w:spacing w:after="0"/>
              <w:rPr>
                <w:sz w:val="20"/>
                <w:szCs w:val="20"/>
                <w:color w:val="auto"/>
              </w:rPr>
            </w:pPr>
            <w:r>
              <w:rPr>
                <w:rFonts w:ascii="Arial" w:cs="Arial" w:eastAsia="Arial" w:hAnsi="Arial"/>
                <w:sz w:val="13"/>
                <w:szCs w:val="13"/>
                <w:color w:val="auto"/>
              </w:rPr>
              <w:t>87,598,184</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3"/>
                <w:szCs w:val="13"/>
                <w:color w:val="auto"/>
              </w:rPr>
              <w:t>Issuance of common stock from exercise of options</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3"/>
                <w:szCs w:val="13"/>
                <w:color w:val="auto"/>
              </w:rPr>
              <w:t>and employee stock purchase plan</w:t>
            </w:r>
          </w:p>
        </w:tc>
        <w:tc>
          <w:tcPr>
            <w:tcW w:w="1060" w:type="dxa"/>
            <w:vAlign w:val="bottom"/>
          </w:tcPr>
          <w:p>
            <w:pPr>
              <w:jc w:val="right"/>
              <w:spacing w:after="0"/>
              <w:rPr>
                <w:sz w:val="20"/>
                <w:szCs w:val="20"/>
                <w:color w:val="auto"/>
              </w:rPr>
            </w:pPr>
            <w:r>
              <w:rPr>
                <w:rFonts w:ascii="Arial" w:cs="Arial" w:eastAsia="Arial" w:hAnsi="Arial"/>
                <w:sz w:val="13"/>
                <w:szCs w:val="13"/>
                <w:color w:val="auto"/>
              </w:rPr>
              <w:t>111,315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3"/>
                <w:szCs w:val="13"/>
                <w:color w:val="auto"/>
              </w:rPr>
              <w:t>Business combination and PIPE financing, issuance</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3"/>
                <w:szCs w:val="13"/>
                <w:color w:val="auto"/>
              </w:rPr>
              <w:t>costs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3"/>
                <w:szCs w:val="13"/>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3"/>
                <w:szCs w:val="13"/>
                <w:b w:val="1"/>
                <w:bCs w:val="1"/>
                <w:color w:val="auto"/>
              </w:rPr>
              <w:t>Balance at March 31, 2022</w:t>
            </w:r>
          </w:p>
        </w:tc>
        <w:tc>
          <w:tcPr>
            <w:tcW w:w="1060" w:type="dxa"/>
            <w:vAlign w:val="bottom"/>
          </w:tcPr>
          <w:p>
            <w:pPr>
              <w:jc w:val="right"/>
              <w:spacing w:after="0"/>
              <w:rPr>
                <w:sz w:val="20"/>
                <w:szCs w:val="20"/>
                <w:color w:val="auto"/>
              </w:rPr>
            </w:pPr>
            <w:r>
              <w:rPr>
                <w:rFonts w:ascii="Arial" w:cs="Arial" w:eastAsia="Arial" w:hAnsi="Arial"/>
                <w:sz w:val="13"/>
                <w:szCs w:val="13"/>
                <w:color w:val="auto"/>
              </w:rPr>
              <w:t>87,709,499</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3"/>
                <w:szCs w:val="13"/>
                <w:color w:val="auto"/>
              </w:rPr>
              <w:t>Issuance of common stock from exercise of options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3"/>
                <w:szCs w:val="13"/>
                <w:color w:val="auto"/>
              </w:rPr>
              <w:t>and employee stock purchase plan</w:t>
            </w:r>
          </w:p>
        </w:tc>
        <w:tc>
          <w:tcPr>
            <w:tcW w:w="1060" w:type="dxa"/>
            <w:vAlign w:val="bottom"/>
          </w:tcPr>
          <w:p>
            <w:pPr>
              <w:jc w:val="right"/>
              <w:spacing w:after="0"/>
              <w:rPr>
                <w:sz w:val="20"/>
                <w:szCs w:val="20"/>
                <w:color w:val="auto"/>
              </w:rPr>
            </w:pPr>
            <w:r>
              <w:rPr>
                <w:rFonts w:ascii="Arial" w:cs="Arial" w:eastAsia="Arial" w:hAnsi="Arial"/>
                <w:sz w:val="13"/>
                <w:szCs w:val="13"/>
                <w:color w:val="auto"/>
              </w:rPr>
              <w:t>288,450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3"/>
                <w:szCs w:val="13"/>
                <w:color w:val="auto"/>
              </w:rPr>
              <w:t>Stock based compensation expense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4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-1430020</wp:posOffset>
            </wp:positionV>
            <wp:extent cx="713232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45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tcPr>
          <w:p>
            <w:pPr>
              <w:jc w:val="right"/>
              <w:ind w:right="454"/>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3"/>
        </w:trPr>
        <w:tc>
          <w:tcPr>
            <w:tcW w:w="1100" w:type="dxa"/>
            <w:vAlign w:val="bottom"/>
          </w:tcPr>
          <w:p>
            <w:pPr>
              <w:jc w:val="right"/>
              <w:ind w:right="554"/>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0"/>
              </w:rPr>
              <w:t>Accumulated</w:t>
            </w: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4"/>
        </w:trPr>
        <w:tc>
          <w:tcPr>
            <w:tcW w:w="1100" w:type="dxa"/>
            <w:vAlign w:val="bottom"/>
          </w:tcPr>
          <w:p>
            <w:pPr>
              <w:jc w:val="right"/>
              <w:ind w:right="534"/>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506,760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(765 )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(161,336 )</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344,747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265</w:t>
            </w:r>
          </w:p>
        </w:tc>
        <w:tc>
          <w:tcPr>
            <w:tcW w:w="1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3,205</w:t>
            </w:r>
          </w:p>
        </w:tc>
        <w:tc>
          <w:tcPr>
            <w:tcW w:w="1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right"/>
              <w:ind w:right="94"/>
              <w:spacing w:after="0"/>
              <w:rPr>
                <w:sz w:val="20"/>
                <w:szCs w:val="20"/>
                <w:color w:val="auto"/>
              </w:rPr>
            </w:pPr>
            <w:r>
              <w:rPr>
                <w:rFonts w:ascii="Arial" w:cs="Arial" w:eastAsia="Arial" w:hAnsi="Arial"/>
                <w:sz w:val="13"/>
                <w:szCs w:val="13"/>
                <w:color w:val="auto"/>
              </w:rPr>
              <w:t>(8 )</w:t>
            </w:r>
          </w:p>
        </w:tc>
        <w:tc>
          <w:tcPr>
            <w:tcW w:w="1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75"/>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(2,645 )</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(2,645 )</w:t>
            </w:r>
          </w:p>
        </w:tc>
        <w:tc>
          <w:tcPr>
            <w:tcW w:w="0" w:type="dxa"/>
            <w:vAlign w:val="bottom"/>
          </w:tcPr>
          <w:p>
            <w:pPr>
              <w:spacing w:after="0"/>
              <w:rPr>
                <w:sz w:val="1"/>
                <w:szCs w:val="1"/>
                <w:color w:val="auto"/>
              </w:rPr>
            </w:pPr>
          </w:p>
        </w:tc>
      </w:tr>
      <w:tr>
        <w:trPr>
          <w:trHeight w:val="176"/>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(25,208 )</w:t>
            </w:r>
          </w:p>
        </w:tc>
        <w:tc>
          <w:tcPr>
            <w:tcW w:w="1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(25,208 )</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auto"/>
              </w:rPr>
              <w:t>510,222</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(3,410 )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(186,544 )</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320,356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718</w:t>
            </w:r>
          </w:p>
        </w:tc>
        <w:tc>
          <w:tcPr>
            <w:tcW w:w="1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3,425</w:t>
            </w:r>
          </w:p>
        </w:tc>
        <w:tc>
          <w:tcPr>
            <w:tcW w:w="1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(937 )</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(937 )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-1438275</wp:posOffset>
            </wp:positionV>
            <wp:extent cx="746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-572770</wp:posOffset>
            </wp:positionV>
            <wp:extent cx="746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20" w:space="220"/>
            <w:col w:w="5200"/>
          </w:cols>
          <w:pgMar w:left="320" w:top="579" w:right="339" w:bottom="1440" w:gutter="0" w:footer="0" w:header="0"/>
        </w:sectPr>
      </w:pPr>
    </w:p>
    <w:tbl>
      <w:tblPr>
        <w:tblLayout w:type="fixed"/>
        <w:tblInd w:w="0" w:type="dxa"/>
        <w:tblCellMar>
          <w:top w:w="0" w:type="dxa"/>
          <w:left w:w="0" w:type="dxa"/>
          <w:bottom w:w="0" w:type="dxa"/>
          <w:right w:w="0" w:type="dxa"/>
        </w:tblCellMar>
      </w:tblPr>
      <w:tr>
        <w:trPr>
          <w:trHeight w:val="157"/>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(24,858 )</w:t>
            </w:r>
          </w:p>
        </w:tc>
        <w:tc>
          <w:tcPr>
            <w:tcW w:w="4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(24,858 )</w:t>
            </w:r>
          </w:p>
        </w:tc>
      </w:tr>
      <w:tr>
        <w:trPr>
          <w:trHeight w:val="20"/>
        </w:trPr>
        <w:tc>
          <w:tcPr>
            <w:tcW w:w="30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60" w:type="dxa"/>
            <w:vAlign w:val="bottom"/>
          </w:tcPr>
          <w:p>
            <w:pPr>
              <w:jc w:val="right"/>
              <w:spacing w:after="0"/>
              <w:rPr>
                <w:sz w:val="20"/>
                <w:szCs w:val="20"/>
                <w:color w:val="auto"/>
              </w:rPr>
            </w:pPr>
            <w:r>
              <w:rPr>
                <w:rFonts w:ascii="Arial" w:cs="Arial" w:eastAsia="Arial" w:hAnsi="Arial"/>
                <w:sz w:val="13"/>
                <w:szCs w:val="13"/>
                <w:color w:val="auto"/>
              </w:rPr>
              <w:t>87,997,949</w:t>
            </w:r>
          </w:p>
        </w:tc>
        <w:tc>
          <w:tcPr>
            <w:tcW w:w="260" w:type="dxa"/>
            <w:vAlign w:val="bottom"/>
          </w:tcPr>
          <w:p>
            <w:pPr>
              <w:spacing w:after="0"/>
              <w:rPr>
                <w:sz w:val="14"/>
                <w:szCs w:val="14"/>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600" w:type="dxa"/>
            <w:vAlign w:val="bottom"/>
          </w:tcPr>
          <w:p>
            <w:pPr>
              <w:ind w:left="440"/>
              <w:spacing w:after="0"/>
              <w:rPr>
                <w:sz w:val="20"/>
                <w:szCs w:val="20"/>
                <w:color w:val="auto"/>
              </w:rPr>
            </w:pPr>
            <w:r>
              <w:rPr>
                <w:rFonts w:ascii="Arial" w:cs="Arial" w:eastAsia="Arial" w:hAnsi="Arial"/>
                <w:sz w:val="13"/>
                <w:szCs w:val="13"/>
                <w:color w:val="auto"/>
                <w:w w:val="96"/>
              </w:rPr>
              <w:t>88</w:t>
            </w:r>
          </w:p>
        </w:tc>
        <w:tc>
          <w:tcPr>
            <w:tcW w:w="220" w:type="dxa"/>
            <w:vAlign w:val="bottom"/>
          </w:tcPr>
          <w:p>
            <w:pPr>
              <w:spacing w:after="0"/>
              <w:rPr>
                <w:sz w:val="14"/>
                <w:szCs w:val="14"/>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514,365</w:t>
            </w:r>
          </w:p>
        </w:tc>
        <w:tc>
          <w:tcPr>
            <w:tcW w:w="220" w:type="dxa"/>
            <w:vAlign w:val="bottom"/>
          </w:tcPr>
          <w:p>
            <w:pPr>
              <w:spacing w:after="0"/>
              <w:rPr>
                <w:sz w:val="14"/>
                <w:szCs w:val="14"/>
                <w:color w:val="auto"/>
              </w:rPr>
            </w:pPr>
          </w:p>
        </w:tc>
        <w:tc>
          <w:tcPr>
            <w:tcW w:w="46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(4,347 )</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(211,402 )</w:t>
            </w:r>
          </w:p>
        </w:tc>
        <w:tc>
          <w:tcPr>
            <w:tcW w:w="44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298,704</w:t>
            </w:r>
          </w:p>
        </w:tc>
        <w:tc>
          <w:tcPr>
            <w:tcW w:w="100" w:type="dxa"/>
            <w:vAlign w:val="bottom"/>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3060" w:type="dxa"/>
            <w:vAlign w:val="bottom"/>
            <w:shd w:val="clear" w:color="auto" w:fill="CFF0FC"/>
          </w:tcPr>
          <w:p>
            <w:pPr>
              <w:ind w:left="20"/>
              <w:spacing w:after="0" w:line="132" w:lineRule="exact"/>
              <w:rPr>
                <w:sz w:val="20"/>
                <w:szCs w:val="20"/>
                <w:color w:val="auto"/>
              </w:rPr>
            </w:pPr>
            <w:r>
              <w:rPr>
                <w:rFonts w:ascii="Arial" w:cs="Arial" w:eastAsia="Arial" w:hAnsi="Arial"/>
                <w:sz w:val="13"/>
                <w:szCs w:val="13"/>
                <w:color w:val="auto"/>
              </w:rPr>
              <w:t>Issuance of common stock from exercise of options</w:t>
            </w: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3"/>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and 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69,305</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FF0FC"/>
          </w:tcPr>
          <w:p>
            <w:pPr>
              <w:spacing w:after="0"/>
              <w:rPr>
                <w:sz w:val="15"/>
                <w:szCs w:val="15"/>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Stock based compensation expense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3,815</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3,815</w:t>
            </w:r>
          </w:p>
        </w:tc>
        <w:tc>
          <w:tcPr>
            <w:tcW w:w="100" w:type="dxa"/>
            <w:vAlign w:val="bottom"/>
          </w:tcPr>
          <w:p>
            <w:pPr>
              <w:spacing w:after="0"/>
              <w:rPr>
                <w:sz w:val="15"/>
                <w:szCs w:val="15"/>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(509 )</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(509 )</w:t>
            </w: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(29,050 )</w:t>
            </w:r>
          </w:p>
        </w:tc>
        <w:tc>
          <w:tcPr>
            <w:tcW w:w="4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(29,050 )</w:t>
            </w:r>
          </w:p>
        </w:tc>
      </w:tr>
      <w:tr>
        <w:trPr>
          <w:trHeight w:val="20"/>
        </w:trPr>
        <w:tc>
          <w:tcPr>
            <w:tcW w:w="30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88,067,254</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9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3"/>
                <w:szCs w:val="13"/>
                <w:color w:val="auto"/>
                <w:w w:val="96"/>
              </w:rPr>
              <w:t>88</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518,292</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(4,856 )</w:t>
            </w:r>
          </w:p>
        </w:tc>
        <w:tc>
          <w:tcPr>
            <w:tcW w:w="340" w:type="dxa"/>
            <w:vAlign w:val="bottom"/>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(240,452 )</w:t>
            </w:r>
          </w:p>
        </w:tc>
        <w:tc>
          <w:tcPr>
            <w:tcW w:w="44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273,072</w:t>
            </w:r>
          </w:p>
        </w:tc>
        <w:tc>
          <w:tcPr>
            <w:tcW w:w="100" w:type="dxa"/>
            <w:vAlign w:val="bottom"/>
            <w:shd w:val="clear" w:color="auto" w:fill="CFF0FC"/>
          </w:tcPr>
          <w:p>
            <w:pPr>
              <w:spacing w:after="0"/>
              <w:rPr>
                <w:sz w:val="16"/>
                <w:szCs w:val="16"/>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-831215</wp:posOffset>
            </wp:positionV>
            <wp:extent cx="7683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-831215</wp:posOffset>
            </wp:positionV>
            <wp:extent cx="685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-831215</wp:posOffset>
            </wp:positionV>
            <wp:extent cx="6858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-831215</wp:posOffset>
            </wp:positionV>
            <wp:extent cx="6858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-831215</wp:posOffset>
            </wp:positionV>
            <wp:extent cx="68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(70,981 )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(79,116 )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amortization on marketable securities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(3,582 )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(1,299 )</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Right-of-use asset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(10,125 )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(1,617 )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(6,026 )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(1,853 )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(26,096 )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(12,449 )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(90,515 )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(80,814 )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(1,300 )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(6,651 )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268,423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(259,549 )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(114,947 )</w:t>
            </w: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7,574</w:t>
            </w: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Proceeds from issuance of common stock upon exercise of stock options and purchase of shares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under ESPP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and pre-funded warrants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transaction costs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(8 )</w:t>
            </w:r>
          </w:p>
        </w:tc>
      </w:tr>
      <w:tr>
        <w:trPr>
          <w:trHeight w:val="237"/>
        </w:trPr>
        <w:tc>
          <w:tcPr>
            <w:tcW w:w="77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FF0FC"/>
            </w:tcBorders>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(2,002 )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(40,722 )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145,024</w:t>
            </w:r>
          </w:p>
        </w:tc>
        <w:tc>
          <w:tcPr>
            <w:tcW w:w="100" w:type="dxa"/>
            <w:vAlign w:val="bottom"/>
          </w:tcPr>
          <w:p>
            <w:pPr>
              <w:spacing w:after="0"/>
              <w:rPr>
                <w:sz w:val="20"/>
                <w:szCs w:val="20"/>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61,956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leases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from obtaining 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38,227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offering costs included in accounts payable and accrued expenses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Revaluation of right-of-use asset and lease liability upon lease remeasurement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-3720465</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-3720465</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-2023110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-2023110</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-1234440</wp:posOffset>
            </wp:positionV>
            <wp:extent cx="6858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-1234440</wp:posOffset>
            </wp:positionV>
            <wp:extent cx="68580"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17500"/>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Tango Therapeutics, Inc. is a precision oncology company committed to the discovery and development of novel drugs in defined patient populations with high unmet medical need.</w:t>
      </w:r>
    </w:p>
    <w:p>
      <w:pPr>
        <w:spacing w:after="0" w:line="170"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On August 10, 2023, the Company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pre-funded warrants have an exercise price of $0.0001 per share of common stock, were immediately exercisable and will remain exercisable until exercised in full. After deducting expenses related to the private placement of $0.2 million, the net proceeds to the Company from the private placement were $79.8 million. The private placement closed on August 11, 2023.</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2023 and 2022 are not necessarily indicative of the results for the year ending December 31, 2023, any other interim periods, or any future year or period. The unaudited condensed consolidated financial statements for the three and nine months ended September 30, 2023 and 2022 have been prepared on the same basis as and should be read in conjunction with the audited consolidated financial statements and notes included in the Company’s Annual Report on Form 10-K for the year ended December 31, 2022 as filed with the SEC on March 27, 2023.</w:t>
      </w:r>
    </w:p>
    <w:p>
      <w:pPr>
        <w:spacing w:after="0" w:line="17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 xml:space="preserve">There have been no significant changes from the significant accounting policies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audited consolidated financial statements and notes included in the Company’s Annual Report on Form 10-K for the year ended December 31, 2022.</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0" w:lineRule="exact"/>
        <w:rPr>
          <w:sz w:val="20"/>
          <w:szCs w:val="20"/>
          <w:color w:val="auto"/>
        </w:rPr>
      </w:pPr>
    </w:p>
    <w:p>
      <w:pPr>
        <w:ind w:left="520" w:right="8700" w:hanging="512"/>
        <w:spacing w:after="0" w:line="566" w:lineRule="auto"/>
        <w:tabs>
          <w:tab w:leader="none" w:pos="5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ind w:right="200" w:firstLine="509"/>
        <w:spacing w:after="0" w:line="275" w:lineRule="auto"/>
        <w:rPr>
          <w:sz w:val="20"/>
          <w:szCs w:val="20"/>
          <w:color w:val="auto"/>
        </w:rPr>
      </w:pPr>
      <w:r>
        <w:rPr>
          <w:rFonts w:ascii="Arial" w:cs="Arial" w:eastAsia="Arial" w:hAnsi="Arial"/>
          <w:sz w:val="17"/>
          <w:szCs w:val="17"/>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 Gilead paid the Company a $50.0 million non-refundable upfront payment upon the execution of the 2018 Gilead Agreement and is eligible to receive certain milestone payments.</w:t>
      </w:r>
    </w:p>
    <w:p>
      <w:pPr>
        <w:spacing w:after="0" w:line="176"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September 30, 2023 balance sheet date, Gilead maintains an ownership of less than 10% of the Company's common stock and is thus not considered to be a related party to the Company.</w:t>
      </w:r>
    </w:p>
    <w:p>
      <w:pPr>
        <w:spacing w:after="0" w:line="184"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57" w:lineRule="exact"/>
        <w:rPr>
          <w:sz w:val="20"/>
          <w:szCs w:val="20"/>
          <w:color w:val="auto"/>
        </w:rPr>
      </w:pPr>
    </w:p>
    <w:p>
      <w:pPr>
        <w:ind w:left="1020" w:right="3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75"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7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was added to the transaction price under the Gilead Agreement.</w:t>
      </w:r>
    </w:p>
    <w:p>
      <w:pPr>
        <w:spacing w:after="0" w:line="188"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June 2023, Gilead licensed a program for a $5.0 million license fee. The $5.0 million license fee was received and recognized as revenue in the second quarter of 2023 as the Company has no continued involvement in the advancement of the program, Gilead can benefit from the license on its own, and the license is separately identifiable from the research services.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22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The total transaction price allocated to the combined performance obligation under the Gilead Agreement was $199.0 million at September 30, 2023. The total transaction price was comprised of the $50.0 million upfront payment pursuant to the 2018 Gilead Agreement, the $125.0 million upfront payment pursuant to the Gilead Agreement, and $24.0 million pursuant to the research option-extension fee payments related to decisions made in 2020 and 2021. During the nine months ended September 30, 2023 and 2022, the Company recognized $26.1 million and $18.4 million, respectively, of collaboration revenue associated with the Gilead agreements based on performance completed during each period.</w:t>
      </w:r>
    </w:p>
    <w:p>
      <w:pPr>
        <w:spacing w:after="0" w:line="17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September 30, 2023 and December 31, 2022, the Company had short-term deferred revenue of $27.1 million and $31.8 million, respectively, and long-term deferred revenue of $70.7 million and $92.1 million, respectively, related to the Gilead collaboration. The remaining deferred revenue is expected to be recognized proportionally to the completed obligations over an expected remaining contractual term of approximately 3.9 years.</w:t>
      </w:r>
    </w:p>
    <w:p>
      <w:pPr>
        <w:spacing w:after="0" w:line="178" w:lineRule="exact"/>
        <w:rPr>
          <w:sz w:val="20"/>
          <w:szCs w:val="20"/>
          <w:color w:val="auto"/>
        </w:rPr>
      </w:pPr>
    </w:p>
    <w:p>
      <w:pPr>
        <w:ind w:right="460" w:firstLine="509"/>
        <w:spacing w:after="0" w:line="308"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153"/>
              <w:spacing w:after="0"/>
              <w:rPr>
                <w:sz w:val="20"/>
                <w:szCs w:val="20"/>
                <w:color w:val="auto"/>
              </w:rPr>
            </w:pPr>
            <w:r>
              <w:rPr>
                <w:rFonts w:ascii="Arial" w:cs="Arial" w:eastAsia="Arial" w:hAnsi="Arial"/>
                <w:sz w:val="14"/>
                <w:szCs w:val="14"/>
                <w:b w:val="1"/>
                <w:bCs w:val="1"/>
                <w:color w:val="auto"/>
                <w:w w:val="90"/>
              </w:rPr>
              <w:t>as of September 30, 2023</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153"/>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15,807</w:t>
            </w:r>
          </w:p>
        </w:tc>
        <w:tc>
          <w:tcPr>
            <w:tcW w:w="100" w:type="dxa"/>
            <w:vAlign w:val="bottom"/>
          </w:tcPr>
          <w:p>
            <w:pPr>
              <w:spacing w:after="0"/>
              <w:rPr>
                <w:sz w:val="20"/>
                <w:szCs w:val="20"/>
                <w:color w:val="auto"/>
              </w:rPr>
            </w:pPr>
          </w:p>
        </w:tc>
      </w:tr>
      <w:tr>
        <w:trPr>
          <w:trHeight w:val="249"/>
        </w:trPr>
        <w:tc>
          <w:tcPr>
            <w:tcW w:w="5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21"/>
                <w:szCs w:val="21"/>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Marketable debt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195,000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FF0FC"/>
          </w:tcPr>
          <w:p>
            <w:pPr>
              <w:spacing w:after="0"/>
              <w:rPr>
                <w:sz w:val="21"/>
                <w:szCs w:val="21"/>
                <w:color w:val="auto"/>
              </w:rPr>
            </w:pPr>
          </w:p>
        </w:tc>
      </w:tr>
      <w:tr>
        <w:trPr>
          <w:trHeight w:val="237"/>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U.S. government agency bonds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106,347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106,347</w:t>
            </w:r>
          </w:p>
        </w:tc>
        <w:tc>
          <w:tcPr>
            <w:tcW w:w="100" w:type="dxa"/>
            <w:vAlign w:val="bottom"/>
          </w:tcPr>
          <w:p>
            <w:pPr>
              <w:spacing w:after="0"/>
              <w:rPr>
                <w:sz w:val="20"/>
                <w:szCs w:val="20"/>
                <w:color w:val="auto"/>
              </w:rPr>
            </w:pPr>
          </w:p>
        </w:tc>
      </w:tr>
      <w:tr>
        <w:trPr>
          <w:trHeight w:val="277"/>
        </w:trPr>
        <w:tc>
          <w:tcPr>
            <w:tcW w:w="5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15,807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310,639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9"/>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Fair Market Value Measurements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173"/>
              <w:spacing w:after="0"/>
              <w:rPr>
                <w:sz w:val="20"/>
                <w:szCs w:val="20"/>
                <w:color w:val="auto"/>
              </w:rPr>
            </w:pPr>
            <w:r>
              <w:rPr>
                <w:rFonts w:ascii="Arial" w:cs="Arial" w:eastAsia="Arial" w:hAnsi="Arial"/>
                <w:sz w:val="14"/>
                <w:szCs w:val="14"/>
                <w:b w:val="1"/>
                <w:bCs w:val="1"/>
                <w:color w:val="auto"/>
                <w:w w:val="92"/>
              </w:rPr>
              <w:t>as of December 31, 2022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20"/>
                <w:szCs w:val="20"/>
                <w:color w:val="auto"/>
              </w:rPr>
            </w:pPr>
          </w:p>
        </w:tc>
        <w:tc>
          <w:tcPr>
            <w:tcW w:w="4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20"/>
                <w:szCs w:val="20"/>
                <w:color w:val="auto"/>
              </w:rPr>
            </w:pPr>
          </w:p>
        </w:tc>
      </w:tr>
      <w:tr>
        <w:trPr>
          <w:trHeight w:val="249"/>
        </w:trPr>
        <w:tc>
          <w:tcPr>
            <w:tcW w:w="5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shd w:val="clear" w:color="auto" w:fill="CFF0FC"/>
          </w:tcPr>
          <w:p>
            <w:pPr>
              <w:spacing w:after="0"/>
              <w:rPr>
                <w:sz w:val="21"/>
                <w:szCs w:val="21"/>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Marketable debt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199,245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199,245</w:t>
            </w:r>
          </w:p>
        </w:tc>
        <w:tc>
          <w:tcPr>
            <w:tcW w:w="100" w:type="dxa"/>
            <w:vAlign w:val="bottom"/>
            <w:shd w:val="clear" w:color="auto" w:fill="CFF0FC"/>
          </w:tcPr>
          <w:p>
            <w:pPr>
              <w:spacing w:after="0"/>
              <w:rPr>
                <w:sz w:val="21"/>
                <w:szCs w:val="21"/>
                <w:color w:val="auto"/>
              </w:rPr>
            </w:pPr>
          </w:p>
        </w:tc>
      </w:tr>
      <w:tr>
        <w:trPr>
          <w:trHeight w:val="237"/>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106,920</w:t>
            </w:r>
          </w:p>
        </w:tc>
        <w:tc>
          <w:tcPr>
            <w:tcW w:w="100" w:type="dxa"/>
            <w:vAlign w:val="bottom"/>
          </w:tcPr>
          <w:p>
            <w:pPr>
              <w:spacing w:after="0"/>
              <w:rPr>
                <w:sz w:val="20"/>
                <w:szCs w:val="20"/>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322,195</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-1748155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-1731010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-1748155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-1731010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-1748155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-1731010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-1748155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nine months ended September 30, 2023.</w:t>
      </w:r>
    </w:p>
    <w:p>
      <w:pPr>
        <w:spacing w:after="0" w:line="22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ind w:left="640"/>
              <w:spacing w:after="0"/>
              <w:rPr>
                <w:sz w:val="20"/>
                <w:szCs w:val="20"/>
                <w:color w:val="auto"/>
              </w:rPr>
            </w:pPr>
            <w:r>
              <w:rPr>
                <w:rFonts w:ascii="Arial" w:cs="Arial" w:eastAsia="Arial" w:hAnsi="Arial"/>
                <w:sz w:val="14"/>
                <w:szCs w:val="14"/>
                <w:b w:val="1"/>
                <w:bCs w:val="1"/>
                <w:color w:val="auto"/>
                <w:w w:val="93"/>
              </w:rPr>
              <w:t>Fair Value Measurements as of September 30, 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7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9"/>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16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195,338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(348 )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16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106,690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6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302,028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(691 )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301,347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ind w:left="660"/>
              <w:spacing w:after="0"/>
              <w:rPr>
                <w:sz w:val="20"/>
                <w:szCs w:val="20"/>
                <w:color w:val="auto"/>
              </w:rPr>
            </w:pPr>
            <w:r>
              <w:rPr>
                <w:rFonts w:ascii="Arial" w:cs="Arial" w:eastAsia="Arial" w:hAnsi="Arial"/>
                <w:sz w:val="14"/>
                <w:szCs w:val="14"/>
                <w:b w:val="1"/>
                <w:bCs w:val="1"/>
                <w:color w:val="auto"/>
                <w:w w:val="94"/>
              </w:rPr>
              <w:t>Fair Value Measurements as of December 31, 2022</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72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39"/>
              <w:spacing w:after="0"/>
              <w:rPr>
                <w:sz w:val="20"/>
                <w:szCs w:val="20"/>
                <w:color w:val="auto"/>
              </w:rPr>
            </w:pPr>
            <w:r>
              <w:rPr>
                <w:rFonts w:ascii="Arial" w:cs="Arial" w:eastAsia="Arial" w:hAnsi="Arial"/>
                <w:sz w:val="13"/>
                <w:szCs w:val="13"/>
                <w:b w:val="1"/>
                <w:bCs w:val="1"/>
                <w:color w:val="auto"/>
                <w:w w:val="71"/>
              </w:rPr>
              <w:t>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16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201,834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center"/>
              <w:ind w:left="8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(2,610 )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199,245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160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(1,116 )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106,920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6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309,870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(3,726 )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306,165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-2030730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-2030730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-2030730</wp:posOffset>
            </wp:positionV>
            <wp:extent cx="6032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-2030730</wp:posOffset>
            </wp:positionV>
            <wp:extent cx="603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-685165</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-685165</wp:posOffset>
            </wp:positionV>
            <wp:extent cx="603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-685165</wp:posOffset>
            </wp:positionV>
            <wp:extent cx="5969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right="320" w:firstLine="509"/>
        <w:spacing w:after="0" w:line="277" w:lineRule="auto"/>
        <w:rPr>
          <w:sz w:val="20"/>
          <w:szCs w:val="20"/>
          <w:color w:val="auto"/>
        </w:rPr>
      </w:pPr>
      <w:r>
        <w:rPr>
          <w:rFonts w:ascii="Arial" w:cs="Arial" w:eastAsia="Arial" w:hAnsi="Arial"/>
          <w:sz w:val="18"/>
          <w:szCs w:val="18"/>
          <w:color w:val="auto"/>
        </w:rPr>
        <w:t>The Company holds marketable debt securities with an aggregate fair value of $39.8 million as of September 30, 2023 with contractual maturity dates greater than one year.</w:t>
      </w:r>
    </w:p>
    <w:p>
      <w:pPr>
        <w:spacing w:after="0" w:line="170"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summarizes the fair value and gross unrealized losses aggregated by category and the length of time that individual securities have been in an unrealized loss position:</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left="160"/>
              <w:spacing w:after="0"/>
              <w:rPr>
                <w:sz w:val="20"/>
                <w:szCs w:val="20"/>
                <w:color w:val="auto"/>
              </w:rPr>
            </w:pPr>
            <w:r>
              <w:rPr>
                <w:rFonts w:ascii="Arial" w:cs="Arial" w:eastAsia="Arial" w:hAnsi="Arial"/>
                <w:sz w:val="14"/>
                <w:szCs w:val="14"/>
                <w:b w:val="1"/>
                <w:bCs w:val="1"/>
                <w:color w:val="auto"/>
                <w:w w:val="91"/>
              </w:rPr>
              <w:t>September 30, 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Less than twelve months</w:t>
            </w:r>
          </w:p>
        </w:tc>
        <w:tc>
          <w:tcPr>
            <w:tcW w:w="30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w w:val="97"/>
              </w:rPr>
              <w:t>Greater than twelve months</w:t>
            </w:r>
          </w:p>
        </w:tc>
        <w:tc>
          <w:tcPr>
            <w:tcW w:w="260" w:type="dxa"/>
            <w:vAlign w:val="bottom"/>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Unrealized loss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Unrealized 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Pr>
          <w:p>
            <w:pPr>
              <w:spacing w:after="0"/>
              <w:rPr>
                <w:sz w:val="21"/>
                <w:szCs w:val="21"/>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left="16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118,259</w:t>
            </w:r>
          </w:p>
        </w:tc>
        <w:tc>
          <w:tcPr>
            <w:tcW w:w="620" w:type="dxa"/>
            <w:vAlign w:val="bottom"/>
            <w:gridSpan w:val="3"/>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24,726</w:t>
            </w:r>
          </w:p>
        </w:tc>
        <w:tc>
          <w:tcPr>
            <w:tcW w:w="7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(237 )</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142,985</w:t>
            </w:r>
          </w:p>
        </w:tc>
        <w:tc>
          <w:tcPr>
            <w:tcW w:w="60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600" w:type="dxa"/>
            <w:vAlign w:val="bottom"/>
          </w:tcPr>
          <w:p>
            <w:pPr>
              <w:ind w:left="180"/>
              <w:spacing w:after="0"/>
              <w:rPr>
                <w:sz w:val="20"/>
                <w:szCs w:val="20"/>
                <w:color w:val="auto"/>
              </w:rPr>
            </w:pPr>
            <w:r>
              <w:rPr>
                <w:rFonts w:ascii="Arial" w:cs="Arial" w:eastAsia="Arial" w:hAnsi="Arial"/>
                <w:sz w:val="18"/>
                <w:szCs w:val="18"/>
                <w:color w:val="auto"/>
                <w:w w:val="95"/>
              </w:rPr>
              <w:t>U.S. government agency bonds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(343 )</w:t>
            </w:r>
          </w:p>
        </w:tc>
      </w:tr>
      <w:tr>
        <w:trPr>
          <w:trHeight w:val="277"/>
        </w:trPr>
        <w:tc>
          <w:tcPr>
            <w:tcW w:w="26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207,541</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41,790</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249,331</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459"/>
        </w:trPr>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160"/>
              <w:spacing w:after="0"/>
              <w:rPr>
                <w:sz w:val="20"/>
                <w:szCs w:val="20"/>
                <w:color w:val="auto"/>
              </w:rPr>
            </w:pPr>
            <w:r>
              <w:rPr>
                <w:rFonts w:ascii="Arial" w:cs="Arial" w:eastAsia="Arial" w:hAnsi="Arial"/>
                <w:sz w:val="14"/>
                <w:szCs w:val="14"/>
                <w:b w:val="1"/>
                <w:bCs w:val="1"/>
                <w:color w:val="auto"/>
                <w:w w:val="91"/>
              </w:rPr>
              <w:t>December 31, 2022</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Less than twelve months</w:t>
            </w:r>
          </w:p>
        </w:tc>
        <w:tc>
          <w:tcPr>
            <w:tcW w:w="30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w w:val="97"/>
              </w:rPr>
              <w:t>Greater than twelve months</w:t>
            </w:r>
          </w:p>
        </w:tc>
        <w:tc>
          <w:tcPr>
            <w:tcW w:w="260" w:type="dxa"/>
            <w:vAlign w:val="bottom"/>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Unrealized loss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Unrealized 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Pr>
          <w:p>
            <w:pPr>
              <w:spacing w:after="0"/>
              <w:rPr>
                <w:sz w:val="21"/>
                <w:szCs w:val="21"/>
                <w:color w:val="auto"/>
              </w:rPr>
            </w:pPr>
          </w:p>
        </w:tc>
      </w:tr>
      <w:tr>
        <w:trPr>
          <w:trHeight w:val="250"/>
        </w:trPr>
        <w:tc>
          <w:tcPr>
            <w:tcW w:w="2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left="16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44,213</w:t>
            </w:r>
          </w:p>
        </w:tc>
        <w:tc>
          <w:tcPr>
            <w:tcW w:w="620" w:type="dxa"/>
            <w:vAlign w:val="bottom"/>
            <w:gridSpan w:val="3"/>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(640 )</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7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(1,970 )</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129,210</w:t>
            </w:r>
          </w:p>
        </w:tc>
        <w:tc>
          <w:tcPr>
            <w:tcW w:w="60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600" w:type="dxa"/>
            <w:vAlign w:val="bottom"/>
          </w:tcPr>
          <w:p>
            <w:pPr>
              <w:ind w:left="180"/>
              <w:spacing w:after="0"/>
              <w:rPr>
                <w:sz w:val="20"/>
                <w:szCs w:val="20"/>
                <w:color w:val="auto"/>
              </w:rPr>
            </w:pPr>
            <w:r>
              <w:rPr>
                <w:rFonts w:ascii="Arial" w:cs="Arial" w:eastAsia="Arial" w:hAnsi="Arial"/>
                <w:sz w:val="18"/>
                <w:szCs w:val="18"/>
                <w:color w:val="auto"/>
                <w:w w:val="95"/>
              </w:rPr>
              <w:t>U.S. government agency bonds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(489 )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(1,116 )</w:t>
            </w:r>
          </w:p>
        </w:tc>
      </w:tr>
      <w:tr>
        <w:trPr>
          <w:trHeight w:val="276"/>
        </w:trPr>
        <w:tc>
          <w:tcPr>
            <w:tcW w:w="26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113,132</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122,997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236,129</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-1344930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-1328420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-1344930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-1328420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-1344930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-1328420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-1344930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-1328420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-1344930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-1328420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-1328420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holds investment grade marketable securities considered to be in an unrealized loss position. Although these marketable securities are held at an unrealized loss position at September 30, 2023,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$1.5 million and $0.5 million in accrued interest as of September 30, 2023 and December 31, 2022, respectively.</w:t>
      </w:r>
    </w:p>
    <w:p>
      <w:pPr>
        <w:spacing w:after="0" w:line="191" w:lineRule="exact"/>
        <w:rPr>
          <w:sz w:val="20"/>
          <w:szCs w:val="20"/>
          <w:color w:val="auto"/>
        </w:rPr>
      </w:pPr>
    </w:p>
    <w:p>
      <w:pPr>
        <w:ind w:left="520" w:right="7540" w:hanging="512"/>
        <w:spacing w:after="0" w:line="503" w:lineRule="auto"/>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b w:val="1"/>
          <w:bCs w:val="1"/>
          <w:i w:val="1"/>
          <w:iCs w:val="1"/>
          <w:color w:val="auto"/>
        </w:rPr>
        <w:t>Property and Equipment</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80" w:type="dxa"/>
            <w:vAlign w:val="bottom"/>
            <w:shd w:val="clear" w:color="auto" w:fill="CFF0FC"/>
          </w:tcPr>
          <w:p>
            <w:pPr>
              <w:spacing w:after="0"/>
              <w:rPr>
                <w:sz w:val="20"/>
                <w:szCs w:val="20"/>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43"/>
        </w:trPr>
        <w:tc>
          <w:tcPr>
            <w:tcW w:w="5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w:t>
            </w:r>
          </w:p>
        </w:tc>
        <w:tc>
          <w:tcPr>
            <w:tcW w:w="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(5,371 )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(3,681 )</w:t>
            </w:r>
          </w:p>
        </w:tc>
      </w:tr>
      <w:tr>
        <w:trPr>
          <w:trHeight w:val="276"/>
        </w:trPr>
        <w:tc>
          <w:tcPr>
            <w:tcW w:w="5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10,261</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$1.8 million and $1.0 million for the nine months ended September 30, 2023 and 2022,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include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r>
      <w:tr>
        <w:trPr>
          <w:trHeight w:val="18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80" w:type="dxa"/>
            <w:vAlign w:val="bottom"/>
            <w:shd w:val="clear" w:color="auto" w:fill="CFF0FC"/>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10,490</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17,495</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-187960</wp:posOffset>
            </wp:positionV>
            <wp:extent cx="5143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As of September 30, 2023 and 2022, the Company maintained a restricted cash balance of $3.4 million and $4.0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4"/>
                <w:szCs w:val="14"/>
                <w:color w:val="auto"/>
              </w:rPr>
            </w:pPr>
          </w:p>
        </w:tc>
      </w:tr>
      <w:tr>
        <w:trPr>
          <w:trHeight w:val="185"/>
        </w:trPr>
        <w:tc>
          <w:tcPr>
            <w:tcW w:w="5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83"/>
        </w:trPr>
        <w:tc>
          <w:tcPr>
            <w:tcW w:w="5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r>
      <w:tr>
        <w:trPr>
          <w:trHeight w:val="23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100,312</w:t>
            </w:r>
          </w:p>
        </w:tc>
        <w:tc>
          <w:tcPr>
            <w:tcW w:w="80" w:type="dxa"/>
            <w:vAlign w:val="bottom"/>
            <w:shd w:val="clear" w:color="auto" w:fill="CFF0F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61,956</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104,302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20" w:right="8120" w:hanging="512"/>
        <w:spacing w:after="0" w:line="603" w:lineRule="auto"/>
        <w:tabs>
          <w:tab w:leader="none" w:pos="52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Other Funding Commitments</w:t>
      </w:r>
    </w:p>
    <w:p>
      <w:pPr>
        <w:spacing w:after="0" w:line="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September 30, 2023,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from time to time, may be party to litigation arising in the ordinary course of business. The Company was not subject to any material legal proceedings as of September 30, 2023,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8" w:name="page19"/>
    <w:bookmarkEnd w:id="18"/>
    <w:p>
      <w:pPr>
        <w:ind w:right="500"/>
        <w:spacing w:after="0" w:line="277" w:lineRule="auto"/>
        <w:rPr>
          <w:sz w:val="20"/>
          <w:szCs w:val="20"/>
          <w:color w:val="auto"/>
        </w:rPr>
      </w:pPr>
      <w:r>
        <w:rPr>
          <w:rFonts w:ascii="Arial" w:cs="Arial" w:eastAsia="Arial" w:hAnsi="Arial"/>
          <w:sz w:val="18"/>
          <w:szCs w:val="18"/>
          <w:color w:val="auto"/>
        </w:rPr>
        <w:t>be unable to prevail in any such proceedings, the consolidated financial position, results of operations, and future cash flows of the Company may be materially impacted.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August 2023, Tango received an inconsequential equity stake in another biotech company, a related party, in exchange for providing lab space and resources for the early phases of company development.</w:t>
      </w:r>
    </w:p>
    <w:p>
      <w:pPr>
        <w:spacing w:after="0" w:line="166" w:lineRule="exact"/>
        <w:rPr>
          <w:sz w:val="20"/>
          <w:szCs w:val="20"/>
          <w:color w:val="auto"/>
        </w:rPr>
      </w:pPr>
    </w:p>
    <w:p>
      <w:pPr>
        <w:ind w:left="520" w:right="7560" w:hanging="512"/>
        <w:spacing w:after="0" w:line="503" w:lineRule="auto"/>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b w:val="1"/>
          <w:bCs w:val="1"/>
          <w:i w:val="1"/>
          <w:iCs w:val="1"/>
          <w:color w:val="auto"/>
        </w:rPr>
        <w:t>Undesignated Preferred Stock</w:t>
      </w:r>
    </w:p>
    <w:p>
      <w:pPr>
        <w:ind w:right="80" w:firstLine="509"/>
        <w:spacing w:after="0" w:line="263" w:lineRule="auto"/>
        <w:rPr>
          <w:sz w:val="20"/>
          <w:szCs w:val="20"/>
          <w:color w:val="auto"/>
        </w:rPr>
      </w:pPr>
      <w:r>
        <w:rPr>
          <w:rFonts w:ascii="Arial" w:cs="Arial" w:eastAsia="Arial" w:hAnsi="Arial"/>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September 30, 2023. The shares of preferred stock are currently undesignated and no shares are issued or outstanding.</w:t>
      </w:r>
    </w:p>
    <w:p>
      <w:pPr>
        <w:spacing w:after="0" w:line="180" w:lineRule="exact"/>
        <w:rPr>
          <w:sz w:val="20"/>
          <w:szCs w:val="20"/>
          <w:color w:val="auto"/>
        </w:rPr>
      </w:pPr>
    </w:p>
    <w:p>
      <w:pPr>
        <w:ind w:left="520" w:right="8620" w:hanging="512"/>
        <w:spacing w:after="0" w:line="603" w:lineRule="auto"/>
        <w:tabs>
          <w:tab w:leader="none" w:pos="52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Incentive Plan</w:t>
      </w:r>
    </w:p>
    <w:p>
      <w:pPr>
        <w:spacing w:after="0" w:line="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In March 2017, the Company's stockholders approved the 2017 Stock Option and Grant Plan, pursuant to which stock options, restricted stock awards, unrestricted stock awards, restricted stock units (RSUs), or any combination of the forgoing could be issued to eligible employees, officers, directors, consultants, or other key persons who provide services to the Company.</w:t>
      </w:r>
    </w:p>
    <w:p>
      <w:pPr>
        <w:spacing w:after="0" w:line="184"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2021 Stock Option and Incentive Plan (the 2021 Plan) became effective upon the closing of the Business Combination and replaced the 2017 Stock Option and Grant Plan. The 2021 Plan allows the Company to issue stock options, stock appreciation awards, restricted stock awards, unrestricted stock awards, restricted stock units (RSUs) and cash-based awards, or any combination of the forgoing to eligible employees, officers, directors, or consultants. As of September 30, 2023, the Company had 6,200,500 shares available for future issuance under the 2021 Plan.</w:t>
      </w:r>
    </w:p>
    <w:p>
      <w:pPr>
        <w:spacing w:after="0" w:line="15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September 30, 2023, the Company had 2,256,250 shares available for future issuance under the Inducement Plan.</w:t>
      </w:r>
    </w:p>
    <w:p>
      <w:pPr>
        <w:spacing w:after="0" w:line="165"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in its accompanying condensed 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2"/>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7"/>
        </w:trPr>
        <w:tc>
          <w:tcPr>
            <w:tcW w:w="58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2,573</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w:t>
            </w:r>
          </w:p>
        </w:tc>
        <w:tc>
          <w:tcPr>
            <w:tcW w:w="7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4,860</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14,200</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-513715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-496570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-513715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-496570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-513715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-496570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2023:</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w:t>
            </w:r>
          </w:p>
        </w:tc>
        <w:tc>
          <w:tcPr>
            <w:tcW w:w="140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December 31, 2022</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12,924,086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5,113,352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(246,848 )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(695,585 )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September 30,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17,095,005</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87,902,516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Options exercisable as of September 30, 2023</w:t>
            </w:r>
          </w:p>
        </w:tc>
        <w:tc>
          <w:tcPr>
            <w:tcW w:w="1300" w:type="dxa"/>
            <w:vAlign w:val="bottom"/>
          </w:tcPr>
          <w:p>
            <w:pPr>
              <w:jc w:val="right"/>
              <w:spacing w:after="0"/>
              <w:rPr>
                <w:sz w:val="20"/>
                <w:szCs w:val="20"/>
                <w:color w:val="auto"/>
              </w:rPr>
            </w:pPr>
            <w:r>
              <w:rPr>
                <w:rFonts w:ascii="Arial" w:cs="Arial" w:eastAsia="Arial" w:hAnsi="Arial"/>
                <w:sz w:val="18"/>
                <w:szCs w:val="18"/>
                <w:color w:val="auto"/>
              </w:rPr>
              <w:t>7,372,207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41,520,355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As of September 30, 2023, total unrecognized compensation expense related to stock options was $39.3 million, which the Company expects to recognize over a remaining weighted-average period of 2.5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RSU activity for the nine months ended September 30, 2023:</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0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 Fair Value 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8"/>
              </w:rPr>
              <w:t>Stock Units</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and outstanding as of December 31, 2022</w:t>
            </w:r>
          </w:p>
        </w:tc>
        <w:tc>
          <w:tcPr>
            <w:tcW w:w="1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809,738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(37,500 )</w:t>
            </w:r>
          </w:p>
        </w:tc>
        <w:tc>
          <w:tcPr>
            <w:tcW w:w="1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(14,591 )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and outstanding as of September 30, 2023</w:t>
            </w:r>
          </w:p>
        </w:tc>
        <w:tc>
          <w:tcPr>
            <w:tcW w:w="13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757,647</w:t>
            </w: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September 30, 2023, total unrecognized compensation expense related to RSUs was $3.1 million, which the Company expects to recognize over a remaining weighted-average period of 2.3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2021 Employee Stock Purchase Plan (the ESPP) was adopted and approved by the Company’s board of directors and by the Company’s stockholders and became effective upon the closing of the Business Combination. During the nine months ended September 30, 2023, the Company issued 186,761 shares of common stock under the ESPP.</w:t>
      </w:r>
    </w:p>
    <w:p>
      <w:pPr>
        <w:spacing w:after="0" w:line="18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ectPr>
          <w:pgSz w:w="11900" w:h="16838" w:orient="portrait"/>
          <w:cols w:equalWidth="0" w:num="1">
            <w:col w:w="11200"/>
          </w:cols>
          <w:pgMar w:left="320" w:top="557" w:right="379" w:bottom="1440" w:gutter="0" w:footer="0" w:header="0"/>
        </w:sect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22225</wp:posOffset>
            </wp:positionV>
            <wp:extent cx="1706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33" w:lineRule="exact"/>
        <w:rPr>
          <w:sz w:val="20"/>
          <w:szCs w:val="20"/>
          <w:color w:val="auto"/>
        </w:rPr>
      </w:pPr>
    </w:p>
    <w:p>
      <w:pPr>
        <w:ind w:left="5180"/>
        <w:spacing w:after="0"/>
        <w:rPr>
          <w:sz w:val="20"/>
          <w:szCs w:val="20"/>
          <w:color w:val="auto"/>
        </w:rPr>
      </w:pPr>
      <w:r>
        <w:rPr>
          <w:rFonts w:ascii="Arial" w:cs="Arial" w:eastAsia="Arial" w:hAnsi="Arial"/>
          <w:sz w:val="12"/>
          <w:szCs w:val="12"/>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29845</wp:posOffset>
            </wp:positionV>
            <wp:extent cx="17062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45" w:lineRule="exact"/>
        <w:rPr>
          <w:sz w:val="20"/>
          <w:szCs w:val="20"/>
          <w:color w:val="auto"/>
        </w:rPr>
      </w:pPr>
    </w:p>
    <w:p>
      <w:pPr>
        <w:ind w:left="5440"/>
        <w:spacing w:after="0"/>
        <w:tabs>
          <w:tab w:leader="none" w:pos="68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8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22225</wp:posOffset>
            </wp:positionV>
            <wp:extent cx="1671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3" w:lineRule="exact"/>
        <w:rPr>
          <w:sz w:val="20"/>
          <w:szCs w:val="20"/>
          <w:color w:val="auto"/>
        </w:rPr>
      </w:pPr>
    </w:p>
    <w:p>
      <w:pPr>
        <w:jc w:val="center"/>
        <w:ind w:right="800"/>
        <w:spacing w:after="0"/>
        <w:rPr>
          <w:sz w:val="20"/>
          <w:szCs w:val="20"/>
          <w:color w:val="auto"/>
        </w:rPr>
      </w:pPr>
      <w:r>
        <w:rPr>
          <w:rFonts w:ascii="Arial" w:cs="Arial" w:eastAsia="Arial" w:hAnsi="Arial"/>
          <w:sz w:val="12"/>
          <w:szCs w:val="12"/>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29845</wp:posOffset>
            </wp:positionV>
            <wp:extent cx="1671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45" w:lineRule="exact"/>
        <w:rPr>
          <w:sz w:val="20"/>
          <w:szCs w:val="20"/>
          <w:color w:val="auto"/>
        </w:rPr>
      </w:pPr>
    </w:p>
    <w:p>
      <w:pPr>
        <w:ind w:left="260"/>
        <w:spacing w:after="0"/>
        <w:tabs>
          <w:tab w:leader="none" w:pos="16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4" w:lineRule="exact"/>
        <w:rPr>
          <w:sz w:val="20"/>
          <w:szCs w:val="20"/>
          <w:color w:val="auto"/>
        </w:rPr>
      </w:pPr>
    </w:p>
    <w:p>
      <w:pPr>
        <w:sectPr>
          <w:pgSz w:w="11900" w:h="16838" w:orient="portrait"/>
          <w:cols w:equalWidth="0" w:num="2">
            <w:col w:w="7440" w:space="700"/>
            <w:col w:w="3060"/>
          </w:cols>
          <w:pgMar w:left="320" w:top="557" w:right="379" w:bottom="1440" w:gutter="0" w:footer="0" w:header="0"/>
          <w:type w:val="continuous"/>
        </w:sectPr>
      </w:pPr>
    </w:p>
    <w:tbl>
      <w:tblPr>
        <w:tblLayout w:type="fixed"/>
        <w:tblInd w:w="580" w:type="dxa"/>
        <w:tblCellMar>
          <w:top w:w="0" w:type="dxa"/>
          <w:left w:w="0" w:type="dxa"/>
          <w:bottom w:w="0" w:type="dxa"/>
          <w:right w:w="0" w:type="dxa"/>
        </w:tblCellMar>
      </w:tblPr>
      <w:tr>
        <w:trPr>
          <w:trHeight w:val="237"/>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(22,263 )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(29,050 )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(70,981 )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(79,116 )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80"/>
              <w:spacing w:after="0"/>
              <w:rPr>
                <w:sz w:val="20"/>
                <w:szCs w:val="20"/>
                <w:color w:val="auto"/>
              </w:rPr>
            </w:pPr>
            <w:r>
              <w:rPr>
                <w:rFonts w:ascii="Arial" w:cs="Arial" w:eastAsia="Arial" w:hAnsi="Arial"/>
                <w:sz w:val="18"/>
                <w:szCs w:val="18"/>
                <w:color w:val="auto"/>
              </w:rPr>
              <w:t>Weighted-average number of common shares</w:t>
            </w: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97,033,273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87,892,195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91,268,133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87,868,081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outstanding – basic and diluted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type w:val="continuous"/>
        </w:sectPr>
      </w:pPr>
    </w:p>
    <w:bookmarkStart w:id="20" w:name="page21"/>
    <w:bookmarkEnd w:id="20"/>
    <w:p>
      <w:pPr>
        <w:jc w:val="both"/>
        <w:ind w:right="40"/>
        <w:spacing w:after="0" w:line="263" w:lineRule="auto"/>
        <w:rPr>
          <w:sz w:val="20"/>
          <w:szCs w:val="20"/>
          <w:color w:val="auto"/>
        </w:rPr>
      </w:pPr>
      <w:r>
        <w:rPr>
          <w:rFonts w:ascii="Arial" w:cs="Arial" w:eastAsia="Arial" w:hAnsi="Arial"/>
          <w:sz w:val="18"/>
          <w:szCs w:val="18"/>
          <w:color w:val="auto"/>
        </w:rPr>
        <w:t>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184"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4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18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17,095,005</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12,701,089</w:t>
            </w:r>
          </w:p>
        </w:tc>
        <w:tc>
          <w:tcPr>
            <w:tcW w:w="100" w:type="dxa"/>
            <w:vAlign w:val="bottom"/>
            <w:shd w:val="clear" w:color="auto" w:fill="CFF0FC"/>
          </w:tcPr>
          <w:p>
            <w:pPr>
              <w:spacing w:after="0"/>
              <w:rPr>
                <w:sz w:val="20"/>
                <w:szCs w:val="20"/>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757,647</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6"/>
        </w:trPr>
        <w:tc>
          <w:tcPr>
            <w:tcW w:w="6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17,852,652</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12,701,089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-8255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Company’s effective income tax rate was -0.1% and 0.0% for the three months ended September 30, 2023 and 2022, respectively, and -0.1% and 0.0% for the nine months ended September 30, 2023 and 2022, respectively. The income tax provision was $23,000 and $0 for the three months ended September 30, 2023 and 2022, respectively, and the income tax provision was $87,000 and $3,000 for the nine months ended September 30, 2023 and 2022, respectively. Consistent with the prior year, for 2023 the Company assessed the requirement to capitalize and amortize research and experimentation expenditures for US tax purposes, which remains effective as of September 30, 2023. The Company is forecasting a taxable loss position in 2023 for which no tax benefit is recorded due to the valuation allowance maintained against the Company’s deferred tax assets.</w:t>
      </w:r>
    </w:p>
    <w:p>
      <w:pPr>
        <w:spacing w:after="0" w:line="16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effective income tax rate for the three and nine months ended September 30, 2023 and 2022 differed from the 21.0% federal statutory rate primarily due to the valuation allowance maintained against the Company’s deferred tax assets.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2022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2022, our actual results could differ materially from the results described in, or implied by, the forward-looking statements contained in the following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Initial pharmacodynamic (PD) data from the ongoing TNG908 dose escalation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Additional TNG908 clinical data are expected in 2024.</w:t>
      </w:r>
    </w:p>
    <w:p>
      <w:pPr>
        <w:spacing w:after="0" w:line="17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cleared in the first quarter of 2023 and we announced the first patient in the Phase 1/2 clinical trial was dosed in July 2023.</w:t>
      </w:r>
    </w:p>
    <w:p>
      <w:pPr>
        <w:spacing w:after="0" w:line="195"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deletion, a setting where an anti-PD-1 antibody alone is inactive. In the first quarter of 2023, the FDA cleared the TNG260 IND and we announced the first patient in the Phase 1/2 clinical trial was dosed in July 2023. The trial is evaluating the safety, pharmacokinetics (PK), PD and efficacy of TNG260 in combination with pembrolizumab, with a one cycle single agent run-in phase to evaluate the safety and PK of TNG260, in patients with locally advanced or metastatic cancer solid tumors with an STK11 loss-of-function mutation. We believe that TNG260 could be among the first oncology molecules to leverage the benefits of genetically-based patient selection (STK11-mutation) with checkpoint inhibitor therapy.</w:t>
      </w:r>
    </w:p>
    <w:p>
      <w:pPr>
        <w:spacing w:after="0" w:line="168"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are developing TNG348, a novel allosteric inhibitor of USP1 for treatment of BRCA1, BRCA2-mutant and other HRD+ cancers. HRD+ cancers, including BRCA 1/2 mutations, represent approximately 50% of ovarian, 25% of breast, 10% of prostate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ind w:right="60"/>
        <w:spacing w:after="0" w:line="254" w:lineRule="auto"/>
        <w:rPr>
          <w:sz w:val="20"/>
          <w:szCs w:val="20"/>
          <w:color w:val="auto"/>
        </w:rPr>
      </w:pPr>
      <w:r>
        <w:rPr>
          <w:rFonts w:ascii="Arial" w:cs="Arial" w:eastAsia="Arial" w:hAnsi="Arial"/>
          <w:sz w:val="18"/>
          <w:szCs w:val="18"/>
          <w:color w:val="auto"/>
        </w:rPr>
        <w:t>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inhibitor-naïve and PARP inhibitor-resistant BRCA1/2 mutant and other HRD+ cancers. Additionally, we expect TNG348 to synergize with PARP inhibitors in these settings effectively restoring sensitivity to PARPi in the setting of acquired resistance. The FDA cleared the TNG348 IND in the third quarter of 2023 and we expect to initiate the TNG348 clinical trial in the first half of 2024.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$80.0 million of gross proceeds through the private placement of common shares and pre-funded warrants to purchase common shares, and another $225.1 million through our collaboration with Gilead.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that our existing cash, cash equivalents and marketable securities on hand as of September 30, 2023 of $359.9 million will enable us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 our operating expenses and capital expenditure requirements at least into 2026. Since inception, we have incurred significant operating losses.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2023 and 2022, our net losses were $71.0 million and $79.1 million, respectively.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$340.5 million as of September 30, 2023. We expect to continue to incur significant and increasing expenses and operating losses for the foreseeable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we advance our product candidates through preclinical and clinical development and seek regulatory approvals, manufacture drug product and drug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supply, and maintain and expand our intellectual property portfolio. We also expect to hire additional personnel, pay for accounting, audit, legal,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consulting services, and pay costs associated with maintaining compliance with Nasdaq listing rules and the requirements of the U.S.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director and officer liability insurance, investor and public relations activities and other expenses associated with operating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company. Our net losses may fluctuate significantly from quarter-to-quarter and year-to-year, depending on the timing of our preclinical studies,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and our expenditures on other research and development activities.</w:t>
      </w:r>
    </w:p>
    <w:p>
      <w:pPr>
        <w:spacing w:after="0" w:line="21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6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On August 10, 2023, we entered into a securities purchase agreement with a select group of institutional and accredited healthcare specialist investors for the private placement of 13,196,671 shares of common stock at a price of $5.15 per share and pre-funded warrants to purchase 2,340,579 shares of common stock at a purchase price of $5.1499 per pre-funded warrant, resulting in gross proceeds of $80.0 million. The pre-funded warrants have an exercise price of $0.0001 per share of common stock, were immediately exercisable and will remain exercisable until exercised in full. After deducting expenses related to the private placement of $0.2 million, the net proceeds to us from the private placement were $79.8 million. The private placement closed on August 11, 2023. The securities purchase agreement also provided for the registration for resale of the shares of common stock. The shares were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00"/>
        <w:spacing w:after="0" w:line="259" w:lineRule="auto"/>
        <w:rPr>
          <w:sz w:val="20"/>
          <w:szCs w:val="20"/>
          <w:color w:val="auto"/>
        </w:rPr>
      </w:pPr>
      <w:r>
        <w:rPr>
          <w:rFonts w:ascii="Arial" w:cs="Arial" w:eastAsia="Arial" w:hAnsi="Arial"/>
          <w:sz w:val="18"/>
          <w:szCs w:val="18"/>
          <w:color w:val="auto"/>
        </w:rPr>
        <w:t>registered for resale pursuant to pursuant to a registration statement filed on Form S-3 with the SEC on September 9, 2023. Based in part upon the representations of the investors in the securities purchase agreement, the offering and sale of the shares of common stock was made in reliance on the exemption afforded by Section 4(a)(2) of the Securities Act and Rule 506 of Regulation D under the Securities Act and corresponding provisions of state securities or “blue sky” laws.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October 2018, we entered into a collaboration agreement with Gilead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2023, Gilead licensed a program for a $5.0 million fee, which was recognized as license revenue in the second quarter of 2023.</w:t>
      </w:r>
    </w:p>
    <w:p>
      <w:pPr>
        <w:spacing w:after="0" w:line="181"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As of September 30, 2023, $101.2 million has been recognized as collaboration revenue related to the upfront and research option-extension payments from the Gilead agreements.</w:t>
      </w:r>
    </w:p>
    <w:p>
      <w:pPr>
        <w:spacing w:after="0" w:line="170"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During the three months ended September 30, 2023 and 2022, we recognized $10.7 million and $6.9 million, respectively, and during the nine months ended September 30, 2023 and 2022, we recognized $26.1 million and $18.4 million, respectively, of collaboration revenue associated with the Gilead agreements based on performance completed during each period.</w:t>
      </w:r>
    </w:p>
    <w:p>
      <w:pPr>
        <w:spacing w:after="0" w:line="184" w:lineRule="exact"/>
        <w:rPr>
          <w:sz w:val="20"/>
          <w:szCs w:val="20"/>
          <w:color w:val="auto"/>
        </w:rPr>
      </w:pPr>
    </w:p>
    <w:p>
      <w:pPr>
        <w:jc w:val="both"/>
        <w:ind w:right="260" w:firstLine="509"/>
        <w:spacing w:after="0" w:line="311" w:lineRule="auto"/>
        <w:rPr>
          <w:sz w:val="20"/>
          <w:szCs w:val="20"/>
          <w:color w:val="auto"/>
        </w:rPr>
      </w:pPr>
      <w:r>
        <w:rPr>
          <w:rFonts w:ascii="Arial" w:cs="Arial" w:eastAsia="Arial" w:hAnsi="Arial"/>
          <w:sz w:val="16"/>
          <w:szCs w:val="16"/>
          <w:color w:val="auto"/>
        </w:rPr>
        <w:t>Refer to Note 3 to our unaudited condensed consolidated financial statements and related notes appearing elsewhere in this Quarterly Report on Form 10-Q and our audited consolidated financial statements and related notes for the year ended December 31, 2022 included in our Annual Report on Form 10-K for additional information regarding our revenue recognition accounting policy and our collaboration agreement with Gilead.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62" w:lineRule="exact"/>
        <w:rPr>
          <w:sz w:val="20"/>
          <w:szCs w:val="20"/>
          <w:color w:val="auto"/>
        </w:rPr>
      </w:pPr>
    </w:p>
    <w:p>
      <w:pPr>
        <w:ind w:left="1020" w:right="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and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jc w:val="both"/>
        <w:ind w:right="360" w:firstLine="50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6"/>
                <w:szCs w:val="16"/>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TNG908 direct program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10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TNG462 direct program expenses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TNG260 direct program expenses</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TNG348 direct program expenses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Discovery direct program expenses</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16,115</w:t>
            </w:r>
          </w:p>
        </w:tc>
        <w:tc>
          <w:tcPr>
            <w:tcW w:w="10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Personnel related expenses</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28,347</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20,704</w:t>
            </w:r>
          </w:p>
        </w:tc>
        <w:tc>
          <w:tcPr>
            <w:tcW w:w="100" w:type="dxa"/>
            <w:vAlign w:val="bottom"/>
            <w:shd w:val="clear" w:color="auto" w:fill="CFF0FC"/>
          </w:tcPr>
          <w:p>
            <w:pPr>
              <w:spacing w:after="0"/>
              <w:rPr>
                <w:sz w:val="21"/>
                <w:szCs w:val="21"/>
                <w:color w:val="auto"/>
              </w:rPr>
            </w:pPr>
          </w:p>
        </w:tc>
      </w:tr>
      <w:tr>
        <w:trPr>
          <w:trHeight w:val="237"/>
        </w:trPr>
        <w:tc>
          <w:tcPr>
            <w:tcW w:w="5040" w:type="dxa"/>
            <w:vAlign w:val="bottom"/>
          </w:tcPr>
          <w:p>
            <w:pPr>
              <w:ind w:left="320"/>
              <w:spacing w:after="0"/>
              <w:rPr>
                <w:sz w:val="20"/>
                <w:szCs w:val="20"/>
                <w:color w:val="auto"/>
              </w:rPr>
            </w:pPr>
            <w:r>
              <w:rPr>
                <w:rFonts w:ascii="Arial" w:cs="Arial" w:eastAsia="Arial" w:hAnsi="Arial"/>
                <w:sz w:val="18"/>
                <w:szCs w:val="18"/>
                <w:color w:val="auto"/>
              </w:rPr>
              <w:t>Facilities and other related expenses</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20"/>
                <w:szCs w:val="20"/>
                <w:color w:val="auto"/>
              </w:rPr>
            </w:pPr>
          </w:p>
        </w:tc>
      </w:tr>
      <w:tr>
        <w:trPr>
          <w:trHeight w:val="27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27,149</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83,859</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60" w:lineRule="exact"/>
        <w:rPr>
          <w:sz w:val="20"/>
          <w:szCs w:val="20"/>
          <w:color w:val="auto"/>
        </w:rPr>
      </w:pPr>
    </w:p>
    <w:p>
      <w:pPr>
        <w:ind w:left="1140" w:right="580" w:hanging="383"/>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49"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Interest income consists of income earned and losses incurred in connection with our investments in money market funds, U.S. Treasury bills and U.S. government agency bonds.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of miscellaneous expense unrelated to our core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nine months ended September 30, 2023 and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10,732</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10,732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27,149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28,744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(1,595 )</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36,358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36,843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(25,626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other income, net</w:t>
            </w:r>
          </w:p>
        </w:tc>
        <w:tc>
          <w:tcPr>
            <w:tcW w:w="8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w w:val="88"/>
              </w:rPr>
              <w:t>(22,240 )</w:t>
            </w:r>
          </w:p>
        </w:tc>
        <w:tc>
          <w:tcPr>
            <w:tcW w:w="18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(29,050 )</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Provision for income taxes</w:t>
            </w:r>
          </w:p>
        </w:tc>
        <w:tc>
          <w:tcPr>
            <w:tcW w:w="180" w:type="dxa"/>
            <w:vAlign w:val="bottom"/>
            <w:vMerge w:val="continue"/>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(23 )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vMerge w:val="continue"/>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w w:val="88"/>
              </w:rPr>
              <w:t>(22,263 )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(29,050 )</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-2091055</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-2091055</wp:posOffset>
            </wp:positionV>
            <wp:extent cx="6032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-2091055</wp:posOffset>
            </wp:positionV>
            <wp:extent cx="603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-1456690</wp:posOffset>
            </wp:positionV>
            <wp:extent cx="685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-1456690</wp:posOffset>
            </wp:positionV>
            <wp:extent cx="6032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-505460</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-505460</wp:posOffset>
            </wp:positionV>
            <wp:extent cx="6032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Collaboration revenue of $10.7 million and $6.9 million for the three months ended September 30, 2023 and 2022, respectively, was derived from the Gilead collaboration. The increase of $3.8 million was due to higher research costs incurred under the collaboration during the three months ended September 30, 2023 resulting in higher collaboration revenue recognized.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Research and development expense was $27.1 million for the three months ended September 30, 2023 compared to $28.7 million for the three months ended September 30, 2022. The decrease of $1.6 million was due to a $4.6 million decrease primarily for manufacturing and other activities for our TNG462 and TNG348 programs, which was partially offset by a $2.6 million increase in personnel-related costs, including share-based compensation expense and additional headcount to support our research and development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General and administrative expense was $9.2 million for the three months ended September 30, 2023 compared to $8.1 million for the three months ended September 30, 2022. The increase of $1.1 million was primarily due to a $1.3 million increase in personnel-related costs, including share-based compensation expense and additional headcount.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Interest income was $1.9 million for the three months ended September 30, 2023 compared to $0.4 million for the three months ended September 30, 2022. The increase of $1.5 million was primarily due to an increase in interest rates in 2023 as compared to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Other income, net was $1.5 million for the three months ended September 30, 2023 compared to $0.5 million for the three months ended September 30, 2022. The increase was primarily due to accretion on investments purchased at a discount.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Provision for income taxes was less than $0.1 million for three months ended September 30, 2023 compared to $0 for the three months ended September 30, 2022. The tax provision is insignificant in each of the periods ended September 30, 2023 and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r>
        <w:trPr>
          <w:trHeight w:val="236"/>
        </w:trPr>
        <w:tc>
          <w:tcPr>
            <w:tcW w:w="5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r>
      <w:tr>
        <w:trPr>
          <w:trHeight w:val="23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(79,160 )</w:t>
            </w:r>
          </w:p>
        </w:tc>
        <w:tc>
          <w:tcPr>
            <w:tcW w:w="18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(80,504 )</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0"/>
                <w:szCs w:val="20"/>
                <w:color w:val="auto"/>
              </w:rPr>
            </w:pPr>
          </w:p>
        </w:tc>
      </w:tr>
      <w:tr>
        <w:trPr>
          <w:trHeight w:val="243"/>
        </w:trPr>
        <w:tc>
          <w:tcPr>
            <w:tcW w:w="5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20"/>
                <w:szCs w:val="20"/>
                <w:color w:val="auto"/>
              </w:rPr>
            </w:pPr>
          </w:p>
        </w:tc>
      </w:tr>
      <w:tr>
        <w:trPr>
          <w:trHeight w:val="23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520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(87 )</w:t>
            </w:r>
          </w:p>
        </w:tc>
        <w:tc>
          <w:tcPr>
            <w:tcW w:w="180" w:type="dxa"/>
            <w:vAlign w:val="bottom"/>
          </w:tcPr>
          <w:p>
            <w:pPr>
              <w:spacing w:after="0"/>
              <w:rPr>
                <w:sz w:val="21"/>
                <w:szCs w:val="21"/>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r>
      <w:tr>
        <w:trPr>
          <w:trHeight w:val="23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-1927860</wp:posOffset>
            </wp:positionV>
            <wp:extent cx="685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-1927860</wp:posOffset>
            </wp:positionV>
            <wp:extent cx="6032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-1927860</wp:posOffset>
            </wp:positionV>
            <wp:extent cx="60325"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-1293495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-1293495</wp:posOffset>
            </wp:positionV>
            <wp:extent cx="60325"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-668020</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-668020</wp:posOffset>
            </wp:positionV>
            <wp:extent cx="6032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-342265</wp:posOffset>
            </wp:positionV>
            <wp:extent cx="6858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-342265</wp:posOffset>
            </wp:positionV>
            <wp:extent cx="6032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-342265</wp:posOffset>
            </wp:positionV>
            <wp:extent cx="6032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Collaboration revenue of $26.1 million and $18.4 million for the nine months ended September 30, 2023 and 2022, respectively, was derived from the Gilead collaboration. The increase of $7.6 million was due to higher research costs incurred under the collaboration during the nine months ended September 30, 2023 resulting in higher collaboration revenue recognized.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License revenue of $5.0 million and $0 for the nine months ended September 30, 2023 and 2022, respectively, was derived from the Gilead collaboration. The increase of $5.0 million is due to Gilead licensing a program for $5.0 million during the second quarter of 2023 as compared to no programs being licensed during the nine months ended September 30,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Research and development expense was $83.9 million for the nine months ended September 30, 2023 compared to $76.8 million for the nine months ended September 30, 2022. The increase of $7.0 million was primarily due to $7.6 million in personnel-related costs, including share-based compensation expense and additional headcount to support our research and development activities. Additionally, facilities costs increased by $2.3 million due to expenses incurred related to the new lease at 201 Brookline Avenue in Boston, Massachusetts. These increases were partially offset by a decrease of $3.8 million primarily due to manufacturing and other activities for our TNG908 and TNG348 programs.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560" w:firstLine="509"/>
        <w:spacing w:after="0" w:line="263" w:lineRule="auto"/>
        <w:rPr>
          <w:sz w:val="20"/>
          <w:szCs w:val="20"/>
          <w:color w:val="auto"/>
        </w:rPr>
      </w:pPr>
      <w:r>
        <w:rPr>
          <w:rFonts w:ascii="Arial" w:cs="Arial" w:eastAsia="Arial" w:hAnsi="Arial"/>
          <w:sz w:val="18"/>
          <w:szCs w:val="18"/>
          <w:color w:val="auto"/>
        </w:rPr>
        <w:t>General and administrative expense was $26.4 million for the nine months ended September 30, 2023 compared to $22.1 million for the nine months ended September 30, 2022. The increase of $4.3 million was primarily due to $3.1 million in personnel-related costs, including share-based compensation expense and additional headcount.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Interest income was $4.4 million for the nine months ended September 30, 2023 compared to $0.9 million for the nine months ended September 30, 2022. The increase of $3.5 million was primarily due to an increase in interest rates in 2023 as compared to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Other income, net was $3.9 million for the nine months ended September 30, 2023 compared to $0.5 million for the nine months ended September 30, 2022. The increase was primarily due to accretion on investments purchased at a discount.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Provision for income taxes was less than $0.1 million for both the nine months ended September 30, 2023 and 2022. The tax provision is insignificant in each of the periods ended September 30, 2023 and 2022.</w:t>
      </w:r>
    </w:p>
    <w:p>
      <w:pPr>
        <w:spacing w:after="0" w:line="166" w:lineRule="exact"/>
        <w:rPr>
          <w:sz w:val="20"/>
          <w:szCs w:val="20"/>
          <w:color w:val="auto"/>
        </w:rPr>
      </w:pPr>
    </w:p>
    <w:p>
      <w:pPr>
        <w:jc w:val="center"/>
        <w:ind w:right="8660"/>
        <w:spacing w:after="0"/>
        <w:rPr>
          <w:sz w:val="20"/>
          <w:szCs w:val="20"/>
          <w:color w:val="auto"/>
        </w:rPr>
      </w:pPr>
      <w:r>
        <w:rPr>
          <w:rFonts w:ascii="Arial" w:cs="Arial" w:eastAsia="Arial" w:hAnsi="Arial"/>
          <w:sz w:val="16"/>
          <w:szCs w:val="16"/>
          <w:b w:val="1"/>
          <w:bCs w:val="1"/>
          <w:color w:val="auto"/>
        </w:rPr>
        <w:t>Liquidity and Capital Resources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$80.0 million of gross proceeds through the August 2023 private placement of common shares and pre-funded warrants to purchase common shares, and $225.1 million through the collaboration with Gilead. As of September 30, 2023, we had cash and cash equivalents and marketable securities of $359.9 million.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believe that our existing cash, cash equivalents and marketable securities on hand as of September 30, 2023 of $359.9 million will enable us to fund our operating expenses and capital expenditure requirements at least into 2026. We have based this estimate on assumptions that may prove to be wrong, and we could expend our capital resources sooner than we expect.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nine month periods presented:</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Nine Months Ended September 30,</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71"/>
              </w:rPr>
              <w:t>thousands)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(90,515 )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(80,814 )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(9,701 )</w:t>
            </w: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(31,430 )</w:t>
            </w:r>
          </w:p>
        </w:tc>
      </w:tr>
      <w:tr>
        <w:trPr>
          <w:trHeight w:val="24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80,939</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(2,002 )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(40,722 )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38,720</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Net cash used in operating activities was $90.5 million for the nine months ended September 30, 2023 compared to net cash used in operating activities of $80.8 million for the nine months ended September 30, 2022. The increase in net cash used in operating activities for the nine months ended September 30, 2023 was primarily due to an increase in operating expenses, including higher non-cash expenses such as stock compensation.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Net cash provided by investing activities was $7.6 million for the nine months ended September 30, 2023 compared to net cash provided by investing activities of $39.0 million for the nine months ended September 30, 2022. The decrease in net cash provided by investing activities was primarily due to an increase in purchases of marketable securities as compared to the nine month period ended September 30, 2022.</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Net cash provided by financing activities was $80.9 million for the nine months ended September 30, 2023 compared to net cash provided by financing activities of $1.1 million for the nine months ended September 30, 2022. The cash provided by financing activities for the nine months ended September 30, 2023 consisted of the net proceeds received from our private placement financing transaction in August 2023 of $79.8 million, as well as the cash provided from the exercises of stock options and ESPP purchases. The cash provided by financing activities for the nine months ended September 30, 2022 was the result of cash provided from the exercises of stock options and ESPP purchases.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at September 30, 2023 and the effects that such obligations are expected to have on our liquidity and cash flows in future periods: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Payments Due by Period</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24"/>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 – 3 Years</w:t>
            </w:r>
          </w:p>
        </w:tc>
        <w:tc>
          <w:tcPr>
            <w:tcW w:w="180" w:type="dxa"/>
            <w:vAlign w:val="bottom"/>
          </w:tcPr>
          <w:p>
            <w:pPr>
              <w:spacing w:after="0"/>
              <w:rPr>
                <w:sz w:val="11"/>
                <w:szCs w:val="11"/>
                <w:color w:val="auto"/>
              </w:rPr>
            </w:pPr>
          </w:p>
        </w:tc>
        <w:tc>
          <w:tcPr>
            <w:tcW w:w="10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8"/>
              </w:rPr>
              <w:t>3 – 5 Years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84"/>
              <w:spacing w:after="0" w:line="13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84"/>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lease commitments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56,916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11,301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11,989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56,916</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-161925</wp:posOffset>
            </wp:positionV>
            <wp:extent cx="6858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-161925</wp:posOffset>
            </wp:positionV>
            <wp:extent cx="6858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-161925</wp:posOffset>
            </wp:positionV>
            <wp:extent cx="6858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-161925</wp:posOffset>
            </wp:positionV>
            <wp:extent cx="60325"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162560"/>
                    </a:xfrm>
                    <a:prstGeom prst="rect">
                      <a:avLst/>
                    </a:prstGeom>
                    <a:noFill/>
                  </pic:spPr>
                </pic:pic>
              </a:graphicData>
            </a:graphic>
          </wp:anchor>
        </w:drawing>
      </w:r>
    </w:p>
    <w:p>
      <w:pPr>
        <w:spacing w:after="0" w:line="18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September 30, 2023. Refer to Note 8 to our audited consolidated financial statements and related notes included in our Annual Report on Form 10-K for the year ended December 31, 2022 for additional discussion of the lease.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September 30,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Obligations</w:t>
      </w:r>
    </w:p>
    <w:p>
      <w:pPr>
        <w:spacing w:after="0" w:line="22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September 30, 2023 and December 31, 2022, we were unable to estimate the timing or likelihood of achieving these milestones or generating future product sales. Refer to Note 9 to our audited consolidated financial statements and related notes included in our Annual Report on Form 10-K for the year ended December 31, 2022 for a description of our license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120"/>
        <w:spacing w:after="0" w:line="263" w:lineRule="auto"/>
        <w:rPr>
          <w:sz w:val="20"/>
          <w:szCs w:val="20"/>
          <w:color w:val="auto"/>
        </w:rPr>
      </w:pPr>
      <w:r>
        <w:rPr>
          <w:rFonts w:ascii="Arial" w:cs="Arial" w:eastAsia="Arial" w:hAnsi="Arial"/>
          <w:sz w:val="18"/>
          <w:szCs w:val="18"/>
          <w:color w:val="auto"/>
        </w:rPr>
        <w:t>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included in our Annual Report on Form 10-K for the year ended December 31, 2022, we believe that the following accounting policies are those most critical to the judgments and estimates used in the preparation of our financial statements.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40" w:firstLine="509"/>
        <w:spacing w:after="0" w:line="257" w:lineRule="auto"/>
        <w:rPr>
          <w:sz w:val="20"/>
          <w:szCs w:val="20"/>
          <w:color w:val="auto"/>
        </w:rPr>
      </w:pPr>
      <w:r>
        <w:rPr>
          <w:rFonts w:ascii="Arial" w:cs="Arial" w:eastAsia="Arial" w:hAnsi="Arial"/>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to determine the standalone selling price may include forecasted revenues, development timelines, reimbursement rates for personnel costs, discount rates and probabilities of technical and regulatory success.</w:t>
      </w:r>
    </w:p>
    <w:p>
      <w:pPr>
        <w:spacing w:after="0" w:line="17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84"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7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estimate the fair value of our stock-based awards using the Black Scholes method utilizing the “simplified method,” for determining the expected life of the award, which is based on the mid-point between the vesting date and the end of the contractual term. We determine the volatility for stock-based awards granted based on an analysis of reported data for a peer group of companies. The expected volatility of stock-based awards granted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right="60"/>
        <w:spacing w:after="0" w:line="286" w:lineRule="auto"/>
        <w:rPr>
          <w:sz w:val="20"/>
          <w:szCs w:val="20"/>
          <w:color w:val="auto"/>
        </w:rPr>
      </w:pPr>
      <w:r>
        <w:rPr>
          <w:rFonts w:ascii="Arial" w:cs="Arial" w:eastAsia="Arial" w:hAnsi="Arial"/>
          <w:sz w:val="17"/>
          <w:szCs w:val="17"/>
          <w:color w:val="auto"/>
        </w:rPr>
        <w:t>stock-based awards is based on the closing price of our common stock as reported by Nasdaq on the date of grant. The risk-free interest rate utilized in our calculations is based on a treasury instrument whose term is consistent with the expected life of the stock-based award. The expected dividend yield is assumed to be zero as we have never paid dividends and do not have current plans to pay any dividends on our common stock.</w:t>
      </w:r>
    </w:p>
    <w:p>
      <w:pPr>
        <w:spacing w:after="0" w:line="165"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4"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6" w:lineRule="exact"/>
        <w:rPr>
          <w:sz w:val="20"/>
          <w:szCs w:val="20"/>
          <w:color w:val="auto"/>
        </w:rPr>
      </w:pPr>
    </w:p>
    <w:p>
      <w:pPr>
        <w:ind w:left="1020" w:right="20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Quarterly Report on Form 10-Q;</w:t>
      </w:r>
    </w:p>
    <w:p>
      <w:pPr>
        <w:spacing w:after="0" w:line="75"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23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6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3" w:name="page34"/>
    <w:bookmarkEnd w:id="33"/>
    <w:p>
      <w:pPr>
        <w:ind w:right="140"/>
        <w:spacing w:after="0" w:line="263" w:lineRule="auto"/>
        <w:rPr>
          <w:sz w:val="20"/>
          <w:szCs w:val="20"/>
          <w:color w:val="auto"/>
        </w:rPr>
      </w:pPr>
      <w:r>
        <w:rPr>
          <w:rFonts w:ascii="Arial" w:cs="Arial" w:eastAsia="Arial" w:hAnsi="Arial"/>
          <w:sz w:val="18"/>
          <w:szCs w:val="18"/>
          <w:color w:val="auto"/>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had cash, cash equivalents and marketable securities of $359.9 million and $366.1 million as of September 30, 2023 and December 31, 2022,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months ended September 30, 2023. However, if inflation remains at current levels for an extended period of time, or increases, our costs are likely to increase, which may negatively impact our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80" w:firstLine="8"/>
        <w:spacing w:after="0" w:line="260"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September 30, 2023 that materially affected, or were reasonably likely to materially affect, the Company’s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are not currently a party to any litigation or legal proceedings that, in the opinion of our management, are probable to have a material adverse effect on our business.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2022,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the year ended December 31, 2022 as filed with the SEC on March 27, 2023.</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Effective November 6, 2023, the Board of Directors of Tango Therapeutics, Inc. (the “Board”) appointed Kanishka Pothula as a director of the Company. Mr. Pothula will serve as a Class II director until his term expires at the 2026 annual meeting of stockholders at which time he will stand for election by the Company’s stockholders.</w:t>
      </w:r>
    </w:p>
    <w:p>
      <w:pPr>
        <w:spacing w:after="0" w:line="184"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Mr. Pothula has not been named to any committee of the Board at this time. Mr. Pothula has elected not to receive any compensation for his service as a director of the Company. The Company expects to enter into an indemnification agreement with Mr. Pothula in the same form as the indemnification agreements the Company has entered into with its other directors, which form has been filed with the Securities and Exchange Commission (the “SEC”).</w:t>
      </w:r>
    </w:p>
    <w:p>
      <w:pPr>
        <w:spacing w:after="0" w:line="149" w:lineRule="exact"/>
        <w:rPr>
          <w:sz w:val="20"/>
          <w:szCs w:val="20"/>
          <w:color w:val="auto"/>
        </w:rPr>
      </w:pPr>
    </w:p>
    <w:p>
      <w:pPr>
        <w:jc w:val="both"/>
        <w:ind w:right="300" w:firstLine="509"/>
        <w:spacing w:after="0" w:line="311" w:lineRule="auto"/>
        <w:rPr>
          <w:sz w:val="20"/>
          <w:szCs w:val="20"/>
          <w:color w:val="auto"/>
        </w:rPr>
      </w:pPr>
      <w:r>
        <w:rPr>
          <w:rFonts w:ascii="Arial" w:cs="Arial" w:eastAsia="Arial" w:hAnsi="Arial"/>
          <w:sz w:val="16"/>
          <w:szCs w:val="16"/>
          <w:color w:val="auto"/>
        </w:rPr>
        <w:t>Except as set forth above, there are no arrangements or understandings between Mr. Pothula and any other person pursuant to which Mr. Pothula was selected as a director of the Company, there are no family relationships between Mr. Pothula and any of the Company’s other directors or executive officers, and Mr. Pothula is not a party to any transaction that would require disclosure under Item 404(a) of Regulation S-K promulgated by the SEC.</w:t>
      </w:r>
    </w:p>
    <w:p>
      <w:pPr>
        <w:spacing w:after="0" w:line="149"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Reid Huber, a member of the Board of Directors, serving as a Class I director, notified the Company that he is resigning from the Company’s Board of Directors, such resignation effective upon Mr. Pothula’s appointment as a director. Mr. Huber has indicated that his departure from the Board was not the result of any disagreement with management or the Board or on any matter relating to the Company’s operations, policies or practices.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560" w:type="dxa"/>
            <w:vAlign w:val="bottom"/>
            <w:gridSpan w:val="9"/>
            <w:vMerge w:val="restart"/>
          </w:tcPr>
          <w:p>
            <w:pPr>
              <w:ind w:left="3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r:id="rId252">
              <w:r>
                <w:rPr>
                  <w:rFonts w:ascii="Arial" w:cs="Arial" w:eastAsia="Arial" w:hAnsi="Arial"/>
                  <w:sz w:val="18"/>
                  <w:szCs w:val="18"/>
                  <w:color w:val="0000FF"/>
                  <w:w w:val="91"/>
                </w:rPr>
                <w:t>Form of Pre-Funded Warrant (incorporated by reference to Exhibit 4.1 to the Current Report on Form 8-K filed by the Registrant on</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FF"/>
                <w:w w:val="92"/>
              </w:rPr>
            </w:pPr>
            <w:hyperlink r:id="rId252">
              <w:r>
                <w:rPr>
                  <w:rFonts w:ascii="Arial" w:cs="Arial" w:eastAsia="Arial" w:hAnsi="Arial"/>
                  <w:sz w:val="18"/>
                  <w:szCs w:val="18"/>
                  <w:color w:val="0000FF"/>
                  <w:w w:val="92"/>
                </w:rPr>
                <w:t>August 10, 2023).</w:t>
              </w:r>
            </w:hyperlink>
          </w:p>
        </w:tc>
        <w:tc>
          <w:tcPr>
            <w:tcW w:w="8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20" w:type="dxa"/>
            <w:vAlign w:val="bottom"/>
            <w:tcBorders>
              <w:bottom w:val="single" w:sz="8" w:color="0000FF"/>
            </w:tcBorders>
            <w:gridSpan w:val="6"/>
          </w:tcPr>
          <w:p>
            <w:pPr>
              <w:spacing w:after="0"/>
              <w:rPr>
                <w:rFonts w:ascii="Arial" w:cs="Arial" w:eastAsia="Arial" w:hAnsi="Arial"/>
                <w:sz w:val="18"/>
                <w:szCs w:val="18"/>
                <w:color w:val="0000FF"/>
                <w:w w:val="89"/>
              </w:rPr>
            </w:pPr>
            <w:hyperlink r:id="rId253">
              <w:r>
                <w:rPr>
                  <w:rFonts w:ascii="Arial" w:cs="Arial" w:eastAsia="Arial" w:hAnsi="Arial"/>
                  <w:sz w:val="18"/>
                  <w:szCs w:val="18"/>
                  <w:color w:val="0000FF"/>
                  <w:w w:val="89"/>
                </w:rPr>
                <w:t>Securities Purchase Agreement, dated August 10, 2023, by and among Tango Therapeutics, Inc. and the parties named therein</w:t>
              </w:r>
            </w:hyperlink>
          </w:p>
        </w:tc>
        <w:tc>
          <w:tcPr>
            <w:tcW w:w="8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1"/>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(incorporated by reference to Exhibit 10.1 to the Current Report on Form 8-K filed by the Registrant on August 10,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0000FF"/>
                <w:w w:val="94"/>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Oxley Act of 2002.</w:t>
            </w:r>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c>
          <w:tcPr>
            <w:tcW w:w="4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1"/>
          </w:tcPr>
          <w:p>
            <w:pPr>
              <w:spacing w:after="0" w:line="196" w:lineRule="exact"/>
              <w:rPr>
                <w:sz w:val="20"/>
                <w:szCs w:val="20"/>
                <w:color w:val="auto"/>
              </w:rPr>
            </w:pPr>
            <w:r>
              <w:rPr>
                <w:rFonts w:ascii="Arial" w:cs="Arial" w:eastAsia="Arial" w:hAnsi="Arial"/>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120" w:type="dxa"/>
            <w:vAlign w:val="bottom"/>
            <w:gridSpan w:val="5"/>
          </w:tcPr>
          <w:p>
            <w:pPr>
              <w:jc w:val="right"/>
              <w:ind w:right="468"/>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tbl>
      <w:tblPr>
        <w:tblLayout w:type="fixed"/>
        <w:tblInd w:w="12" w:type="dxa"/>
        <w:tblCellMar>
          <w:top w:w="0" w:type="dxa"/>
          <w:left w:w="0" w:type="dxa"/>
          <w:bottom w:w="0" w:type="dxa"/>
          <w:right w:w="0" w:type="dxa"/>
        </w:tblCellMar>
      </w:tblPr>
      <w:tr>
        <w:trPr>
          <w:trHeight w:val="216"/>
        </w:trPr>
        <w:tc>
          <w:tcPr>
            <w:tcW w:w="800" w:type="dxa"/>
            <w:vAlign w:val="bottom"/>
          </w:tcPr>
          <w:p>
            <w:pPr>
              <w:jc w:val="right"/>
              <w:ind w:right="350"/>
              <w:spacing w:after="0"/>
              <w:rPr>
                <w:sz w:val="20"/>
                <w:szCs w:val="20"/>
                <w:color w:val="auto"/>
              </w:rPr>
            </w:pPr>
            <w:r>
              <w:rPr>
                <w:rFonts w:ascii="Arial" w:cs="Arial" w:eastAsia="Arial" w:hAnsi="Arial"/>
                <w:sz w:val="18"/>
                <w:szCs w:val="18"/>
                <w:color w:val="auto"/>
                <w:w w:val="91"/>
              </w:rPr>
              <w:t>104*</w:t>
            </w:r>
          </w:p>
        </w:tc>
        <w:tc>
          <w:tcPr>
            <w:tcW w:w="10100" w:type="dxa"/>
            <w:vAlign w:val="bottom"/>
          </w:tcPr>
          <w:p>
            <w:pPr>
              <w:ind w:left="460"/>
              <w:spacing w:after="0"/>
              <w:rPr>
                <w:sz w:val="20"/>
                <w:szCs w:val="20"/>
                <w:color w:val="auto"/>
              </w:rPr>
            </w:pPr>
            <w:r>
              <w:rPr>
                <w:rFonts w:ascii="Arial" w:cs="Arial" w:eastAsia="Arial" w:hAnsi="Arial"/>
                <w:sz w:val="18"/>
                <w:szCs w:val="18"/>
                <w:color w:val="auto"/>
                <w:w w:val="92"/>
              </w:rPr>
              <w:t>Cover Page Interactive Data File (formatted in as Inline XBRL with applicable taxonomy extension information contained in Exhibits</w:t>
            </w:r>
          </w:p>
        </w:tc>
      </w:tr>
      <w:tr>
        <w:trPr>
          <w:trHeight w:val="230"/>
        </w:trPr>
        <w:tc>
          <w:tcPr>
            <w:tcW w:w="800" w:type="dxa"/>
            <w:vAlign w:val="bottom"/>
          </w:tcPr>
          <w:p>
            <w:pPr>
              <w:spacing w:after="0"/>
              <w:rPr>
                <w:sz w:val="20"/>
                <w:szCs w:val="20"/>
                <w:color w:val="auto"/>
              </w:rPr>
            </w:pPr>
          </w:p>
        </w:tc>
        <w:tc>
          <w:tcPr>
            <w:tcW w:w="10100" w:type="dxa"/>
            <w:vAlign w:val="bottom"/>
          </w:tcPr>
          <w:p>
            <w:pPr>
              <w:ind w:left="46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512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6" w:lineRule="exact"/>
        <w:rPr>
          <w:sz w:val="20"/>
          <w:szCs w:val="20"/>
          <w:color w:val="auto"/>
        </w:rPr>
      </w:pPr>
    </w:p>
    <w:p>
      <w:pPr>
        <w:ind w:left="412" w:hanging="412"/>
        <w:spacing w:after="0"/>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12" w:hanging="512"/>
        <w:spacing w:after="0" w:line="255" w:lineRule="auto"/>
        <w:tabs>
          <w:tab w:leader="none" w:pos="4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6" w:lineRule="exact"/>
        <w:rPr>
          <w:sz w:val="20"/>
          <w:szCs w:val="20"/>
          <w:color w:val="auto"/>
        </w:rPr>
      </w:pPr>
    </w:p>
    <w:p>
      <w:pPr>
        <w:ind w:left="-8" w:right="400" w:firstLine="8"/>
        <w:spacing w:after="0" w:line="277" w:lineRule="auto"/>
        <w:tabs>
          <w:tab w:leader="none" w:pos="4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A copy of any omitted schedule and/or exhibit will be furnished to the SEC upon request.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38" w:name="page39"/>
    <w:bookmarkEnd w:id="3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52"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Dated: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Barbara Weber, MD</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Daniella Beckman</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39" w:name="page40"/>
    <w:bookmarkEnd w:id="39"/>
    <w:p>
      <w:pPr>
        <w:ind w:left="10260"/>
        <w:spacing w:after="0"/>
        <w:rPr>
          <w:sz w:val="20"/>
          <w:szCs w:val="20"/>
          <w:color w:val="auto"/>
        </w:rPr>
      </w:pPr>
      <w:r>
        <w:rPr>
          <w:rFonts w:ascii="Arial" w:cs="Arial" w:eastAsia="Arial" w:hAnsi="Arial"/>
          <w:sz w:val="18"/>
          <w:szCs w:val="18"/>
          <w:color w:val="auto"/>
        </w:rPr>
        <w:t>Exhibit 31.1</w:t>
      </w:r>
    </w:p>
    <w:p>
      <w:pPr>
        <w:spacing w:after="0" w:line="246"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CERTIFICATION OF PRINCIPAL EXECUTIVE OFFICER PURSUANT TO RULE 13a-14(a) / RULE 15d-14(a)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42" w:lineRule="exact"/>
        <w:rPr>
          <w:rFonts w:ascii="Arial" w:cs="Arial" w:eastAsia="Arial" w:hAnsi="Arial"/>
          <w:sz w:val="20"/>
          <w:szCs w:val="20"/>
          <w:color w:val="auto"/>
        </w:rPr>
      </w:pPr>
    </w:p>
    <w:p>
      <w:pPr>
        <w:jc w:val="both"/>
        <w:ind w:left="380" w:hanging="372"/>
        <w:spacing w:after="0" w:line="250"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80" w:hanging="372"/>
        <w:spacing w:after="0" w:line="316"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5" w:lineRule="exact"/>
        <w:rPr>
          <w:rFonts w:ascii="Arial" w:cs="Arial" w:eastAsia="Arial" w:hAnsi="Arial"/>
          <w:sz w:val="18"/>
          <w:szCs w:val="18"/>
          <w:color w:val="auto"/>
        </w:rPr>
      </w:pPr>
    </w:p>
    <w:p>
      <w:pPr>
        <w:jc w:val="both"/>
        <w:ind w:left="380" w:hanging="372"/>
        <w:spacing w:after="0" w:line="275"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020" w:hanging="368"/>
        <w:spacing w:after="0" w:line="269" w:lineRule="auto"/>
        <w:tabs>
          <w:tab w:leader="none" w:pos="10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1020" w:hanging="368"/>
        <w:spacing w:after="0" w:line="269" w:lineRule="auto"/>
        <w:tabs>
          <w:tab w:leader="none" w:pos="10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020" w:hanging="368"/>
        <w:spacing w:after="0" w:line="250" w:lineRule="auto"/>
        <w:tabs>
          <w:tab w:leader="none" w:pos="10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020" w:hanging="368"/>
        <w:spacing w:after="0" w:line="269" w:lineRule="auto"/>
        <w:tabs>
          <w:tab w:leader="none" w:pos="10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jc w:val="both"/>
        <w:ind w:left="380" w:hanging="372"/>
        <w:spacing w:after="0" w:line="250"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020" w:hanging="368"/>
        <w:spacing w:after="0" w:line="250" w:lineRule="auto"/>
        <w:tabs>
          <w:tab w:leader="none" w:pos="10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020" w:right="20" w:hanging="368"/>
        <w:spacing w:after="0" w:line="260" w:lineRule="auto"/>
        <w:tabs>
          <w:tab w:leader="none" w:pos="10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Dated: November 8, 2023</w:t>
      </w:r>
      <w:r>
        <w:rPr>
          <w:sz w:val="20"/>
          <w:szCs w:val="20"/>
          <w:color w:val="auto"/>
        </w:rPr>
        <w:tab/>
      </w:r>
      <w:r>
        <w:rPr>
          <w:rFonts w:ascii="Arial" w:cs="Arial" w:eastAsia="Arial" w:hAnsi="Arial"/>
          <w:sz w:val="16"/>
          <w:szCs w:val="16"/>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Barbara Weber, M.D.</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Chief Executive Officer</w:t>
      </w:r>
    </w:p>
    <w:p>
      <w:pPr>
        <w:ind w:left="182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ind w:left="10260"/>
        <w:spacing w:after="0"/>
        <w:rPr>
          <w:sz w:val="20"/>
          <w:szCs w:val="20"/>
          <w:color w:val="auto"/>
        </w:rPr>
      </w:pPr>
      <w:r>
        <w:rPr>
          <w:rFonts w:ascii="Arial" w:cs="Arial" w:eastAsia="Arial" w:hAnsi="Arial"/>
          <w:sz w:val="18"/>
          <w:szCs w:val="18"/>
          <w:color w:val="auto"/>
        </w:rPr>
        <w:t>Exhibit 31.2</w:t>
      </w:r>
    </w:p>
    <w:p>
      <w:pPr>
        <w:spacing w:after="0" w:line="246"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CERTIFICATION OF PRINCIPAL FINANCIAL OFFICER PURSUANT TO RULE 13a-14(a) / RULE 15d-14(a)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42" w:lineRule="exact"/>
        <w:rPr>
          <w:rFonts w:ascii="Arial" w:cs="Arial" w:eastAsia="Arial" w:hAnsi="Arial"/>
          <w:sz w:val="20"/>
          <w:szCs w:val="20"/>
          <w:color w:val="auto"/>
        </w:rPr>
      </w:pPr>
    </w:p>
    <w:p>
      <w:pPr>
        <w:jc w:val="both"/>
        <w:ind w:left="380" w:hanging="372"/>
        <w:spacing w:after="0" w:line="250"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80" w:hanging="372"/>
        <w:spacing w:after="0" w:line="316"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80" w:hanging="372"/>
        <w:spacing w:after="0" w:line="275"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020" w:hanging="368"/>
        <w:spacing w:after="0" w:line="269" w:lineRule="auto"/>
        <w:tabs>
          <w:tab w:leader="none" w:pos="10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1020" w:hanging="368"/>
        <w:spacing w:after="0" w:line="269" w:lineRule="auto"/>
        <w:tabs>
          <w:tab w:leader="none" w:pos="10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020" w:hanging="368"/>
        <w:spacing w:after="0" w:line="250" w:lineRule="auto"/>
        <w:tabs>
          <w:tab w:leader="none" w:pos="10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020" w:hanging="368"/>
        <w:spacing w:after="0" w:line="269" w:lineRule="auto"/>
        <w:tabs>
          <w:tab w:leader="none" w:pos="10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ind w:left="380" w:hanging="372"/>
        <w:spacing w:after="0" w:line="250" w:lineRule="auto"/>
        <w:tabs>
          <w:tab w:leader="none" w:pos="3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020" w:hanging="368"/>
        <w:spacing w:after="0" w:line="250" w:lineRule="auto"/>
        <w:tabs>
          <w:tab w:leader="none" w:pos="10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020" w:right="20" w:hanging="368"/>
        <w:spacing w:after="0" w:line="260" w:lineRule="auto"/>
        <w:tabs>
          <w:tab w:leader="none" w:pos="10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Dated: November 8, 2023</w:t>
      </w:r>
      <w:r>
        <w:rPr>
          <w:sz w:val="20"/>
          <w:szCs w:val="20"/>
          <w:color w:val="auto"/>
        </w:rPr>
        <w:tab/>
      </w:r>
      <w:r>
        <w:rPr>
          <w:rFonts w:ascii="Arial" w:cs="Arial" w:eastAsia="Arial" w:hAnsi="Arial"/>
          <w:sz w:val="18"/>
          <w:szCs w:val="18"/>
          <w:u w:val="single" w:color="auto"/>
          <w:color w:val="auto"/>
        </w:rPr>
        <w:t>/s/ Daniella Beckman</w:t>
      </w:r>
    </w:p>
    <w:p>
      <w:pPr>
        <w:spacing w:after="0" w:line="13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Daniella Beckman</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Chief Financial Officer</w:t>
      </w:r>
    </w:p>
    <w:p>
      <w:pPr>
        <w:ind w:left="250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Exhibit 32.1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40" w:firstLine="749"/>
        <w:spacing w:after="0" w:line="246" w:lineRule="auto"/>
        <w:rPr>
          <w:sz w:val="20"/>
          <w:szCs w:val="20"/>
          <w:color w:val="auto"/>
        </w:rPr>
      </w:pPr>
      <w:r>
        <w:rPr>
          <w:rFonts w:ascii="Arial" w:cs="Arial" w:eastAsia="Arial" w:hAnsi="Arial"/>
          <w:sz w:val="20"/>
          <w:szCs w:val="20"/>
          <w:color w:val="auto"/>
        </w:rPr>
        <w:t>In connection with the Quarterly Report on Form 10-Q of Tango Therapeutics, Inc. (the “Company”) for the fiscal quarter ended September 30, 2023 as filed with the Securities and Exchange Commission (the “Report”), I, Barbara Weber, M.D., Chief Executive Officer of the Company, certify, pursuant to 18 U.S.C. § 1350, as adopted pursuant to § 906 of the Sarbanes-Oxley Act of 2002, to my knowledge, that:</w:t>
      </w:r>
    </w:p>
    <w:p>
      <w:pPr>
        <w:spacing w:after="0" w:line="205"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760" w:right="220" w:hanging="378"/>
        <w:spacing w:after="0" w:line="260" w:lineRule="auto"/>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color w:val="auto"/>
        </w:rPr>
        <w:t>Dated:  November 8, 2023</w:t>
      </w:r>
      <w:r>
        <w:rPr>
          <w:sz w:val="20"/>
          <w:szCs w:val="20"/>
          <w:color w:val="auto"/>
        </w:rPr>
        <w:tab/>
      </w:r>
      <w:r>
        <w:rPr>
          <w:rFonts w:ascii="Arial" w:cs="Arial" w:eastAsia="Arial" w:hAnsi="Arial"/>
          <w:sz w:val="16"/>
          <w:szCs w:val="16"/>
          <w:u w:val="single" w:color="auto"/>
          <w:color w:val="auto"/>
        </w:rPr>
        <w:t>/s/ Barbara Weber, M.D.</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Barbara Weber, M.D.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Chief Executive Officer</w:t>
      </w:r>
    </w:p>
    <w:p>
      <w:pPr>
        <w:ind w:left="102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Exhibit 32.2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In connection with the Quarterly Report on Form 10-Q of Tango Therapeutics, Inc. (the “Company”) for the fiscal quarter ended September 30, 2023 as filed with the Securities and Exchange Commission (the “Report”), I, Daniella Beckman, Chief Financial Officer of the Company, certify, pursuant to 18 U.S.C. § 1350, as adopted pursuant to § 906 of the Sarbanes-Oxley Act of 2002, to my knowledge, that:</w:t>
      </w:r>
    </w:p>
    <w:p>
      <w:pPr>
        <w:spacing w:after="0" w:line="131"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760" w:right="220" w:hanging="378"/>
        <w:spacing w:after="0" w:line="260" w:lineRule="auto"/>
        <w:tabs>
          <w:tab w:leader="none" w:pos="7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color w:val="auto"/>
        </w:rPr>
        <w:t>Dated:  November 8, 2023</w:t>
      </w:r>
      <w:r>
        <w:rPr>
          <w:sz w:val="20"/>
          <w:szCs w:val="20"/>
          <w:color w:val="auto"/>
        </w:rPr>
        <w:tab/>
      </w:r>
      <w:r>
        <w:rPr>
          <w:rFonts w:ascii="Arial" w:cs="Arial" w:eastAsia="Arial" w:hAnsi="Arial"/>
          <w:sz w:val="18"/>
          <w:szCs w:val="18"/>
          <w:u w:val="single" w:color="auto"/>
          <w:color w:val="auto"/>
        </w:rPr>
        <w:t>/s/ Daniella Beckman</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Daniella Beckman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Chief Financial Officer</w:t>
      </w:r>
    </w:p>
    <w:p>
      <w:pPr>
        <w:ind w:left="1020"/>
        <w:spacing w:after="0"/>
        <w:rPr>
          <w:sz w:val="20"/>
          <w:szCs w:val="20"/>
          <w:color w:val="auto"/>
        </w:rPr>
      </w:pPr>
      <w:r>
        <w:rPr>
          <w:rFonts w:ascii="Arial" w:cs="Arial" w:eastAsia="Arial" w:hAnsi="Arial"/>
          <w:sz w:val="20"/>
          <w:szCs w:val="20"/>
          <w:color w:val="auto"/>
        </w:rPr>
        <w:t>(Principal Financial Officer)</w:t>
      </w:r>
    </w:p>
    <w:p>
      <w:pPr>
        <w:spacing w:after="0" w:line="200" w:lineRule="exact"/>
        <w:rPr>
          <w:sz w:val="20"/>
          <w:szCs w:val="20"/>
          <w:color w:val="auto"/>
        </w:rPr>
      </w:pP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6"/>
    </w:lvl>
  </w:abstractNum>
  <w:abstractNum w:abstractNumId="15">
    <w:nsid w:val="79838CB2"/>
    <w:multiLevelType w:val="hybridMultilevel"/>
    <w:lvl w:ilvl="0">
      <w:lvlJc w:val="left"/>
      <w:lvlText w:val="%1."/>
      <w:numFmt w:val="decimal"/>
      <w:start w:val="7"/>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4"/>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5"/>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5"/>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52" Type="http://schemas.openxmlformats.org/officeDocument/2006/relationships/hyperlink" Target="https://www.sec.gov/Archives/edgar/data/1819133/000119312523208100/d525614dex41.htm" TargetMode="External"/><Relationship Id="rId253" Type="http://schemas.openxmlformats.org/officeDocument/2006/relationships/hyperlink" Target="https://www.sec.gov/Archives/edgar/data/1819133/000119312523208100/d52561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2023-11-08T06:48:34Z</dcterms:created>
  <dcterms:modified xsi:type="dcterms:W3CDTF">2023-11-08T06:48:34Z</dcterms:modified>
</cp:coreProperties>
</file>