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2760" w:type="dxa"/>
            <w:vAlign w:val="bottom"/>
          </w:tcPr>
          <w:p>
            <w:pPr>
              <w:jc w:val="center"/>
              <w:ind w:right="12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6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520" w:type="dxa"/>
            <w:vAlign w:val="bottom"/>
          </w:tcPr>
          <w:p>
            <w:pPr>
              <w:ind w:left="136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20" w:type="dxa"/>
            <w:vAlign w:val="bottom"/>
          </w:tcPr>
          <w:p>
            <w:pPr>
              <w:jc w:val="center"/>
              <w:ind w:left="13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60" w:type="dxa"/>
            <w:vAlign w:val="bottom"/>
          </w:tcPr>
          <w:p>
            <w:pPr>
              <w:jc w:val="center"/>
              <w:ind w:right="125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1240"/>
          </w:cols>
          <w:pgMar w:left="320" w:top="1019" w:right="339" w:bottom="1440" w:gutter="0" w:footer="0" w:header="0"/>
        </w:sectPr>
      </w:pPr>
    </w:p>
    <w:p>
      <w:pPr>
        <w:spacing w:after="0" w:line="3"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101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150495</wp:posOffset>
            </wp:positionV>
            <wp:extent cx="1517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6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6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22"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34"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4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November 6, 2024, Tango Therapeutics, Inc. (“Tango” or the “Company”) issued a press release relating to its results of operations and financial condition for the quarter ended September 30, 2024.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PRMT5 Development Program Update</w:t>
      </w:r>
    </w:p>
    <w:p>
      <w:pPr>
        <w:spacing w:after="0" w:line="233"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20"/>
          <w:szCs w:val="20"/>
          <w:color w:val="auto"/>
        </w:rPr>
        <w:t>On November 6, 2024, the Company issued a press release announcing an update on its PRMT5 development program. A copy of the press release is attached as Exhibit 99.2 to this Current Report on Form 8-K and incorporated herein by reference.</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20" w:type="dxa"/>
            <w:vAlign w:val="bottom"/>
          </w:tcPr>
          <w:p>
            <w:pPr>
              <w:spacing w:after="0"/>
              <w:rPr>
                <w:sz w:val="18"/>
                <w:szCs w:val="18"/>
                <w:color w:val="auto"/>
              </w:rPr>
            </w:pPr>
          </w:p>
        </w:tc>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Press Release issued by Tango Therapeutics, Inc. on November 6, 2024 relating to its results of operations and financial</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5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2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color w:val="0000FF"/>
              </w:rPr>
              <w:t>condition for the quarter ended September 30, 2024.</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58"/>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99.2</w:t>
            </w:r>
          </w:p>
        </w:tc>
        <w:tc>
          <w:tcPr>
            <w:tcW w:w="2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Press Release issued by Tango Therapeutics, Inc. on November 6, 2024 relating to its PRMT5 development program update.</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5"/>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02"/>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20" w:type="dxa"/>
            <w:vAlign w:val="bottom"/>
          </w:tcPr>
          <w:p>
            <w:pPr>
              <w:spacing w:after="0"/>
              <w:rPr>
                <w:sz w:val="24"/>
                <w:szCs w:val="24"/>
                <w:color w:val="auto"/>
              </w:rPr>
            </w:pPr>
          </w:p>
        </w:tc>
        <w:tc>
          <w:tcPr>
            <w:tcW w:w="8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Dated: November 6, 2024</w:t>
            </w:r>
          </w:p>
        </w:tc>
        <w:tc>
          <w:tcPr>
            <w:tcW w:w="8320" w:type="dxa"/>
            <w:vAlign w:val="bottom"/>
            <w:gridSpan w:val="3"/>
          </w:tcPr>
          <w:p>
            <w:pPr>
              <w:ind w:left="146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36"/>
        </w:trPr>
        <w:tc>
          <w:tcPr>
            <w:tcW w:w="2920" w:type="dxa"/>
            <w:vAlign w:val="bottom"/>
          </w:tcPr>
          <w:p>
            <w:pPr>
              <w:spacing w:after="0"/>
              <w:rPr>
                <w:sz w:val="20"/>
                <w:szCs w:val="20"/>
                <w:color w:val="auto"/>
              </w:rPr>
            </w:pPr>
          </w:p>
        </w:tc>
        <w:tc>
          <w:tcPr>
            <w:tcW w:w="1880" w:type="dxa"/>
            <w:vAlign w:val="bottom"/>
          </w:tcPr>
          <w:p>
            <w:pPr>
              <w:ind w:left="620"/>
              <w:spacing w:after="0" w:line="236" w:lineRule="exact"/>
              <w:rPr>
                <w:sz w:val="20"/>
                <w:szCs w:val="20"/>
                <w:color w:val="auto"/>
              </w:rPr>
            </w:pPr>
            <w:r>
              <w:rPr>
                <w:rFonts w:ascii="Times New Roman" w:cs="Times New Roman" w:eastAsia="Times New Roman" w:hAnsi="Times New Roman"/>
                <w:sz w:val="22"/>
                <w:szCs w:val="22"/>
                <w:color w:val="auto"/>
                <w:w w:val="90"/>
              </w:rPr>
              <w:t>Name: Douglas</w:t>
            </w:r>
          </w:p>
        </w:tc>
        <w:tc>
          <w:tcPr>
            <w:tcW w:w="1520" w:type="dxa"/>
            <w:vAlign w:val="bottom"/>
            <w:tcBorders>
              <w:top w:val="single" w:sz="8" w:color="auto"/>
            </w:tcBorders>
          </w:tcPr>
          <w:p>
            <w:pPr>
              <w:ind w:left="200"/>
              <w:spacing w:after="0" w:line="236" w:lineRule="exact"/>
              <w:rPr>
                <w:sz w:val="20"/>
                <w:szCs w:val="20"/>
                <w:color w:val="auto"/>
              </w:rPr>
            </w:pPr>
            <w:r>
              <w:rPr>
                <w:rFonts w:ascii="Times New Roman" w:cs="Times New Roman" w:eastAsia="Times New Roman" w:hAnsi="Times New Roman"/>
                <w:sz w:val="22"/>
                <w:szCs w:val="22"/>
                <w:color w:val="auto"/>
              </w:rPr>
              <w:t>Barry</w:t>
            </w:r>
          </w:p>
        </w:tc>
        <w:tc>
          <w:tcPr>
            <w:tcW w:w="4920" w:type="dxa"/>
            <w:vAlign w:val="bottom"/>
          </w:tcPr>
          <w:p>
            <w:pPr>
              <w:spacing w:after="0"/>
              <w:rPr>
                <w:sz w:val="20"/>
                <w:szCs w:val="20"/>
                <w:color w:val="auto"/>
              </w:rPr>
            </w:pPr>
          </w:p>
        </w:tc>
      </w:tr>
      <w:tr>
        <w:trPr>
          <w:trHeight w:val="282"/>
        </w:trPr>
        <w:tc>
          <w:tcPr>
            <w:tcW w:w="2920" w:type="dxa"/>
            <w:vAlign w:val="bottom"/>
          </w:tcPr>
          <w:p>
            <w:pPr>
              <w:spacing w:after="0"/>
              <w:rPr>
                <w:sz w:val="24"/>
                <w:szCs w:val="24"/>
                <w:color w:val="auto"/>
              </w:rPr>
            </w:pPr>
          </w:p>
        </w:tc>
        <w:tc>
          <w:tcPr>
            <w:tcW w:w="8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Title: Chief Legal Officer</w:t>
            </w:r>
          </w:p>
        </w:tc>
      </w:tr>
      <w:tr>
        <w:trPr>
          <w:trHeight w:val="967"/>
        </w:trPr>
        <w:tc>
          <w:tcPr>
            <w:tcW w:w="2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20"/>
        <w:spacing w:after="0"/>
        <w:rPr>
          <w:sz w:val="20"/>
          <w:szCs w:val="20"/>
          <w:color w:val="auto"/>
        </w:rPr>
      </w:pPr>
      <w:r>
        <w:rPr>
          <w:rFonts w:ascii="Calibri" w:cs="Calibri" w:eastAsia="Calibri" w:hAnsi="Calibri"/>
          <w:sz w:val="22"/>
          <w:szCs w:val="22"/>
          <w:b w:val="1"/>
          <w:bCs w:val="1"/>
          <w:color w:val="auto"/>
        </w:rPr>
        <w:t>Tango Therapeutcs Reports Third Quarter 2024 Financial Results</w:t>
      </w:r>
    </w:p>
    <w:p>
      <w:pPr>
        <w:spacing w:after="0" w:line="1" w:lineRule="exact"/>
        <w:rPr>
          <w:sz w:val="20"/>
          <w:szCs w:val="20"/>
          <w:color w:val="auto"/>
        </w:rPr>
      </w:pPr>
    </w:p>
    <w:p>
      <w:pPr>
        <w:jc w:val="center"/>
        <w:ind w:right="-39"/>
        <w:spacing w:after="0"/>
        <w:rPr>
          <w:sz w:val="20"/>
          <w:szCs w:val="20"/>
          <w:color w:val="auto"/>
        </w:rPr>
      </w:pPr>
      <w:r>
        <w:rPr>
          <w:rFonts w:ascii="Calibri" w:cs="Calibri" w:eastAsia="Calibri" w:hAnsi="Calibri"/>
          <w:sz w:val="22"/>
          <w:szCs w:val="22"/>
          <w:b w:val="1"/>
          <w:bCs w:val="1"/>
          <w:color w:val="auto"/>
        </w:rPr>
        <w:t>and Provides Business Highlights</w:t>
      </w:r>
    </w:p>
    <w:p>
      <w:pPr>
        <w:spacing w:after="0" w:line="200" w:lineRule="exact"/>
        <w:rPr>
          <w:sz w:val="20"/>
          <w:szCs w:val="20"/>
          <w:color w:val="auto"/>
        </w:rPr>
      </w:pPr>
    </w:p>
    <w:p>
      <w:pPr>
        <w:spacing w:after="0" w:line="341" w:lineRule="exact"/>
        <w:rPr>
          <w:sz w:val="20"/>
          <w:szCs w:val="20"/>
          <w:color w:val="auto"/>
        </w:rPr>
      </w:pPr>
    </w:p>
    <w:p>
      <w:pPr>
        <w:ind w:left="500"/>
        <w:spacing w:after="0"/>
        <w:rPr>
          <w:sz w:val="20"/>
          <w:szCs w:val="20"/>
          <w:color w:val="auto"/>
        </w:rPr>
      </w:pPr>
      <w:r>
        <w:rPr>
          <w:rFonts w:ascii="Calibri" w:cs="Calibri" w:eastAsia="Calibri" w:hAnsi="Calibri"/>
          <w:sz w:val="22"/>
          <w:szCs w:val="22"/>
          <w:i w:val="1"/>
          <w:iCs w:val="1"/>
          <w:color w:val="auto"/>
        </w:rPr>
        <w:t>– Positve TNG462 clinical actvity across multple tumor types in the phase 1/2 clinical trial, program moving into full</w:t>
      </w:r>
    </w:p>
    <w:p>
      <w:pPr>
        <w:spacing w:after="0" w:line="1" w:lineRule="exact"/>
        <w:rPr>
          <w:sz w:val="20"/>
          <w:szCs w:val="20"/>
          <w:color w:val="auto"/>
        </w:rPr>
      </w:pPr>
    </w:p>
    <w:p>
      <w:pPr>
        <w:ind w:left="3480"/>
        <w:spacing w:after="0"/>
        <w:rPr>
          <w:sz w:val="20"/>
          <w:szCs w:val="20"/>
          <w:color w:val="auto"/>
        </w:rPr>
      </w:pPr>
      <w:r>
        <w:rPr>
          <w:rFonts w:ascii="Calibri" w:cs="Calibri" w:eastAsia="Calibri" w:hAnsi="Calibri"/>
          <w:sz w:val="22"/>
          <w:szCs w:val="22"/>
          <w:i w:val="1"/>
          <w:iCs w:val="1"/>
          <w:color w:val="auto"/>
        </w:rPr>
        <w:t>development with multple combinaton studies –</w:t>
      </w:r>
    </w:p>
    <w:p>
      <w:pPr>
        <w:spacing w:after="0" w:line="271" w:lineRule="exact"/>
        <w:rPr>
          <w:sz w:val="20"/>
          <w:szCs w:val="20"/>
          <w:color w:val="auto"/>
        </w:rPr>
      </w:pPr>
    </w:p>
    <w:p>
      <w:pPr>
        <w:ind w:left="260"/>
        <w:spacing w:after="0"/>
        <w:rPr>
          <w:sz w:val="20"/>
          <w:szCs w:val="20"/>
          <w:color w:val="auto"/>
        </w:rPr>
      </w:pPr>
      <w:r>
        <w:rPr>
          <w:rFonts w:ascii="Calibri" w:cs="Calibri" w:eastAsia="Calibri" w:hAnsi="Calibri"/>
          <w:sz w:val="22"/>
          <w:szCs w:val="22"/>
          <w:i w:val="1"/>
          <w:iCs w:val="1"/>
          <w:color w:val="auto"/>
        </w:rPr>
        <w:t>– Clinical collaboraton established with Revoluton Medicines to evaluate TNG462 in combinaton with RAS(ON) mult- and</w:t>
      </w:r>
    </w:p>
    <w:p>
      <w:pPr>
        <w:spacing w:after="0" w:line="1" w:lineRule="exact"/>
        <w:rPr>
          <w:sz w:val="20"/>
          <w:szCs w:val="20"/>
          <w:color w:val="auto"/>
        </w:rPr>
      </w:pPr>
    </w:p>
    <w:p>
      <w:pPr>
        <w:ind w:left="4460"/>
        <w:spacing w:after="0"/>
        <w:rPr>
          <w:sz w:val="20"/>
          <w:szCs w:val="20"/>
          <w:color w:val="auto"/>
        </w:rPr>
      </w:pPr>
      <w:r>
        <w:rPr>
          <w:rFonts w:ascii="Calibri" w:cs="Calibri" w:eastAsia="Calibri" w:hAnsi="Calibri"/>
          <w:sz w:val="22"/>
          <w:szCs w:val="22"/>
          <w:i w:val="1"/>
          <w:iCs w:val="1"/>
          <w:color w:val="auto"/>
        </w:rPr>
        <w:t>G12D-selectve inhibitors –</w:t>
      </w:r>
    </w:p>
    <w:p>
      <w:pPr>
        <w:spacing w:after="0" w:line="271" w:lineRule="exact"/>
        <w:rPr>
          <w:sz w:val="20"/>
          <w:szCs w:val="20"/>
          <w:color w:val="auto"/>
        </w:rPr>
      </w:pPr>
    </w:p>
    <w:p>
      <w:pPr>
        <w:ind w:left="460"/>
        <w:spacing w:after="0"/>
        <w:rPr>
          <w:sz w:val="20"/>
          <w:szCs w:val="20"/>
          <w:color w:val="auto"/>
        </w:rPr>
      </w:pPr>
      <w:r>
        <w:rPr>
          <w:rFonts w:ascii="Calibri" w:cs="Calibri" w:eastAsia="Calibri" w:hAnsi="Calibri"/>
          <w:sz w:val="22"/>
          <w:szCs w:val="22"/>
          <w:i w:val="1"/>
          <w:iCs w:val="1"/>
          <w:color w:val="auto"/>
        </w:rPr>
        <w:t>– Next-generaton brain-penetrant MTA-cooperatve PRMT5 inhibitor, TNG456, planned to enter the clinic in 1H 2025 –</w:t>
      </w:r>
    </w:p>
    <w:p>
      <w:pPr>
        <w:spacing w:after="0" w:line="271"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i w:val="1"/>
          <w:iCs w:val="1"/>
          <w:color w:val="auto"/>
        </w:rPr>
        <w:t>– Strong cash positon of $293 million as of September 30, 2024,</w:t>
      </w:r>
    </w:p>
    <w:p>
      <w:pPr>
        <w:spacing w:after="0" w:line="1" w:lineRule="exact"/>
        <w:rPr>
          <w:sz w:val="20"/>
          <w:szCs w:val="20"/>
          <w:color w:val="auto"/>
        </w:rPr>
      </w:pPr>
    </w:p>
    <w:p>
      <w:pPr>
        <w:jc w:val="center"/>
        <w:ind w:right="-39"/>
        <w:spacing w:after="0"/>
        <w:rPr>
          <w:sz w:val="20"/>
          <w:szCs w:val="20"/>
          <w:color w:val="auto"/>
        </w:rPr>
      </w:pPr>
      <w:r>
        <w:rPr>
          <w:rFonts w:ascii="Calibri" w:cs="Calibri" w:eastAsia="Calibri" w:hAnsi="Calibri"/>
          <w:sz w:val="22"/>
          <w:szCs w:val="22"/>
          <w:i w:val="1"/>
          <w:iCs w:val="1"/>
          <w:color w:val="auto"/>
        </w:rPr>
        <w:t>with cash runway into 3Q 2026 to prioritze resourcing of TNG462 and TNG456 clinical trials –</w:t>
      </w:r>
    </w:p>
    <w:p>
      <w:pPr>
        <w:spacing w:after="0" w:line="282"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b w:val="1"/>
          <w:bCs w:val="1"/>
          <w:color w:val="auto"/>
        </w:rPr>
        <w:t xml:space="preserve">BOSTON, Mass. – November 6, 2024 </w:t>
      </w:r>
      <w:r>
        <w:rPr>
          <w:rFonts w:ascii="Calibri" w:cs="Calibri" w:eastAsia="Calibri" w:hAnsi="Calibri"/>
          <w:sz w:val="22"/>
          <w:szCs w:val="22"/>
          <w:color w:val="auto"/>
        </w:rPr>
        <w:t>– Tango Therapeutcs, Inc. (NASDAQ: TNGX), a clinical-stage biotechnology company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commited to discovering and delivering the next generaton of precision cancer medicines, reported its fnancial results for the third quarter ended September 30, 2024, and provided business highlights.</w:t>
      </w:r>
    </w:p>
    <w:p>
      <w:pPr>
        <w:spacing w:after="0" w:line="284" w:lineRule="exact"/>
        <w:rPr>
          <w:sz w:val="20"/>
          <w:szCs w:val="20"/>
          <w:color w:val="auto"/>
        </w:rPr>
      </w:pPr>
    </w:p>
    <w:p>
      <w:pPr>
        <w:spacing w:after="0" w:line="252" w:lineRule="auto"/>
        <w:rPr>
          <w:sz w:val="20"/>
          <w:szCs w:val="20"/>
          <w:color w:val="auto"/>
        </w:rPr>
      </w:pPr>
      <w:r>
        <w:rPr>
          <w:rFonts w:ascii="Calibri" w:cs="Calibri" w:eastAsia="Calibri" w:hAnsi="Calibri"/>
          <w:sz w:val="21"/>
          <w:szCs w:val="21"/>
          <w:color w:val="auto"/>
        </w:rPr>
        <w:t>“We have made great progress with our PRMT5 development program, including positve data from the TNG462 phase 1/2 clinical trial that showcase the best-in-class potental of TNG462 in multple tumor types, including pancreatc and non-small cell lung cancers (NSCLC). Based on these early data, we are advancing TNG462 into trials with multple targeted and standard of care combinatons, including two RAS(ON) tri-complex inhibitors from Revoluton Medicines. Given that nearly all MTAP-deleted pancreatc cancer has a co-occurring RAS mutaton, we believe this could be a powerful approach to changing the treatment landscape for this challenging cancer,” said Barbara Weber, M.D., President and Chief Executve Ofcer of Tango Therapeutcs. “As part of the expanded capabilites needed to rapidly move TNG462 development forward, Dr. Maeve Waldron-Lynch, M.D. is joining Tango as Senior Vice President, Head of Clinical Development. Dr. Waldron-Lynch has extensive late-stage oncology clinical development and regulatory experience and will be invaluable as we prepare to advance TNG462 to registraton.”</w:t>
      </w:r>
    </w:p>
    <w:p>
      <w:pPr>
        <w:spacing w:after="0" w:line="277" w:lineRule="exact"/>
        <w:rPr>
          <w:sz w:val="20"/>
          <w:szCs w:val="20"/>
          <w:color w:val="auto"/>
        </w:rPr>
      </w:pPr>
    </w:p>
    <w:p>
      <w:pPr>
        <w:ind w:right="980"/>
        <w:spacing w:after="0" w:line="235" w:lineRule="auto"/>
        <w:rPr>
          <w:sz w:val="20"/>
          <w:szCs w:val="20"/>
          <w:color w:val="auto"/>
        </w:rPr>
      </w:pPr>
      <w:r>
        <w:rPr>
          <w:rFonts w:ascii="Calibri" w:cs="Calibri" w:eastAsia="Calibri" w:hAnsi="Calibri"/>
          <w:sz w:val="22"/>
          <w:szCs w:val="22"/>
          <w:color w:val="auto"/>
        </w:rPr>
        <w:t xml:space="preserve">In a separate </w:t>
      </w:r>
      <w:r>
        <w:rPr>
          <w:rFonts w:ascii="Calibri" w:cs="Calibri" w:eastAsia="Calibri" w:hAnsi="Calibri"/>
          <w:sz w:val="22"/>
          <w:szCs w:val="22"/>
          <w:u w:val="single" w:color="auto"/>
          <w:color w:val="0000FF"/>
        </w:rPr>
        <w:t>press release</w:t>
      </w:r>
      <w:r>
        <w:rPr>
          <w:rFonts w:ascii="Calibri" w:cs="Calibri" w:eastAsia="Calibri" w:hAnsi="Calibri"/>
          <w:sz w:val="22"/>
          <w:szCs w:val="22"/>
          <w:color w:val="auto"/>
        </w:rPr>
        <w:t xml:space="preserve"> issued earlier today, Tango Therapeutcs provided an update on its ongoing PRMT5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89" w:lineRule="exact"/>
        <w:rPr>
          <w:sz w:val="20"/>
          <w:szCs w:val="20"/>
          <w:color w:val="auto"/>
        </w:rPr>
      </w:pPr>
    </w:p>
    <w:p>
      <w:pPr>
        <w:ind w:left="1020" w:right="80" w:hanging="503"/>
        <w:spacing w:after="0" w:line="238"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Data from the ongoing phase 1/2 clinical trial of TNG462, a potentally best-in-class MTA-cooperatve PRMT5 inhibitor, demonstrate clinical actvity across multple tumor types, including NSCLC and pancreatc cancer. Of note, this includes an ORR of 43% in cholangiocarcinoma (n=7). Substantve durability and a good safety and tolerability profle also were observed in this ongoing trial. The next clinical update is expected in 2025.</w:t>
      </w:r>
    </w:p>
    <w:p>
      <w:pPr>
        <w:spacing w:after="0" w:line="122" w:lineRule="exact"/>
        <w:rPr>
          <w:rFonts w:ascii="Times New Roman" w:cs="Times New Roman" w:eastAsia="Times New Roman" w:hAnsi="Times New Roman"/>
          <w:sz w:val="22"/>
          <w:szCs w:val="22"/>
          <w:color w:val="auto"/>
        </w:rPr>
      </w:pPr>
    </w:p>
    <w:p>
      <w:pPr>
        <w:ind w:left="1020" w:right="20" w:hanging="368"/>
        <w:spacing w:after="0" w:line="237"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plans to initate multple targeted and standard of care combinatons with TNG462 including RAS(ON) mult-selectve and RAS(ON) G12D-selectve inhibitors (Revoluton Medicines), osimertnib (AstraZeneca) and pembrolizumab (Merck). These studies are expected to begin enrolling in 1H 2025.</w:t>
      </w:r>
    </w:p>
    <w:p>
      <w:pPr>
        <w:spacing w:after="0" w:line="122" w:lineRule="exact"/>
        <w:rPr>
          <w:rFonts w:ascii="Times New Roman" w:cs="Times New Roman" w:eastAsia="Times New Roman" w:hAnsi="Times New Roman"/>
          <w:sz w:val="22"/>
          <w:szCs w:val="22"/>
          <w:color w:val="auto"/>
        </w:rPr>
      </w:pPr>
    </w:p>
    <w:p>
      <w:pPr>
        <w:ind w:left="1020" w:hanging="368"/>
        <w:spacing w:after="0" w:line="238"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TNG908, an MTA-cooperatve brain-penetrant PRMT5 inhibitor, is clinically actve and well-tolerated across non-CNS cancers in the phase 1/2 clinical trial. In partcular, there were a total of nine evaluable pancreatc cancer patents, two with partal responses (ORR 22%) and fve with stable disease as best response to date. The fve ongoing pancreatc cancer patents have been on study for an average of 24 weeks, the longest for 72 weeks.</w:t>
      </w:r>
    </w:p>
    <w:p>
      <w:pPr>
        <w:spacing w:after="0" w:line="122" w:lineRule="exact"/>
        <w:rPr>
          <w:rFonts w:ascii="Times New Roman" w:cs="Times New Roman" w:eastAsia="Times New Roman" w:hAnsi="Times New Roman"/>
          <w:sz w:val="22"/>
          <w:szCs w:val="22"/>
          <w:color w:val="auto"/>
        </w:rPr>
      </w:pPr>
    </w:p>
    <w:p>
      <w:pPr>
        <w:ind w:left="1020" w:right="360" w:hanging="368"/>
        <w:spacing w:after="0" w:line="235"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TNG908 did not demonstrate actvity in glioblastoma (n=23 at actve doses) likely because CNS exposure did not meet the required exposure threshold for clinical efcacy.</w:t>
      </w:r>
    </w:p>
    <w:p>
      <w:pPr>
        <w:spacing w:after="0" w:line="122" w:lineRule="exact"/>
        <w:rPr>
          <w:rFonts w:ascii="Times New Roman" w:cs="Times New Roman" w:eastAsia="Times New Roman" w:hAnsi="Times New Roman"/>
          <w:sz w:val="22"/>
          <w:szCs w:val="22"/>
          <w:color w:val="auto"/>
        </w:rPr>
      </w:pPr>
    </w:p>
    <w:p>
      <w:pPr>
        <w:jc w:val="both"/>
        <w:ind w:left="1020" w:right="420" w:hanging="368"/>
        <w:spacing w:after="0" w:line="238"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TNG908 enrollment is being stopped to allow full resourcing of TNG462 as a potental best-in-class molecule. In partcular, the notably longer tme on treatment observed – 24 weeks and stll increasing for TNG462 versus 16 weeks for TNG908 – the superior target coverage, and the safety and tolerability profle all support selecton of TNG462 for further development.</w:t>
      </w:r>
    </w:p>
    <w:p>
      <w:pPr>
        <w:spacing w:after="0" w:line="122" w:lineRule="exact"/>
        <w:rPr>
          <w:rFonts w:ascii="Times New Roman" w:cs="Times New Roman" w:eastAsia="Times New Roman" w:hAnsi="Times New Roman"/>
          <w:sz w:val="22"/>
          <w:szCs w:val="22"/>
          <w:color w:val="auto"/>
        </w:rPr>
      </w:pPr>
    </w:p>
    <w:p>
      <w:pPr>
        <w:ind w:left="1020" w:right="40" w:hanging="368"/>
        <w:spacing w:after="0" w:line="237"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TNG456 is a next-generaton brain-penetrant MTA-cooperatve PRMT5 inhibitor that is 55X selectve for MTAP deleton with 20 nM potency. Preclinical studies suggest TNG456 central nervous system exposure has the potental to be sufcient for meaningful efcacy in glioblastoma and brain metastases.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expects to begin enrolling patents in the planned phase 1/2 trial during 1H 2025.</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Business Highlights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Clinical collaboraton with Revoluton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spacing w:after="0" w:line="89" w:lineRule="exact"/>
        <w:rPr>
          <w:sz w:val="20"/>
          <w:szCs w:val="20"/>
          <w:color w:val="auto"/>
        </w:rPr>
      </w:pPr>
    </w:p>
    <w:p>
      <w:pPr>
        <w:ind w:left="1020" w:right="240" w:hanging="503"/>
        <w:spacing w:after="0" w:line="237"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November 2024, the Company entered into a clinical collaboraton with Revoluton Medicines to evaluate the efcacy and safety of TNG462 in combinaton with RMC-6236, a RAS(ON) mult-selectve inhibitor, and with RMC-9805, a RAS(ON) G12D-selectve inhibitor.</w:t>
      </w:r>
    </w:p>
    <w:p>
      <w:pPr>
        <w:spacing w:after="0" w:line="122" w:lineRule="exact"/>
        <w:rPr>
          <w:rFonts w:ascii="Times New Roman" w:cs="Times New Roman" w:eastAsia="Times New Roman" w:hAnsi="Times New Roman"/>
          <w:sz w:val="22"/>
          <w:szCs w:val="22"/>
          <w:color w:val="auto"/>
        </w:rPr>
      </w:pPr>
    </w:p>
    <w:p>
      <w:pPr>
        <w:ind w:left="1020" w:right="200" w:hanging="503"/>
        <w:spacing w:after="0" w:line="237"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agreement provides that Revoluton Medicines will supply RMC-6236 and RMC-9805 to Tango and that Tango will be the sponsor of any combinaton trials. Each company will retain commercial rights to their respectve compounds and the agreement is mutually non-exclusive.</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TNG260, a frst-in-class, highly selectve CoREST complex inhibitor</w:t>
      </w:r>
    </w:p>
    <w:p>
      <w:pPr>
        <w:spacing w:after="0" w:line="120" w:lineRule="exact"/>
        <w:rPr>
          <w:sz w:val="20"/>
          <w:szCs w:val="20"/>
          <w:color w:val="auto"/>
        </w:rPr>
      </w:pPr>
    </w:p>
    <w:p>
      <w:pPr>
        <w:jc w:val="both"/>
        <w:ind w:left="1020" w:right="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TNG260 phase 1/2 clinical trial is ongoing, evaluatng safety, pharmacokinetcs, pharmacodynamics and efcacy of TNG260 in combinaton with pembrolizumab in patents with locally advanced or metastatc solid tumors with an STK11 loss-of-functon mutaton. To date, safety, tolerability and pharmacokinetc profles are favorable.</w:t>
      </w:r>
    </w:p>
    <w:p>
      <w:pPr>
        <w:spacing w:after="0" w:line="122" w:lineRule="exact"/>
        <w:rPr>
          <w:rFonts w:ascii="Times New Roman" w:cs="Times New Roman" w:eastAsia="Times New Roman" w:hAnsi="Times New Roman"/>
          <w:sz w:val="22"/>
          <w:szCs w:val="22"/>
          <w:color w:val="auto"/>
        </w:rPr>
      </w:pPr>
    </w:p>
    <w:p>
      <w:pPr>
        <w:ind w:left="1020" w:right="10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STK11 mutatons occur in approximately 15% of non-small cell lung, 15% of cervical, 10% of carcinoma of unknown primary, 5% of breast and 3% of pancreatc cancers.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Upcoming Milestones</w:t>
      </w:r>
    </w:p>
    <w:p>
      <w:pPr>
        <w:spacing w:after="0" w:line="10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clinical data update expected in 2025</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combinaton trial enrollment expected to begin 1H 2025</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TNG456 phase 1/2 trial enrollment expected to begin 1H 2025</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TNG260 clinical data expected in 2025</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Additonal Business and Pipeline Highlights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Leadership Update</w:t>
      </w:r>
    </w:p>
    <w:p>
      <w:pPr>
        <w:spacing w:after="0" w:line="282" w:lineRule="exact"/>
        <w:rPr>
          <w:sz w:val="20"/>
          <w:szCs w:val="20"/>
          <w:color w:val="auto"/>
        </w:rPr>
      </w:pPr>
    </w:p>
    <w:p>
      <w:pPr>
        <w:spacing w:after="0" w:line="252" w:lineRule="auto"/>
        <w:rPr>
          <w:sz w:val="20"/>
          <w:szCs w:val="20"/>
          <w:color w:val="auto"/>
        </w:rPr>
      </w:pPr>
      <w:r>
        <w:rPr>
          <w:rFonts w:ascii="Calibri" w:cs="Calibri" w:eastAsia="Calibri" w:hAnsi="Calibri"/>
          <w:sz w:val="21"/>
          <w:szCs w:val="21"/>
          <w:color w:val="auto"/>
        </w:rPr>
        <w:t>Maeve Waldron-Lynch, M.D. will join Tango as Senior Vice President, Head of Clinical Development later this month. In this role, Dr. Waldron-Lynch will lead clinical development functons under Adam Crystal, M.D., Ph.D., President of Research and Development at Tango. Dr. Waldron-Lynch most recently served as VP and Global Clinical Program Head at MorphoSys, where she oversaw the clinical program for tafasitamab. Prior to MorphoSys, she was a Clinical Development Medical Director at Novarts. Dr. Waldron-Lynch also has served as Senior Clinical Director, Oncology at Roche, and as Associate Director of Medical Science, Oncology at Mundipharma. Dr. Waldron-Lynch graduated from the University College Cork School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p>
      <w:pPr>
        <w:ind w:right="20"/>
        <w:spacing w:after="0" w:line="235" w:lineRule="auto"/>
        <w:rPr>
          <w:sz w:val="20"/>
          <w:szCs w:val="20"/>
          <w:color w:val="auto"/>
        </w:rPr>
      </w:pPr>
      <w:r>
        <w:rPr>
          <w:rFonts w:ascii="Calibri" w:cs="Calibri" w:eastAsia="Calibri" w:hAnsi="Calibri"/>
          <w:sz w:val="22"/>
          <w:szCs w:val="22"/>
          <w:color w:val="auto"/>
        </w:rPr>
        <w:t>Medicine and served as a Specialty Registrar Medical Oncology at the Royal College of Physicians of Ireland, and a Clinical Fellow in Medical Oncology at the Yale University School of Medicine.</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82" w:lineRule="exact"/>
        <w:rPr>
          <w:sz w:val="20"/>
          <w:szCs w:val="20"/>
          <w:color w:val="auto"/>
        </w:rPr>
      </w:pPr>
    </w:p>
    <w:p>
      <w:pPr>
        <w:spacing w:after="0" w:line="237" w:lineRule="auto"/>
        <w:rPr>
          <w:sz w:val="20"/>
          <w:szCs w:val="20"/>
          <w:color w:val="auto"/>
        </w:rPr>
      </w:pPr>
      <w:r>
        <w:rPr>
          <w:rFonts w:ascii="Calibri" w:cs="Calibri" w:eastAsia="Calibri" w:hAnsi="Calibri"/>
          <w:sz w:val="22"/>
          <w:szCs w:val="22"/>
          <w:color w:val="auto"/>
        </w:rPr>
        <w:t>As of September 30, 2024, the Company held $293.3 million in cash, cash equivalents and marketable securites, which the Company expects to be sufcient to fund operatons into the third quarter of 2026, including for additonal planned TNG462 and TNG456 clinical trials.</w:t>
      </w:r>
    </w:p>
    <w:p>
      <w:pPr>
        <w:spacing w:after="0" w:line="284" w:lineRule="exact"/>
        <w:rPr>
          <w:sz w:val="20"/>
          <w:szCs w:val="20"/>
          <w:color w:val="auto"/>
        </w:rPr>
      </w:pPr>
    </w:p>
    <w:p>
      <w:pPr>
        <w:ind w:right="80"/>
        <w:spacing w:after="0" w:line="238" w:lineRule="auto"/>
        <w:rPr>
          <w:sz w:val="20"/>
          <w:szCs w:val="20"/>
          <w:color w:val="auto"/>
        </w:rPr>
      </w:pPr>
      <w:r>
        <w:rPr>
          <w:rFonts w:ascii="Calibri" w:cs="Calibri" w:eastAsia="Calibri" w:hAnsi="Calibri"/>
          <w:sz w:val="22"/>
          <w:szCs w:val="22"/>
          <w:color w:val="auto"/>
        </w:rPr>
        <w:t>Collaboraton revenue was $11.6 million for the three months ended September 30, 2024, compared to $10.7 million for the same period in 2023, and $25.9 million for the nine months ended September 30, 2024 compared to $26.1 million for the same period in 2023. Collaboraton revenue increased due to changes to estmated costs expected to be incurred under the collaboraton during the three months ended September 30, 2024.</w:t>
      </w:r>
    </w:p>
    <w:p>
      <w:pPr>
        <w:spacing w:after="0" w:line="285" w:lineRule="exact"/>
        <w:rPr>
          <w:sz w:val="20"/>
          <w:szCs w:val="20"/>
          <w:color w:val="auto"/>
        </w:rPr>
      </w:pPr>
    </w:p>
    <w:p>
      <w:pPr>
        <w:ind w:right="120"/>
        <w:spacing w:after="0" w:line="238" w:lineRule="auto"/>
        <w:rPr>
          <w:sz w:val="20"/>
          <w:szCs w:val="20"/>
          <w:color w:val="auto"/>
        </w:rPr>
      </w:pPr>
      <w:r>
        <w:rPr>
          <w:rFonts w:ascii="Calibri" w:cs="Calibri" w:eastAsia="Calibri" w:hAnsi="Calibri"/>
          <w:sz w:val="22"/>
          <w:szCs w:val="22"/>
          <w:color w:val="auto"/>
        </w:rPr>
        <w:t>License revenue was $0 and $12.1 million for the three and nine months ended September 30, 2024, respectvely, compared to $0 and $5.0 million for the three and nine months ended September 30, 2023, respectvely. The year-to-date increase is primarily due to licensing a drug discovery program to Gilead for $12.0 million during the second quarter of 2024 as compared to Gilead licensing a program for $5.0 million during the second quarter of 2023.</w:t>
      </w:r>
    </w:p>
    <w:p>
      <w:pPr>
        <w:spacing w:after="0" w:line="285" w:lineRule="exact"/>
        <w:rPr>
          <w:sz w:val="20"/>
          <w:szCs w:val="20"/>
          <w:color w:val="auto"/>
        </w:rPr>
      </w:pPr>
    </w:p>
    <w:p>
      <w:pPr>
        <w:ind w:right="240"/>
        <w:spacing w:after="0" w:line="238" w:lineRule="auto"/>
        <w:rPr>
          <w:sz w:val="20"/>
          <w:szCs w:val="20"/>
          <w:color w:val="auto"/>
        </w:rPr>
      </w:pPr>
      <w:r>
        <w:rPr>
          <w:rFonts w:ascii="Calibri" w:cs="Calibri" w:eastAsia="Calibri" w:hAnsi="Calibri"/>
          <w:sz w:val="22"/>
          <w:szCs w:val="22"/>
          <w:color w:val="auto"/>
        </w:rPr>
        <w:t>Research and development expenses were $33.3 million for the three months ended September 30, 2024, compared to $27.1 million for the same period in 2023, and $110.0 million for the nine months ended September 30, 2024 compared to $83.9 million for the same period in 2023. The change is due to increased spend related to the advancement of TNG462, preclinical programs and personnel-related costs to support our research and development actvites.</w:t>
      </w:r>
    </w:p>
    <w:p>
      <w:pPr>
        <w:spacing w:after="0" w:line="285" w:lineRule="exact"/>
        <w:rPr>
          <w:sz w:val="20"/>
          <w:szCs w:val="20"/>
          <w:color w:val="auto"/>
        </w:rPr>
      </w:pPr>
    </w:p>
    <w:p>
      <w:pPr>
        <w:ind w:right="360"/>
        <w:spacing w:after="0" w:line="237" w:lineRule="auto"/>
        <w:rPr>
          <w:sz w:val="20"/>
          <w:szCs w:val="20"/>
          <w:color w:val="auto"/>
        </w:rPr>
      </w:pPr>
      <w:r>
        <w:rPr>
          <w:rFonts w:ascii="Calibri" w:cs="Calibri" w:eastAsia="Calibri" w:hAnsi="Calibri"/>
          <w:sz w:val="22"/>
          <w:szCs w:val="22"/>
          <w:color w:val="auto"/>
        </w:rPr>
        <w:t>General and administratve expenses were $11.2 million for the three months ended September 30, 2024, compared to $9.2 million for the same period in 2023, and $32.7 million for the nine months ended September 30, 2024 compared to $26.4 million for the same period in 2023. The change was primarily due to increases in personnel-related costs.</w:t>
      </w:r>
    </w:p>
    <w:p>
      <w:pPr>
        <w:spacing w:after="0" w:line="284"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color w:val="auto"/>
        </w:rPr>
        <w:t>Net loss for the three months ended September 30, 2024 was $29.2 million, or $0.27 per share, compared to a net loss of $22.3 million, or $0.23 per share, in the same period in 2023. Net loss for the nine months ended September 30, 2024 was $92.6 million, or $0.85 per share, compared to a net loss of $71.0 million, or $0.78 per share, in the same period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7" w:name="page8"/>
    <w:bookmarkEnd w:id="7"/>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82" w:lineRule="exact"/>
        <w:rPr>
          <w:sz w:val="20"/>
          <w:szCs w:val="20"/>
          <w:color w:val="auto"/>
        </w:rPr>
      </w:pPr>
    </w:p>
    <w:p>
      <w:pPr>
        <w:ind w:right="120"/>
        <w:spacing w:after="0" w:line="238" w:lineRule="auto"/>
        <w:rPr>
          <w:sz w:val="20"/>
          <w:szCs w:val="20"/>
          <w:color w:val="auto"/>
        </w:rPr>
      </w:pPr>
      <w:r>
        <w:rPr>
          <w:rFonts w:ascii="Calibri" w:cs="Calibri" w:eastAsia="Calibri" w:hAnsi="Calibri"/>
          <w:sz w:val="22"/>
          <w:szCs w:val="22"/>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For more informaton, please visit www.tangotx.com.</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82" w:lineRule="exact"/>
        <w:rPr>
          <w:sz w:val="20"/>
          <w:szCs w:val="20"/>
          <w:color w:val="auto"/>
        </w:rPr>
      </w:pPr>
    </w:p>
    <w:p>
      <w:pPr>
        <w:spacing w:after="0" w:line="252" w:lineRule="auto"/>
        <w:rPr>
          <w:sz w:val="20"/>
          <w:szCs w:val="20"/>
          <w:color w:val="auto"/>
        </w:rPr>
      </w:pPr>
      <w:r>
        <w:rPr>
          <w:rFonts w:ascii="Calibri" w:cs="Calibri" w:eastAsia="Calibri" w:hAnsi="Calibri"/>
          <w:sz w:val="21"/>
          <w:szCs w:val="21"/>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as well as the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the Company is advancing TNG462 into clinical trials as a monotherapy and with multple targeted and standard of care combinatons, including two RAS(ON) tri-complex inhibitors from Revoluton Medicines, Inc.; the Company believes the combinaton of TNG462 with RAS(ON) inhibitors could be a powerful approach to changing the treatment landscape for pancreatc cancer; potental combinaton strategies for PRMT5 inhibitors; the Company’s view that TNG462 has the potental to be a best-in-class MTA-cooperatve PRMT5 inhibitor in multple tumor types, including pancreatc and non-small cell lung cancers; the Company is moving TNG462 into full development; the Company expects cash runway into the third quarter of 2026; the Company expects to share another clinical update on TNG462 in 2025; the Company’s planned and ongoing clinical trials, including the antcipated tming for enrollment and the tming to report results and updates of such trials; the Company’s understanding of the central nervous system exposure required to provide meaningful efcacy in glioblastoma and brain metastases; the Company’s plans to enroll patents in a planned Phase 1/2 clinical trial for TNG456 in the frst half of 2025; the Company contnues to advance TNG260 for cancers with STK11 loss-of-functon mutatons, with the phase 1/2 clinical trial ongoing; Tango is commited to discovering and delivering the next generaton of precision cancer medicines; Dr. Weber’s statements in this press release; and the expected tming of: (i) development candidate declaraton for certain targets; (ii) initatng IND-enabling studies; (iii) fling INDs; (iv)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52" w:lineRule="auto"/>
        <w:rPr>
          <w:sz w:val="20"/>
          <w:szCs w:val="20"/>
          <w:color w:val="auto"/>
        </w:rPr>
      </w:pPr>
      <w:r>
        <w:rPr>
          <w:rFonts w:ascii="Calibri" w:cs="Calibri" w:eastAsia="Calibri" w:hAnsi="Calibri"/>
          <w:sz w:val="21"/>
          <w:szCs w:val="21"/>
          <w:color w:val="auto"/>
        </w:rPr>
        <w:t>initaton, dose escalaton and dose expansion (including for combinaton studies) and (v) disclosing inital, interim, additonal and fnal clinical trial results (including for combinaton studies); and the expected benefts of the Company's development candidates and other product candidates.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the benefts of product candidates seen in preclinical tests and analyses may not be evident when tested in later preclinical studies or in clinical trials or when used in broader patent populatons (if approved for commercial sale); Tango has limited experience conductng clinical trials (and will rely on a third party to operate its clinical trials) and may not be able to commence its clinical trials (including opening clinical trial sites, dosing the frst patent, and contnued enrollment and dosing of an adequate number of clinical trial partcipants) when expected, may not be able to contnue dosing, initate dose escalaton and/or dose expansion on antcipated tmelines, and may not generate or report clinical trial results (including fnal, inital or additonal safety, efcacy data and proof-of-mechanism and proof-of-concept) in the antcipated tmeframe (or at all); future clinical trial data releases may difer materially from inital or interim data from our current and future clinical trials; Tango’s pipeline products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initaton of dose expansion, reportng clinical trial results and fling new drug applicatons); Tango’s approach to the discovery and development of product candidates is novel and unproven, which makes it difcult to predict the tme, cost of development, and likelihood of successfully developing any products; the Company may be unable to advance our preclinical development programs into and through the clinic for safety or efcacy reasons or commercialize our product candidates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9" w:name="page10"/>
    <w:bookmarkEnd w:id="9"/>
    <w:p>
      <w:pPr>
        <w:spacing w:after="0" w:line="252" w:lineRule="auto"/>
        <w:rPr>
          <w:sz w:val="20"/>
          <w:szCs w:val="20"/>
          <w:color w:val="auto"/>
        </w:rPr>
      </w:pPr>
      <w:r>
        <w:rPr>
          <w:rFonts w:ascii="Calibri" w:cs="Calibri" w:eastAsia="Calibri" w:hAnsi="Calibri"/>
          <w:sz w:val="21"/>
          <w:szCs w:val="21"/>
          <w:color w:val="auto"/>
        </w:rPr>
        <w:t>we may experience signifcant delays in doing so as a result of factors beyond Tango’s control; the Company may not be able to realize the benefts of orphan drug or Fast Track designaton (and such designatons may not advance any antcipated approval tmelines); the expected benefts of our product candidates in patents as single agents and/or in combinaton may not be realized; the Company may experience delays or difcultes in the initaton, enrollment, or dosing of patents in clinical trials or the announcement of clinical trial results,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the Company’s product candidates may cause adverse or other undesirable side efects (or may not show requisite efcacy) that could, among other things, delay or prevent regulatory approval; our dependence on one or a limited number third partes for conductng clinical trials and producing drug substance and drug product (including drug substance, which is currently sole sourced); government regulaton may negatvely impact the Company’s business, including the potental approval of the BIOSECURE Act; and our ability to obtain and maintain patent and other intellectual property protecton for our technology and product candidates or the scope of intellectual property protecton obtained is not sufciently broad. Additonal informaton concerning risks, uncertaintes and assumptons can be found in Tango’s flings with the Securites and Exchange Commission (SEC), including the risk factors referenced in Tango’s Annual Report on Form 10-K for the fscal year ended December 31, 2023, as supplemented and/or modifed by its most recent Quarterly Report on Form 10-Q. You should not place undue reliance on forward-looking statements in this press release, which speak only as of the date they are made and are qualifed in their entrety by reference to the cautonary statements herein. Tango specifcally disclaims any duty to update these forward-looking statements.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Sam Martn/Andrew Vulis</w:t>
      </w:r>
    </w:p>
    <w:p>
      <w:pPr>
        <w:spacing w:after="0"/>
        <w:rPr>
          <w:sz w:val="20"/>
          <w:szCs w:val="20"/>
          <w:color w:val="auto"/>
        </w:rPr>
      </w:pPr>
      <w:r>
        <w:rPr>
          <w:rFonts w:ascii="Calibri" w:cs="Calibri" w:eastAsia="Calibri" w:hAnsi="Calibri"/>
          <w:sz w:val="22"/>
          <w:szCs w:val="22"/>
          <w:color w:val="auto"/>
        </w:rPr>
        <w:t>Argot Partners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0000FF"/>
        </w:rPr>
        <w:t>tango@argotpartners.com</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Amanda Brown Galgay</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SVP, Corporate Communicatons, Tango Therapeutcs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10" w:name="page11"/>
    <w:bookmarkEnd w:id="10"/>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 except share and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6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6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21"/>
                <w:szCs w:val="21"/>
                <w:color w:val="auto"/>
              </w:rPr>
            </w:pPr>
          </w:p>
        </w:tc>
      </w:tr>
      <w:tr>
        <w:trPr>
          <w:trHeight w:val="250"/>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5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2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28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83,859</w:t>
            </w:r>
          </w:p>
        </w:tc>
        <w:tc>
          <w:tcPr>
            <w:tcW w:w="100" w:type="dxa"/>
            <w:vAlign w:val="bottom"/>
            <w:shd w:val="clear" w:color="auto" w:fill="CFF0FC"/>
          </w:tcPr>
          <w:p>
            <w:pPr>
              <w:spacing w:after="0"/>
              <w:rPr>
                <w:sz w:val="23"/>
                <w:szCs w:val="23"/>
                <w:color w:val="auto"/>
              </w:rPr>
            </w:pPr>
          </w:p>
        </w:tc>
      </w:tr>
      <w:tr>
        <w:trPr>
          <w:trHeight w:val="250"/>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100" w:type="dxa"/>
            <w:vAlign w:val="bottom"/>
          </w:tcPr>
          <w:p>
            <w:pPr>
              <w:spacing w:after="0"/>
              <w:rPr>
                <w:sz w:val="21"/>
                <w:szCs w:val="21"/>
                <w:color w:val="auto"/>
              </w:rPr>
            </w:pPr>
          </w:p>
        </w:tc>
      </w:tr>
      <w:tr>
        <w:trPr>
          <w:trHeight w:val="250"/>
        </w:trPr>
        <w:tc>
          <w:tcPr>
            <w:tcW w:w="54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44,485</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(32,878 )</w:t>
            </w:r>
          </w:p>
        </w:tc>
        <w:tc>
          <w:tcPr>
            <w:tcW w:w="3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(25,626 )</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(104,685 )</w:t>
            </w:r>
          </w:p>
        </w:tc>
        <w:tc>
          <w:tcPr>
            <w:tcW w:w="3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(79,160 )</w:t>
            </w:r>
          </w:p>
        </w:tc>
      </w:tr>
      <w:tr>
        <w:trPr>
          <w:trHeight w:val="250"/>
        </w:trPr>
        <w:tc>
          <w:tcPr>
            <w:tcW w:w="54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(29,113 )</w:t>
            </w:r>
          </w:p>
        </w:tc>
        <w:tc>
          <w:tcPr>
            <w:tcW w:w="3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(22,240 )</w:t>
            </w:r>
          </w:p>
        </w:tc>
        <w:tc>
          <w:tcPr>
            <w:tcW w:w="2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(92,473 )</w:t>
            </w:r>
          </w:p>
        </w:tc>
        <w:tc>
          <w:tcPr>
            <w:tcW w:w="34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(70,894 )</w:t>
            </w:r>
          </w:p>
        </w:tc>
      </w:tr>
      <w:tr>
        <w:trPr>
          <w:trHeight w:val="25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(54 )</w:t>
            </w:r>
          </w:p>
        </w:tc>
        <w:tc>
          <w:tcPr>
            <w:tcW w:w="3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(159 )</w:t>
            </w:r>
          </w:p>
        </w:tc>
        <w:tc>
          <w:tcPr>
            <w:tcW w:w="3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(87 )</w:t>
            </w:r>
          </w:p>
        </w:tc>
      </w:tr>
      <w:tr>
        <w:trPr>
          <w:trHeight w:val="20"/>
        </w:trPr>
        <w:tc>
          <w:tcPr>
            <w:tcW w:w="5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(29,167 )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(22,263 )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(92,632 )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(70,981 )</w:t>
            </w:r>
          </w:p>
        </w:tc>
      </w:tr>
      <w:tr>
        <w:trPr>
          <w:trHeight w:val="270"/>
        </w:trPr>
        <w:tc>
          <w:tcPr>
            <w:tcW w:w="54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(0.85 )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(0.78 )</w:t>
            </w:r>
          </w:p>
        </w:tc>
      </w:tr>
      <w:tr>
        <w:trPr>
          <w:trHeight w:val="211"/>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97,033,273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91,268,133</w:t>
            </w:r>
          </w:p>
        </w:tc>
        <w:tc>
          <w:tcPr>
            <w:tcW w:w="100" w:type="dxa"/>
            <w:vAlign w:val="bottom"/>
          </w:tcPr>
          <w:p>
            <w:pPr>
              <w:spacing w:after="0"/>
              <w:rPr>
                <w:sz w:val="20"/>
                <w:szCs w:val="20"/>
                <w:color w:val="auto"/>
              </w:rPr>
            </w:pPr>
          </w:p>
        </w:tc>
      </w:tr>
      <w:tr>
        <w:trPr>
          <w:trHeight w:val="3261"/>
        </w:trPr>
        <w:tc>
          <w:tcPr>
            <w:tcW w:w="5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-4259580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-4259580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-4259580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-3573780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-3573780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-3573780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-3230880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-3230880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-3230880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-2887980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-2887980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-2887980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53,148</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Marketable securities</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240,130</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270,500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7,537</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346,538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r>
      <w:tr>
        <w:trPr>
          <w:trHeight w:val="223"/>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352,415</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shd w:val="clear" w:color="auto" w:fill="CFF0FC"/>
          </w:tcPr>
          <w:p>
            <w:pPr>
              <w:spacing w:after="0"/>
              <w:rPr>
                <w:sz w:val="19"/>
                <w:szCs w:val="19"/>
                <w:color w:val="auto"/>
              </w:rPr>
            </w:pPr>
          </w:p>
        </w:tc>
      </w:tr>
      <w:tr>
        <w:trPr>
          <w:trHeight w:val="221"/>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15,006</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15,602</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34,763</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50,899</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66,683</w:t>
            </w:r>
          </w:p>
        </w:tc>
        <w:tc>
          <w:tcPr>
            <w:tcW w:w="100" w:type="dxa"/>
            <w:vAlign w:val="bottom"/>
          </w:tcPr>
          <w:p>
            <w:pPr>
              <w:spacing w:after="0"/>
              <w:rPr>
                <w:sz w:val="19"/>
                <w:szCs w:val="19"/>
                <w:color w:val="auto"/>
              </w:rPr>
            </w:pPr>
          </w:p>
        </w:tc>
      </w:tr>
      <w:tr>
        <w:trPr>
          <w:trHeight w:val="229"/>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123,245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149,459</w:t>
            </w:r>
          </w:p>
        </w:tc>
        <w:tc>
          <w:tcPr>
            <w:tcW w:w="100" w:type="dxa"/>
            <w:vAlign w:val="bottom"/>
            <w:shd w:val="clear" w:color="auto" w:fill="CFF0FC"/>
          </w:tcPr>
          <w:p>
            <w:pPr>
              <w:spacing w:after="0"/>
              <w:rPr>
                <w:sz w:val="19"/>
                <w:szCs w:val="19"/>
                <w:color w:val="auto"/>
              </w:rPr>
            </w:pPr>
          </w:p>
        </w:tc>
      </w:tr>
      <w:tr>
        <w:trPr>
          <w:trHeight w:val="223"/>
        </w:trPr>
        <w:tc>
          <w:tcPr>
            <w:tcW w:w="7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229,170</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253,108</w:t>
            </w:r>
          </w:p>
        </w:tc>
        <w:tc>
          <w:tcPr>
            <w:tcW w:w="100" w:type="dxa"/>
            <w:vAlign w:val="bottom"/>
          </w:tcPr>
          <w:p>
            <w:pPr>
              <w:spacing w:after="0"/>
              <w:rPr>
                <w:sz w:val="19"/>
                <w:szCs w:val="19"/>
                <w:color w:val="auto"/>
              </w:rPr>
            </w:pPr>
          </w:p>
        </w:tc>
      </w:tr>
      <w:tr>
        <w:trPr>
          <w:trHeight w:val="263"/>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352,415</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shd w:val="clear" w:color="auto" w:fill="CFF0FC"/>
          </w:tcPr>
          <w:p>
            <w:pPr>
              <w:spacing w:after="0"/>
              <w:rPr>
                <w:sz w:val="22"/>
                <w:szCs w:val="22"/>
                <w:color w:val="auto"/>
              </w:rPr>
            </w:pPr>
          </w:p>
        </w:tc>
      </w:tr>
      <w:tr>
        <w:trPr>
          <w:trHeight w:val="1614"/>
        </w:trPr>
        <w:tc>
          <w:tcPr>
            <w:tcW w:w="740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-3745230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-2853690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-1971040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-1071245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20"/>
        <w:spacing w:after="0"/>
        <w:rPr>
          <w:sz w:val="20"/>
          <w:szCs w:val="20"/>
          <w:color w:val="auto"/>
        </w:rPr>
      </w:pPr>
      <w:r>
        <w:rPr>
          <w:rFonts w:ascii="Calibri" w:cs="Calibri" w:eastAsia="Calibri" w:hAnsi="Calibri"/>
          <w:sz w:val="22"/>
          <w:szCs w:val="22"/>
          <w:b w:val="1"/>
          <w:bCs w:val="1"/>
          <w:color w:val="auto"/>
        </w:rPr>
        <w:t>Tango Therapeutcs Reports Positve TNG462 Clinical Data and Provides Update on PRMT5 Development Program</w:t>
      </w:r>
    </w:p>
    <w:p>
      <w:pPr>
        <w:spacing w:after="0" w:line="282" w:lineRule="exact"/>
        <w:rPr>
          <w:sz w:val="20"/>
          <w:szCs w:val="20"/>
          <w:color w:val="auto"/>
        </w:rPr>
      </w:pPr>
    </w:p>
    <w:p>
      <w:pPr>
        <w:ind w:left="100"/>
        <w:spacing w:after="0"/>
        <w:rPr>
          <w:sz w:val="20"/>
          <w:szCs w:val="20"/>
          <w:color w:val="auto"/>
        </w:rPr>
      </w:pPr>
      <w:r>
        <w:rPr>
          <w:rFonts w:ascii="Calibri" w:cs="Calibri" w:eastAsia="Calibri" w:hAnsi="Calibri"/>
          <w:sz w:val="21"/>
          <w:szCs w:val="21"/>
          <w:i w:val="1"/>
          <w:iCs w:val="1"/>
          <w:color w:val="auto"/>
        </w:rPr>
        <w:t>– TNG462 demonstrated durable clinical actvity across multple tumor types, including non-small cell lung cancer (NSCLC) and</w:t>
      </w:r>
    </w:p>
    <w:p>
      <w:pPr>
        <w:spacing w:after="0" w:line="3" w:lineRule="exact"/>
        <w:rPr>
          <w:sz w:val="20"/>
          <w:szCs w:val="20"/>
          <w:color w:val="auto"/>
        </w:rPr>
      </w:pPr>
    </w:p>
    <w:p>
      <w:pPr>
        <w:ind w:left="1960"/>
        <w:spacing w:after="0"/>
        <w:rPr>
          <w:sz w:val="20"/>
          <w:szCs w:val="20"/>
          <w:color w:val="auto"/>
        </w:rPr>
      </w:pPr>
      <w:r>
        <w:rPr>
          <w:rFonts w:ascii="Calibri" w:cs="Calibri" w:eastAsia="Calibri" w:hAnsi="Calibri"/>
          <w:sz w:val="22"/>
          <w:szCs w:val="22"/>
          <w:i w:val="1"/>
          <w:iCs w:val="1"/>
          <w:color w:val="auto"/>
        </w:rPr>
        <w:t>pancreatc cancer, in ongoing phase 1/2 clinical trial, moving into full development –</w:t>
      </w:r>
    </w:p>
    <w:p>
      <w:pPr>
        <w:spacing w:after="0" w:line="271" w:lineRule="exact"/>
        <w:rPr>
          <w:sz w:val="20"/>
          <w:szCs w:val="20"/>
          <w:color w:val="auto"/>
        </w:rPr>
      </w:pPr>
    </w:p>
    <w:p>
      <w:pPr>
        <w:ind w:left="3320"/>
        <w:spacing w:after="0"/>
        <w:rPr>
          <w:sz w:val="20"/>
          <w:szCs w:val="20"/>
          <w:color w:val="auto"/>
        </w:rPr>
      </w:pPr>
      <w:r>
        <w:rPr>
          <w:rFonts w:ascii="Calibri" w:cs="Calibri" w:eastAsia="Calibri" w:hAnsi="Calibri"/>
          <w:sz w:val="22"/>
          <w:szCs w:val="22"/>
          <w:i w:val="1"/>
          <w:iCs w:val="1"/>
          <w:color w:val="auto"/>
        </w:rPr>
        <w:t>– Multple TNG462 combinaton studies planned in 1H 2025 –</w:t>
      </w:r>
    </w:p>
    <w:p>
      <w:pPr>
        <w:spacing w:after="0" w:line="271" w:lineRule="exact"/>
        <w:rPr>
          <w:sz w:val="20"/>
          <w:szCs w:val="20"/>
          <w:color w:val="auto"/>
        </w:rPr>
      </w:pPr>
    </w:p>
    <w:p>
      <w:pPr>
        <w:ind w:left="820"/>
        <w:spacing w:after="0"/>
        <w:rPr>
          <w:sz w:val="20"/>
          <w:szCs w:val="20"/>
          <w:color w:val="auto"/>
        </w:rPr>
      </w:pPr>
      <w:r>
        <w:rPr>
          <w:rFonts w:ascii="Calibri" w:cs="Calibri" w:eastAsia="Calibri" w:hAnsi="Calibri"/>
          <w:sz w:val="22"/>
          <w:szCs w:val="22"/>
          <w:i w:val="1"/>
          <w:iCs w:val="1"/>
          <w:color w:val="auto"/>
        </w:rPr>
        <w:t>– Clinical collaboraton established with Revoluton Medicines to evaluate TNG462 in combinaton with RAS(ON) mult-</w:t>
      </w:r>
    </w:p>
    <w:p>
      <w:pPr>
        <w:spacing w:after="0" w:line="1" w:lineRule="exact"/>
        <w:rPr>
          <w:sz w:val="20"/>
          <w:szCs w:val="20"/>
          <w:color w:val="auto"/>
        </w:rPr>
      </w:pPr>
    </w:p>
    <w:p>
      <w:pPr>
        <w:ind w:left="4640"/>
        <w:spacing w:after="0"/>
        <w:rPr>
          <w:sz w:val="20"/>
          <w:szCs w:val="20"/>
          <w:color w:val="auto"/>
        </w:rPr>
      </w:pPr>
      <w:r>
        <w:rPr>
          <w:rFonts w:ascii="Calibri" w:cs="Calibri" w:eastAsia="Calibri" w:hAnsi="Calibri"/>
          <w:sz w:val="22"/>
          <w:szCs w:val="22"/>
          <w:i w:val="1"/>
          <w:iCs w:val="1"/>
          <w:color w:val="auto"/>
        </w:rPr>
        <w:t>and G12D-selectve inhibitors –</w:t>
      </w:r>
    </w:p>
    <w:p>
      <w:pPr>
        <w:spacing w:after="0" w:line="282" w:lineRule="exact"/>
        <w:rPr>
          <w:sz w:val="20"/>
          <w:szCs w:val="20"/>
          <w:color w:val="auto"/>
        </w:rPr>
      </w:pPr>
    </w:p>
    <w:p>
      <w:pPr>
        <w:ind w:left="780" w:firstLine="208"/>
        <w:spacing w:after="0" w:line="252" w:lineRule="auto"/>
        <w:rPr>
          <w:sz w:val="20"/>
          <w:szCs w:val="20"/>
          <w:color w:val="auto"/>
        </w:rPr>
      </w:pPr>
      <w:r>
        <w:rPr>
          <w:rFonts w:ascii="Calibri" w:cs="Calibri" w:eastAsia="Calibri" w:hAnsi="Calibri"/>
          <w:sz w:val="21"/>
          <w:szCs w:val="21"/>
          <w:i w:val="1"/>
          <w:iCs w:val="1"/>
          <w:color w:val="auto"/>
        </w:rPr>
        <w:t>– TNG456, a next-generaton brain penetrant MTA-cooperatve PRMT5 inhibitor with enhanced potency and MTAP-deleted-selectvity, entering phase 1/2 clinical trial 1H 2025 to be evaluated both as a monotherapy and in combinaton</w:t>
      </w:r>
    </w:p>
    <w:p>
      <w:pPr>
        <w:ind w:left="4440"/>
        <w:spacing w:after="0" w:line="232" w:lineRule="auto"/>
        <w:rPr>
          <w:sz w:val="20"/>
          <w:szCs w:val="20"/>
          <w:color w:val="auto"/>
        </w:rPr>
      </w:pPr>
      <w:r>
        <w:rPr>
          <w:rFonts w:ascii="Calibri" w:cs="Calibri" w:eastAsia="Calibri" w:hAnsi="Calibri"/>
          <w:sz w:val="22"/>
          <w:szCs w:val="22"/>
          <w:i w:val="1"/>
          <w:iCs w:val="1"/>
          <w:color w:val="auto"/>
        </w:rPr>
        <w:t>with CDK4/6 inhibitor abemaciclib –</w:t>
      </w:r>
    </w:p>
    <w:p>
      <w:pPr>
        <w:spacing w:after="0" w:line="272" w:lineRule="exact"/>
        <w:rPr>
          <w:sz w:val="20"/>
          <w:szCs w:val="20"/>
          <w:color w:val="auto"/>
        </w:rPr>
      </w:pPr>
    </w:p>
    <w:p>
      <w:pPr>
        <w:ind w:left="2680"/>
        <w:spacing w:after="0"/>
        <w:rPr>
          <w:sz w:val="20"/>
          <w:szCs w:val="20"/>
          <w:color w:val="auto"/>
        </w:rPr>
      </w:pPr>
      <w:r>
        <w:rPr>
          <w:rFonts w:ascii="Calibri" w:cs="Calibri" w:eastAsia="Calibri" w:hAnsi="Calibri"/>
          <w:sz w:val="22"/>
          <w:szCs w:val="22"/>
          <w:i w:val="1"/>
          <w:iCs w:val="1"/>
          <w:color w:val="auto"/>
        </w:rPr>
        <w:t>– TNG908 enrollment being stopped to fully resource TNG462 and TNG456 –</w:t>
      </w:r>
    </w:p>
    <w:p>
      <w:pPr>
        <w:spacing w:after="0" w:line="282" w:lineRule="exact"/>
        <w:rPr>
          <w:sz w:val="20"/>
          <w:szCs w:val="20"/>
          <w:color w:val="auto"/>
        </w:rPr>
      </w:pPr>
    </w:p>
    <w:p>
      <w:pPr>
        <w:spacing w:after="0" w:line="239" w:lineRule="auto"/>
        <w:rPr>
          <w:sz w:val="20"/>
          <w:szCs w:val="20"/>
          <w:color w:val="auto"/>
        </w:rPr>
      </w:pPr>
      <w:r>
        <w:rPr>
          <w:rFonts w:ascii="Calibri" w:cs="Calibri" w:eastAsia="Calibri" w:hAnsi="Calibri"/>
          <w:sz w:val="22"/>
          <w:szCs w:val="22"/>
          <w:b w:val="1"/>
          <w:bCs w:val="1"/>
          <w:color w:val="auto"/>
        </w:rPr>
        <w:t xml:space="preserve">BOSTON, Mass. – November 6, 2024 </w:t>
      </w:r>
      <w:r>
        <w:rPr>
          <w:rFonts w:ascii="Calibri" w:cs="Calibri" w:eastAsia="Calibri" w:hAnsi="Calibri"/>
          <w:sz w:val="22"/>
          <w:szCs w:val="22"/>
          <w:color w:val="auto"/>
        </w:rPr>
        <w:t>– Tango Therapeutcs, Inc. (NASDAQ: TNGX), a clinical-stage biotechnology company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commited to discovering and delivering the next generaton of precision cancer medicines, announced an update on its PRMT5 program. Based on positve data from the dose escalaton and early dose expansion cohorts of the TNG462 phase 1/2 clinical trial, the Company has selected TNG462 to move forward into full development. TNG908, an MTA-cooperatve brain penetrant PRMT5 inhibitor, is clinically actve and well-tolerated in non-CNS solid tumors including NSCLC and pancreatc cancer. However, TNG908 did not meet the pharmacokinetc exposure threshold for clinical efcacy in glioblastoma (GBM) in the phase 1/2 trial. Thus, the Company is introducing TNG456, a next-generaton brain penetrant MTA-cooperatve PRMT5 inhibitor with enhanced potency and selectvity for the treatment of GBM, NSCLC and selected other solid tumors. TNG908 enrollment is being stopped in order to fully resource TNG462 and TNG456.</w:t>
      </w:r>
    </w:p>
    <w:p>
      <w:pPr>
        <w:spacing w:after="0" w:line="293" w:lineRule="exact"/>
        <w:rPr>
          <w:sz w:val="20"/>
          <w:szCs w:val="20"/>
          <w:color w:val="auto"/>
        </w:rPr>
      </w:pPr>
    </w:p>
    <w:p>
      <w:pPr>
        <w:jc w:val="both"/>
        <w:ind w:right="80"/>
        <w:spacing w:after="0" w:line="238" w:lineRule="auto"/>
        <w:rPr>
          <w:sz w:val="20"/>
          <w:szCs w:val="20"/>
          <w:color w:val="auto"/>
        </w:rPr>
      </w:pPr>
      <w:r>
        <w:rPr>
          <w:rFonts w:ascii="Calibri" w:cs="Calibri" w:eastAsia="Calibri" w:hAnsi="Calibri"/>
          <w:sz w:val="22"/>
          <w:szCs w:val="22"/>
          <w:color w:val="auto"/>
        </w:rPr>
        <w:t>“Early data from the TNG462 phase 1/2 clinical trial demonstrate actvity, durability and tolerability, with the potental to be a best-in-class molecule. In this ongoing clinical trial, patents remain on treatment with a current median of 24 weeks and is stll increasing,” said Adam Crystal, M.D., Ph.D., President, Research and Development of Tango Therapeutcs. “In additon, we are introducing TNG456, our next-generaton brain-penetrant molecule,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897890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 w:name="page14"/>
    <w:bookmarkEnd w:id="13"/>
    <w:p>
      <w:pPr>
        <w:ind w:right="160"/>
        <w:spacing w:after="0" w:line="239" w:lineRule="auto"/>
        <w:rPr>
          <w:sz w:val="20"/>
          <w:szCs w:val="20"/>
          <w:color w:val="auto"/>
        </w:rPr>
      </w:pPr>
      <w:r>
        <w:rPr>
          <w:rFonts w:ascii="Calibri" w:cs="Calibri" w:eastAsia="Calibri" w:hAnsi="Calibri"/>
          <w:sz w:val="22"/>
          <w:szCs w:val="22"/>
          <w:color w:val="auto"/>
        </w:rPr>
        <w:t>antcipated to enter the clinic in the frst half of next year. Given the increased potency, selectvity and predicted brain penetrance of TNG456, we expect CNS exposure to be in the range needed for meaningful efcacy in glioblastoma and brain metastases. While it’s disappointng that, unlike in other solid tumors, TNG908 is not actve in GBM, we believe this is due to lower-than-predicted central nervous system exposure. We remain steadfastly commited to bringing an efectve treatment to people with glioblastoma and we are strongly positoned to achieve our goal of reaching as many patents as possible with MTAP-deleted cancers.”</w:t>
      </w:r>
    </w:p>
    <w:p>
      <w:pPr>
        <w:spacing w:after="0" w:line="285" w:lineRule="exact"/>
        <w:rPr>
          <w:sz w:val="20"/>
          <w:szCs w:val="20"/>
          <w:color w:val="auto"/>
        </w:rPr>
      </w:pPr>
    </w:p>
    <w:p>
      <w:pPr>
        <w:spacing w:after="0"/>
        <w:rPr>
          <w:sz w:val="20"/>
          <w:szCs w:val="20"/>
          <w:color w:val="auto"/>
        </w:rPr>
      </w:pPr>
      <w:r>
        <w:rPr>
          <w:rFonts w:ascii="Calibri" w:cs="Calibri" w:eastAsia="Calibri" w:hAnsi="Calibri"/>
          <w:sz w:val="22"/>
          <w:szCs w:val="22"/>
          <w:color w:val="auto"/>
        </w:rPr>
        <w:t>“Clinical data from the phase 1/2 trial demonstrate that TNG462 has potentally best-in-class characteristcs including clinical actvity across multple tumor types included in the trial, substantve durability, and a good safety and tolerability profle, thus we are moving rapidly into the next phase of development. This includes clinical evaluaton of TNG462 as a monotherapy and in multple combinatons of both targeted and standard of care agents to begin in 1H 2025, in preparaton for registratonal trials in NSCLC and pancreatc cancer. It also includes building key capabilites within Tango to bring TNG462 to a broad range of patents in the coming years. As part of this efort, we have entered into a clinical collaboraton with Revoluton Medicines under which we plan to conduct the frst combinaton trials of an MTA-cooperatve PRMT5 inhibitor with the excitng class of RAS(ON) tri-complex inhibitors. Given that nearly all MTAP-deleted pancreatc cancers have a co-occurring RAS mutaton, we believe this could be a powerful approach to changing the treatment landscape for this challenging cancer,” said Barbara Weber, M.D., President and Chief Executve Ofcer of Tango Therapeutcs.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TNG462, a potentally best-in-class MTA-cooperatve PRMT5 inhibitor</w:t>
      </w:r>
    </w:p>
    <w:p>
      <w:pPr>
        <w:spacing w:after="0" w:line="120" w:lineRule="exact"/>
        <w:rPr>
          <w:sz w:val="20"/>
          <w:szCs w:val="20"/>
          <w:color w:val="auto"/>
        </w:rPr>
      </w:pPr>
    </w:p>
    <w:p>
      <w:pPr>
        <w:ind w:left="1020" w:right="100" w:hanging="503"/>
        <w:spacing w:after="0" w:line="237"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dose escalaton began in July 2023 and enrollment in the dose expansion cohorts began in June 2024. With a data cutof of 20 October 2024, a total of 59 patents have been enrolled, 39 evaluable patents across 13 histologies at actve doses (160-300 mg QD).</w:t>
      </w:r>
    </w:p>
    <w:p>
      <w:pPr>
        <w:spacing w:after="0" w:line="122" w:lineRule="exact"/>
        <w:rPr>
          <w:rFonts w:ascii="Times New Roman" w:cs="Times New Roman" w:eastAsia="Times New Roman" w:hAnsi="Times New Roman"/>
          <w:sz w:val="22"/>
          <w:szCs w:val="22"/>
          <w:color w:val="auto"/>
        </w:rPr>
      </w:pPr>
    </w:p>
    <w:p>
      <w:pPr>
        <w:ind w:left="1020" w:right="500" w:hanging="503"/>
        <w:spacing w:after="0" w:line="235"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is actve and well-tolerated across multple tumor types, including NSCLC and pancreatc cancer, with a current median tme on treatment of 24 weeks, and is stll increasing.</w:t>
      </w:r>
    </w:p>
    <w:p>
      <w:pPr>
        <w:spacing w:after="0" w:line="122" w:lineRule="exact"/>
        <w:rPr>
          <w:rFonts w:ascii="Times New Roman" w:cs="Times New Roman" w:eastAsia="Times New Roman" w:hAnsi="Times New Roman"/>
          <w:sz w:val="22"/>
          <w:szCs w:val="22"/>
          <w:color w:val="auto"/>
        </w:rPr>
      </w:pPr>
    </w:p>
    <w:p>
      <w:pPr>
        <w:ind w:left="1020" w:right="20" w:hanging="503"/>
        <w:spacing w:after="0" w:line="237"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As has been reported with other MTA-cooperatve PRMT5 inhibitors, tumors contnue to shrink over tme in multple tumor types. Median tme to response is 16 weeks (8-32 weeks) and ~60% of patents with partal responses were initally assessed with stable disease.</w:t>
      </w:r>
    </w:p>
    <w:p>
      <w:pPr>
        <w:spacing w:after="0" w:line="122" w:lineRule="exact"/>
        <w:rPr>
          <w:rFonts w:ascii="Times New Roman" w:cs="Times New Roman" w:eastAsia="Times New Roman" w:hAnsi="Times New Roman"/>
          <w:sz w:val="22"/>
          <w:szCs w:val="22"/>
          <w:color w:val="auto"/>
        </w:rPr>
      </w:pPr>
    </w:p>
    <w:p>
      <w:pPr>
        <w:ind w:left="1020" w:right="240" w:hanging="503"/>
        <w:spacing w:after="0" w:line="235"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While there is not yet a sufcient number of evaluable patents and follow-up to accurately estmate ORR for most cancer types, we have enrolled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line="89" w:lineRule="exact"/>
        <w:rPr>
          <w:sz w:val="20"/>
          <w:szCs w:val="20"/>
          <w:color w:val="auto"/>
        </w:rPr>
      </w:pPr>
    </w:p>
    <w:p>
      <w:pPr>
        <w:ind w:left="1020" w:right="480"/>
        <w:spacing w:after="0" w:line="235" w:lineRule="auto"/>
        <w:rPr>
          <w:sz w:val="20"/>
          <w:szCs w:val="20"/>
          <w:color w:val="auto"/>
        </w:rPr>
      </w:pPr>
      <w:r>
        <w:rPr>
          <w:rFonts w:ascii="Calibri" w:cs="Calibri" w:eastAsia="Calibri" w:hAnsi="Calibri"/>
          <w:sz w:val="22"/>
          <w:szCs w:val="22"/>
          <w:color w:val="auto"/>
        </w:rPr>
        <w:t>cholangiocarcinoma patents and observed confrmed partal responses in 3/7 of these patents (ORR 43%). 4/7 cholangiocarcinoma patents are ongoing with a median tme on study of 24 weeks, and is stll increasing.</w:t>
      </w:r>
    </w:p>
    <w:p>
      <w:pPr>
        <w:spacing w:after="0" w:line="122" w:lineRule="exact"/>
        <w:rPr>
          <w:sz w:val="20"/>
          <w:szCs w:val="20"/>
          <w:color w:val="auto"/>
        </w:rPr>
      </w:pPr>
    </w:p>
    <w:p>
      <w:pPr>
        <w:jc w:val="both"/>
        <w:ind w:left="1020" w:right="200" w:hanging="503"/>
        <w:spacing w:after="0" w:line="238" w:lineRule="auto"/>
        <w:tabs>
          <w:tab w:leader="none" w:pos="1020"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has a good safety profle and is well-tolerated at actve doses, with thrombocytopenia as the dose limitng toxicity. Other adverse events reported for the class, including nausea, vomitng, diarrhea, and fatgue, occurred in less than 20% of patents and were predominantly grade 1. Dysgeusia has not been reported with the doses being evaluated in expansion.</w:t>
      </w:r>
    </w:p>
    <w:p>
      <w:pPr>
        <w:spacing w:after="0" w:line="122" w:lineRule="exact"/>
        <w:rPr>
          <w:rFonts w:ascii="Times New Roman" w:cs="Times New Roman" w:eastAsia="Times New Roman" w:hAnsi="Times New Roman"/>
          <w:sz w:val="22"/>
          <w:szCs w:val="22"/>
          <w:color w:val="auto"/>
        </w:rPr>
      </w:pPr>
    </w:p>
    <w:p>
      <w:pPr>
        <w:ind w:left="1020" w:right="360" w:hanging="503"/>
        <w:spacing w:after="0" w:line="235" w:lineRule="auto"/>
        <w:tabs>
          <w:tab w:leader="none" w:pos="1020"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efcacy and tolerability contnue to be evaluated at 200 mg, 250 mg and 300 mg daily, predominantly in NSCLC and pancreatc cancer. The next clinical update is planned for 2025.</w:t>
      </w:r>
    </w:p>
    <w:p>
      <w:pPr>
        <w:spacing w:after="0" w:line="122" w:lineRule="exact"/>
        <w:rPr>
          <w:rFonts w:ascii="Times New Roman" w:cs="Times New Roman" w:eastAsia="Times New Roman" w:hAnsi="Times New Roman"/>
          <w:sz w:val="22"/>
          <w:szCs w:val="22"/>
          <w:color w:val="auto"/>
        </w:rPr>
      </w:pPr>
    </w:p>
    <w:p>
      <w:pPr>
        <w:ind w:left="1020" w:right="220" w:hanging="503"/>
        <w:spacing w:after="0" w:line="253" w:lineRule="auto"/>
        <w:tabs>
          <w:tab w:leader="none" w:pos="1020" w:val="left"/>
        </w:tabs>
        <w:numPr>
          <w:ilvl w:val="0"/>
          <w:numId w:val="10"/>
        </w:numPr>
        <w:rPr>
          <w:rFonts w:ascii="Times New Roman" w:cs="Times New Roman" w:eastAsia="Times New Roman" w:hAnsi="Times New Roman"/>
          <w:sz w:val="21"/>
          <w:szCs w:val="21"/>
          <w:color w:val="auto"/>
        </w:rPr>
      </w:pPr>
      <w:r>
        <w:rPr>
          <w:rFonts w:ascii="Calibri" w:cs="Calibri" w:eastAsia="Calibri" w:hAnsi="Calibri"/>
          <w:sz w:val="21"/>
          <w:szCs w:val="21"/>
          <w:color w:val="auto"/>
        </w:rPr>
        <w:t>Development plans for TNG462 being implemented include targeted combinatons with two RAS(ON) inhibitors – RAS(ON) mult-selectve inhibitor, RMC-6236, and RAS(ON) G12D-selectve inhibitor, RMC-9805 (Revoluton Medicines) – osimertnib (AstraZeneca) and pembrolizumab (Merck), with enrollment planned to start in 1H 2025.</w:t>
      </w:r>
    </w:p>
    <w:p>
      <w:pPr>
        <w:spacing w:after="0" w:line="107" w:lineRule="exact"/>
        <w:rPr>
          <w:rFonts w:ascii="Times New Roman" w:cs="Times New Roman" w:eastAsia="Times New Roman" w:hAnsi="Times New Roman"/>
          <w:sz w:val="21"/>
          <w:szCs w:val="21"/>
          <w:color w:val="auto"/>
        </w:rPr>
      </w:pPr>
    </w:p>
    <w:p>
      <w:pPr>
        <w:ind w:left="1020" w:right="380" w:hanging="503"/>
        <w:spacing w:after="0" w:line="237" w:lineRule="auto"/>
        <w:tabs>
          <w:tab w:leader="none" w:pos="1020"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Combinatons of TNG462 and standard of care chemotherapy for NSCLC and pancreatc cancer also are being planned as potental paths to approval in the frst line setng and we are initatng conversatons with the FDA in preparaton for multple registratonal studies.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TNG908, a blood-brain barrier penetrant, MTA-cooperatve PRMT5 inhibitor</w:t>
      </w:r>
    </w:p>
    <w:p>
      <w:pPr>
        <w:spacing w:after="0" w:line="120" w:lineRule="exact"/>
        <w:rPr>
          <w:sz w:val="20"/>
          <w:szCs w:val="20"/>
          <w:color w:val="auto"/>
        </w:rPr>
      </w:pPr>
    </w:p>
    <w:p>
      <w:pPr>
        <w:ind w:left="1020" w:right="280" w:hanging="503"/>
        <w:spacing w:after="0" w:line="237" w:lineRule="auto"/>
        <w:tabs>
          <w:tab w:leader="none" w:pos="102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TNG908 dose escalaton began in August 2022 and enrollment in the dose expansion cohorts began in April 2024. With a data cutof of 20 October 2024, a total of 103 patents have been enrolled, 70 non-CNS patents across 24 histologies and 33 glioblastoma patents.</w:t>
      </w:r>
    </w:p>
    <w:p>
      <w:pPr>
        <w:spacing w:after="0" w:line="122" w:lineRule="exact"/>
        <w:rPr>
          <w:rFonts w:ascii="Times New Roman" w:cs="Times New Roman" w:eastAsia="Times New Roman" w:hAnsi="Times New Roman"/>
          <w:sz w:val="22"/>
          <w:szCs w:val="22"/>
          <w:color w:val="auto"/>
        </w:rPr>
      </w:pPr>
    </w:p>
    <w:p>
      <w:pPr>
        <w:ind w:left="1020" w:right="240" w:hanging="503"/>
        <w:spacing w:after="0" w:line="235" w:lineRule="auto"/>
        <w:tabs>
          <w:tab w:leader="none" w:pos="102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TNG908 is actve and well-tolerated across multple non-CNS solid tumors, including NSCLC and pancreatc cancer, with a median tme on study of 16 weeks.</w:t>
      </w:r>
    </w:p>
    <w:p>
      <w:pPr>
        <w:spacing w:after="0" w:line="122" w:lineRule="exact"/>
        <w:rPr>
          <w:rFonts w:ascii="Times New Roman" w:cs="Times New Roman" w:eastAsia="Times New Roman" w:hAnsi="Times New Roman"/>
          <w:sz w:val="22"/>
          <w:szCs w:val="22"/>
          <w:color w:val="auto"/>
        </w:rPr>
      </w:pPr>
    </w:p>
    <w:p>
      <w:pPr>
        <w:ind w:left="1020" w:hanging="503"/>
        <w:spacing w:after="0" w:line="237" w:lineRule="auto"/>
        <w:tabs>
          <w:tab w:leader="none" w:pos="102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Of the 70 patents with non-CNS solid tumors, 31 were treated at actve doses (400-600 mg BID) and had at least one tumor assessment. Four partal responses were observed. Responses occurred in pancreatc cancer (2/9), NSCLC (1/4) and urothelial cancer (1/1).</w:t>
      </w:r>
    </w:p>
    <w:p>
      <w:pPr>
        <w:spacing w:after="0" w:line="122" w:lineRule="exact"/>
        <w:rPr>
          <w:rFonts w:ascii="Times New Roman" w:cs="Times New Roman" w:eastAsia="Times New Roman" w:hAnsi="Times New Roman"/>
          <w:sz w:val="22"/>
          <w:szCs w:val="22"/>
          <w:color w:val="auto"/>
        </w:rPr>
      </w:pPr>
    </w:p>
    <w:p>
      <w:pPr>
        <w:ind w:left="1020" w:right="20" w:hanging="503"/>
        <w:spacing w:after="0" w:line="237" w:lineRule="auto"/>
        <w:tabs>
          <w:tab w:leader="none" w:pos="102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Of note, there were a total of nine evaluable pancreatc cancer patents, two with partal responses (ORR 22%) and fve with stable disease as best response to date. The fve ongoing pancreatc cancer patents have been on study for an average of 24 weeks, the longest for 72 weeks.</w:t>
      </w:r>
    </w:p>
    <w:p>
      <w:pPr>
        <w:spacing w:after="0" w:line="122" w:lineRule="exact"/>
        <w:rPr>
          <w:rFonts w:ascii="Times New Roman" w:cs="Times New Roman" w:eastAsia="Times New Roman" w:hAnsi="Times New Roman"/>
          <w:sz w:val="22"/>
          <w:szCs w:val="22"/>
          <w:color w:val="auto"/>
        </w:rPr>
      </w:pPr>
    </w:p>
    <w:p>
      <w:pPr>
        <w:ind w:left="1020" w:right="60" w:hanging="503"/>
        <w:spacing w:after="0" w:line="254" w:lineRule="auto"/>
        <w:tabs>
          <w:tab w:leader="none" w:pos="1020" w:val="left"/>
        </w:tabs>
        <w:numPr>
          <w:ilvl w:val="0"/>
          <w:numId w:val="11"/>
        </w:numPr>
        <w:rPr>
          <w:rFonts w:ascii="Times New Roman" w:cs="Times New Roman" w:eastAsia="Times New Roman" w:hAnsi="Times New Roman"/>
          <w:sz w:val="21"/>
          <w:szCs w:val="21"/>
          <w:color w:val="auto"/>
        </w:rPr>
      </w:pPr>
      <w:r>
        <w:rPr>
          <w:rFonts w:ascii="Calibri" w:cs="Calibri" w:eastAsia="Calibri" w:hAnsi="Calibri"/>
          <w:sz w:val="21"/>
          <w:szCs w:val="21"/>
          <w:color w:val="auto"/>
        </w:rPr>
        <w:t>Of the 33 patents with glioblastoma, 23 were treated at actve doses (400-600 mg BID) and had at least one tumor assessment. No partal responses by RANO criteria were observed and median tme on study was less than 8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9" w:lineRule="exact"/>
        <w:rPr>
          <w:sz w:val="20"/>
          <w:szCs w:val="20"/>
          <w:color w:val="auto"/>
        </w:rPr>
      </w:pPr>
    </w:p>
    <w:p>
      <w:pPr>
        <w:jc w:val="both"/>
        <w:ind w:left="1020" w:hanging="503"/>
        <w:spacing w:after="0" w:line="237" w:lineRule="auto"/>
        <w:tabs>
          <w:tab w:leader="none" w:pos="1020" w:val="left"/>
        </w:tabs>
        <w:numPr>
          <w:ilvl w:val="0"/>
          <w:numId w:val="12"/>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preclinical primate studies of TNG908, cerebral spinal fuid (CSF) exposure was 50-70% of plasma exposure. In CSF samples from three glioblastoma patents on study, exposure was ~30% of plasma exposure and below the threshold required for efcacy.</w:t>
      </w:r>
    </w:p>
    <w:p>
      <w:pPr>
        <w:spacing w:after="0" w:line="122" w:lineRule="exact"/>
        <w:rPr>
          <w:rFonts w:ascii="Times New Roman" w:cs="Times New Roman" w:eastAsia="Times New Roman" w:hAnsi="Times New Roman"/>
          <w:sz w:val="22"/>
          <w:szCs w:val="22"/>
          <w:color w:val="auto"/>
        </w:rPr>
      </w:pPr>
    </w:p>
    <w:p>
      <w:pPr>
        <w:ind w:left="1020" w:right="100" w:hanging="503"/>
        <w:spacing w:after="0" w:line="237" w:lineRule="auto"/>
        <w:tabs>
          <w:tab w:leader="none" w:pos="1020" w:val="left"/>
        </w:tabs>
        <w:numPr>
          <w:ilvl w:val="0"/>
          <w:numId w:val="12"/>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Dose-limitng toxicites were elevated creatne kinase and aspartate aminotransferase in one patent and altered mental status in a second patent, both at 900 mg BID. Nausea and fatgue were reported in ~40% of patents at 600 mg BID, the expansion dose.</w:t>
      </w:r>
    </w:p>
    <w:p>
      <w:pPr>
        <w:spacing w:after="0" w:line="122" w:lineRule="exact"/>
        <w:rPr>
          <w:rFonts w:ascii="Times New Roman" w:cs="Times New Roman" w:eastAsia="Times New Roman" w:hAnsi="Times New Roman"/>
          <w:sz w:val="22"/>
          <w:szCs w:val="22"/>
          <w:color w:val="auto"/>
        </w:rPr>
      </w:pPr>
    </w:p>
    <w:p>
      <w:pPr>
        <w:ind w:left="1020" w:right="20" w:hanging="503"/>
        <w:spacing w:after="0" w:line="239" w:lineRule="auto"/>
        <w:tabs>
          <w:tab w:leader="none" w:pos="1020" w:val="left"/>
        </w:tabs>
        <w:numPr>
          <w:ilvl w:val="0"/>
          <w:numId w:val="12"/>
        </w:numPr>
        <w:rPr>
          <w:rFonts w:ascii="Times New Roman" w:cs="Times New Roman" w:eastAsia="Times New Roman" w:hAnsi="Times New Roman"/>
          <w:sz w:val="22"/>
          <w:szCs w:val="22"/>
          <w:color w:val="auto"/>
        </w:rPr>
      </w:pPr>
      <w:r>
        <w:rPr>
          <w:rFonts w:ascii="Calibri" w:cs="Calibri" w:eastAsia="Calibri" w:hAnsi="Calibri"/>
          <w:sz w:val="22"/>
          <w:szCs w:val="22"/>
          <w:color w:val="auto"/>
        </w:rPr>
        <w:t>While TNG908 is an actve and well-tolerated MTA-cooperatve PRMT5 inhibitor in non-CNS solid tumors, enrollment is being stopped to allow full resourcing of TNG462 as a potental best-in-class molecule. In partcular, the notably longer tme on treatment observed – 24 weeks and stll increasing for TNG462 versus 16 weeks for TNG908 – the superior target coverage and the safety and tolerability profle all support selecton of TNG462 for further development.</w:t>
      </w:r>
    </w:p>
    <w:p>
      <w:pPr>
        <w:spacing w:after="0" w:line="24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TNG456, a next-generaton, brain penetrant MTA-cooperatve PRMT5 inhibitor</w:t>
      </w:r>
    </w:p>
    <w:p>
      <w:pPr>
        <w:spacing w:after="0" w:line="120" w:lineRule="exact"/>
        <w:rPr>
          <w:sz w:val="20"/>
          <w:szCs w:val="20"/>
          <w:color w:val="auto"/>
        </w:rPr>
      </w:pPr>
    </w:p>
    <w:p>
      <w:pPr>
        <w:ind w:left="1020" w:hanging="503"/>
        <w:spacing w:after="0" w:line="235" w:lineRule="auto"/>
        <w:tabs>
          <w:tab w:leader="none" w:pos="1020" w:val="left"/>
        </w:tabs>
        <w:numPr>
          <w:ilvl w:val="0"/>
          <w:numId w:val="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TNG456 is a novel, brain-penetrant MTA-cooperatve PRMT5 inhibitor that is 55X selectve for MTAP deleton with 20 nM potency (GI50) in preclinical studies.</w:t>
      </w:r>
    </w:p>
    <w:p>
      <w:pPr>
        <w:spacing w:after="0" w:line="122" w:lineRule="exact"/>
        <w:rPr>
          <w:rFonts w:ascii="Times New Roman" w:cs="Times New Roman" w:eastAsia="Times New Roman" w:hAnsi="Times New Roman"/>
          <w:sz w:val="22"/>
          <w:szCs w:val="22"/>
          <w:color w:val="auto"/>
        </w:rPr>
      </w:pPr>
    </w:p>
    <w:p>
      <w:pPr>
        <w:ind w:left="1020" w:right="220" w:hanging="503"/>
        <w:spacing w:after="0" w:line="237" w:lineRule="auto"/>
        <w:tabs>
          <w:tab w:leader="none" w:pos="1020" w:val="left"/>
        </w:tabs>
        <w:numPr>
          <w:ilvl w:val="0"/>
          <w:numId w:val="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Based on primate CSF exposure that is 50%-110% of plasma levels and the markedly increased potency and selectvity of TNG456 compared to TNG908 (GI50 120 nM, 15X MTAP-deleted selectvity), TNG456 CNS exposure is predicted to be in the range needed for efcacy in glioblastoma and brain metastases.</w:t>
      </w:r>
    </w:p>
    <w:p>
      <w:pPr>
        <w:spacing w:after="0" w:line="122" w:lineRule="exact"/>
        <w:rPr>
          <w:rFonts w:ascii="Times New Roman" w:cs="Times New Roman" w:eastAsia="Times New Roman" w:hAnsi="Times New Roman"/>
          <w:sz w:val="22"/>
          <w:szCs w:val="22"/>
          <w:color w:val="auto"/>
        </w:rPr>
      </w:pPr>
    </w:p>
    <w:p>
      <w:pPr>
        <w:ind w:left="1020" w:right="480" w:hanging="503"/>
        <w:spacing w:after="0" w:line="238" w:lineRule="auto"/>
        <w:tabs>
          <w:tab w:leader="none" w:pos="1020" w:val="left"/>
        </w:tabs>
        <w:numPr>
          <w:ilvl w:val="0"/>
          <w:numId w:val="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TNG456 will be evaluated in glioblastoma, NSCLC and select other solid tumors as a monotherapy and in combinaton with the brain-penetrant CDK4/6 inhibitor abemaciclib (Lilly). The combinaton with abemaciclib is based on the co-deleton of CDKN2A and MTAP in essentally all MTAP-deleted cancers and on strong synergy observed in preclinical models.</w:t>
      </w:r>
    </w:p>
    <w:p>
      <w:pPr>
        <w:spacing w:after="0" w:line="112"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plans to begin enrolling patents in the TNG456 phase 1/2 study in 1H 2025.</w:t>
      </w:r>
    </w:p>
    <w:p>
      <w:pPr>
        <w:spacing w:after="0" w:line="37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82" w:lineRule="exact"/>
        <w:rPr>
          <w:sz w:val="20"/>
          <w:szCs w:val="20"/>
          <w:color w:val="auto"/>
        </w:rPr>
      </w:pPr>
    </w:p>
    <w:p>
      <w:pPr>
        <w:spacing w:after="0" w:line="253" w:lineRule="auto"/>
        <w:rPr>
          <w:sz w:val="20"/>
          <w:szCs w:val="20"/>
          <w:color w:val="auto"/>
        </w:rPr>
      </w:pPr>
      <w:r>
        <w:rPr>
          <w:rFonts w:ascii="Calibri" w:cs="Calibri" w:eastAsia="Calibri" w:hAnsi="Calibri"/>
          <w:sz w:val="21"/>
          <w:szCs w:val="21"/>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82" w:lineRule="exact"/>
        <w:rPr>
          <w:sz w:val="20"/>
          <w:szCs w:val="20"/>
          <w:color w:val="auto"/>
        </w:rPr>
      </w:pPr>
    </w:p>
    <w:p>
      <w:pPr>
        <w:spacing w:after="0" w:line="252" w:lineRule="auto"/>
        <w:rPr>
          <w:sz w:val="20"/>
          <w:szCs w:val="20"/>
          <w:color w:val="auto"/>
        </w:rPr>
      </w:pPr>
      <w:r>
        <w:rPr>
          <w:rFonts w:ascii="Calibri" w:cs="Calibri" w:eastAsia="Calibri" w:hAnsi="Calibri"/>
          <w:sz w:val="21"/>
          <w:szCs w:val="21"/>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as well as the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the Company is advancing TNG462 into clinical trials as a monotherapy and with multple targeted and standard of care combinatons, including two RAS(ON) tri-complex inhibitors from Revoluton Medicines, Inc.; the Company believes the combinaton of TNG462 with RAS(ON) inhibitors could be a powerful approach to changing the treatment landscape for pancreatc cancer; potental combinaton strategies for PRMT5 inhibitors; the Company’s view that TNG462 has the potental to be a best-in-class MTA-cooperatve PRMT5 inhibitor in multple tumor types, including pancreatc and non-small cell lung cancers; the Company is moving TNG462 into full development; the Company expects cash runway into the third quarter of 2026; the Company expects to share another clinical update on TNG462 in 2025; the Company contnues to advance TNG260 for cancers with STK11 loss-of-functon mutatons, with the phase 1/2 clinical trial ongoing; Tango is commited to discovering and delivering the next generaton of precision cancer medicines; Tango’s commitment to bringing efectve treatment to people with glioblastoma; the Company’s planned and ongoing clinical trials, including the antcipated tming for enrollment and the tming to report results and updates of such trials; the Company’s understanding of the central nervous system exposure required to provide meaningful efcacy in glioblastoma and brain metastases; the Company’s belief that it is strongly positoned to achieve its goal of reaching as many patents as possible with MTAP-deleted cancers; the Company’s ability to build key internal capabilites; the Company’s plans to enter the clinic in a Phase 1/2 clinical trial for TNG456 in the frst half of 2025; the Company’s plans to evaluate TNG456 in certain solid tumors as a monotherapy and in combinaton with abemaciclib; Dr. Weber’s and Dr. Crystal’s statements in this press release; the Company’s initaton of conversatons with the FDA in preparaton for multple registratonal studies; the potental paths to approval in a frst line setng for combinatons of TNG462 and standard of care chemotherapy for NSCLC and ipancreatc cancer; and the expected tming of: (i) development candidate declaraton for certain targets; (ii) initatng IND-enabling studies; (iii) fling INDs; (iv) clinical trial initaton, dose escalaton and dose expansion (including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52" w:lineRule="auto"/>
        <w:rPr>
          <w:sz w:val="20"/>
          <w:szCs w:val="20"/>
          <w:color w:val="auto"/>
        </w:rPr>
      </w:pPr>
      <w:r>
        <w:rPr>
          <w:rFonts w:ascii="Calibri" w:cs="Calibri" w:eastAsia="Calibri" w:hAnsi="Calibri"/>
          <w:sz w:val="21"/>
          <w:szCs w:val="21"/>
          <w:color w:val="auto"/>
        </w:rPr>
        <w:t>combinaton studies) and (v) disclosing inital, interim, additonal and fnal clinical trial results; and the expected benefts of the Company's development candidates and other product candidates (including for combinaton studies).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the benefts of product candidates seen in preclinical tests and analyses may not be evident when tested in later preclinical studies or in clinical trials or when used in broader patent populatons (if approved for commercial sale); Tango has limited experience conductng clinical trials (and will rely on a third party to operate its clinical trials) and may not be able to commence its clinical trials (including opening clinical trial sites, dosing the frst patent, and contnued enrollment and dosing of an adequate number of clinical trial partcipants) when expected, may not be able to contnue dosing, initate dose escalaton and/or dose expansion on antcipated tmelines, and may not generate or report clinical trial results (including fnal, inital or additonal safety, efcacy data and proof-of-mechanism and proof-of-concept) in the antcipated tmeframe (or at all); future clinical trial data releases may difer materially from inital or interim data from our current and future clinical trials; Tango’s pipeline products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initaton of dose expansion, reportng clinical trial results and fling new drug applicatons); Tango’s approach to the discovery and development of product candidates is novel and unproven, which makes it difcult to predict the tme, cost of development, and likelihood of successfully developing any products; the Company may be unable to advance our preclinical development programs into and through the clinic for safety or efcacy reasons or commercialize our product candidates or we may experience signifcant delays in doing so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spacing w:after="0"/>
        <w:rPr>
          <w:sz w:val="20"/>
          <w:szCs w:val="20"/>
          <w:color w:val="auto"/>
        </w:rPr>
      </w:pPr>
      <w:r>
        <w:rPr>
          <w:rFonts w:ascii="Calibri" w:cs="Calibri" w:eastAsia="Calibri" w:hAnsi="Calibri"/>
          <w:sz w:val="22"/>
          <w:szCs w:val="22"/>
          <w:color w:val="auto"/>
        </w:rPr>
        <w:t>result of factors beyond Tango’s control; the Company may not be able to realize the benefts of orphan drug or Fast Track designaton (and such designatons may not advance any antcipated approval tmelines); the expected benefts of our product candidates in patents as single agents and/or in combinaton may not be realized; the Company may experience delays or difcultes in the initaton, enrollment, or dosing of patents in clinical trials or the announcement of clinical trial results;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the Company’s product candidates may cause adverse or other undesirable side efects (or may not show requisite efcacy) that could, among other things, delay or prevent regulatory approval; our dependence on one or a limited number third partes for conductng clinical trials and producing drug substance and drug product (including drug substance, which is currently sole sourced); government regulaton may negatvely impact the Company’s business, including the potental approval of the BIOSECURE Act; and our ability to obtain and maintain patent and other intellectual property protecton for our technology and product candidates or the scope of intellectual property protecton obtained is not sufciently broad. Additonal informaton concerning risks, uncertaintes and assumptons can be found in Tango’s flings with the Securites and Exchange Commission (SEC), including the risk factors referenced in Tango’s Annual Report on Form 10-K for the fscal year ended December 31, 2023, as supplemented and/or modifed by its most recent Quarterly Report on Form 10-Q. You should not place undue reliance on forward-looking statements in this press release, which speak only as of the date they are made and are qualifed in their entrety by reference to the cautonary statements herein. Tango specifcally disclaims any duty to update these forward-looking statements.</w:t>
      </w:r>
    </w:p>
    <w:p>
      <w:pPr>
        <w:spacing w:after="0" w:line="28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Sam Martn/Andrew Vulis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Argot Partners</w:t>
      </w:r>
    </w:p>
    <w:p>
      <w:pPr>
        <w:spacing w:after="0"/>
        <w:rPr>
          <w:sz w:val="20"/>
          <w:szCs w:val="20"/>
          <w:color w:val="auto"/>
        </w:rPr>
      </w:pPr>
      <w:r>
        <w:rPr>
          <w:rFonts w:ascii="Calibri" w:cs="Calibri" w:eastAsia="Calibri" w:hAnsi="Calibri"/>
          <w:sz w:val="22"/>
          <w:szCs w:val="22"/>
          <w:color w:val="0000FF"/>
        </w:rPr>
        <w:t>tango@argotpartners.com</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Amanda Brown Galgay</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SVP, Corporate Communicatons, Tango Therapeutcs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1171575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7">
    <w:nsid w:val="216231B"/>
    <w:multiLevelType w:val="hybridMultilevel"/>
    <w:lvl w:ilvl="0">
      <w:lvlJc w:val="left"/>
      <w:lvlText w:val="\endash "/>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2024-11-06T06:29:46Z</dcterms:created>
  <dcterms:modified xsi:type="dcterms:W3CDTF">2024-11-06T06:29:46Z</dcterms:modified>
</cp:coreProperties>
</file>