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96520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117475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239395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TANGO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103505</wp:posOffset>
            </wp:positionV>
            <wp:extent cx="1517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2780" w:type="dxa"/>
            <w:vAlign w:val="bottom"/>
          </w:tcPr>
          <w:p>
            <w:pPr>
              <w:jc w:val="center"/>
              <w:ind w:right="1231"/>
              <w:spacing w:after="0"/>
              <w:rPr>
                <w:sz w:val="20"/>
                <w:szCs w:val="20"/>
                <w:color w:val="auto"/>
              </w:rPr>
            </w:pPr>
            <w:r>
              <w:rPr>
                <w:rFonts w:ascii="Arial" w:cs="Arial" w:eastAsia="Arial" w:hAnsi="Arial"/>
                <w:sz w:val="16"/>
                <w:szCs w:val="16"/>
                <w:b w:val="1"/>
                <w:bCs w:val="1"/>
                <w:color w:val="auto"/>
                <w:w w:val="91"/>
              </w:rPr>
              <w:t>Delaware</w:t>
            </w:r>
          </w:p>
        </w:tc>
        <w:tc>
          <w:tcPr>
            <w:tcW w:w="3520" w:type="dxa"/>
            <w:vAlign w:val="bottom"/>
          </w:tcPr>
          <w:p>
            <w:pPr>
              <w:ind w:left="1360"/>
              <w:spacing w:after="0"/>
              <w:rPr>
                <w:sz w:val="20"/>
                <w:szCs w:val="20"/>
                <w:color w:val="auto"/>
              </w:rPr>
            </w:pPr>
            <w:r>
              <w:rPr>
                <w:rFonts w:ascii="Arial" w:cs="Arial" w:eastAsia="Arial" w:hAnsi="Arial"/>
                <w:sz w:val="16"/>
                <w:szCs w:val="16"/>
                <w:b w:val="1"/>
                <w:bCs w:val="1"/>
                <w:color w:val="auto"/>
              </w:rPr>
              <w:t>001-39485</w:t>
            </w:r>
          </w:p>
        </w:tc>
        <w:tc>
          <w:tcPr>
            <w:tcW w:w="2420" w:type="dxa"/>
            <w:vAlign w:val="bottom"/>
          </w:tcPr>
          <w:p>
            <w:pPr>
              <w:jc w:val="center"/>
              <w:ind w:left="1371"/>
              <w:spacing w:after="0"/>
              <w:rPr>
                <w:sz w:val="20"/>
                <w:szCs w:val="20"/>
                <w:color w:val="auto"/>
              </w:rPr>
            </w:pPr>
            <w:r>
              <w:rPr>
                <w:rFonts w:ascii="Arial" w:cs="Arial" w:eastAsia="Arial" w:hAnsi="Arial"/>
                <w:sz w:val="16"/>
                <w:szCs w:val="16"/>
                <w:b w:val="1"/>
                <w:bCs w:val="1"/>
                <w:color w:val="auto"/>
                <w:w w:val="91"/>
              </w:rPr>
              <w:t>85-1195036</w:t>
            </w:r>
          </w:p>
        </w:tc>
      </w:tr>
      <w:tr>
        <w:trPr>
          <w:trHeight w:val="150"/>
        </w:trPr>
        <w:tc>
          <w:tcPr>
            <w:tcW w:w="2780" w:type="dxa"/>
            <w:vAlign w:val="bottom"/>
          </w:tcPr>
          <w:p>
            <w:pPr>
              <w:jc w:val="center"/>
              <w:ind w:right="1271"/>
              <w:spacing w:after="0"/>
              <w:rPr>
                <w:sz w:val="20"/>
                <w:szCs w:val="20"/>
                <w:color w:val="auto"/>
              </w:rPr>
            </w:pPr>
            <w:r>
              <w:rPr>
                <w:rFonts w:ascii="Arial" w:cs="Arial" w:eastAsia="Arial" w:hAnsi="Arial"/>
                <w:sz w:val="13"/>
                <w:szCs w:val="13"/>
                <w:b w:val="1"/>
                <w:bCs w:val="1"/>
                <w:color w:val="auto"/>
                <w:w w:val="88"/>
              </w:rPr>
              <w:t>(State or other jurisdiction</w:t>
            </w:r>
          </w:p>
        </w:tc>
        <w:tc>
          <w:tcPr>
            <w:tcW w:w="3520" w:type="dxa"/>
            <w:vAlign w:val="bottom"/>
          </w:tcPr>
          <w:p>
            <w:pPr>
              <w:ind w:left="1360"/>
              <w:spacing w:after="0"/>
              <w:rPr>
                <w:sz w:val="20"/>
                <w:szCs w:val="20"/>
                <w:color w:val="auto"/>
              </w:rPr>
            </w:pPr>
            <w:r>
              <w:rPr>
                <w:rFonts w:ascii="Arial" w:cs="Arial" w:eastAsia="Arial" w:hAnsi="Arial"/>
                <w:sz w:val="13"/>
                <w:szCs w:val="13"/>
                <w:b w:val="1"/>
                <w:bCs w:val="1"/>
                <w:color w:val="auto"/>
              </w:rPr>
              <w:t>(Commission</w:t>
            </w:r>
          </w:p>
        </w:tc>
        <w:tc>
          <w:tcPr>
            <w:tcW w:w="2420" w:type="dxa"/>
            <w:vAlign w:val="bottom"/>
          </w:tcPr>
          <w:p>
            <w:pPr>
              <w:jc w:val="center"/>
              <w:ind w:left="1371"/>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780" w:type="dxa"/>
            <w:vAlign w:val="bottom"/>
          </w:tcPr>
          <w:p>
            <w:pPr>
              <w:jc w:val="center"/>
              <w:ind w:right="1231"/>
              <w:spacing w:after="0"/>
              <w:rPr>
                <w:sz w:val="20"/>
                <w:szCs w:val="20"/>
                <w:color w:val="auto"/>
              </w:rPr>
            </w:pPr>
            <w:r>
              <w:rPr>
                <w:rFonts w:ascii="Arial" w:cs="Arial" w:eastAsia="Arial" w:hAnsi="Arial"/>
                <w:sz w:val="13"/>
                <w:szCs w:val="13"/>
                <w:b w:val="1"/>
                <w:bCs w:val="1"/>
                <w:color w:val="auto"/>
                <w:w w:val="88"/>
              </w:rPr>
              <w:t>of incorporation)</w:t>
            </w:r>
          </w:p>
        </w:tc>
        <w:tc>
          <w:tcPr>
            <w:tcW w:w="3520" w:type="dxa"/>
            <w:vAlign w:val="bottom"/>
          </w:tcPr>
          <w:p>
            <w:pPr>
              <w:ind w:left="1340"/>
              <w:spacing w:after="0"/>
              <w:rPr>
                <w:sz w:val="20"/>
                <w:szCs w:val="20"/>
                <w:color w:val="auto"/>
              </w:rPr>
            </w:pPr>
            <w:r>
              <w:rPr>
                <w:rFonts w:ascii="Arial" w:cs="Arial" w:eastAsia="Arial" w:hAnsi="Arial"/>
                <w:sz w:val="13"/>
                <w:szCs w:val="13"/>
                <w:b w:val="1"/>
                <w:bCs w:val="1"/>
                <w:color w:val="auto"/>
              </w:rPr>
              <w:t>File Number)</w:t>
            </w:r>
          </w:p>
        </w:tc>
        <w:tc>
          <w:tcPr>
            <w:tcW w:w="2420" w:type="dxa"/>
            <w:vAlign w:val="bottom"/>
          </w:tcPr>
          <w:p>
            <w:pPr>
              <w:jc w:val="center"/>
              <w:ind w:left="1371"/>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200" w:lineRule="exact"/>
        <w:rPr>
          <w:sz w:val="24"/>
          <w:szCs w:val="24"/>
          <w:color w:val="auto"/>
        </w:rPr>
      </w:pPr>
    </w:p>
    <w:p>
      <w:pPr>
        <w:sectPr>
          <w:pgSz w:w="11900" w:h="16838" w:orient="portrait"/>
          <w:cols w:equalWidth="0" w:num="1">
            <w:col w:w="11240"/>
          </w:cols>
          <w:pgMar w:left="320" w:top="890" w:right="339" w:bottom="1440" w:gutter="0" w:footer="0" w:header="0"/>
        </w:sectPr>
      </w:pPr>
    </w:p>
    <w:p>
      <w:pPr>
        <w:spacing w:after="0" w:line="45" w:lineRule="exact"/>
        <w:rPr>
          <w:sz w:val="24"/>
          <w:szCs w:val="24"/>
          <w:color w:val="auto"/>
        </w:rPr>
      </w:pPr>
    </w:p>
    <w:p>
      <w:pPr>
        <w:jc w:val="center"/>
        <w:ind w:left="900"/>
        <w:spacing w:after="0"/>
        <w:rPr>
          <w:sz w:val="20"/>
          <w:szCs w:val="20"/>
          <w:color w:val="auto"/>
        </w:rPr>
      </w:pPr>
      <w:r>
        <w:rPr>
          <w:rFonts w:ascii="Arial" w:cs="Arial" w:eastAsia="Arial" w:hAnsi="Arial"/>
          <w:sz w:val="14"/>
          <w:szCs w:val="14"/>
          <w:b w:val="1"/>
          <w:bCs w:val="1"/>
          <w:color w:val="auto"/>
        </w:rPr>
        <w:t>201 Brookline Ave., Suite 901</w:t>
      </w:r>
    </w:p>
    <w:p>
      <w:pPr>
        <w:spacing w:after="0" w:line="49" w:lineRule="exact"/>
        <w:rPr>
          <w:sz w:val="24"/>
          <w:szCs w:val="24"/>
          <w:color w:val="auto"/>
        </w:rPr>
      </w:pPr>
    </w:p>
    <w:p>
      <w:pPr>
        <w:jc w:val="center"/>
        <w:ind w:left="90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02215</w:t>
      </w:r>
    </w:p>
    <w:p>
      <w:pPr>
        <w:spacing w:after="0" w:line="63" w:lineRule="exact"/>
        <w:rPr>
          <w:sz w:val="24"/>
          <w:szCs w:val="24"/>
          <w:color w:val="auto"/>
        </w:rPr>
      </w:pPr>
    </w:p>
    <w:p>
      <w:pPr>
        <w:sectPr>
          <w:pgSz w:w="11900" w:h="16838" w:orient="portrait"/>
          <w:cols w:equalWidth="0" w:num="2">
            <w:col w:w="6580" w:space="720"/>
            <w:col w:w="3940"/>
          </w:cols>
          <w:pgMar w:left="320" w:top="890" w:right="339" w:bottom="1440" w:gutter="0" w:footer="0" w:header="0"/>
          <w:type w:val="continuous"/>
        </w:sectPr>
      </w:pPr>
    </w:p>
    <w:p>
      <w:pPr>
        <w:jc w:val="center"/>
        <w:ind w:left="96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200" w:lineRule="exact"/>
        <w:rPr>
          <w:sz w:val="24"/>
          <w:szCs w:val="24"/>
          <w:color w:val="auto"/>
        </w:rPr>
      </w:pPr>
    </w:p>
    <w:p>
      <w:pPr>
        <w:sectPr>
          <w:pgSz w:w="11900" w:h="16838" w:orient="portrait"/>
          <w:cols w:equalWidth="0" w:num="2">
            <w:col w:w="6520" w:space="720"/>
            <w:col w:w="4000"/>
          </w:cols>
          <w:pgMar w:left="320" w:top="890" w:right="339" w:bottom="1440" w:gutter="0" w:footer="0" w:header="0"/>
          <w:type w:val="continuous"/>
        </w:sectPr>
      </w:pP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114935</wp:posOffset>
            </wp:positionV>
            <wp:extent cx="1517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13e-4(c)under the Exchange Act (17 CFR 240.13e-4(c))</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140" w:type="dxa"/>
            <w:vAlign w:val="bottom"/>
          </w:tcPr>
          <w:p>
            <w:pPr>
              <w:spacing w:after="0"/>
              <w:rPr>
                <w:sz w:val="12"/>
                <w:szCs w:val="12"/>
                <w:color w:val="auto"/>
              </w:rPr>
            </w:pPr>
          </w:p>
        </w:tc>
        <w:tc>
          <w:tcPr>
            <w:tcW w:w="35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6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140" w:type="dxa"/>
            <w:vAlign w:val="bottom"/>
          </w:tcPr>
          <w:p>
            <w:pPr>
              <w:spacing w:after="0"/>
              <w:rPr>
                <w:sz w:val="14"/>
                <w:szCs w:val="14"/>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78"/>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w:t>
            </w:r>
          </w:p>
        </w:tc>
        <w:tc>
          <w:tcPr>
            <w:tcW w:w="12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TNGX</w:t>
            </w:r>
          </w:p>
        </w:tc>
        <w:tc>
          <w:tcPr>
            <w:tcW w:w="1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1"/>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226" w:lineRule="exact"/>
        <w:rPr>
          <w:sz w:val="24"/>
          <w:szCs w:val="24"/>
          <w:color w:val="auto"/>
        </w:rPr>
      </w:pPr>
    </w:p>
    <w:p>
      <w:pPr>
        <w:ind w:right="12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37" w:lineRule="exact"/>
        <w:rPr>
          <w:sz w:val="24"/>
          <w:szCs w:val="24"/>
          <w:color w:val="auto"/>
        </w:rPr>
      </w:pPr>
    </w:p>
    <w:p>
      <w:pPr>
        <w:ind w:left="9320"/>
        <w:spacing w:after="0" w:line="161" w:lineRule="exact"/>
        <w:rPr>
          <w:sz w:val="20"/>
          <w:szCs w:val="20"/>
          <w:color w:val="auto"/>
        </w:rPr>
      </w:pPr>
      <w:r>
        <w:rPr>
          <w:rFonts w:ascii="Arial" w:cs="Arial" w:eastAsia="Arial" w:hAnsi="Arial"/>
          <w:sz w:val="14"/>
          <w:szCs w:val="14"/>
          <w:color w:val="auto"/>
        </w:rPr>
        <w:t>Emerging growth company</w:t>
      </w:r>
      <w:r>
        <w:rPr>
          <w:rFonts w:ascii="MS PGothic" w:cs="MS PGothic" w:eastAsia="MS PGothic" w:hAnsi="MS PGothic"/>
          <w:sz w:val="14"/>
          <w:szCs w:val="14"/>
          <w:color w:val="auto"/>
        </w:rPr>
        <w:t>☒</w:t>
      </w:r>
    </w:p>
    <w:p>
      <w:pPr>
        <w:spacing w:after="0" w:line="271" w:lineRule="exact"/>
        <w:rPr>
          <w:sz w:val="24"/>
          <w:szCs w:val="24"/>
          <w:color w:val="auto"/>
        </w:rPr>
      </w:pPr>
    </w:p>
    <w:p>
      <w:pPr>
        <w:ind w:right="5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8"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0"/>
          <w:szCs w:val="20"/>
          <w:color w:val="auto"/>
        </w:rPr>
        <w:t>On August 7, 2023, Tango Therapeutics, Inc. (Tango or the Company) issued a press release relating to its results of operations and financial condition for the quarter ended June 30, 2023. A copy of the press release is furnished as Exhibit 99.1 to this Current Report on Form 8-K.</w:t>
      </w:r>
    </w:p>
    <w:p>
      <w:pPr>
        <w:spacing w:after="0" w:line="19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96"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8"/>
          <w:szCs w:val="18"/>
          <w:color w:val="auto"/>
        </w:rPr>
        <w:t>On August 3, 2023, Alan Huang, Ph.D., the Company's Chief Scientific Officer, notified the Company that he intends to transition out of his role as Chief Scientific Officer. For the period from August 7, 2023 to October 6, 2023, Dr. Huang will continue to serve in his capacity as the Company's Chief Scientific Officer, and will be dedicating 60% of his time to his duties as the Company's Chief Scientific Officer. Following October 6, 2023, Dr. Huang will serve as a consultant for the Company (as described further below).</w:t>
      </w:r>
    </w:p>
    <w:p>
      <w:pPr>
        <w:spacing w:after="0" w:line="17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8"/>
          <w:szCs w:val="18"/>
          <w:color w:val="auto"/>
        </w:rPr>
        <w:t>The Company and Dr. Huang entered into a consulting agreement on August 7, 2023 (the “Consulting Agreement”), that will become effective on October 7, 2023, pursuant to which Dr. Huang will provide consulting services related to target platform and early discovery projects. Dr. Huang will receive consideration of $4,000 per week and continued vesting of his equity awards as described below.</w:t>
      </w:r>
    </w:p>
    <w:p>
      <w:pPr>
        <w:spacing w:after="0" w:line="16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9"/>
          <w:szCs w:val="19"/>
          <w:color w:val="auto"/>
        </w:rPr>
        <w:t>In connection with Dr. Huang's transition out of his role, during the period from August 7, 2023 to October 6, 2023, Dr. Huang's annual base salary will be decreased by 40% to $225,231 (on an annualized basis) and Dr. Huang will no longer receive any base salary payments after October 6, 2023. Contingent upon his continued service to the Company through October 6, 2023, Mr. Huang will receive a pro-rated 2023 cash bonus payment equal to $136,491. In addition, Dr. Huang's outstanding equity awards will be amended, effective as of October 7, 2023, in the following manner: (i) all such equity incentive awards issued pursuant to the Company's 2017 Stock Option and Grant Plan shall continue to vest in accordance with the terms of such awards for such period as Dr. Huang continues to provide consulting services under the Consulting Agreement (as described above), and (ii) all such equity incentive awards issued pursuant to the 2021 Stock Option and Incentive Plan shall continue to vest on each scheduled vesting date at a rate equal to 20% of the number of shares that were due to vest on such date (and, as of October 6, 2023, 80% of the outstanding unvested shares subject to Dr. Huang’s 2021 Stock Option and Incentive Plan equity incentive awards shall be terminated and cancelled) for such period as Dr. Huang continues to provide consulting services under the Consulting Agreement.</w:t>
      </w:r>
    </w:p>
    <w:p>
      <w:pPr>
        <w:spacing w:after="0" w:line="200" w:lineRule="exact"/>
        <w:rPr>
          <w:sz w:val="20"/>
          <w:szCs w:val="20"/>
          <w:color w:val="auto"/>
        </w:rPr>
      </w:pPr>
    </w:p>
    <w:p>
      <w:pPr>
        <w:jc w:val="both"/>
        <w:ind w:firstLine="509"/>
        <w:spacing w:after="0" w:line="316" w:lineRule="auto"/>
        <w:rPr>
          <w:sz w:val="20"/>
          <w:szCs w:val="20"/>
          <w:color w:val="auto"/>
        </w:rPr>
      </w:pPr>
      <w:r>
        <w:rPr>
          <w:rFonts w:ascii="Arial" w:cs="Arial" w:eastAsia="Arial" w:hAnsi="Arial"/>
          <w:sz w:val="18"/>
          <w:szCs w:val="18"/>
          <w:color w:val="auto"/>
        </w:rPr>
        <w:t>The foregoing description of the Consulting Agreement is qualified in its entirety by the complete text of such agreement, which the Company intends to file with the Securities and Exchange Commission as an exhibit to the Company’s next Quarterly Report on Form 10-Q.</w:t>
      </w:r>
    </w:p>
    <w:p>
      <w:pPr>
        <w:spacing w:after="0" w:line="232"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r>
              <w:rPr>
                <w:rFonts w:ascii="Arial" w:cs="Arial" w:eastAsia="Arial" w:hAnsi="Arial"/>
                <w:sz w:val="19"/>
                <w:szCs w:val="19"/>
                <w:color w:val="auto"/>
              </w:rPr>
              <w:t>.</w:t>
            </w:r>
          </w:p>
        </w:tc>
        <w:tc>
          <w:tcPr>
            <w:tcW w:w="700" w:type="dxa"/>
            <w:vAlign w:val="bottom"/>
          </w:tcPr>
          <w:p>
            <w:pPr>
              <w:spacing w:after="0"/>
              <w:rPr>
                <w:sz w:val="19"/>
                <w:szCs w:val="19"/>
                <w:color w:val="auto"/>
              </w:rPr>
            </w:pPr>
          </w:p>
        </w:tc>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40" w:type="dxa"/>
            <w:vAlign w:val="bottom"/>
          </w:tcPr>
          <w:p>
            <w:pPr>
              <w:ind w:left="20"/>
              <w:spacing w:after="0"/>
              <w:rPr>
                <w:sz w:val="20"/>
                <w:szCs w:val="20"/>
                <w:color w:val="auto"/>
              </w:rPr>
            </w:pPr>
            <w:r>
              <w:rPr>
                <w:rFonts w:ascii="Arial" w:cs="Arial" w:eastAsia="Arial" w:hAnsi="Arial"/>
                <w:sz w:val="20"/>
                <w:szCs w:val="20"/>
                <w:color w:val="auto"/>
              </w:rPr>
              <w:t>99.1</w:t>
            </w:r>
          </w:p>
        </w:tc>
        <w:tc>
          <w:tcPr>
            <w:tcW w:w="3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20"/>
                <w:szCs w:val="20"/>
                <w:color w:val="0000FF"/>
                <w:w w:val="89"/>
              </w:rPr>
              <w:t>Press Release issued by Tango Therapeutics, Inc. on August 7, 2023 relating to its results of operations and financial condition</w:t>
            </w:r>
          </w:p>
        </w:tc>
      </w:tr>
      <w:tr>
        <w:trPr>
          <w:trHeight w:val="20"/>
        </w:trPr>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00" w:type="dxa"/>
            <w:vAlign w:val="bottom"/>
            <w:gridSpan w:val="5"/>
          </w:tcPr>
          <w:p>
            <w:pPr>
              <w:spacing w:after="0" w:line="209" w:lineRule="exact"/>
              <w:rPr>
                <w:sz w:val="20"/>
                <w:szCs w:val="20"/>
                <w:color w:val="auto"/>
              </w:rPr>
            </w:pPr>
            <w:r>
              <w:rPr>
                <w:rFonts w:ascii="Arial" w:cs="Arial" w:eastAsia="Arial" w:hAnsi="Arial"/>
                <w:sz w:val="20"/>
                <w:szCs w:val="20"/>
                <w:color w:val="0000FF"/>
              </w:rPr>
              <w:t>for the quarter ended June 30, 2023.</w:t>
            </w:r>
          </w:p>
        </w:tc>
      </w:tr>
      <w:tr>
        <w:trPr>
          <w:trHeight w:val="20"/>
        </w:trPr>
        <w:tc>
          <w:tcPr>
            <w:tcW w:w="8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430"/>
        </w:trPr>
        <w:tc>
          <w:tcPr>
            <w:tcW w:w="840" w:type="dxa"/>
            <w:vAlign w:val="bottom"/>
          </w:tcPr>
          <w:p>
            <w:pPr>
              <w:ind w:left="20"/>
              <w:spacing w:after="0"/>
              <w:rPr>
                <w:sz w:val="20"/>
                <w:szCs w:val="20"/>
                <w:color w:val="auto"/>
              </w:rPr>
            </w:pPr>
            <w:r>
              <w:rPr>
                <w:rFonts w:ascii="Arial" w:cs="Arial" w:eastAsia="Arial" w:hAnsi="Arial"/>
                <w:sz w:val="20"/>
                <w:szCs w:val="20"/>
                <w:color w:val="auto"/>
              </w:rPr>
              <w:t>104</w:t>
            </w:r>
          </w:p>
        </w:tc>
        <w:tc>
          <w:tcPr>
            <w:tcW w:w="30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340"/>
        </w:trPr>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180" w:lineRule="exact"/>
        <w:rPr>
          <w:sz w:val="20"/>
          <w:szCs w:val="20"/>
          <w:color w:val="auto"/>
        </w:rPr>
      </w:pPr>
    </w:p>
    <w:p>
      <w:pPr>
        <w:ind w:right="520" w:firstLine="509"/>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80" w:type="dxa"/>
            <w:vAlign w:val="bottom"/>
          </w:tcPr>
          <w:p>
            <w:pPr>
              <w:spacing w:after="0"/>
              <w:rPr>
                <w:sz w:val="23"/>
                <w:szCs w:val="23"/>
                <w:color w:val="auto"/>
              </w:rPr>
            </w:pPr>
          </w:p>
        </w:tc>
        <w:tc>
          <w:tcPr>
            <w:tcW w:w="8460" w:type="dxa"/>
            <w:vAlign w:val="bottom"/>
            <w:gridSpan w:val="3"/>
          </w:tcPr>
          <w:p>
            <w:pPr>
              <w:ind w:left="760"/>
              <w:spacing w:after="0"/>
              <w:rPr>
                <w:sz w:val="20"/>
                <w:szCs w:val="20"/>
                <w:color w:val="auto"/>
              </w:rPr>
            </w:pPr>
            <w:r>
              <w:rPr>
                <w:rFonts w:ascii="Arial" w:cs="Arial" w:eastAsia="Arial" w:hAnsi="Arial"/>
                <w:sz w:val="22"/>
                <w:szCs w:val="22"/>
                <w:color w:val="auto"/>
              </w:rPr>
              <w:t>TANGO THERAPEUTICS, INC.</w:t>
            </w:r>
          </w:p>
        </w:tc>
      </w:tr>
      <w:tr>
        <w:trPr>
          <w:trHeight w:val="435"/>
        </w:trPr>
        <w:tc>
          <w:tcPr>
            <w:tcW w:w="2780" w:type="dxa"/>
            <w:vAlign w:val="bottom"/>
          </w:tcPr>
          <w:p>
            <w:pPr>
              <w:spacing w:after="0"/>
              <w:rPr>
                <w:sz w:val="20"/>
                <w:szCs w:val="20"/>
                <w:color w:val="auto"/>
              </w:rPr>
            </w:pPr>
            <w:r>
              <w:rPr>
                <w:rFonts w:ascii="Arial" w:cs="Arial" w:eastAsia="Arial" w:hAnsi="Arial"/>
                <w:sz w:val="22"/>
                <w:szCs w:val="22"/>
                <w:color w:val="auto"/>
              </w:rPr>
              <w:t>Dated: August 7, 2023</w:t>
            </w:r>
          </w:p>
        </w:tc>
        <w:tc>
          <w:tcPr>
            <w:tcW w:w="8460" w:type="dxa"/>
            <w:vAlign w:val="bottom"/>
            <w:gridSpan w:val="3"/>
          </w:tcPr>
          <w:p>
            <w:pPr>
              <w:ind w:left="1220"/>
              <w:spacing w:after="0"/>
              <w:rPr>
                <w:sz w:val="20"/>
                <w:szCs w:val="20"/>
                <w:color w:val="auto"/>
              </w:rPr>
            </w:pPr>
            <w:r>
              <w:rPr>
                <w:rFonts w:ascii="Arial" w:cs="Arial" w:eastAsia="Arial" w:hAnsi="Arial"/>
                <w:sz w:val="22"/>
                <w:szCs w:val="22"/>
                <w:color w:val="auto"/>
              </w:rPr>
              <w:t>By: /s/ Douglas Barry</w:t>
            </w:r>
          </w:p>
        </w:tc>
      </w:tr>
      <w:tr>
        <w:trPr>
          <w:trHeight w:val="20"/>
        </w:trPr>
        <w:tc>
          <w:tcPr>
            <w:tcW w:w="2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242"/>
        </w:trPr>
        <w:tc>
          <w:tcPr>
            <w:tcW w:w="2780" w:type="dxa"/>
            <w:vAlign w:val="bottom"/>
          </w:tcPr>
          <w:p>
            <w:pPr>
              <w:spacing w:after="0"/>
              <w:rPr>
                <w:sz w:val="21"/>
                <w:szCs w:val="21"/>
                <w:color w:val="auto"/>
              </w:rPr>
            </w:pPr>
          </w:p>
        </w:tc>
        <w:tc>
          <w:tcPr>
            <w:tcW w:w="8460" w:type="dxa"/>
            <w:vAlign w:val="bottom"/>
            <w:gridSpan w:val="3"/>
          </w:tcPr>
          <w:p>
            <w:pPr>
              <w:ind w:left="760"/>
              <w:spacing w:after="0" w:line="242" w:lineRule="exact"/>
              <w:rPr>
                <w:sz w:val="20"/>
                <w:szCs w:val="20"/>
                <w:color w:val="auto"/>
              </w:rPr>
            </w:pPr>
            <w:r>
              <w:rPr>
                <w:rFonts w:ascii="Arial" w:cs="Arial" w:eastAsia="Arial" w:hAnsi="Arial"/>
                <w:sz w:val="22"/>
                <w:szCs w:val="22"/>
                <w:color w:val="auto"/>
              </w:rPr>
              <w:t>Name: Douglas Barry</w:t>
            </w:r>
          </w:p>
        </w:tc>
      </w:tr>
      <w:tr>
        <w:trPr>
          <w:trHeight w:val="274"/>
        </w:trPr>
        <w:tc>
          <w:tcPr>
            <w:tcW w:w="2780" w:type="dxa"/>
            <w:vAlign w:val="bottom"/>
          </w:tcPr>
          <w:p>
            <w:pPr>
              <w:spacing w:after="0"/>
              <w:rPr>
                <w:sz w:val="23"/>
                <w:szCs w:val="23"/>
                <w:color w:val="auto"/>
              </w:rPr>
            </w:pPr>
          </w:p>
        </w:tc>
        <w:tc>
          <w:tcPr>
            <w:tcW w:w="8460" w:type="dxa"/>
            <w:vAlign w:val="bottom"/>
            <w:gridSpan w:val="3"/>
          </w:tcPr>
          <w:p>
            <w:pPr>
              <w:ind w:left="760"/>
              <w:spacing w:after="0"/>
              <w:rPr>
                <w:sz w:val="20"/>
                <w:szCs w:val="20"/>
                <w:color w:val="auto"/>
              </w:rPr>
            </w:pPr>
            <w:r>
              <w:rPr>
                <w:rFonts w:ascii="Arial" w:cs="Arial" w:eastAsia="Arial" w:hAnsi="Arial"/>
                <w:sz w:val="22"/>
                <w:szCs w:val="22"/>
                <w:color w:val="auto"/>
              </w:rPr>
              <w:t>Title: General Counsel</w:t>
            </w:r>
          </w:p>
        </w:tc>
      </w:tr>
      <w:tr>
        <w:trPr>
          <w:trHeight w:val="105"/>
        </w:trPr>
        <w:tc>
          <w:tcPr>
            <w:tcW w:w="27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5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Second Quarter 2023 Financial Results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Provides Business Highlights</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 First patent dosed in phase 1/2 trial of TNG462, a next-generaton PRMT5 inhibitor for the treatment of MTAP-deleted tumors</w:t>
      </w:r>
    </w:p>
    <w:p>
      <w:pPr>
        <w:spacing w:after="0" w:line="53" w:lineRule="exact"/>
        <w:rPr>
          <w:sz w:val="20"/>
          <w:szCs w:val="20"/>
          <w:color w:val="auto"/>
        </w:rPr>
      </w:pPr>
    </w:p>
    <w:p>
      <w:pPr>
        <w:ind w:left="5580"/>
        <w:spacing w:after="0"/>
        <w:rPr>
          <w:sz w:val="20"/>
          <w:szCs w:val="20"/>
          <w:color w:val="auto"/>
        </w:rPr>
      </w:pPr>
      <w:r>
        <w:rPr>
          <w:rFonts w:ascii="Arial" w:cs="Arial" w:eastAsia="Arial" w:hAnsi="Arial"/>
          <w:sz w:val="22"/>
          <w:szCs w:val="22"/>
          <w:i w:val="1"/>
          <w:iCs w:val="1"/>
          <w:color w:val="auto"/>
        </w:rPr>
        <w: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9"/>
          <w:szCs w:val="19"/>
          <w:i w:val="1"/>
          <w:iCs w:val="1"/>
          <w:color w:val="auto"/>
        </w:rPr>
        <w:t>– Dose escalaton ongoing in phase 1/2 trial of TNG908, a novel brain-penetrant PRMT5 inhibitor for the treatment of MTAP-</w:t>
      </w:r>
    </w:p>
    <w:p>
      <w:pPr>
        <w:spacing w:after="0" w:line="53" w:lineRule="exact"/>
        <w:rPr>
          <w:sz w:val="20"/>
          <w:szCs w:val="20"/>
          <w:color w:val="auto"/>
        </w:rPr>
      </w:pPr>
    </w:p>
    <w:p>
      <w:pPr>
        <w:ind w:left="4880"/>
        <w:spacing w:after="0"/>
        <w:rPr>
          <w:sz w:val="20"/>
          <w:szCs w:val="20"/>
          <w:color w:val="auto"/>
        </w:rPr>
      </w:pPr>
      <w:r>
        <w:rPr>
          <w:rFonts w:ascii="Arial" w:cs="Arial" w:eastAsia="Arial" w:hAnsi="Arial"/>
          <w:sz w:val="22"/>
          <w:szCs w:val="22"/>
          <w:i w:val="1"/>
          <w:iCs w:val="1"/>
          <w:color w:val="auto"/>
        </w:rPr>
        <w:t>deleted tumors –</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9"/>
          <w:szCs w:val="19"/>
          <w:i w:val="1"/>
          <w:iCs w:val="1"/>
          <w:color w:val="auto"/>
        </w:rPr>
        <w:t>– First patent dosed in phase 1/2 trial of TNG260, a frst-in-class CoREST complex inhibitor, with pembrolizumab for the</w:t>
      </w:r>
    </w:p>
    <w:p>
      <w:pPr>
        <w:spacing w:after="0" w:line="53" w:lineRule="exact"/>
        <w:rPr>
          <w:sz w:val="20"/>
          <w:szCs w:val="20"/>
          <w:color w:val="auto"/>
        </w:rPr>
      </w:pPr>
    </w:p>
    <w:p>
      <w:pPr>
        <w:ind w:left="4100"/>
        <w:spacing w:after="0"/>
        <w:rPr>
          <w:sz w:val="20"/>
          <w:szCs w:val="20"/>
          <w:color w:val="auto"/>
        </w:rPr>
      </w:pPr>
      <w:r>
        <w:rPr>
          <w:rFonts w:ascii="Arial" w:cs="Arial" w:eastAsia="Arial" w:hAnsi="Arial"/>
          <w:sz w:val="22"/>
          <w:szCs w:val="22"/>
          <w:i w:val="1"/>
          <w:iCs w:val="1"/>
          <w:color w:val="auto"/>
        </w:rPr>
        <w:t>treatment STK11-mutant cancers –</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9"/>
          <w:szCs w:val="19"/>
          <w:i w:val="1"/>
          <w:iCs w:val="1"/>
          <w:color w:val="auto"/>
        </w:rPr>
        <w:t>– Alan Huang, Ph.D. to step down as Chief Scientfc Ofcer in October 2023; Jannik Andersen, Ph.D., to be appointed as his</w:t>
      </w:r>
    </w:p>
    <w:p>
      <w:pPr>
        <w:spacing w:after="0" w:line="53" w:lineRule="exact"/>
        <w:rPr>
          <w:sz w:val="20"/>
          <w:szCs w:val="20"/>
          <w:color w:val="auto"/>
        </w:rPr>
      </w:pPr>
    </w:p>
    <w:p>
      <w:pPr>
        <w:ind w:left="5100"/>
        <w:spacing w:after="0"/>
        <w:rPr>
          <w:sz w:val="20"/>
          <w:szCs w:val="20"/>
          <w:color w:val="auto"/>
        </w:rPr>
      </w:pPr>
      <w:r>
        <w:rPr>
          <w:rFonts w:ascii="Arial" w:cs="Arial" w:eastAsia="Arial" w:hAnsi="Arial"/>
          <w:sz w:val="22"/>
          <w:szCs w:val="22"/>
          <w:i w:val="1"/>
          <w:iCs w:val="1"/>
          <w:color w:val="auto"/>
        </w:rPr>
        <w:t>successor –</w:t>
      </w:r>
    </w:p>
    <w:p>
      <w:pPr>
        <w:spacing w:after="0" w:line="200" w:lineRule="exact"/>
        <w:rPr>
          <w:sz w:val="20"/>
          <w:szCs w:val="20"/>
          <w:color w:val="auto"/>
        </w:rPr>
      </w:pPr>
    </w:p>
    <w:p>
      <w:pPr>
        <w:spacing w:after="0" w:line="353"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b w:val="1"/>
          <w:bCs w:val="1"/>
          <w:color w:val="auto"/>
        </w:rPr>
        <w:t xml:space="preserve">BOSTON, Mass. – August 7, 2023 </w:t>
      </w:r>
      <w:r>
        <w:rPr>
          <w:rFonts w:ascii="Arial" w:cs="Arial" w:eastAsia="Arial" w:hAnsi="Arial"/>
          <w:sz w:val="22"/>
          <w:szCs w:val="22"/>
          <w:color w:val="auto"/>
        </w:rPr>
        <w:t>– Tango Therapeutcs, Inc. (NASDAQ: TNGX), a clinical-stage biotechnology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commited to discovering and delivering the next generaton of precision cancer medicines, reported its fnancial results for the second quarter ended June 30, 2023, and provided business highlights.</w:t>
      </w:r>
    </w:p>
    <w:p>
      <w:pPr>
        <w:spacing w:after="0" w:line="187" w:lineRule="exact"/>
        <w:rPr>
          <w:sz w:val="20"/>
          <w:szCs w:val="20"/>
          <w:color w:val="auto"/>
        </w:rPr>
      </w:pPr>
    </w:p>
    <w:p>
      <w:pPr>
        <w:ind w:right="60"/>
        <w:spacing w:after="0" w:line="306" w:lineRule="auto"/>
        <w:rPr>
          <w:sz w:val="20"/>
          <w:szCs w:val="20"/>
          <w:color w:val="auto"/>
        </w:rPr>
      </w:pPr>
      <w:r>
        <w:rPr>
          <w:rFonts w:ascii="Arial" w:cs="Arial" w:eastAsia="Arial" w:hAnsi="Arial"/>
          <w:sz w:val="19"/>
          <w:szCs w:val="19"/>
          <w:color w:val="auto"/>
        </w:rPr>
        <w:t>“We have signifcantly advanced our pipeline since the frst quarter, including bringing two novel agents into phase 1/2 clinical trials. In July, the frst patent was dosed with TNG462, our next-generaton MTA-cooperatve PRMT5 inhibitor for MTAP-deleted cancers, and TNG908, our brain-penetrant MTA-cooperatve PRMT5 inhibitor, contnues to progress in dose escalaton. These two trials underscore our commitment to delivering important treatments for the broad range of patents with MTAP-deleted cancers. Additonally, we dosed the frst patent in our phase 1/2 trial of TNG260, a frst-in-class CoREST complex inhibitor, in patents with STK11-mutant cancers, the large majority of which are inherently resistant to immune checkpoint inhibitor therapy,” said Barbara Weber, M.D., President and Chief Executve Ofcer of Tango Therapeutcs.</w:t>
      </w:r>
    </w:p>
    <w:p>
      <w:pPr>
        <w:spacing w:after="0" w:line="210"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“Also of note, Alan Huang, Ph.D., will step down from his full-tme role as Chief Scientfc Ofcer and become a resident Science Advisor to Tango in early October. Alan plans to start a new company outside of our focus, which will incubate in Tango labs, facilitatng his advisor role to Tango. Alan played a pivotal role founding Tango and has been an integral part of the Company from incepton. He was central to creatng and launching the Company, building a state-of-the-art CRISPR-based target discovery platorm and our deep pipeline of novel programs. Jannik Andersen Ph.D., currently Head of Biology, will assume the role of Chief Scientfc Ofcer, efectve October 9. Jannik joined the Company in January 2019, and his leadership of our biology team has had tremendous impact on the Tango pipeline, including leading multple programs from drug discovery into clinical development and advancing our pipeline of synthetc lethal precision oncology programs. As an internal candidate, Jannik will ensure the contnuity of our preclinical work,” contnued Dr.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Recent Business Highlights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Update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TNG908 phase 1 dose escalaton ongoing</w:t>
      </w:r>
    </w:p>
    <w:p>
      <w:pPr>
        <w:spacing w:after="0" w:line="25" w:lineRule="exact"/>
        <w:rPr>
          <w:sz w:val="20"/>
          <w:szCs w:val="20"/>
          <w:color w:val="auto"/>
        </w:rPr>
      </w:pPr>
    </w:p>
    <w:p>
      <w:pPr>
        <w:ind w:left="1020" w:right="100" w:hanging="503"/>
        <w:spacing w:after="0" w:line="267" w:lineRule="auto"/>
        <w:tabs>
          <w:tab w:leader="none" w:pos="1020" w:val="left"/>
        </w:tabs>
        <w:numPr>
          <w:ilvl w:val="0"/>
          <w:numId w:val="3"/>
        </w:numPr>
        <w:rPr>
          <w:rFonts w:ascii="Arial" w:cs="Arial" w:eastAsia="Arial" w:hAnsi="Arial"/>
          <w:sz w:val="21"/>
          <w:szCs w:val="21"/>
          <w:color w:val="auto"/>
        </w:rPr>
      </w:pPr>
      <w:r>
        <w:rPr>
          <w:rFonts w:ascii="Arial" w:cs="Arial" w:eastAsia="Arial" w:hAnsi="Arial"/>
          <w:sz w:val="21"/>
          <w:szCs w:val="21"/>
          <w:color w:val="auto"/>
        </w:rPr>
        <w:t>As of May 9, 2023, 16 patents with MTAP-deleted solid tumors representng 12 histologies across four cohorts had been treated and dose escalaton is contnuing. Proof-of-mechanism for TNG908 as an MTA-cooperatve PRMT5 inhibitor was demonstrated by marked SDMA reducton in MTAP-deleted cancer cells versus normal tssue. SDMA is a direct measure of TNG908 target engagement and PRMT5 inhibiton.</w:t>
      </w:r>
    </w:p>
    <w:p>
      <w:pPr>
        <w:spacing w:after="0" w:line="1" w:lineRule="exact"/>
        <w:rPr>
          <w:rFonts w:ascii="Arial" w:cs="Arial" w:eastAsia="Arial" w:hAnsi="Arial"/>
          <w:sz w:val="21"/>
          <w:szCs w:val="21"/>
          <w:color w:val="auto"/>
        </w:rPr>
      </w:pPr>
    </w:p>
    <w:p>
      <w:pPr>
        <w:jc w:val="both"/>
        <w:ind w:left="1020" w:hanging="503"/>
        <w:spacing w:after="0" w:line="256" w:lineRule="auto"/>
        <w:tabs>
          <w:tab w:leader="none" w:pos="10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TNG908 demonstrated favorable pharmacokinetcs with dose-proportonal increases in exposure across cohorts, and pre-treatment and on-treatment biopsies demonstrated dose-dependent decreases in tumor SDMA with minimal or no decrease in normal tssue.</w:t>
      </w:r>
    </w:p>
    <w:p>
      <w:pPr>
        <w:ind w:left="1020" w:hanging="503"/>
        <w:spacing w:after="0"/>
        <w:tabs>
          <w:tab w:leader="none" w:pos="1020" w:val="left"/>
        </w:tabs>
        <w:numPr>
          <w:ilvl w:val="0"/>
          <w:numId w:val="3"/>
        </w:numPr>
        <w:rPr>
          <w:rFonts w:ascii="Arial" w:cs="Arial" w:eastAsia="Arial" w:hAnsi="Arial"/>
          <w:sz w:val="21"/>
          <w:szCs w:val="21"/>
          <w:color w:val="auto"/>
        </w:rPr>
      </w:pPr>
      <w:r>
        <w:rPr>
          <w:rFonts w:ascii="Arial" w:cs="Arial" w:eastAsia="Arial" w:hAnsi="Arial"/>
          <w:sz w:val="21"/>
          <w:szCs w:val="21"/>
          <w:color w:val="auto"/>
        </w:rPr>
        <w:t>MTAP deletons occur in approximately 10%-15% of all human cancers, including 40% of glioblastoma (GBM).</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TNG462, a potentally best-in-class MTA-cooperatve PRMT5 inhibitor</w:t>
      </w:r>
    </w:p>
    <w:p>
      <w:pPr>
        <w:spacing w:after="0" w:line="25" w:lineRule="exact"/>
        <w:rPr>
          <w:sz w:val="20"/>
          <w:szCs w:val="20"/>
          <w:color w:val="auto"/>
        </w:rPr>
      </w:pPr>
    </w:p>
    <w:p>
      <w:pPr>
        <w:ind w:left="1020" w:right="360" w:hanging="503"/>
        <w:spacing w:after="0" w:line="267" w:lineRule="auto"/>
        <w:tabs>
          <w:tab w:leader="none" w:pos="102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frst patent has been dosed in the TNG462 phase 1/2 clinical trial. The trial is evaluatng TNG462 in patents with MTAP-deleted solid tumors. Unlike the TNG908 trial, glioblastoma will be excluded from the TNG462 clinical trial, as TNG462 does not cross the blood-brain barrier in preclinical models.</w:t>
      </w:r>
    </w:p>
    <w:p>
      <w:pPr>
        <w:ind w:left="1020" w:right="120" w:hanging="503"/>
        <w:spacing w:after="0" w:line="264" w:lineRule="auto"/>
        <w:tabs>
          <w:tab w:leader="none" w:pos="10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TNG462 has the same mechanism of acton as TNG908, with enhanced potency and selectvity in MTAP-deleted cell lines and patent-derived xenografs. In preclinical studies, TNG462 is 45X more selectve for MTAP-deleted cancer cells versus normal cells and ~30X more potent than TNG908.</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TNG260, a frst-in-class, highly selectve CoREST complex inhibitor</w:t>
      </w:r>
    </w:p>
    <w:p>
      <w:pPr>
        <w:spacing w:after="0" w:line="25" w:lineRule="exact"/>
        <w:rPr>
          <w:sz w:val="20"/>
          <w:szCs w:val="20"/>
          <w:color w:val="auto"/>
        </w:rPr>
      </w:pPr>
    </w:p>
    <w:p>
      <w:pPr>
        <w:ind w:left="1020" w:right="120" w:hanging="503"/>
        <w:spacing w:after="0" w:line="255" w:lineRule="auto"/>
        <w:tabs>
          <w:tab w:leader="none" w:pos="10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frst patent has been dosed in the TNG260 phase 1/2 clinical trial. The trial is evaluatng the safety, pharmacokinetcs (PK), pharmacodynamics and efcacy of TNG260 in combinaton with pembrolizumab, with a one cycle single agent run-in phase to evaluate the safety and PK of TNG260 in patents with locally advanced or metastatc solid tumors with an STK11 loss-of-functon mutaton.</w:t>
      </w:r>
    </w:p>
    <w:p>
      <w:pPr>
        <w:ind w:left="1020" w:right="40" w:hanging="503"/>
        <w:spacing w:after="0" w:line="315"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CoREST (</w:t>
      </w:r>
      <w:r>
        <w:rPr>
          <w:rFonts w:ascii="Arial" w:cs="Arial" w:eastAsia="Arial" w:hAnsi="Arial"/>
          <w:sz w:val="19"/>
          <w:szCs w:val="19"/>
          <w:u w:val="single" w:color="auto"/>
          <w:color w:val="auto"/>
        </w:rPr>
        <w:t>Co</w:t>
      </w:r>
      <w:r>
        <w:rPr>
          <w:rFonts w:ascii="Arial" w:cs="Arial" w:eastAsia="Arial" w:hAnsi="Arial"/>
          <w:sz w:val="19"/>
          <w:szCs w:val="19"/>
          <w:color w:val="auto"/>
        </w:rPr>
        <w:t xml:space="preserve">-repressor of </w:t>
      </w:r>
      <w:r>
        <w:rPr>
          <w:rFonts w:ascii="Arial" w:cs="Arial" w:eastAsia="Arial" w:hAnsi="Arial"/>
          <w:sz w:val="19"/>
          <w:szCs w:val="19"/>
          <w:u w:val="single" w:color="auto"/>
          <w:color w:val="auto"/>
        </w:rPr>
        <w:t>R</w:t>
      </w:r>
      <w:r>
        <w:rPr>
          <w:rFonts w:ascii="Arial" w:cs="Arial" w:eastAsia="Arial" w:hAnsi="Arial"/>
          <w:sz w:val="19"/>
          <w:szCs w:val="19"/>
          <w:color w:val="auto"/>
        </w:rPr>
        <w:t xml:space="preserve">epressor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lement-1 </w:t>
      </w:r>
      <w:r>
        <w:rPr>
          <w:rFonts w:ascii="Arial" w:cs="Arial" w:eastAsia="Arial" w:hAnsi="Arial"/>
          <w:sz w:val="19"/>
          <w:szCs w:val="19"/>
          <w:u w:val="single" w:color="auto"/>
          <w:color w:val="auto"/>
        </w:rPr>
        <w:t>S</w:t>
      </w:r>
      <w:r>
        <w:rPr>
          <w:rFonts w:ascii="Arial" w:cs="Arial" w:eastAsia="Arial" w:hAnsi="Arial"/>
          <w:sz w:val="19"/>
          <w:szCs w:val="19"/>
          <w:color w:val="auto"/>
        </w:rPr>
        <w:t>ilencing</w:t>
      </w:r>
      <w:r>
        <w:rPr>
          <w:rFonts w:ascii="Arial" w:cs="Arial" w:eastAsia="Arial" w:hAnsi="Arial"/>
          <w:sz w:val="19"/>
          <w:szCs w:val="19"/>
          <w:u w:val="single" w:color="auto"/>
          <w:color w:val="auto"/>
        </w:rPr>
        <w:t>T</w:t>
      </w:r>
      <w:r>
        <w:rPr>
          <w:rFonts w:ascii="Arial" w:cs="Arial" w:eastAsia="Arial" w:hAnsi="Arial"/>
          <w:sz w:val="19"/>
          <w:szCs w:val="19"/>
          <w:color w:val="auto"/>
        </w:rPr>
        <w:t>ranscripton) complex plays a major role in regulatng the expression of immunomodulatory proteins. In preclinical studies, TNG260 reverses the immune evasion efect of STK11 loss-of-functon mutatons, restoring sensitvity to an ant-PD-1 antbody, inducing complete remissions in the majority of animals and creatng immune memory that prevents re-implantaton and regrowth of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ind w:left="1020" w:right="60" w:hanging="503"/>
        <w:spacing w:after="0" w:line="256"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April 2023, the U.S. Food and Drug Administraton (FDA) granted Fast Track Designaton for TNG260 in combinaton with an ant-PD-1 antbody for the treatment of patents with previously treated advanced NSCLC with STK11-mutatons.</w:t>
      </w:r>
    </w:p>
    <w:p>
      <w:pPr>
        <w:spacing w:after="0" w:line="2" w:lineRule="exact"/>
        <w:rPr>
          <w:rFonts w:ascii="Arial" w:cs="Arial" w:eastAsia="Arial" w:hAnsi="Arial"/>
          <w:sz w:val="22"/>
          <w:szCs w:val="22"/>
          <w:color w:val="auto"/>
        </w:rPr>
      </w:pPr>
    </w:p>
    <w:p>
      <w:pPr>
        <w:ind w:left="1020" w:right="80" w:hanging="503"/>
        <w:spacing w:after="0" w:line="272" w:lineRule="auto"/>
        <w:tabs>
          <w:tab w:leader="none" w:pos="1020" w:val="left"/>
        </w:tabs>
        <w:numPr>
          <w:ilvl w:val="0"/>
          <w:numId w:val="6"/>
        </w:numPr>
        <w:rPr>
          <w:rFonts w:ascii="Arial" w:cs="Arial" w:eastAsia="Arial" w:hAnsi="Arial"/>
          <w:sz w:val="22"/>
          <w:szCs w:val="22"/>
          <w:color w:val="auto"/>
        </w:rPr>
      </w:pPr>
      <w:r>
        <w:rPr>
          <w:rFonts w:ascii="Arial" w:cs="Arial" w:eastAsia="Arial" w:hAnsi="Arial"/>
          <w:sz w:val="22"/>
          <w:szCs w:val="22"/>
          <w:color w:val="auto"/>
        </w:rPr>
        <w:t>STK11 mutatons occur in approximately 15% of NSCLC, 15% of cervical, 10% of carcinoma of unknown primary, 5% of breast and 3% of pancreatc cancers.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Milestones</w:t>
      </w:r>
    </w:p>
    <w:p>
      <w:pPr>
        <w:spacing w:after="0" w:line="289"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TNG348 Investgatonal New Drug (IND) fling expected mid-2023.</w:t>
      </w:r>
    </w:p>
    <w:p>
      <w:pPr>
        <w:spacing w:after="0" w:line="29" w:lineRule="exact"/>
        <w:rPr>
          <w:rFonts w:ascii="Arial" w:cs="Arial" w:eastAsia="Arial" w:hAnsi="Arial"/>
          <w:sz w:val="22"/>
          <w:szCs w:val="22"/>
          <w:color w:val="auto"/>
        </w:rPr>
      </w:pPr>
    </w:p>
    <w:p>
      <w:pPr>
        <w:ind w:left="1020" w:hanging="503"/>
        <w:spacing w:after="0"/>
        <w:tabs>
          <w:tab w:leader="none" w:pos="102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Additonal data from the ongoing TNG908 clinical trial expected 2024.</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Leadership Update</w:t>
      </w:r>
    </w:p>
    <w:p>
      <w:pPr>
        <w:spacing w:after="0" w:line="289" w:lineRule="exact"/>
        <w:rPr>
          <w:sz w:val="20"/>
          <w:szCs w:val="20"/>
          <w:color w:val="auto"/>
        </w:rPr>
      </w:pPr>
    </w:p>
    <w:p>
      <w:pPr>
        <w:ind w:left="1020" w:hanging="503"/>
        <w:spacing w:after="0" w:line="297" w:lineRule="auto"/>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Alan Huang, Ph.D., will step down as Chief Scientfc Ofcer of Tango in October to become CEO of and launch a new company, unrelated to Tango’s focus. Tango President and CEO, Barbara Weber, M.D., and Alexis Borisy, Tango Board chairman, will serve on the newco Board of Directors. Tango received an equity stake in the newco in exchange for providing space and resources for the early phases of company development within Tango. The new company is currently in stealth mode and will operate in a distnct, non-compettve space.</w:t>
      </w:r>
    </w:p>
    <w:p>
      <w:pPr>
        <w:ind w:left="102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Jannik Andersen, Ph.D., currently Senior Vice President of Biology, will be promoted to Chief Scientfc Ofcer of Tango. Dr. Andersen, who joined the Company in January 2019, is a leading expert in basic and applied cancer research. Dr. Andersen has led the drug discovery eforts of multple programs at Tango, including TNG908, TNG462, TNG260 and TNG348.</w:t>
      </w:r>
    </w:p>
    <w:p>
      <w:pPr>
        <w:ind w:left="1020" w:right="720" w:hanging="503"/>
        <w:spacing w:after="0" w:line="256" w:lineRule="auto"/>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Dr. Huang will serve as a resident Senior Advisor, focusing on functonal genomics platorm evoluton, target discovery and validaton.</w:t>
      </w:r>
    </w:p>
    <w:p>
      <w:pPr>
        <w:ind w:left="1020" w:hanging="503"/>
        <w:spacing w:after="0"/>
        <w:tabs>
          <w:tab w:leader="none" w:pos="1020" w:val="left"/>
        </w:tabs>
        <w:numPr>
          <w:ilvl w:val="0"/>
          <w:numId w:val="8"/>
        </w:numPr>
        <w:rPr>
          <w:rFonts w:ascii="Arial" w:cs="Arial" w:eastAsia="Arial" w:hAnsi="Arial"/>
          <w:sz w:val="22"/>
          <w:szCs w:val="22"/>
          <w:color w:val="auto"/>
        </w:rPr>
      </w:pPr>
      <w:r>
        <w:rPr>
          <w:rFonts w:ascii="Arial" w:cs="Arial" w:eastAsia="Arial" w:hAnsi="Arial"/>
          <w:sz w:val="22"/>
          <w:szCs w:val="22"/>
          <w:color w:val="auto"/>
        </w:rPr>
        <w:t>Both changes will become efectve in October 2023.</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89" w:lineRule="exact"/>
        <w:rPr>
          <w:sz w:val="20"/>
          <w:szCs w:val="20"/>
          <w:color w:val="auto"/>
        </w:rPr>
      </w:pPr>
    </w:p>
    <w:p>
      <w:pPr>
        <w:ind w:right="100"/>
        <w:spacing w:after="0" w:line="274" w:lineRule="auto"/>
        <w:rPr>
          <w:sz w:val="20"/>
          <w:szCs w:val="20"/>
          <w:color w:val="auto"/>
        </w:rPr>
      </w:pPr>
      <w:r>
        <w:rPr>
          <w:rFonts w:ascii="Arial" w:cs="Arial" w:eastAsia="Arial" w:hAnsi="Arial"/>
          <w:sz w:val="22"/>
          <w:szCs w:val="22"/>
          <w:color w:val="auto"/>
        </w:rPr>
        <w:t>As of June 30, 2023, the Company held $310.7 million in cash, cash equivalents and marketable securites, which the Company believes to be sufcient to fund operatons into 2026.</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color w:val="auto"/>
        </w:rPr>
        <w:t>Collaboraton revenue was $9.6 million for the three months ended June 30, 2023, compared to $5.8 million for the same period in 2022, and $15.4 million for the six months ended June 30, 2023 compared to $11.5 million for the same period in 2022. The increase was due to higher research costs incurred under the collaboraton resultng in higher collaboraton revenue recognized.</w:t>
      </w:r>
    </w:p>
    <w:p>
      <w:pPr>
        <w:spacing w:after="0" w:line="245" w:lineRule="exact"/>
        <w:rPr>
          <w:sz w:val="20"/>
          <w:szCs w:val="20"/>
          <w:color w:val="auto"/>
        </w:rPr>
      </w:pPr>
    </w:p>
    <w:p>
      <w:pPr>
        <w:jc w:val="both"/>
        <w:ind w:right="100"/>
        <w:spacing w:after="0" w:line="265" w:lineRule="auto"/>
        <w:rPr>
          <w:sz w:val="20"/>
          <w:szCs w:val="20"/>
          <w:color w:val="auto"/>
        </w:rPr>
      </w:pPr>
      <w:r>
        <w:rPr>
          <w:rFonts w:ascii="Arial" w:cs="Arial" w:eastAsia="Arial" w:hAnsi="Arial"/>
          <w:sz w:val="22"/>
          <w:szCs w:val="22"/>
          <w:color w:val="auto"/>
        </w:rPr>
        <w:t>License revenue was $5.0 million for the three and six months ended June 30, 2023, compared to $0 for both the three and six months ended June 30, 2022. The increase is the result of out-licensing a program to Gilead for $5.0 million during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80" w:right="419" w:bottom="1440" w:gutter="0" w:footer="0" w:header="0"/>
        </w:sectPr>
      </w:pPr>
    </w:p>
    <w:bookmarkStart w:id="7" w:name="page8"/>
    <w:bookmarkEnd w:id="7"/>
    <w:p>
      <w:pPr>
        <w:ind w:right="160"/>
        <w:spacing w:after="0" w:line="262" w:lineRule="auto"/>
        <w:rPr>
          <w:sz w:val="20"/>
          <w:szCs w:val="20"/>
          <w:color w:val="auto"/>
        </w:rPr>
      </w:pPr>
      <w:r>
        <w:rPr>
          <w:rFonts w:ascii="Arial" w:cs="Arial" w:eastAsia="Arial" w:hAnsi="Arial"/>
          <w:sz w:val="22"/>
          <w:szCs w:val="22"/>
          <w:color w:val="auto"/>
        </w:rPr>
        <w:t>Research and development expenses were $28.7 million for the three months ended June 30, 2023, compared to $23.7 million for the same period in 2022, and $56.7 million for the six months ended June 30, 2023 compared to $48.1 million for the same period in 2022. The change is primarily due to increased personnel-related costs to support our research and development actvites.</w:t>
      </w:r>
    </w:p>
    <w:p>
      <w:pPr>
        <w:spacing w:after="0" w:line="245" w:lineRule="exact"/>
        <w:rPr>
          <w:sz w:val="20"/>
          <w:szCs w:val="20"/>
          <w:color w:val="auto"/>
        </w:rPr>
      </w:pPr>
    </w:p>
    <w:p>
      <w:pPr>
        <w:ind w:right="100"/>
        <w:spacing w:after="0" w:line="265" w:lineRule="auto"/>
        <w:rPr>
          <w:sz w:val="20"/>
          <w:szCs w:val="20"/>
          <w:color w:val="auto"/>
        </w:rPr>
      </w:pPr>
      <w:r>
        <w:rPr>
          <w:rFonts w:ascii="Arial" w:cs="Arial" w:eastAsia="Arial" w:hAnsi="Arial"/>
          <w:sz w:val="22"/>
          <w:szCs w:val="22"/>
          <w:color w:val="auto"/>
        </w:rPr>
        <w:t>General and administratve expenses were $9.2 million for the three months ended June 30, 2023, compared to $7.2 million for the same period in 2022, and $17.2 million for the six months ended June 30, 2023 compared to $14.0 million for the same period in 2022. The change was primarily due to increases in personnel-related costs.</w:t>
      </w:r>
    </w:p>
    <w:p>
      <w:pPr>
        <w:spacing w:after="0" w:line="242" w:lineRule="exact"/>
        <w:rPr>
          <w:sz w:val="20"/>
          <w:szCs w:val="20"/>
          <w:color w:val="auto"/>
        </w:rPr>
      </w:pPr>
    </w:p>
    <w:p>
      <w:pPr>
        <w:ind w:right="300"/>
        <w:spacing w:after="0" w:line="325" w:lineRule="auto"/>
        <w:rPr>
          <w:sz w:val="20"/>
          <w:szCs w:val="20"/>
          <w:color w:val="auto"/>
        </w:rPr>
      </w:pPr>
      <w:r>
        <w:rPr>
          <w:rFonts w:ascii="Arial" w:cs="Arial" w:eastAsia="Arial" w:hAnsi="Arial"/>
          <w:sz w:val="19"/>
          <w:szCs w:val="19"/>
          <w:color w:val="auto"/>
        </w:rPr>
        <w:t>Net loss for the three months ended June 30, 2023 was $20.7 million, or $0.23 per share, compared to a net loss of $24.9 million, or $0.28 per share, in the same period in 2022. Net loss for the six months ended June 30, 2023 was $48.7 million, or $0.55 per share, compared to a net loss of $50.1 million, or $0.57 per share, in the same period in 2022.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Therapeutcs</w:t>
      </w:r>
    </w:p>
    <w:p>
      <w:pPr>
        <w:spacing w:after="0" w:line="289" w:lineRule="exact"/>
        <w:rPr>
          <w:sz w:val="20"/>
          <w:szCs w:val="20"/>
          <w:color w:val="auto"/>
        </w:rPr>
      </w:pPr>
    </w:p>
    <w:p>
      <w:pPr>
        <w:spacing w:after="0" w:line="311" w:lineRule="auto"/>
        <w:rPr>
          <w:sz w:val="20"/>
          <w:szCs w:val="20"/>
          <w:color w:val="auto"/>
        </w:rPr>
      </w:pPr>
      <w:r>
        <w:rPr>
          <w:rFonts w:ascii="Arial" w:cs="Arial" w:eastAsia="Arial" w:hAnsi="Arial"/>
          <w:sz w:val="19"/>
          <w:szCs w:val="19"/>
          <w:color w:val="auto"/>
        </w:rPr>
        <w:t>Tango Therapeutcs is a clinical-stage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89" w:lineRule="exact"/>
        <w:rPr>
          <w:sz w:val="20"/>
          <w:szCs w:val="20"/>
          <w:color w:val="auto"/>
        </w:rPr>
      </w:pPr>
    </w:p>
    <w:p>
      <w:pPr>
        <w:ind w:right="120"/>
        <w:spacing w:after="0" w:line="304" w:lineRule="auto"/>
        <w:rPr>
          <w:sz w:val="20"/>
          <w:szCs w:val="20"/>
          <w:color w:val="auto"/>
        </w:rPr>
      </w:pPr>
      <w:r>
        <w:rPr>
          <w:rFonts w:ascii="Arial" w:cs="Arial" w:eastAsia="Arial" w:hAnsi="Arial"/>
          <w:sz w:val="19"/>
          <w:szCs w:val="19"/>
          <w:color w:val="auto"/>
        </w:rPr>
        <w:t>Certain statements in this press release may be considered forward-looking statements. Forward-looking statements generally relate to future events, Tango’s future operatng performance and goals, the antcipated benefts of therapies and combinaton therapies (that include a Tango pipeline product), Tango’s expectatons, beliefs and development objectves for Tango’s product pipeline and clinical trials. In some cases, you can identfy forward-looking statements by terminology such as “may”, “should”, “expect”, “intend”, “will”, “goal”, “estmate”, “antcipate”, “believe”, “predict”, “designed,” “potental” or “contnue”, or the negatves of these terms or variatons of them or similar terminology. For example, implicit or explicit statements concerning the following include or consttute forward-looking statements: dose escalaton is ongoing in phase 1/2 trial of TNG908; intended changes among the Company’s management team; TNG908 contnues to progress in dose escalaton; Tango’s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8" w:name="page9"/>
    <w:bookmarkEnd w:id="8"/>
    <w:p>
      <w:pPr>
        <w:spacing w:after="0" w:line="298" w:lineRule="auto"/>
        <w:rPr>
          <w:sz w:val="20"/>
          <w:szCs w:val="20"/>
          <w:color w:val="auto"/>
        </w:rPr>
      </w:pPr>
      <w:r>
        <w:rPr>
          <w:rFonts w:ascii="Arial" w:cs="Arial" w:eastAsia="Arial" w:hAnsi="Arial"/>
          <w:sz w:val="19"/>
          <w:szCs w:val="19"/>
          <w:color w:val="auto"/>
        </w:rPr>
        <w:t>commitment to delivering important treatments for the broad range of patents with MTAP-deleted cancers; TNG462, a potentally best-in-class MTA-cooperatve PRMT5 inhibitor; the Company believes its cash, cash equivalents and marketable securites are sufcient to fund operatons into 2026; TNG348 IND fling expected mid-2023; additonal data from the ongoing TNG908 clinical trial expected 2024; the expected benefts of the Company's development candidates and other product candidates (as monotherapies or in combinaton); and the expected tming of: (i) development candidate declaraton for certain targets, (ii) initatng IND-enabling studies; (iii) fling INDs; (iv) clinical trial initaton and (v) disclosing inital, interim and fnal clinical trial results. Such forward-looking statements are subject to risks, uncertaintes, and other factors which could cause actual results to difer materially from those expressed or implied by such forward-looking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Tango has limited experience conductng clinical trials (and will rely on a third party to operate its clinical trials) and may not be able to commence the clinical trial (including opening clinical trial sites, dosing the frst patent, and enrolling and dosing an adequate number of clinical trial partcipants) when expected, may not be able to contnue dose escalaton on antcipated tmelines, and may not generate results (including fnal or inital safety, efcacy data and proof-of-mechanism and proof-of-concept) in the antcipated tmeframe (or at all); benefts of product candidates seen in preclinical analyses may not be evident when tested in clinical trials or when used in broader patent populatons (if approved for commercial sale); Tango’s pipeline products may not be safe and/or efectve in humans; Tango has a limited operatng history and has not generated any revenue to date from product sales, and may never become proftable; other companies may be able to identfy and develop product candidates more quickly than the Company and commercially introduce the product prior to the Company; the Company’s proprietary discovery platorm is novel and may not identfy any synthetc lethal targets for future development;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Tango will need to raise capital in the future and if we are unable to raise capital when needed or on atractve terms, we would be forced to delay, scale back or discontnue some of our development programs or future commercializaton eforts (which may delay fling of INDs, dosing patents, reportng clinical trial results and fling new drug applicatons); we may be unable to advance our preclinical development programs into and through the clinic for safety or efcacy reasons or commercialize our product candidates or we may experience signifcant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0" w:right="379" w:bottom="1440" w:gutter="0" w:footer="0" w:header="0"/>
        </w:sectPr>
      </w:pPr>
    </w:p>
    <w:bookmarkStart w:id="9" w:name="page10"/>
    <w:bookmarkEnd w:id="9"/>
    <w:p>
      <w:pPr>
        <w:spacing w:after="0" w:line="300" w:lineRule="auto"/>
        <w:rPr>
          <w:sz w:val="20"/>
          <w:szCs w:val="20"/>
          <w:color w:val="auto"/>
        </w:rPr>
      </w:pPr>
      <w:r>
        <w:rPr>
          <w:rFonts w:ascii="Arial" w:cs="Arial" w:eastAsia="Arial" w:hAnsi="Arial"/>
          <w:sz w:val="19"/>
          <w:szCs w:val="19"/>
          <w:color w:val="auto"/>
        </w:rPr>
        <w:t>delays in doing so as a result of factors beyond Tango’s control; the Company may not be able to realize the benefts of Fast Track designaton (and such designaton may not advance any antcipated approval tmelines); Tango’s approach to the discovery and development of product candidates is novel and unproven, which makes it difcult to predict the tme, cost of development, and likelihood of successfully developing any products;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our products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for the fscal year ended December 31, 2022, as supplemented and/or modifed by its most recent Quarterly Report on Form 10-Q. You should not place undue reliance on forward-looking statements in this presentaton, which speak only as of the date they are made and are qualifed in their entrety by reference to the cautonary statements herein. Tango specifcally disclaims any duty to update these forward-looking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Sam Martn/Andrew Vulis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tango@argotpartners.com</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Amanda Galgay</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SVP, Corporate Communicatons, Tango Therapeutcs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Consolidated Statements of Operatons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8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50"/>
        </w:trPr>
        <w:tc>
          <w:tcPr>
            <w:tcW w:w="5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1"/>
                <w:szCs w:val="2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40" w:type="dxa"/>
            <w:vAlign w:val="bottom"/>
            <w:shd w:val="clear" w:color="auto" w:fill="CFF0FC"/>
          </w:tcPr>
          <w:p>
            <w:pPr>
              <w:spacing w:after="0"/>
              <w:rPr>
                <w:sz w:val="20"/>
                <w:szCs w:val="20"/>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License revenue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20,364</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23,741</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48,071</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w:t>
            </w:r>
          </w:p>
        </w:tc>
        <w:tc>
          <w:tcPr>
            <w:tcW w:w="140" w:type="dxa"/>
            <w:vAlign w:val="bottom"/>
          </w:tcPr>
          <w:p>
            <w:pPr>
              <w:spacing w:after="0"/>
              <w:rPr>
                <w:sz w:val="20"/>
                <w:szCs w:val="20"/>
                <w:color w:val="auto"/>
              </w:rPr>
            </w:pPr>
          </w:p>
        </w:tc>
      </w:tr>
      <w:tr>
        <w:trPr>
          <w:trHeight w:val="236"/>
        </w:trPr>
        <w:tc>
          <w:tcPr>
            <w:tcW w:w="5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37,845</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30,973</w:t>
            </w: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62,110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5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(23,247 )</w:t>
            </w:r>
          </w:p>
        </w:tc>
        <w:tc>
          <w:tcPr>
            <w:tcW w:w="22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(25,202 )</w:t>
            </w:r>
          </w:p>
        </w:tc>
        <w:tc>
          <w:tcPr>
            <w:tcW w:w="2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(53,534 )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(50,581 )</w:t>
            </w:r>
          </w:p>
        </w:tc>
      </w:tr>
      <w:tr>
        <w:trPr>
          <w:trHeight w:val="243"/>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CFF0FC"/>
          </w:tcPr>
          <w:p>
            <w:pPr>
              <w:spacing w:after="0"/>
              <w:rPr>
                <w:sz w:val="21"/>
                <w:szCs w:val="2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(64 )</w:t>
            </w:r>
          </w:p>
        </w:tc>
        <w:tc>
          <w:tcPr>
            <w:tcW w:w="22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(64 )</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(24,858</w:t>
            </w:r>
          </w:p>
        </w:tc>
        <w:tc>
          <w:tcPr>
            <w:tcW w:w="38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(50,066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479"/>
        </w:trPr>
        <w:tc>
          <w:tcPr>
            <w:tcW w:w="5620" w:type="dxa"/>
            <w:vAlign w:val="bottom"/>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(0.23 )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(0.28 )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(0.55 )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(0.57 )</w:t>
            </w:r>
          </w:p>
        </w:tc>
      </w:tr>
      <w:tr>
        <w:trPr>
          <w:trHeight w:val="222"/>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Weighted average number of common shares outstanding – basic and</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88,354,590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87,839,804</w:t>
            </w: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88,281,368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87,775,440</w:t>
            </w:r>
          </w:p>
        </w:tc>
        <w:tc>
          <w:tcPr>
            <w:tcW w:w="140" w:type="dxa"/>
            <w:vAlign w:val="bottom"/>
            <w:shd w:val="clear" w:color="auto" w:fill="CFF0FC"/>
          </w:tcPr>
          <w:p>
            <w:pPr>
              <w:spacing w:after="0"/>
              <w:rPr>
                <w:sz w:val="21"/>
                <w:szCs w:val="21"/>
                <w:color w:val="auto"/>
              </w:rPr>
            </w:pPr>
          </w:p>
        </w:tc>
      </w:tr>
      <w:tr>
        <w:trPr>
          <w:trHeight w:val="3031"/>
        </w:trPr>
        <w:tc>
          <w:tcPr>
            <w:tcW w:w="5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-3822700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-3822700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-3822700</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-3822700</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-3188335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-3188335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-3188335</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-3188335</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-2545715</wp:posOffset>
            </wp:positionV>
            <wp:extent cx="8572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-2545715</wp:posOffset>
            </wp:positionV>
            <wp:extent cx="8572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-2545715</wp:posOffset>
            </wp:positionV>
            <wp:extent cx="85725"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-2545715</wp:posOffset>
            </wp:positionV>
            <wp:extent cx="8572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66,052</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59,968</w:t>
            </w:r>
          </w:p>
        </w:tc>
        <w:tc>
          <w:tcPr>
            <w:tcW w:w="14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Marketable securities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244,600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306,165</w:t>
            </w: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9,035</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320,543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375,272</w:t>
            </w: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10,884</w:t>
            </w:r>
          </w:p>
        </w:tc>
        <w:tc>
          <w:tcPr>
            <w:tcW w:w="14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45,325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46,886</w:t>
            </w: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net of current portion</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3,423</w:t>
            </w:r>
          </w:p>
        </w:tc>
        <w:tc>
          <w:tcPr>
            <w:tcW w:w="14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r>
      <w:tr>
        <w:trPr>
          <w:trHeight w:val="223"/>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379,328</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436,470</w:t>
            </w:r>
          </w:p>
        </w:tc>
        <w:tc>
          <w:tcPr>
            <w:tcW w:w="140" w:type="dxa"/>
            <w:vAlign w:val="bottom"/>
            <w:shd w:val="clear" w:color="auto" w:fill="CFF0FC"/>
          </w:tcPr>
          <w:p>
            <w:pPr>
              <w:spacing w:after="0"/>
              <w:rPr>
                <w:sz w:val="19"/>
                <w:szCs w:val="19"/>
                <w:color w:val="auto"/>
              </w:rPr>
            </w:pPr>
          </w:p>
        </w:tc>
      </w:tr>
      <w:tr>
        <w:trPr>
          <w:trHeight w:val="22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4,793</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4,453</w:t>
            </w: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13,185</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17,495</w:t>
            </w:r>
          </w:p>
        </w:tc>
        <w:tc>
          <w:tcPr>
            <w:tcW w:w="14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1,770</w:t>
            </w:r>
          </w:p>
        </w:tc>
        <w:tc>
          <w:tcPr>
            <w:tcW w:w="14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33,848</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31,792</w:t>
            </w:r>
          </w:p>
        </w:tc>
        <w:tc>
          <w:tcPr>
            <w:tcW w:w="14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Income tax payable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9"/>
                <w:szCs w:val="19"/>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53,633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55,545</w:t>
            </w:r>
          </w:p>
        </w:tc>
        <w:tc>
          <w:tcPr>
            <w:tcW w:w="14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38,082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39,361</w:t>
            </w:r>
          </w:p>
        </w:tc>
        <w:tc>
          <w:tcPr>
            <w:tcW w:w="14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74,668</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92,088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166,383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186,994</w:t>
            </w:r>
          </w:p>
        </w:tc>
        <w:tc>
          <w:tcPr>
            <w:tcW w:w="14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212,945</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249,476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379,328</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436,470</w:t>
            </w:r>
          </w:p>
        </w:tc>
        <w:tc>
          <w:tcPr>
            <w:tcW w:w="14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88"/>
        </w:trPr>
        <w:tc>
          <w:tcPr>
            <w:tcW w:w="7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-3239770</wp:posOffset>
            </wp:positionV>
            <wp:extent cx="857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-3239770</wp:posOffset>
            </wp:positionV>
            <wp:extent cx="8572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-2348230</wp:posOffset>
            </wp:positionV>
            <wp:extent cx="857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-873760</wp:posOffset>
            </wp:positionV>
            <wp:extent cx="8572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-873760</wp:posOffset>
            </wp:positionV>
            <wp:extent cx="857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-574040</wp:posOffset>
            </wp:positionV>
            <wp:extent cx="857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-574040</wp:posOffset>
            </wp:positionV>
            <wp:extent cx="857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2023-08-07T06:30:37Z</dcterms:created>
  <dcterms:modified xsi:type="dcterms:W3CDTF">2023-08-07T06:30:37Z</dcterms:modified>
</cp:coreProperties>
</file>