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Tango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87583X109</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87583X109</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TCG Crossover GP II,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13,521,839.00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13,521,839.00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13,521,839.00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Consists of (a) 12,762,094 shares of Common Stock and (b) 759,745 shares of the Common Stock underlying Pre-Funded Warrants which are exerciseable within 60 days of this Statement. These securities are held of record by TCG Crossover II (as defined in Item 2(a) below). TCG Crossover GP II (as defined in Item 2(a) below)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 This total excludes 306,921 shares of Common Stock subject to Pre-Funded Warrants (the Pre-Funded Warrants) which are not exercisable within 60 days of this Statement because the Pre-Funded Warrants may not be exercised to the extent that doing so would result in the holder of the Pre-Funded Warrants (together with the holder's affiliates and any other persons acting as a group together with the holder or any of the holder's affiliates) beneficially owning more than 9.99 percent of the shares of Common Stock then outstanding immediately after giving effect to such exercise (the Beneficial Ownership Limitation). Based on 134,593,998 shares of Common Stock outstanding as of October 28, 2025, as reported by the Issuer (as defined in Item 1(a) below) in its quarterly report filed with the Securities and Exchange Commission (the Commission) on November 4, 2025 (the Form 10-Q), plus 759,745 shares of Common Stock underlying Pre-Funded Warrants which are exercisable within 60 days of this Statement.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87583X109</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TCG Crossover Fund II,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13,521,839.00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13,521,839.00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13,521,839.00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These securities are held of record by TCG Crossover II. TCG Crossover GP II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 This total excludes 1,066,666 shares of Common Stock subject to Pre-Funded Warrants which are not exercisable within 60 days of this Statement due to the Beneficial Ownership Limitation. Based on 134,593,998 shares of Common Stock outstanding as of October 28, 2025, as reported by the Issuer in its Form 10-Q, plus 759,745 shares of Common Stock underlying Pre-Funded Warrants which are exercisable within 60 days of this Statement..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87583X109</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Chen Yu</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13,521,839.00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13,521,839.00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13,521,839.00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These securities are held of record by TCG Crossover II. TCG Crossover GP II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 This total excludes 1,066,666 shares of Common Stock subject to Pre-Funded Warrants which are not exercisable within 60 days of this Statement due to the Beneficial Ownership Limitation. Based on 134,593,998 shares of Common Stock outstanding as of Ocotber 28, 2025, as reported by the Issuer in its Form 10-Q, plus 759,745 shares of Common Stock underlying Pre-Funded Warrants which are exercisable within 60 days of this Statement..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4"/>
        <w:gridCol w:w="8896"/>
        <w:gridCol w:w="155"/>
      </w:tblGrid>
      <w:tr>
        <w:trPr/>
        <w:tc>
          <w:tcPr>
            <w:tcW w:w="1154" w:type="dxa"/>
            <w:tcBorders/>
            <w:vAlign w:val="center"/>
          </w:tcPr>
          <w:p>
            <w:pPr>
              <w:pStyle w:val="TableContents"/>
              <w:bidi w:val="0"/>
              <w:spacing w:before="0" w:after="283"/>
              <w:jc w:val="left"/>
              <w:rPr/>
            </w:pPr>
            <w:r>
              <w:rPr/>
              <w:t>Item 1.</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issuer: </w:t>
            </w:r>
          </w:p>
          <w:p>
            <w:pPr>
              <w:pStyle w:val="TableContents"/>
              <w:bidi w:val="0"/>
              <w:spacing w:before="0" w:after="0"/>
              <w:jc w:val="left"/>
              <w:rPr/>
            </w:pPr>
            <w:r>
              <w:rPr/>
              <w:t>Tango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201 Brookline Ave., Suite 901, Boston, MA 02215</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2.</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Amendment No. 2 (Amendment No. 2) amends and supplements the Schedule 13G initially filed with the Commission on November 20, 2024, as amended by Amendment No. 1 filed with the Commission on November 14, 2025 (the Original Schedule 13G) and is being filed by TCG Crossover Fund II, L.P. (TCG Crossover II), TCG Crossover GP II, LLC (TCG Crossover GP II, and together with TCG Crossover II, the Reporting Entities) and Chen Yu (the Reporting Individual). The Reporting Entities and the Reporting Individual are collectively referred to as the Reporting Persons. The Reporting Persons expressly disclaim status as a group for purposes of this Schedule 13G. The agreement among the Reporting Persons to file jointly in accordance with the provisions of Rule 13d-1(k)(1) under the Act is attached as Exhibit 1 to the Original Schedule 13G. Other than those securities reported herein as being held directly by such Reporting Person, each Reporting Person disclaims beneficial ownership of all securities reported in this Statement except to the extent of such Reporting Person's pecuniary interest therein. Capitalized terms not defined in this Amendment No. 2 have the meanings ascribed to them in the Original Schedule 13G.</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Reporting Person is 245 Lytton Ave., Suite 350, Palo Alto, CA 94301.</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jc w:val="left"/>
              <w:rPr/>
            </w:pPr>
            <w:r>
              <w:rPr/>
              <w:t xml:space="preserve">Citizenship: </w:t>
            </w:r>
          </w:p>
          <w:p>
            <w:pPr>
              <w:pStyle w:val="TableContents"/>
              <w:bidi w:val="0"/>
              <w:spacing w:before="0" w:after="0"/>
              <w:jc w:val="left"/>
              <w:rPr/>
            </w:pPr>
            <w:r>
              <w:rPr/>
              <w:t>TCG Crossover GP II is a limited liability company organized under the laws of the State of Delaware. TCG Crossover II is a limited partnership organized under the laws of the State of Delaware. The Reporting Individual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jc w:val="left"/>
              <w:rPr/>
            </w:pPr>
            <w:r>
              <w:rPr/>
              <w:t xml:space="preserve">CUSIP No.: </w:t>
            </w:r>
          </w:p>
          <w:p>
            <w:pPr>
              <w:pStyle w:val="TableContents"/>
              <w:bidi w:val="0"/>
              <w:spacing w:before="0" w:after="0"/>
              <w:jc w:val="left"/>
              <w:rPr/>
            </w:pPr>
            <w:r>
              <w:rPr/>
              <w:t>87583X109</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3.</w:t>
            </w:r>
          </w:p>
        </w:tc>
        <w:tc>
          <w:tcPr>
            <w:tcW w:w="889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(f)</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(g)</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(h)</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(j)</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(k)</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9051" w:type="dxa"/>
            <w:gridSpan w:val="2"/>
            <w:tcBorders/>
            <w:vAlign w:val="center"/>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4.</w:t>
            </w:r>
          </w:p>
        </w:tc>
        <w:tc>
          <w:tcPr>
            <w:tcW w:w="889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Row 9 of the cover page for each Reporting Person and the corresponding comments.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 11 of the cover page for each Reporting Person and the corresponding comments.  %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of the cover page for each Reporting Person and the corresponding comments.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the cover page for each Reporting Person and the corresponding comments.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of the cover page for each Reporting Person and the corresponding comments.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the cover page for each Reporting Person and the corresponding comments.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5.</w:t>
            </w:r>
          </w:p>
        </w:tc>
        <w:tc>
          <w:tcPr>
            <w:tcW w:w="889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6.</w:t>
            </w:r>
          </w:p>
        </w:tc>
        <w:tc>
          <w:tcPr>
            <w:tcW w:w="889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Under certain circumstances set forth in the limited partnership agreement of TCG Crossover II and the limited liability company agreement of TCG Crossover GP II, the general and limited partners or members, as the case may be, of each of such entities may be deemed to have the right to receive dividends from, or the proceeds from, the sale of securities of the Issuer owned by each such entity of which they are a partner or member, as the case may be.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7.</w:t>
            </w:r>
          </w:p>
        </w:tc>
        <w:tc>
          <w:tcPr>
            <w:tcW w:w="889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8.</w:t>
            </w:r>
          </w:p>
        </w:tc>
        <w:tc>
          <w:tcPr>
            <w:tcW w:w="889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9.</w:t>
            </w:r>
          </w:p>
        </w:tc>
        <w:tc>
          <w:tcPr>
            <w:tcW w:w="889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856" w:type="dxa"/>
        <w:jc w:val="left"/>
        <w:tblInd w:w="0" w:type="dxa"/>
        <w:tblLayout w:type="fixed"/>
        <w:tblCellMar>
          <w:top w:w="28" w:type="dxa"/>
          <w:left w:w="28" w:type="dxa"/>
          <w:bottom w:w="28" w:type="dxa"/>
          <w:right w:w="28" w:type="dxa"/>
        </w:tblCellMar>
      </w:tblPr>
      <w:tblGrid>
        <w:gridCol w:w="2928"/>
        <w:gridCol w:w="2928"/>
      </w:tblGrid>
      <w:tr>
        <w:trPr/>
        <w:tc>
          <w:tcPr>
            <w:tcW w:w="2928" w:type="dxa"/>
            <w:tcBorders/>
            <w:vAlign w:val="center"/>
          </w:tcPr>
          <w:p>
            <w:pPr>
              <w:pStyle w:val="TableContents"/>
              <w:bidi w:val="0"/>
              <w:spacing w:before="0" w:after="0"/>
              <w:jc w:val="left"/>
              <w:rPr/>
            </w:pPr>
            <w:r>
              <w:rPr/>
              <w:t> </w:t>
            </w:r>
          </w:p>
          <w:tbl>
            <w:tblPr>
              <w:tblW w:w="2791" w:type="dxa"/>
              <w:jc w:val="left"/>
              <w:tblInd w:w="0" w:type="dxa"/>
              <w:tblLayout w:type="fixed"/>
              <w:tblCellMar>
                <w:top w:w="28" w:type="dxa"/>
                <w:left w:w="28" w:type="dxa"/>
                <w:bottom w:w="28" w:type="dxa"/>
                <w:right w:w="28" w:type="dxa"/>
              </w:tblCellMar>
            </w:tblPr>
            <w:tblGrid>
              <w:gridCol w:w="2791"/>
            </w:tblGrid>
            <w:tr>
              <w:trPr/>
              <w:tc>
                <w:tcPr>
                  <w:tcW w:w="2791" w:type="dxa"/>
                  <w:tcBorders/>
                  <w:vAlign w:val="center"/>
                </w:tcPr>
                <w:p>
                  <w:pPr>
                    <w:pStyle w:val="TableContents"/>
                    <w:bidi w:val="0"/>
                    <w:spacing w:before="0" w:after="0"/>
                    <w:jc w:val="left"/>
                    <w:rPr/>
                  </w:pPr>
                  <w:r>
                    <w:rPr/>
                    <w:t>TCG Crossover GP II, L.P.</w:t>
                  </w:r>
                </w:p>
              </w:tc>
            </w:tr>
          </w:tbl>
          <w:p>
            <w:pPr>
              <w:pStyle w:val="TableContents"/>
              <w:bidi w:val="0"/>
              <w:spacing w:before="0" w:after="283"/>
              <w:jc w:val="left"/>
              <w:rPr/>
            </w:pPr>
            <w:r>
              <w:rPr/>
            </w:r>
          </w:p>
        </w:tc>
        <w:tc>
          <w:tcPr>
            <w:tcW w:w="29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Craig Skaling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Craig Skaling,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02/17/2026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TCG Crossover Fund II, L.P.</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Craig Skaling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Craig Skaling,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02/17/2026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2304" w:type="dxa"/>
        <w:jc w:val="left"/>
        <w:tblInd w:w="0" w:type="dxa"/>
        <w:tblLayout w:type="fixed"/>
        <w:tblCellMar>
          <w:top w:w="28" w:type="dxa"/>
          <w:left w:w="28" w:type="dxa"/>
          <w:bottom w:w="28" w:type="dxa"/>
          <w:right w:w="28" w:type="dxa"/>
        </w:tblCellMar>
      </w:tblPr>
      <w:tblGrid>
        <w:gridCol w:w="1152"/>
        <w:gridCol w:w="1152"/>
      </w:tblGrid>
      <w:tr>
        <w:trPr/>
        <w:tc>
          <w:tcPr>
            <w:tcW w:w="1152" w:type="dxa"/>
            <w:tcBorders/>
            <w:vAlign w:val="center"/>
          </w:tcPr>
          <w:p>
            <w:pPr>
              <w:pStyle w:val="TableContents"/>
              <w:bidi w:val="0"/>
              <w:spacing w:before="0" w:after="0"/>
              <w:jc w:val="left"/>
              <w:rPr/>
            </w:pPr>
            <w:r>
              <w:rPr/>
              <w:t> </w:t>
            </w:r>
          </w:p>
          <w:tbl>
            <w:tblPr>
              <w:tblW w:w="1036" w:type="dxa"/>
              <w:jc w:val="left"/>
              <w:tblInd w:w="0" w:type="dxa"/>
              <w:tblLayout w:type="fixed"/>
              <w:tblCellMar>
                <w:top w:w="28" w:type="dxa"/>
                <w:left w:w="28" w:type="dxa"/>
                <w:bottom w:w="28" w:type="dxa"/>
                <w:right w:w="28" w:type="dxa"/>
              </w:tblCellMar>
            </w:tblPr>
            <w:tblGrid>
              <w:gridCol w:w="1036"/>
            </w:tblGrid>
            <w:tr>
              <w:trPr/>
              <w:tc>
                <w:tcPr>
                  <w:tcW w:w="1036" w:type="dxa"/>
                  <w:tcBorders/>
                  <w:vAlign w:val="center"/>
                </w:tcPr>
                <w:p>
                  <w:pPr>
                    <w:pStyle w:val="TableContents"/>
                    <w:bidi w:val="0"/>
                    <w:spacing w:before="0" w:after="0"/>
                    <w:jc w:val="left"/>
                    <w:rPr/>
                  </w:pPr>
                  <w:r>
                    <w:rPr/>
                    <w:t>Chen Yu</w:t>
                  </w:r>
                </w:p>
              </w:tc>
            </w:tr>
          </w:tbl>
          <w:p>
            <w:pPr>
              <w:pStyle w:val="TableContents"/>
              <w:bidi w:val="0"/>
              <w:spacing w:before="0" w:after="283"/>
              <w:jc w:val="left"/>
              <w:rPr/>
            </w:pPr>
            <w:r>
              <w:rPr/>
            </w:r>
          </w:p>
        </w:tc>
        <w:tc>
          <w:tcPr>
            <w:tcW w:w="11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0"/>
        <w:gridCol w:w="4085"/>
      </w:tblGrid>
      <w:tr>
        <w:trPr/>
        <w:tc>
          <w:tcPr>
            <w:tcW w:w="61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Craig Skaling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Craig Skaling, as Attorney-in-Fact for Chen Yu</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02/17/2026</w:t>
                  </w:r>
                </w:p>
              </w:tc>
            </w:tr>
          </w:tbl>
          <w:p>
            <w:pPr>
              <w:pStyle w:val="TableContents"/>
              <w:bidi w:val="0"/>
              <w:spacing w:before="0" w:after="283"/>
              <w:jc w:val="left"/>
              <w:rPr/>
            </w:pPr>
            <w:r>
              <w:rPr/>
            </w:r>
          </w:p>
        </w:tc>
        <w:tc>
          <w:tcPr>
            <w:tcW w:w="408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2044</Words>
  <Characters>10438</Characters>
  <CharactersWithSpaces>12432</CharactersWithSpaces>
  <Paragraphs>261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